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F5DC0" w14:textId="0385B3F9" w:rsidR="00DF09BD" w:rsidRPr="00B3123E" w:rsidRDefault="00821CB1" w:rsidP="00821CB1">
      <w:pPr>
        <w:jc w:val="right"/>
        <w:rPr>
          <w:rFonts w:ascii="Times New Roman" w:hAnsi="Times New Roman" w:cs="Times New Roman"/>
          <w:b/>
          <w:bCs/>
          <w:szCs w:val="24"/>
          <w:lang w:val="sr-Cyrl-RS"/>
        </w:rPr>
      </w:pPr>
      <w:bookmarkStart w:id="0" w:name="_Toc23941282"/>
      <w:r w:rsidRPr="00B3123E">
        <w:rPr>
          <w:rFonts w:ascii="Times New Roman" w:hAnsi="Times New Roman" w:cs="Times New Roman"/>
          <w:szCs w:val="24"/>
          <w:lang w:val="sr-Cyrl-RS"/>
        </w:rPr>
        <w:tab/>
      </w:r>
    </w:p>
    <w:p w14:paraId="34E84505" w14:textId="7F6624B1" w:rsidR="004104C1" w:rsidRPr="00B3123E" w:rsidRDefault="004104C1" w:rsidP="0063456B">
      <w:pPr>
        <w:pStyle w:val="NormalWeb"/>
        <w:shd w:val="clear" w:color="auto" w:fill="FFFFFF"/>
        <w:spacing w:before="0" w:beforeAutospacing="0" w:after="0" w:afterAutospacing="0"/>
        <w:ind w:firstLine="567"/>
        <w:jc w:val="both"/>
        <w:rPr>
          <w:lang w:val="sr-Cyrl-RS"/>
        </w:rPr>
      </w:pPr>
      <w:r w:rsidRPr="00B3123E">
        <w:rPr>
          <w:lang w:val="sr-Cyrl-RS"/>
        </w:rPr>
        <w:t xml:space="preserve">На основу </w:t>
      </w:r>
      <w:r w:rsidR="00810828" w:rsidRPr="00B3123E">
        <w:rPr>
          <w:lang w:val="sr-Cyrl-RS"/>
        </w:rPr>
        <w:t xml:space="preserve">члана 4. тачка 2) Закона о поштанским услугама </w:t>
      </w:r>
      <w:r w:rsidR="007E4F08" w:rsidRPr="00B3123E">
        <w:rPr>
          <w:bCs/>
          <w:noProof/>
          <w:color w:val="000000"/>
          <w:lang w:val="sr-Cyrl-RS"/>
        </w:rPr>
        <w:t>(„Службени гласник PC”, број</w:t>
      </w:r>
      <w:r w:rsidR="00810828" w:rsidRPr="00B3123E">
        <w:rPr>
          <w:lang w:val="sr-Cyrl-RS"/>
        </w:rPr>
        <w:t xml:space="preserve"> 19/25) и </w:t>
      </w:r>
      <w:r w:rsidRPr="00B3123E">
        <w:rPr>
          <w:lang w:val="sr-Cyrl-RS"/>
        </w:rPr>
        <w:t xml:space="preserve">члана 38. став 1. Закона о планском систему Републике Србије </w:t>
      </w:r>
      <w:r w:rsidR="007E4F08" w:rsidRPr="00B3123E">
        <w:rPr>
          <w:bCs/>
          <w:noProof/>
          <w:color w:val="000000"/>
          <w:lang w:val="sr-Cyrl-RS"/>
        </w:rPr>
        <w:t>(„Службени гласник PC”, број</w:t>
      </w:r>
      <w:r w:rsidRPr="00B3123E">
        <w:rPr>
          <w:lang w:val="sr-Cyrl-RS"/>
        </w:rPr>
        <w:t xml:space="preserve"> 30/18)</w:t>
      </w:r>
      <w:r w:rsidR="00810828" w:rsidRPr="00B3123E">
        <w:rPr>
          <w:lang w:val="sr-Cyrl-RS"/>
        </w:rPr>
        <w:t>,</w:t>
      </w:r>
    </w:p>
    <w:p w14:paraId="4DACACC1" w14:textId="77777777" w:rsidR="004104C1" w:rsidRPr="00B3123E" w:rsidRDefault="004104C1" w:rsidP="004104C1">
      <w:pPr>
        <w:pStyle w:val="NormalWeb"/>
        <w:shd w:val="clear" w:color="auto" w:fill="FFFFFF"/>
        <w:spacing w:before="0" w:beforeAutospacing="0" w:after="0" w:afterAutospacing="0"/>
        <w:ind w:firstLine="720"/>
        <w:jc w:val="both"/>
        <w:rPr>
          <w:lang w:val="sr-Cyrl-RS"/>
        </w:rPr>
      </w:pPr>
    </w:p>
    <w:p w14:paraId="746C3D14" w14:textId="4691B444" w:rsidR="004104C1" w:rsidRPr="00B3123E" w:rsidRDefault="004104C1" w:rsidP="0063456B">
      <w:pPr>
        <w:pStyle w:val="NormalWeb"/>
        <w:shd w:val="clear" w:color="auto" w:fill="FFFFFF"/>
        <w:spacing w:before="0" w:beforeAutospacing="0" w:after="0" w:afterAutospacing="0"/>
        <w:ind w:firstLine="567"/>
        <w:jc w:val="both"/>
        <w:rPr>
          <w:lang w:val="sr-Cyrl-RS"/>
        </w:rPr>
      </w:pPr>
      <w:r w:rsidRPr="00B3123E">
        <w:rPr>
          <w:lang w:val="sr-Cyrl-RS"/>
        </w:rPr>
        <w:t xml:space="preserve">Влада усваја </w:t>
      </w:r>
    </w:p>
    <w:p w14:paraId="4ACB4181" w14:textId="2474BCD9" w:rsidR="004104C1" w:rsidRPr="00B3123E" w:rsidRDefault="00F84C35" w:rsidP="004104C1">
      <w:pPr>
        <w:tabs>
          <w:tab w:val="left" w:pos="1440"/>
        </w:tabs>
        <w:ind w:firstLine="720"/>
        <w:rPr>
          <w:rFonts w:ascii="Times New Roman" w:hAnsi="Times New Roman" w:cs="Times New Roman"/>
          <w:szCs w:val="24"/>
          <w:lang w:val="sr-Cyrl-RS"/>
        </w:rPr>
      </w:pPr>
      <w:r w:rsidRPr="00B3123E">
        <w:rPr>
          <w:rFonts w:ascii="Times New Roman" w:hAnsi="Times New Roman" w:cs="Times New Roman"/>
          <w:szCs w:val="24"/>
          <w:lang w:val="sr-Cyrl-RS"/>
        </w:rPr>
        <w:tab/>
      </w:r>
    </w:p>
    <w:p w14:paraId="6400BA56" w14:textId="77777777" w:rsidR="00DF09BD" w:rsidRPr="00B3123E" w:rsidRDefault="001C5645" w:rsidP="00DF09BD">
      <w:pPr>
        <w:pStyle w:val="ListParagraph"/>
        <w:spacing w:after="0" w:line="276" w:lineRule="auto"/>
        <w:ind w:left="0"/>
        <w:jc w:val="center"/>
        <w:rPr>
          <w:rFonts w:ascii="Times New Roman" w:hAnsi="Times New Roman" w:cs="Times New Roman"/>
          <w:szCs w:val="24"/>
          <w:lang w:val="sr-Cyrl-RS"/>
        </w:rPr>
      </w:pPr>
      <w:r w:rsidRPr="00B3123E">
        <w:rPr>
          <w:rFonts w:ascii="Times New Roman" w:hAnsi="Times New Roman" w:cs="Times New Roman"/>
          <w:szCs w:val="24"/>
          <w:lang w:val="sr-Cyrl-RS"/>
        </w:rPr>
        <w:t>ПРОГРАМ</w:t>
      </w:r>
    </w:p>
    <w:p w14:paraId="0AF97320" w14:textId="77777777" w:rsidR="00DF09BD" w:rsidRPr="00B3123E" w:rsidRDefault="0035588A" w:rsidP="00DF09BD">
      <w:pPr>
        <w:spacing w:after="0" w:line="276" w:lineRule="auto"/>
        <w:jc w:val="center"/>
        <w:rPr>
          <w:rFonts w:ascii="Times New Roman" w:hAnsi="Times New Roman" w:cs="Times New Roman"/>
          <w:szCs w:val="24"/>
          <w:lang w:val="sr-Cyrl-RS"/>
        </w:rPr>
      </w:pPr>
      <w:r w:rsidRPr="00B3123E">
        <w:rPr>
          <w:rFonts w:ascii="Times New Roman" w:hAnsi="Times New Roman" w:cs="Times New Roman"/>
          <w:szCs w:val="24"/>
          <w:lang w:val="sr-Cyrl-RS"/>
        </w:rPr>
        <w:t>РАЗВОЈА ПОШТАНСКИХ УСЛУГА У РЕПУБЛИЦИ СРБИЈИ</w:t>
      </w:r>
    </w:p>
    <w:p w14:paraId="1EC24C19" w14:textId="18A17EC1" w:rsidR="00DF09BD" w:rsidRPr="00B3123E" w:rsidRDefault="00DF09BD" w:rsidP="00DF09BD">
      <w:pPr>
        <w:spacing w:after="0" w:line="276" w:lineRule="auto"/>
        <w:jc w:val="center"/>
        <w:rPr>
          <w:rFonts w:ascii="Times New Roman" w:hAnsi="Times New Roman" w:cs="Times New Roman"/>
          <w:szCs w:val="24"/>
          <w:lang w:val="sr-Cyrl-RS"/>
        </w:rPr>
      </w:pPr>
      <w:r w:rsidRPr="00B3123E">
        <w:rPr>
          <w:rFonts w:ascii="Times New Roman" w:hAnsi="Times New Roman" w:cs="Times New Roman"/>
          <w:szCs w:val="24"/>
          <w:lang w:val="sr-Cyrl-RS"/>
        </w:rPr>
        <w:t xml:space="preserve"> ЗА ПЕРИОД 202</w:t>
      </w:r>
      <w:r w:rsidR="001C5645" w:rsidRPr="00B3123E">
        <w:rPr>
          <w:rFonts w:ascii="Times New Roman" w:hAnsi="Times New Roman" w:cs="Times New Roman"/>
          <w:szCs w:val="24"/>
          <w:lang w:val="sr-Cyrl-RS"/>
        </w:rPr>
        <w:t>6</w:t>
      </w:r>
      <w:r w:rsidR="0081082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81082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20</w:t>
      </w:r>
      <w:r w:rsidR="001C5645" w:rsidRPr="00B3123E">
        <w:rPr>
          <w:rFonts w:ascii="Times New Roman" w:hAnsi="Times New Roman" w:cs="Times New Roman"/>
          <w:szCs w:val="24"/>
          <w:lang w:val="sr-Cyrl-RS"/>
        </w:rPr>
        <w:t>30</w:t>
      </w:r>
      <w:r w:rsidRPr="00B3123E">
        <w:rPr>
          <w:rFonts w:ascii="Times New Roman" w:hAnsi="Times New Roman" w:cs="Times New Roman"/>
          <w:szCs w:val="24"/>
          <w:lang w:val="sr-Cyrl-RS"/>
        </w:rPr>
        <w:t xml:space="preserve">. ГОДИНЕ </w:t>
      </w:r>
    </w:p>
    <w:p w14:paraId="1EEE1AC6" w14:textId="77777777" w:rsidR="00DF09BD" w:rsidRPr="00B3123E" w:rsidRDefault="00DF09BD" w:rsidP="00DF09BD">
      <w:pPr>
        <w:jc w:val="center"/>
        <w:rPr>
          <w:rFonts w:ascii="Times New Roman" w:hAnsi="Times New Roman" w:cs="Times New Roman"/>
          <w:szCs w:val="24"/>
          <w:lang w:val="sr-Cyrl-RS"/>
        </w:rPr>
      </w:pPr>
    </w:p>
    <w:p w14:paraId="2F85E08B" w14:textId="77777777" w:rsidR="00CE7492" w:rsidRPr="00B3123E" w:rsidRDefault="0055226E" w:rsidP="003A4811">
      <w:pPr>
        <w:pStyle w:val="Heading1"/>
        <w:numPr>
          <w:ilvl w:val="0"/>
          <w:numId w:val="1"/>
        </w:numPr>
        <w:ind w:left="357" w:hanging="357"/>
        <w:jc w:val="center"/>
        <w:rPr>
          <w:rFonts w:ascii="Times New Roman" w:hAnsi="Times New Roman"/>
          <w:sz w:val="24"/>
          <w:lang w:val="sr-Cyrl-RS"/>
        </w:rPr>
      </w:pPr>
      <w:bookmarkStart w:id="1" w:name="_Toc211545965"/>
      <w:r w:rsidRPr="00B3123E">
        <w:rPr>
          <w:rFonts w:ascii="Times New Roman" w:hAnsi="Times New Roman"/>
          <w:sz w:val="24"/>
          <w:lang w:val="sr-Cyrl-RS"/>
        </w:rPr>
        <w:t>УВОД</w:t>
      </w:r>
      <w:bookmarkEnd w:id="0"/>
      <w:bookmarkEnd w:id="1"/>
    </w:p>
    <w:p w14:paraId="355F8328" w14:textId="50C1E132" w:rsidR="00412157" w:rsidRPr="00B3123E" w:rsidRDefault="001E4F9A" w:rsidP="001E4F9A">
      <w:pPr>
        <w:tabs>
          <w:tab w:val="left" w:pos="1440"/>
        </w:tabs>
        <w:spacing w:before="225" w:after="225"/>
        <w:rPr>
          <w:rFonts w:ascii="Times New Roman" w:hAnsi="Times New Roman" w:cs="Times New Roman"/>
          <w:szCs w:val="24"/>
          <w:lang w:val="sr-Cyrl-RS"/>
        </w:rPr>
      </w:pPr>
      <w:bookmarkStart w:id="2" w:name="_Hlk214354505"/>
      <w:r w:rsidRPr="00B3123E">
        <w:rPr>
          <w:rFonts w:ascii="Times New Roman" w:hAnsi="Times New Roman" w:cs="Times New Roman"/>
          <w:szCs w:val="24"/>
          <w:lang w:val="sr-Cyrl-RS"/>
        </w:rPr>
        <w:t xml:space="preserve">          </w:t>
      </w:r>
      <w:r w:rsidR="00DB420D" w:rsidRPr="00B3123E">
        <w:rPr>
          <w:rFonts w:ascii="Times New Roman" w:hAnsi="Times New Roman" w:cs="Times New Roman"/>
          <w:szCs w:val="24"/>
          <w:lang w:val="sr-Cyrl-RS"/>
        </w:rPr>
        <w:t xml:space="preserve">Програм развоја </w:t>
      </w:r>
      <w:bookmarkStart w:id="3" w:name="_Hlk212025333"/>
      <w:r w:rsidR="00DB420D" w:rsidRPr="00B3123E">
        <w:rPr>
          <w:rFonts w:ascii="Times New Roman" w:hAnsi="Times New Roman" w:cs="Times New Roman"/>
          <w:szCs w:val="24"/>
          <w:lang w:val="sr-Cyrl-RS"/>
        </w:rPr>
        <w:t xml:space="preserve">поштанских услуга </w:t>
      </w:r>
      <w:bookmarkEnd w:id="3"/>
      <w:r w:rsidR="00DB420D" w:rsidRPr="00B3123E">
        <w:rPr>
          <w:rFonts w:ascii="Times New Roman" w:hAnsi="Times New Roman" w:cs="Times New Roman"/>
          <w:szCs w:val="24"/>
          <w:lang w:val="sr-Cyrl-RS"/>
        </w:rPr>
        <w:t>у Републици Србији за период 2026</w:t>
      </w:r>
      <w:r w:rsidR="00F83416" w:rsidRPr="00B3123E">
        <w:rPr>
          <w:rFonts w:ascii="Times New Roman" w:hAnsi="Times New Roman" w:cs="Times New Roman"/>
          <w:szCs w:val="24"/>
          <w:lang w:val="sr-Cyrl-RS"/>
        </w:rPr>
        <w:t xml:space="preserve"> – </w:t>
      </w:r>
      <w:r w:rsidR="00DB420D" w:rsidRPr="00B3123E">
        <w:rPr>
          <w:rFonts w:ascii="Times New Roman" w:hAnsi="Times New Roman" w:cs="Times New Roman"/>
          <w:szCs w:val="24"/>
          <w:lang w:val="sr-Cyrl-RS"/>
        </w:rPr>
        <w:t xml:space="preserve">2030. године </w:t>
      </w:r>
      <w:bookmarkEnd w:id="2"/>
      <w:r w:rsidR="00220201" w:rsidRPr="00B3123E">
        <w:rPr>
          <w:rFonts w:ascii="Times New Roman" w:hAnsi="Times New Roman" w:cs="Times New Roman"/>
          <w:szCs w:val="24"/>
          <w:lang w:val="sr-Cyrl-RS"/>
        </w:rPr>
        <w:t xml:space="preserve">(у даљем тексту: Програм) </w:t>
      </w:r>
      <w:r w:rsidR="00DB420D" w:rsidRPr="00B3123E">
        <w:rPr>
          <w:rFonts w:ascii="Times New Roman" w:hAnsi="Times New Roman" w:cs="Times New Roman"/>
          <w:szCs w:val="24"/>
          <w:lang w:val="sr-Cyrl-RS"/>
        </w:rPr>
        <w:t>документ је јавне политике којим Влада планира развој поштанских услуга у Републици Србији за тај период.</w:t>
      </w:r>
    </w:p>
    <w:p w14:paraId="22C86AAA" w14:textId="6CB69C18" w:rsidR="001E4F9A"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1C5645" w:rsidRPr="00B3123E">
        <w:rPr>
          <w:rFonts w:ascii="Times New Roman" w:hAnsi="Times New Roman" w:cs="Times New Roman"/>
          <w:szCs w:val="24"/>
          <w:lang w:val="sr-Cyrl-RS"/>
        </w:rPr>
        <w:t>Програмом</w:t>
      </w:r>
      <w:r w:rsidR="009D3171" w:rsidRPr="00B3123E">
        <w:rPr>
          <w:rFonts w:ascii="Times New Roman" w:hAnsi="Times New Roman" w:cs="Times New Roman"/>
          <w:szCs w:val="24"/>
          <w:lang w:val="sr-Cyrl-RS"/>
        </w:rPr>
        <w:t xml:space="preserve"> </w:t>
      </w:r>
      <w:r w:rsidR="00220201" w:rsidRPr="00B3123E">
        <w:rPr>
          <w:rFonts w:ascii="Times New Roman" w:hAnsi="Times New Roman" w:cs="Times New Roman"/>
          <w:szCs w:val="24"/>
          <w:lang w:val="sr-Cyrl-RS"/>
        </w:rPr>
        <w:t>се</w:t>
      </w:r>
      <w:r w:rsidR="00DB040C" w:rsidRPr="00B3123E">
        <w:rPr>
          <w:rFonts w:ascii="Times New Roman" w:hAnsi="Times New Roman" w:cs="Times New Roman"/>
          <w:szCs w:val="24"/>
          <w:lang w:val="sr-Cyrl-RS"/>
        </w:rPr>
        <w:t xml:space="preserve"> утврђују</w:t>
      </w:r>
      <w:r w:rsidR="00321D2C" w:rsidRPr="00B3123E">
        <w:rPr>
          <w:rFonts w:ascii="Times New Roman" w:hAnsi="Times New Roman" w:cs="Times New Roman"/>
          <w:szCs w:val="24"/>
          <w:lang w:val="sr-Cyrl-RS"/>
        </w:rPr>
        <w:t xml:space="preserve"> правци</w:t>
      </w:r>
      <w:r w:rsidR="00DB040C" w:rsidRPr="00B3123E">
        <w:rPr>
          <w:rFonts w:ascii="Times New Roman" w:hAnsi="Times New Roman" w:cs="Times New Roman"/>
          <w:szCs w:val="24"/>
          <w:lang w:val="sr-Cyrl-RS"/>
        </w:rPr>
        <w:t xml:space="preserve"> развоја и унапређења тржишта поштанских услуга, као и основна начела и смернице за реализацију </w:t>
      </w:r>
      <w:r w:rsidR="001C5645" w:rsidRPr="00B3123E">
        <w:rPr>
          <w:rFonts w:ascii="Times New Roman" w:hAnsi="Times New Roman" w:cs="Times New Roman"/>
          <w:szCs w:val="24"/>
          <w:lang w:val="sr-Cyrl-RS"/>
        </w:rPr>
        <w:t>општих и посебних</w:t>
      </w:r>
      <w:r w:rsidR="00DB040C" w:rsidRPr="00B3123E">
        <w:rPr>
          <w:rFonts w:ascii="Times New Roman" w:hAnsi="Times New Roman" w:cs="Times New Roman"/>
          <w:szCs w:val="24"/>
          <w:lang w:val="sr-Cyrl-RS"/>
        </w:rPr>
        <w:t xml:space="preserve"> циљева развоја поштанских услуга у Републици Србији за период 20</w:t>
      </w:r>
      <w:r w:rsidR="001C5645" w:rsidRPr="00B3123E">
        <w:rPr>
          <w:rFonts w:ascii="Times New Roman" w:hAnsi="Times New Roman" w:cs="Times New Roman"/>
          <w:szCs w:val="24"/>
          <w:lang w:val="sr-Cyrl-RS"/>
        </w:rPr>
        <w:t>26</w:t>
      </w:r>
      <w:r w:rsidR="00F83416" w:rsidRPr="00B3123E">
        <w:rPr>
          <w:rFonts w:ascii="Times New Roman" w:hAnsi="Times New Roman" w:cs="Times New Roman"/>
          <w:szCs w:val="24"/>
          <w:lang w:val="sr-Cyrl-RS"/>
        </w:rPr>
        <w:t xml:space="preserve"> – </w:t>
      </w:r>
      <w:r w:rsidR="00DB040C" w:rsidRPr="00B3123E">
        <w:rPr>
          <w:rFonts w:ascii="Times New Roman" w:hAnsi="Times New Roman" w:cs="Times New Roman"/>
          <w:szCs w:val="24"/>
          <w:lang w:val="sr-Cyrl-RS"/>
        </w:rPr>
        <w:t>20</w:t>
      </w:r>
      <w:r w:rsidR="001C5645" w:rsidRPr="00B3123E">
        <w:rPr>
          <w:rFonts w:ascii="Times New Roman" w:hAnsi="Times New Roman" w:cs="Times New Roman"/>
          <w:szCs w:val="24"/>
          <w:lang w:val="sr-Cyrl-RS"/>
        </w:rPr>
        <w:t>30.</w:t>
      </w:r>
      <w:r w:rsidR="00DB040C" w:rsidRPr="00B3123E">
        <w:rPr>
          <w:rFonts w:ascii="Times New Roman" w:hAnsi="Times New Roman" w:cs="Times New Roman"/>
          <w:szCs w:val="24"/>
          <w:lang w:val="sr-Cyrl-RS"/>
        </w:rPr>
        <w:t xml:space="preserve"> године.</w:t>
      </w:r>
    </w:p>
    <w:p w14:paraId="66488D88" w14:textId="136F32AB" w:rsidR="0086720E"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3970A3" w:rsidRPr="00B3123E">
        <w:rPr>
          <w:rFonts w:ascii="Times New Roman" w:hAnsi="Times New Roman" w:cs="Times New Roman"/>
          <w:szCs w:val="24"/>
          <w:lang w:val="sr-Cyrl-RS"/>
        </w:rPr>
        <w:t xml:space="preserve">Правни основ за доношење Програма </w:t>
      </w:r>
      <w:r w:rsidR="00FF08BA" w:rsidRPr="00B3123E">
        <w:rPr>
          <w:rFonts w:ascii="Times New Roman" w:hAnsi="Times New Roman" w:cs="Times New Roman"/>
          <w:szCs w:val="24"/>
          <w:lang w:val="sr-Cyrl-RS"/>
        </w:rPr>
        <w:t>садржан је</w:t>
      </w:r>
      <w:r w:rsidR="002C1117" w:rsidRPr="00B3123E">
        <w:rPr>
          <w:rFonts w:ascii="Times New Roman" w:hAnsi="Times New Roman" w:cs="Times New Roman"/>
          <w:szCs w:val="24"/>
          <w:lang w:val="sr-Cyrl-RS"/>
        </w:rPr>
        <w:t xml:space="preserve"> у члану</w:t>
      </w:r>
      <w:r w:rsidR="005D2C03" w:rsidRPr="00B3123E">
        <w:rPr>
          <w:rFonts w:ascii="Times New Roman" w:hAnsi="Times New Roman" w:cs="Times New Roman"/>
          <w:szCs w:val="24"/>
          <w:lang w:val="sr-Cyrl-RS"/>
        </w:rPr>
        <w:t xml:space="preserve"> 4. тачка 2) Закона о поштанским услугама (</w:t>
      </w:r>
      <w:r w:rsidR="009C728A" w:rsidRPr="00B3123E">
        <w:rPr>
          <w:rFonts w:ascii="Times New Roman" w:hAnsi="Times New Roman" w:cs="Times New Roman"/>
          <w:lang w:val="sr-Cyrl-RS"/>
        </w:rPr>
        <w:t>„</w:t>
      </w:r>
      <w:r w:rsidR="005D2C03" w:rsidRPr="00B3123E">
        <w:rPr>
          <w:rFonts w:ascii="Times New Roman" w:hAnsi="Times New Roman" w:cs="Times New Roman"/>
          <w:szCs w:val="24"/>
          <w:lang w:val="sr-Cyrl-RS"/>
        </w:rPr>
        <w:t xml:space="preserve">Службени гласник РС”, број </w:t>
      </w:r>
      <w:r w:rsidR="00DA3100" w:rsidRPr="00B3123E">
        <w:rPr>
          <w:rFonts w:ascii="Times New Roman" w:hAnsi="Times New Roman" w:cs="Times New Roman"/>
          <w:szCs w:val="24"/>
          <w:lang w:val="sr-Cyrl-RS"/>
        </w:rPr>
        <w:t>19/25</w:t>
      </w:r>
      <w:r w:rsidR="00810828" w:rsidRPr="00B3123E">
        <w:rPr>
          <w:rFonts w:ascii="Times New Roman" w:hAnsi="Times New Roman" w:cs="Times New Roman"/>
          <w:szCs w:val="24"/>
          <w:lang w:val="sr-Cyrl-RS"/>
        </w:rPr>
        <w:t xml:space="preserve"> –</w:t>
      </w:r>
      <w:r w:rsidR="009663CB" w:rsidRPr="00B3123E">
        <w:rPr>
          <w:rFonts w:ascii="Times New Roman" w:hAnsi="Times New Roman" w:cs="Times New Roman"/>
          <w:szCs w:val="24"/>
          <w:lang w:val="sr-Cyrl-RS"/>
        </w:rPr>
        <w:t xml:space="preserve"> у даљем тексту</w:t>
      </w:r>
      <w:r w:rsidR="00810828" w:rsidRPr="00B3123E">
        <w:rPr>
          <w:rFonts w:ascii="Times New Roman" w:hAnsi="Times New Roman" w:cs="Times New Roman"/>
          <w:szCs w:val="24"/>
          <w:lang w:val="sr-Cyrl-RS"/>
        </w:rPr>
        <w:t>:</w:t>
      </w:r>
      <w:r w:rsidR="009663CB" w:rsidRPr="00B3123E">
        <w:rPr>
          <w:rFonts w:ascii="Times New Roman" w:hAnsi="Times New Roman" w:cs="Times New Roman"/>
          <w:szCs w:val="24"/>
          <w:lang w:val="sr-Cyrl-RS"/>
        </w:rPr>
        <w:t xml:space="preserve"> Закон</w:t>
      </w:r>
      <w:r w:rsidR="005D2C03" w:rsidRPr="00B3123E">
        <w:rPr>
          <w:rFonts w:ascii="Times New Roman" w:hAnsi="Times New Roman" w:cs="Times New Roman"/>
          <w:szCs w:val="24"/>
          <w:lang w:val="sr-Cyrl-RS"/>
        </w:rPr>
        <w:t xml:space="preserve">), којим је </w:t>
      </w:r>
      <w:r w:rsidR="00146C04" w:rsidRPr="00B3123E">
        <w:rPr>
          <w:rFonts w:ascii="Times New Roman" w:hAnsi="Times New Roman" w:cs="Times New Roman"/>
          <w:szCs w:val="24"/>
          <w:lang w:val="sr-Cyrl-RS"/>
        </w:rPr>
        <w:t>прописано</w:t>
      </w:r>
      <w:r w:rsidR="005D2C03" w:rsidRPr="00B3123E">
        <w:rPr>
          <w:rFonts w:ascii="Times New Roman" w:hAnsi="Times New Roman" w:cs="Times New Roman"/>
          <w:szCs w:val="24"/>
          <w:lang w:val="sr-Cyrl-RS"/>
        </w:rPr>
        <w:t xml:space="preserve"> да Влада на предлог министарства надлежног з</w:t>
      </w:r>
      <w:r w:rsidR="00146C04" w:rsidRPr="00B3123E">
        <w:rPr>
          <w:rFonts w:ascii="Times New Roman" w:hAnsi="Times New Roman" w:cs="Times New Roman"/>
          <w:szCs w:val="24"/>
          <w:lang w:val="sr-Cyrl-RS"/>
        </w:rPr>
        <w:t>а послове поштанског саобраћаја</w:t>
      </w:r>
      <w:r w:rsidR="00F972B3" w:rsidRPr="00B3123E">
        <w:rPr>
          <w:rFonts w:ascii="Times New Roman" w:hAnsi="Times New Roman" w:cs="Times New Roman"/>
          <w:szCs w:val="24"/>
          <w:lang w:val="sr-Cyrl-RS"/>
        </w:rPr>
        <w:t xml:space="preserve"> </w:t>
      </w:r>
      <w:r w:rsidR="005D2C03" w:rsidRPr="00B3123E">
        <w:rPr>
          <w:rFonts w:ascii="Times New Roman" w:hAnsi="Times New Roman" w:cs="Times New Roman"/>
          <w:szCs w:val="24"/>
          <w:lang w:val="sr-Cyrl-RS"/>
        </w:rPr>
        <w:t xml:space="preserve">доноси </w:t>
      </w:r>
      <w:r w:rsidR="00DF7056" w:rsidRPr="00B3123E">
        <w:rPr>
          <w:rFonts w:ascii="Times New Roman" w:hAnsi="Times New Roman" w:cs="Times New Roman"/>
          <w:szCs w:val="24"/>
          <w:lang w:val="sr-Cyrl-RS"/>
        </w:rPr>
        <w:t xml:space="preserve">програме и акционе </w:t>
      </w:r>
      <w:r w:rsidR="005D2C03" w:rsidRPr="00B3123E">
        <w:rPr>
          <w:rFonts w:ascii="Times New Roman" w:hAnsi="Times New Roman" w:cs="Times New Roman"/>
          <w:szCs w:val="24"/>
          <w:lang w:val="sr-Cyrl-RS"/>
        </w:rPr>
        <w:t>планове за њ</w:t>
      </w:r>
      <w:r w:rsidR="00DF7056" w:rsidRPr="00B3123E">
        <w:rPr>
          <w:rFonts w:ascii="Times New Roman" w:hAnsi="Times New Roman" w:cs="Times New Roman"/>
          <w:szCs w:val="24"/>
          <w:lang w:val="sr-Cyrl-RS"/>
        </w:rPr>
        <w:t>ихово</w:t>
      </w:r>
      <w:r w:rsidR="005D2C03" w:rsidRPr="00B3123E">
        <w:rPr>
          <w:rFonts w:ascii="Times New Roman" w:hAnsi="Times New Roman" w:cs="Times New Roman"/>
          <w:szCs w:val="24"/>
          <w:lang w:val="sr-Cyrl-RS"/>
        </w:rPr>
        <w:t xml:space="preserve"> спровођење, </w:t>
      </w:r>
      <w:r w:rsidR="002C1117" w:rsidRPr="00B3123E">
        <w:rPr>
          <w:rFonts w:ascii="Times New Roman" w:hAnsi="Times New Roman" w:cs="Times New Roman"/>
          <w:szCs w:val="24"/>
          <w:lang w:val="sr-Cyrl-RS"/>
        </w:rPr>
        <w:t>као и члану</w:t>
      </w:r>
      <w:r w:rsidR="005D2C03" w:rsidRPr="00B3123E">
        <w:rPr>
          <w:rFonts w:ascii="Times New Roman" w:hAnsi="Times New Roman" w:cs="Times New Roman"/>
          <w:szCs w:val="24"/>
          <w:lang w:val="sr-Cyrl-RS"/>
        </w:rPr>
        <w:t xml:space="preserve"> 38. став 1. Закона о планском систему Републике Србије</w:t>
      </w:r>
      <w:r w:rsidR="005D2C03" w:rsidRPr="00B3123E">
        <w:rPr>
          <w:rStyle w:val="FootnoteReference"/>
          <w:rFonts w:ascii="Times New Roman" w:hAnsi="Times New Roman" w:cs="Times New Roman"/>
          <w:szCs w:val="24"/>
          <w:lang w:val="sr-Cyrl-RS"/>
        </w:rPr>
        <w:footnoteReference w:id="1"/>
      </w:r>
      <w:r w:rsidR="005D2C03" w:rsidRPr="00B3123E">
        <w:rPr>
          <w:rFonts w:ascii="Times New Roman" w:hAnsi="Times New Roman" w:cs="Times New Roman"/>
          <w:szCs w:val="24"/>
          <w:lang w:val="sr-Cyrl-RS"/>
        </w:rPr>
        <w:t>, којим је предвиђено да документ јавних политика на републичком нивоу усваја Влада</w:t>
      </w:r>
      <w:r w:rsidR="00C2380B" w:rsidRPr="00B3123E">
        <w:rPr>
          <w:rFonts w:ascii="Times New Roman" w:hAnsi="Times New Roman" w:cs="Times New Roman"/>
          <w:szCs w:val="24"/>
          <w:lang w:val="sr-Cyrl-RS"/>
        </w:rPr>
        <w:t>.</w:t>
      </w:r>
    </w:p>
    <w:p w14:paraId="0AEB9542" w14:textId="2E7B0BA2" w:rsidR="00C2380B"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86720E" w:rsidRPr="00B3123E">
        <w:rPr>
          <w:rFonts w:ascii="Times New Roman" w:hAnsi="Times New Roman" w:cs="Times New Roman"/>
          <w:szCs w:val="24"/>
          <w:lang w:val="sr-Cyrl-RS"/>
        </w:rPr>
        <w:t>Програм</w:t>
      </w:r>
      <w:r w:rsidR="009D3171" w:rsidRPr="00B3123E">
        <w:rPr>
          <w:rFonts w:ascii="Times New Roman" w:hAnsi="Times New Roman" w:cs="Times New Roman"/>
          <w:szCs w:val="24"/>
          <w:lang w:val="sr-Cyrl-RS"/>
        </w:rPr>
        <w:t xml:space="preserve"> </w:t>
      </w:r>
      <w:r w:rsidR="0086720E" w:rsidRPr="00B3123E">
        <w:rPr>
          <w:rFonts w:ascii="Times New Roman" w:hAnsi="Times New Roman" w:cs="Times New Roman"/>
          <w:szCs w:val="24"/>
          <w:lang w:val="sr-Cyrl-RS"/>
        </w:rPr>
        <w:t>представља наставак развојних активности у овој области које су се претходно спроводиле кроз реализацију Стратегије развоја поштанских услуга у Републици Србији за период 2021</w:t>
      </w:r>
      <w:r w:rsidR="00FF2B7D" w:rsidRPr="00B3123E">
        <w:rPr>
          <w:rFonts w:ascii="Times New Roman" w:hAnsi="Times New Roman" w:cs="Times New Roman"/>
          <w:szCs w:val="24"/>
          <w:lang w:val="sr-Cyrl-RS"/>
        </w:rPr>
        <w:t xml:space="preserve"> – </w:t>
      </w:r>
      <w:r w:rsidR="0086720E" w:rsidRPr="00B3123E">
        <w:rPr>
          <w:rFonts w:ascii="Times New Roman" w:hAnsi="Times New Roman" w:cs="Times New Roman"/>
          <w:szCs w:val="24"/>
          <w:lang w:val="sr-Cyrl-RS"/>
        </w:rPr>
        <w:t>2025. године (</w:t>
      </w:r>
      <w:r w:rsidR="009C728A" w:rsidRPr="00B3123E">
        <w:rPr>
          <w:rFonts w:ascii="Times New Roman" w:hAnsi="Times New Roman" w:cs="Times New Roman"/>
          <w:lang w:val="sr-Cyrl-RS"/>
        </w:rPr>
        <w:t>„Службени гласник РСˮ</w:t>
      </w:r>
      <w:r w:rsidR="009C728A" w:rsidRPr="00B3123E">
        <w:rPr>
          <w:rFonts w:ascii="Times New Roman" w:hAnsi="Times New Roman" w:cs="Times New Roman"/>
          <w:szCs w:val="24"/>
          <w:lang w:val="sr-Cyrl-RS"/>
        </w:rPr>
        <w:t xml:space="preserve">, </w:t>
      </w:r>
      <w:r w:rsidR="0086720E" w:rsidRPr="00B3123E">
        <w:rPr>
          <w:rFonts w:ascii="Times New Roman" w:hAnsi="Times New Roman" w:cs="Times New Roman"/>
          <w:szCs w:val="24"/>
          <w:lang w:val="sr-Cyrl-RS"/>
        </w:rPr>
        <w:t>број 68/21</w:t>
      </w:r>
      <w:r w:rsidR="00F972B3" w:rsidRPr="00B3123E">
        <w:rPr>
          <w:rFonts w:ascii="Times New Roman" w:hAnsi="Times New Roman" w:cs="Times New Roman"/>
          <w:szCs w:val="24"/>
          <w:lang w:val="sr-Cyrl-RS"/>
        </w:rPr>
        <w:t xml:space="preserve"> –</w:t>
      </w:r>
      <w:r w:rsidR="00810828" w:rsidRPr="00B3123E">
        <w:rPr>
          <w:rFonts w:ascii="Times New Roman" w:hAnsi="Times New Roman" w:cs="Times New Roman"/>
          <w:szCs w:val="24"/>
          <w:lang w:val="sr-Cyrl-RS"/>
        </w:rPr>
        <w:t xml:space="preserve"> </w:t>
      </w:r>
      <w:r w:rsidR="002E4C85" w:rsidRPr="00B3123E">
        <w:rPr>
          <w:rFonts w:ascii="Times New Roman" w:hAnsi="Times New Roman" w:cs="Times New Roman"/>
          <w:szCs w:val="24"/>
          <w:lang w:val="sr-Cyrl-RS"/>
        </w:rPr>
        <w:t>у даљем тексту</w:t>
      </w:r>
      <w:r w:rsidR="00810828" w:rsidRPr="00B3123E">
        <w:rPr>
          <w:rFonts w:ascii="Times New Roman" w:hAnsi="Times New Roman" w:cs="Times New Roman"/>
          <w:szCs w:val="24"/>
          <w:lang w:val="sr-Cyrl-RS"/>
        </w:rPr>
        <w:t>:</w:t>
      </w:r>
      <w:r w:rsidR="002E4C85" w:rsidRPr="00B3123E">
        <w:rPr>
          <w:rFonts w:ascii="Times New Roman" w:hAnsi="Times New Roman" w:cs="Times New Roman"/>
          <w:szCs w:val="24"/>
          <w:lang w:val="sr-Cyrl-RS"/>
        </w:rPr>
        <w:t xml:space="preserve"> Стратегија</w:t>
      </w:r>
      <w:r w:rsidR="0086720E" w:rsidRPr="00B3123E">
        <w:rPr>
          <w:rFonts w:ascii="Times New Roman" w:hAnsi="Times New Roman" w:cs="Times New Roman"/>
          <w:szCs w:val="24"/>
          <w:lang w:val="sr-Cyrl-RS"/>
        </w:rPr>
        <w:t>)</w:t>
      </w:r>
      <w:r w:rsidR="00983E9C" w:rsidRPr="00B3123E">
        <w:rPr>
          <w:rFonts w:ascii="Times New Roman" w:hAnsi="Times New Roman" w:cs="Times New Roman"/>
          <w:szCs w:val="24"/>
          <w:lang w:val="sr-Cyrl-RS"/>
        </w:rPr>
        <w:t>.</w:t>
      </w:r>
    </w:p>
    <w:p w14:paraId="1FBF0D25" w14:textId="399F19DB" w:rsidR="00491567"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983E9C" w:rsidRPr="00B3123E">
        <w:rPr>
          <w:rFonts w:ascii="Times New Roman" w:hAnsi="Times New Roman" w:cs="Times New Roman"/>
          <w:szCs w:val="24"/>
          <w:lang w:val="sr-Cyrl-RS"/>
        </w:rPr>
        <w:t xml:space="preserve">Стратегија </w:t>
      </w:r>
      <w:r w:rsidR="00FF2B7D" w:rsidRPr="00B3123E">
        <w:rPr>
          <w:rFonts w:ascii="Times New Roman" w:hAnsi="Times New Roman" w:cs="Times New Roman"/>
          <w:szCs w:val="24"/>
          <w:lang w:val="sr-Cyrl-RS"/>
        </w:rPr>
        <w:t xml:space="preserve">је </w:t>
      </w:r>
      <w:r w:rsidR="00F243AA" w:rsidRPr="00B3123E">
        <w:rPr>
          <w:rFonts w:ascii="Times New Roman" w:hAnsi="Times New Roman" w:cs="Times New Roman"/>
          <w:szCs w:val="24"/>
          <w:lang w:val="sr-Cyrl-RS"/>
        </w:rPr>
        <w:t>била</w:t>
      </w:r>
      <w:r w:rsidR="00983E9C" w:rsidRPr="00B3123E">
        <w:rPr>
          <w:rFonts w:ascii="Times New Roman" w:hAnsi="Times New Roman" w:cs="Times New Roman"/>
          <w:szCs w:val="24"/>
          <w:lang w:val="sr-Cyrl-RS"/>
        </w:rPr>
        <w:t xml:space="preserve"> </w:t>
      </w:r>
      <w:r w:rsidR="00F243AA" w:rsidRPr="00B3123E">
        <w:rPr>
          <w:rFonts w:ascii="Times New Roman" w:hAnsi="Times New Roman" w:cs="Times New Roman"/>
          <w:szCs w:val="24"/>
          <w:lang w:val="sr-Cyrl-RS"/>
        </w:rPr>
        <w:t xml:space="preserve">орочена на период од </w:t>
      </w:r>
      <w:r w:rsidR="001C5645" w:rsidRPr="00B3123E">
        <w:rPr>
          <w:rFonts w:ascii="Times New Roman" w:hAnsi="Times New Roman" w:cs="Times New Roman"/>
          <w:szCs w:val="24"/>
          <w:lang w:val="sr-Cyrl-RS"/>
        </w:rPr>
        <w:t>пет</w:t>
      </w:r>
      <w:r w:rsidR="00F243AA" w:rsidRPr="00B3123E">
        <w:rPr>
          <w:rFonts w:ascii="Times New Roman" w:hAnsi="Times New Roman" w:cs="Times New Roman"/>
          <w:szCs w:val="24"/>
          <w:lang w:val="sr-Cyrl-RS"/>
        </w:rPr>
        <w:t xml:space="preserve"> годин</w:t>
      </w:r>
      <w:r w:rsidR="001C5645" w:rsidRPr="00B3123E">
        <w:rPr>
          <w:rFonts w:ascii="Times New Roman" w:hAnsi="Times New Roman" w:cs="Times New Roman"/>
          <w:szCs w:val="24"/>
          <w:lang w:val="sr-Cyrl-RS"/>
        </w:rPr>
        <w:t>а</w:t>
      </w:r>
      <w:r w:rsidR="00F243AA" w:rsidRPr="00B3123E">
        <w:rPr>
          <w:rFonts w:ascii="Times New Roman" w:hAnsi="Times New Roman" w:cs="Times New Roman"/>
          <w:szCs w:val="24"/>
          <w:lang w:val="sr-Cyrl-RS"/>
        </w:rPr>
        <w:t xml:space="preserve">, који је протекао, а све активности утврђене Акционим планом </w:t>
      </w:r>
      <w:r w:rsidR="00FF2B7D" w:rsidRPr="00B3123E">
        <w:rPr>
          <w:rFonts w:ascii="Times New Roman" w:hAnsi="Times New Roman" w:cs="Times New Roman"/>
          <w:szCs w:val="24"/>
          <w:lang w:val="sr-Cyrl-RS"/>
        </w:rPr>
        <w:t>тог</w:t>
      </w:r>
      <w:r w:rsidR="0027168F" w:rsidRPr="00B3123E">
        <w:rPr>
          <w:rFonts w:ascii="Times New Roman" w:hAnsi="Times New Roman" w:cs="Times New Roman"/>
          <w:szCs w:val="24"/>
          <w:lang w:val="sr-Cyrl-RS"/>
        </w:rPr>
        <w:t xml:space="preserve"> стратешког документа</w:t>
      </w:r>
      <w:r w:rsidR="00F243AA" w:rsidRPr="00B3123E">
        <w:rPr>
          <w:rFonts w:ascii="Times New Roman" w:hAnsi="Times New Roman" w:cs="Times New Roman"/>
          <w:szCs w:val="24"/>
          <w:lang w:val="sr-Cyrl-RS"/>
        </w:rPr>
        <w:t xml:space="preserve"> су благовремено реализоване</w:t>
      </w:r>
      <w:r w:rsidR="00FF2B7D" w:rsidRPr="00B3123E">
        <w:rPr>
          <w:rFonts w:ascii="Times New Roman" w:hAnsi="Times New Roman" w:cs="Times New Roman"/>
          <w:szCs w:val="24"/>
          <w:lang w:val="sr-Cyrl-RS"/>
        </w:rPr>
        <w:t>,</w:t>
      </w:r>
      <w:r w:rsidR="00F243AA" w:rsidRPr="00B3123E">
        <w:rPr>
          <w:rFonts w:ascii="Times New Roman" w:hAnsi="Times New Roman" w:cs="Times New Roman"/>
          <w:szCs w:val="24"/>
          <w:lang w:val="sr-Cyrl-RS"/>
        </w:rPr>
        <w:t xml:space="preserve"> и с тим у вези</w:t>
      </w:r>
      <w:r w:rsidR="00FF2B7D" w:rsidRPr="00B3123E">
        <w:rPr>
          <w:rFonts w:ascii="Times New Roman" w:hAnsi="Times New Roman" w:cs="Times New Roman"/>
          <w:szCs w:val="24"/>
          <w:lang w:val="sr-Cyrl-RS"/>
        </w:rPr>
        <w:t>,</w:t>
      </w:r>
      <w:r w:rsidR="00F243AA" w:rsidRPr="00B3123E">
        <w:rPr>
          <w:rFonts w:ascii="Times New Roman" w:hAnsi="Times New Roman" w:cs="Times New Roman"/>
          <w:szCs w:val="24"/>
          <w:lang w:val="sr-Cyrl-RS"/>
        </w:rPr>
        <w:t xml:space="preserve"> </w:t>
      </w:r>
      <w:r w:rsidR="00F825DB" w:rsidRPr="00B3123E">
        <w:rPr>
          <w:rFonts w:ascii="Times New Roman" w:hAnsi="Times New Roman" w:cs="Times New Roman"/>
          <w:szCs w:val="24"/>
          <w:lang w:val="sr-Cyrl-RS"/>
        </w:rPr>
        <w:t>сачињавали су се годишњи извештаји о реализацији Стратегије са Акционим планом за њено спровођење и сви извештаји су</w:t>
      </w:r>
      <w:r w:rsidR="0048740D" w:rsidRPr="00B3123E">
        <w:rPr>
          <w:rFonts w:ascii="Times New Roman" w:hAnsi="Times New Roman" w:cs="Times New Roman"/>
          <w:szCs w:val="24"/>
          <w:lang w:val="sr-Cyrl-RS"/>
        </w:rPr>
        <w:t xml:space="preserve"> редовно објављивани</w:t>
      </w:r>
      <w:r w:rsidR="00F825DB" w:rsidRPr="00B3123E">
        <w:rPr>
          <w:rFonts w:ascii="Times New Roman" w:hAnsi="Times New Roman" w:cs="Times New Roman"/>
          <w:szCs w:val="24"/>
          <w:lang w:val="sr-Cyrl-RS"/>
        </w:rPr>
        <w:t xml:space="preserve"> на интернет страници Министарства информисања и телекомуникација</w:t>
      </w:r>
      <w:r w:rsidR="002E4C85" w:rsidRPr="00B3123E">
        <w:rPr>
          <w:rFonts w:ascii="Times New Roman" w:hAnsi="Times New Roman" w:cs="Times New Roman"/>
          <w:szCs w:val="24"/>
          <w:lang w:val="sr-Cyrl-RS"/>
        </w:rPr>
        <w:t xml:space="preserve"> (у даљем тексту</w:t>
      </w:r>
      <w:r w:rsidR="00F972B3" w:rsidRPr="00B3123E">
        <w:rPr>
          <w:rFonts w:ascii="Times New Roman" w:hAnsi="Times New Roman" w:cs="Times New Roman"/>
          <w:szCs w:val="24"/>
          <w:lang w:val="sr-Cyrl-RS"/>
        </w:rPr>
        <w:t>:</w:t>
      </w:r>
      <w:r w:rsidR="002E4C85" w:rsidRPr="00B3123E">
        <w:rPr>
          <w:rFonts w:ascii="Times New Roman" w:hAnsi="Times New Roman" w:cs="Times New Roman"/>
          <w:szCs w:val="24"/>
          <w:lang w:val="sr-Cyrl-RS"/>
        </w:rPr>
        <w:t xml:space="preserve"> Министарство)</w:t>
      </w:r>
      <w:r w:rsidR="00F825DB" w:rsidRPr="00B3123E">
        <w:rPr>
          <w:rFonts w:ascii="Times New Roman" w:hAnsi="Times New Roman" w:cs="Times New Roman"/>
          <w:szCs w:val="24"/>
          <w:lang w:val="sr-Cyrl-RS"/>
        </w:rPr>
        <w:t>.</w:t>
      </w:r>
    </w:p>
    <w:p w14:paraId="7D012389" w14:textId="6436DC39" w:rsidR="0099543B"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99543B" w:rsidRPr="00B3123E">
        <w:rPr>
          <w:rFonts w:ascii="Times New Roman" w:hAnsi="Times New Roman" w:cs="Times New Roman"/>
          <w:szCs w:val="24"/>
          <w:lang w:val="sr-Cyrl-RS"/>
        </w:rPr>
        <w:t xml:space="preserve">Министарство је формирало Радну групу за израду </w:t>
      </w:r>
      <w:r w:rsidR="00FF2B7D" w:rsidRPr="00B3123E">
        <w:rPr>
          <w:rFonts w:ascii="Times New Roman" w:hAnsi="Times New Roman" w:cs="Times New Roman"/>
          <w:szCs w:val="24"/>
          <w:lang w:val="sr-Cyrl-RS"/>
        </w:rPr>
        <w:t xml:space="preserve">овог </w:t>
      </w:r>
      <w:r w:rsidR="0099543B" w:rsidRPr="00B3123E">
        <w:rPr>
          <w:rFonts w:ascii="Times New Roman" w:hAnsi="Times New Roman" w:cs="Times New Roman"/>
          <w:szCs w:val="24"/>
          <w:lang w:val="sr-Cyrl-RS"/>
        </w:rPr>
        <w:t xml:space="preserve">програма, коју су чинили представници Министарства, Регулаторног тела за електронске комуникације и поштанске услуге </w:t>
      </w:r>
      <w:r w:rsidR="00810828" w:rsidRPr="00B3123E">
        <w:rPr>
          <w:rFonts w:ascii="Times New Roman" w:hAnsi="Times New Roman" w:cs="Times New Roman"/>
          <w:szCs w:val="24"/>
          <w:lang w:val="sr-Cyrl-RS"/>
        </w:rPr>
        <w:t>–</w:t>
      </w:r>
      <w:r w:rsidR="0099543B" w:rsidRPr="00B3123E">
        <w:rPr>
          <w:rFonts w:ascii="Times New Roman" w:hAnsi="Times New Roman" w:cs="Times New Roman"/>
          <w:szCs w:val="24"/>
          <w:lang w:val="sr-Cyrl-RS"/>
        </w:rPr>
        <w:t xml:space="preserve"> РАТЕЛ (у даљем тексту: Регулатор), Привредне коморе Србије (у даљем тексту: ПКС), јавног поштанског оператора (</w:t>
      </w:r>
      <w:r w:rsidR="00862002" w:rsidRPr="00B3123E">
        <w:rPr>
          <w:rFonts w:ascii="Times New Roman" w:hAnsi="Times New Roman" w:cs="Times New Roman"/>
          <w:lang w:val="sr-Cyrl-RS"/>
        </w:rPr>
        <w:t>„</w:t>
      </w:r>
      <w:r w:rsidR="00B90A3D" w:rsidRPr="00B3123E">
        <w:rPr>
          <w:rFonts w:ascii="Times New Roman" w:hAnsi="Times New Roman" w:cs="Times New Roman"/>
          <w:szCs w:val="24"/>
          <w:lang w:val="sr-Cyrl-RS"/>
        </w:rPr>
        <w:t>Пошта Србије”</w:t>
      </w:r>
      <w:r w:rsidR="00810828" w:rsidRPr="00B3123E">
        <w:rPr>
          <w:rFonts w:ascii="Times New Roman" w:hAnsi="Times New Roman" w:cs="Times New Roman"/>
          <w:szCs w:val="24"/>
          <w:lang w:val="sr-Cyrl-RS"/>
        </w:rPr>
        <w:t xml:space="preserve"> </w:t>
      </w:r>
      <w:r w:rsidR="00451CD2" w:rsidRPr="00B3123E">
        <w:rPr>
          <w:rFonts w:ascii="Times New Roman" w:hAnsi="Times New Roman" w:cs="Times New Roman"/>
          <w:szCs w:val="24"/>
          <w:lang w:val="sr-Cyrl-RS"/>
        </w:rPr>
        <w:t>д.о.о.</w:t>
      </w:r>
      <w:r w:rsidR="00400B79" w:rsidRPr="00B3123E">
        <w:rPr>
          <w:rFonts w:ascii="Times New Roman" w:hAnsi="Times New Roman" w:cs="Times New Roman"/>
          <w:szCs w:val="24"/>
          <w:lang w:val="sr-Cyrl-RS"/>
        </w:rPr>
        <w:t xml:space="preserve"> </w:t>
      </w:r>
      <w:r w:rsidR="00810828" w:rsidRPr="00B3123E">
        <w:rPr>
          <w:rFonts w:ascii="Times New Roman" w:hAnsi="Times New Roman" w:cs="Times New Roman"/>
          <w:szCs w:val="24"/>
          <w:lang w:val="sr-Cyrl-RS"/>
        </w:rPr>
        <w:t>–</w:t>
      </w:r>
      <w:r w:rsidR="002E05F0" w:rsidRPr="00B3123E">
        <w:rPr>
          <w:rFonts w:ascii="Times New Roman" w:hAnsi="Times New Roman" w:cs="Times New Roman"/>
          <w:szCs w:val="24"/>
          <w:lang w:val="sr-Cyrl-RS"/>
        </w:rPr>
        <w:t xml:space="preserve"> </w:t>
      </w:r>
      <w:r w:rsidR="0099543B" w:rsidRPr="00B3123E">
        <w:rPr>
          <w:rFonts w:ascii="Times New Roman" w:hAnsi="Times New Roman" w:cs="Times New Roman"/>
          <w:szCs w:val="24"/>
          <w:lang w:val="sr-Cyrl-RS"/>
        </w:rPr>
        <w:t xml:space="preserve">у даљем тексту: ЈПО), као и представници универзитета у области поштанског саобраћаја. </w:t>
      </w:r>
    </w:p>
    <w:p w14:paraId="272ED2BD" w14:textId="59E9AC09" w:rsidR="0099543B"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         </w:t>
      </w:r>
      <w:r w:rsidR="0099543B" w:rsidRPr="00B3123E">
        <w:rPr>
          <w:rFonts w:ascii="Times New Roman" w:hAnsi="Times New Roman" w:cs="Times New Roman"/>
          <w:szCs w:val="24"/>
          <w:lang w:val="sr-Cyrl-RS"/>
        </w:rPr>
        <w:t xml:space="preserve">Ова радна група је започела рад на новом планском документу </w:t>
      </w:r>
      <w:r w:rsidR="00E17BFD" w:rsidRPr="00B3123E">
        <w:rPr>
          <w:rFonts w:ascii="Times New Roman" w:hAnsi="Times New Roman" w:cs="Times New Roman"/>
          <w:szCs w:val="24"/>
          <w:lang w:val="sr-Cyrl-RS"/>
        </w:rPr>
        <w:t xml:space="preserve">у сврху </w:t>
      </w:r>
      <w:r w:rsidR="0099543B" w:rsidRPr="00B3123E">
        <w:rPr>
          <w:rFonts w:ascii="Times New Roman" w:hAnsi="Times New Roman" w:cs="Times New Roman"/>
          <w:szCs w:val="24"/>
          <w:lang w:val="sr-Cyrl-RS"/>
        </w:rPr>
        <w:t>унапређењ</w:t>
      </w:r>
      <w:r w:rsidR="00863A9C" w:rsidRPr="00B3123E">
        <w:rPr>
          <w:rFonts w:ascii="Times New Roman" w:hAnsi="Times New Roman" w:cs="Times New Roman"/>
          <w:szCs w:val="24"/>
          <w:lang w:val="sr-Cyrl-RS"/>
        </w:rPr>
        <w:t>a</w:t>
      </w:r>
      <w:r w:rsidR="0099543B" w:rsidRPr="00B3123E">
        <w:rPr>
          <w:rFonts w:ascii="Times New Roman" w:hAnsi="Times New Roman" w:cs="Times New Roman"/>
          <w:szCs w:val="24"/>
          <w:lang w:val="sr-Cyrl-RS"/>
        </w:rPr>
        <w:t xml:space="preserve"> поштанског тржишта у </w:t>
      </w:r>
      <w:r w:rsidR="00863A9C" w:rsidRPr="00B3123E">
        <w:rPr>
          <w:rFonts w:ascii="Times New Roman" w:hAnsi="Times New Roman" w:cs="Times New Roman"/>
          <w:szCs w:val="24"/>
          <w:lang w:val="sr-Cyrl-RS"/>
        </w:rPr>
        <w:t xml:space="preserve">Републици </w:t>
      </w:r>
      <w:r w:rsidR="0099543B" w:rsidRPr="00B3123E">
        <w:rPr>
          <w:rFonts w:ascii="Times New Roman" w:hAnsi="Times New Roman" w:cs="Times New Roman"/>
          <w:szCs w:val="24"/>
          <w:lang w:val="sr-Cyrl-RS"/>
        </w:rPr>
        <w:t xml:space="preserve">Србији. У оквиру овог процеса, одржан је низ састанака стручњака за поштанске услуге и представника </w:t>
      </w:r>
      <w:r w:rsidR="00662621" w:rsidRPr="00B3123E">
        <w:rPr>
          <w:rFonts w:ascii="Times New Roman" w:hAnsi="Times New Roman" w:cs="Times New Roman"/>
          <w:szCs w:val="24"/>
          <w:lang w:val="sr-Cyrl-RS"/>
        </w:rPr>
        <w:t>М</w:t>
      </w:r>
      <w:r w:rsidR="0099543B" w:rsidRPr="00B3123E">
        <w:rPr>
          <w:rFonts w:ascii="Times New Roman" w:hAnsi="Times New Roman" w:cs="Times New Roman"/>
          <w:szCs w:val="24"/>
          <w:lang w:val="sr-Cyrl-RS"/>
        </w:rPr>
        <w:t xml:space="preserve">инистарства, </w:t>
      </w:r>
      <w:r w:rsidR="00863A9C" w:rsidRPr="00B3123E">
        <w:rPr>
          <w:rFonts w:ascii="Times New Roman" w:hAnsi="Times New Roman" w:cs="Times New Roman"/>
          <w:szCs w:val="24"/>
          <w:lang w:val="sr-Cyrl-RS"/>
        </w:rPr>
        <w:t>Регулатора</w:t>
      </w:r>
      <w:r w:rsidR="0099543B" w:rsidRPr="00B3123E">
        <w:rPr>
          <w:rFonts w:ascii="Times New Roman" w:hAnsi="Times New Roman" w:cs="Times New Roman"/>
          <w:szCs w:val="24"/>
          <w:lang w:val="sr-Cyrl-RS"/>
        </w:rPr>
        <w:t xml:space="preserve">, </w:t>
      </w:r>
      <w:r w:rsidR="00863A9C" w:rsidRPr="00B3123E">
        <w:rPr>
          <w:rFonts w:ascii="Times New Roman" w:hAnsi="Times New Roman" w:cs="Times New Roman"/>
          <w:szCs w:val="24"/>
          <w:lang w:val="sr-Cyrl-RS"/>
        </w:rPr>
        <w:t>ЈПО</w:t>
      </w:r>
      <w:r w:rsidR="0099543B" w:rsidRPr="00B3123E">
        <w:rPr>
          <w:rFonts w:ascii="Times New Roman" w:hAnsi="Times New Roman" w:cs="Times New Roman"/>
          <w:szCs w:val="24"/>
          <w:lang w:val="sr-Cyrl-RS"/>
        </w:rPr>
        <w:t xml:space="preserve"> и академске заједнице. Циљ ових састанака била је размена </w:t>
      </w:r>
      <w:r w:rsidR="002716AA" w:rsidRPr="00B3123E">
        <w:rPr>
          <w:rFonts w:ascii="Times New Roman" w:hAnsi="Times New Roman" w:cs="Times New Roman"/>
          <w:szCs w:val="24"/>
          <w:lang w:val="sr-Cyrl-RS"/>
        </w:rPr>
        <w:t xml:space="preserve">знања и стечених искустава, као и </w:t>
      </w:r>
      <w:r w:rsidR="0099543B" w:rsidRPr="00B3123E">
        <w:rPr>
          <w:rFonts w:ascii="Times New Roman" w:hAnsi="Times New Roman" w:cs="Times New Roman"/>
          <w:szCs w:val="24"/>
          <w:lang w:val="sr-Cyrl-RS"/>
        </w:rPr>
        <w:t xml:space="preserve">предлога и сугестија како би се припремио усаглашен коначни текст </w:t>
      </w:r>
      <w:r w:rsidR="00FF2B7D" w:rsidRPr="00B3123E">
        <w:rPr>
          <w:rFonts w:ascii="Times New Roman" w:hAnsi="Times New Roman" w:cs="Times New Roman"/>
          <w:szCs w:val="24"/>
          <w:lang w:val="sr-Cyrl-RS"/>
        </w:rPr>
        <w:t xml:space="preserve">Програма </w:t>
      </w:r>
      <w:r w:rsidR="0099543B" w:rsidRPr="00B3123E">
        <w:rPr>
          <w:rFonts w:ascii="Times New Roman" w:hAnsi="Times New Roman" w:cs="Times New Roman"/>
          <w:szCs w:val="24"/>
          <w:lang w:val="sr-Cyrl-RS"/>
        </w:rPr>
        <w:t>и Акционог плана за његово спровођење.</w:t>
      </w:r>
    </w:p>
    <w:p w14:paraId="7F67FD62" w14:textId="4174F658" w:rsidR="0027168F"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27168F" w:rsidRPr="00B3123E">
        <w:rPr>
          <w:rFonts w:ascii="Times New Roman" w:hAnsi="Times New Roman" w:cs="Times New Roman"/>
          <w:szCs w:val="24"/>
          <w:lang w:val="sr-Cyrl-RS"/>
        </w:rPr>
        <w:t>Такође</w:t>
      </w:r>
      <w:r w:rsidR="00227673" w:rsidRPr="00B3123E">
        <w:rPr>
          <w:rFonts w:ascii="Times New Roman" w:hAnsi="Times New Roman" w:cs="Times New Roman"/>
          <w:szCs w:val="24"/>
          <w:lang w:val="sr-Cyrl-RS"/>
        </w:rPr>
        <w:t>,</w:t>
      </w:r>
      <w:r w:rsidR="0027168F" w:rsidRPr="00B3123E">
        <w:rPr>
          <w:rFonts w:ascii="Times New Roman" w:hAnsi="Times New Roman" w:cs="Times New Roman"/>
          <w:szCs w:val="24"/>
          <w:lang w:val="sr-Cyrl-RS"/>
        </w:rPr>
        <w:t xml:space="preserve"> у изради </w:t>
      </w:r>
      <w:r w:rsidR="001C5645" w:rsidRPr="00B3123E">
        <w:rPr>
          <w:rFonts w:ascii="Times New Roman" w:hAnsi="Times New Roman" w:cs="Times New Roman"/>
          <w:szCs w:val="24"/>
          <w:lang w:val="sr-Cyrl-RS"/>
        </w:rPr>
        <w:t>Програма</w:t>
      </w:r>
      <w:r w:rsidR="00863A9C" w:rsidRPr="00B3123E">
        <w:rPr>
          <w:rFonts w:ascii="Times New Roman" w:hAnsi="Times New Roman" w:cs="Times New Roman"/>
          <w:szCs w:val="24"/>
          <w:lang w:val="sr-Cyrl-RS"/>
        </w:rPr>
        <w:t xml:space="preserve"> </w:t>
      </w:r>
      <w:r w:rsidR="009D7F8E" w:rsidRPr="00B3123E">
        <w:rPr>
          <w:rFonts w:ascii="Times New Roman" w:hAnsi="Times New Roman" w:cs="Times New Roman"/>
          <w:szCs w:val="24"/>
          <w:lang w:val="sr-Cyrl-RS"/>
        </w:rPr>
        <w:t>обезбеђена је стручна помоћ експерта</w:t>
      </w:r>
      <w:r w:rsidR="00EA719E" w:rsidRPr="00B3123E">
        <w:rPr>
          <w:rFonts w:ascii="Times New Roman" w:hAnsi="Times New Roman" w:cs="Times New Roman"/>
          <w:szCs w:val="24"/>
          <w:lang w:val="sr-Cyrl-RS"/>
        </w:rPr>
        <w:t xml:space="preserve"> Европске уније </w:t>
      </w:r>
      <w:r w:rsidR="009D7F8E" w:rsidRPr="00B3123E">
        <w:rPr>
          <w:rFonts w:ascii="Times New Roman" w:hAnsi="Times New Roman" w:cs="Times New Roman"/>
          <w:szCs w:val="24"/>
          <w:lang w:val="sr-Cyrl-RS"/>
        </w:rPr>
        <w:t>поштанских услуга</w:t>
      </w:r>
      <w:r w:rsidR="003D3B2D" w:rsidRPr="00B3123E">
        <w:rPr>
          <w:rFonts w:ascii="Times New Roman" w:hAnsi="Times New Roman" w:cs="Times New Roman"/>
          <w:szCs w:val="24"/>
          <w:lang w:val="sr-Cyrl-RS"/>
        </w:rPr>
        <w:t xml:space="preserve"> </w:t>
      </w:r>
      <w:r w:rsidR="00066544" w:rsidRPr="00B3123E">
        <w:rPr>
          <w:rFonts w:ascii="Times New Roman" w:hAnsi="Times New Roman" w:cs="Times New Roman"/>
          <w:szCs w:val="24"/>
          <w:lang w:val="sr-Cyrl-RS"/>
        </w:rPr>
        <w:t>преко</w:t>
      </w:r>
      <w:r w:rsidR="003D3B2D" w:rsidRPr="00B3123E">
        <w:rPr>
          <w:rFonts w:ascii="Times New Roman" w:hAnsi="Times New Roman" w:cs="Times New Roman"/>
          <w:szCs w:val="24"/>
          <w:lang w:val="sr-Cyrl-RS"/>
        </w:rPr>
        <w:t xml:space="preserve"> </w:t>
      </w:r>
      <w:r w:rsidR="00EE5109" w:rsidRPr="00B3123E">
        <w:rPr>
          <w:rFonts w:ascii="Times New Roman" w:hAnsi="Times New Roman" w:cs="Times New Roman"/>
          <w:szCs w:val="24"/>
          <w:lang w:val="sr-Cyrl-RS"/>
        </w:rPr>
        <w:t xml:space="preserve">PLAC </w:t>
      </w:r>
      <w:r w:rsidR="009D7F8E" w:rsidRPr="00B3123E">
        <w:rPr>
          <w:rFonts w:ascii="Times New Roman" w:hAnsi="Times New Roman" w:cs="Times New Roman"/>
          <w:szCs w:val="24"/>
          <w:lang w:val="sr-Cyrl-RS"/>
        </w:rPr>
        <w:t>4</w:t>
      </w:r>
      <w:r w:rsidR="00EE5109" w:rsidRPr="00B3123E">
        <w:rPr>
          <w:rFonts w:ascii="Times New Roman" w:hAnsi="Times New Roman" w:cs="Times New Roman"/>
          <w:szCs w:val="24"/>
          <w:lang w:val="sr-Cyrl-RS"/>
        </w:rPr>
        <w:t xml:space="preserve"> пројекта (Policy&amp;LegalAdvice Center), којим се у оквиру Поглавља 3 </w:t>
      </w:r>
      <w:r w:rsidR="00F972B3" w:rsidRPr="00B3123E">
        <w:rPr>
          <w:rFonts w:ascii="Times New Roman" w:hAnsi="Times New Roman" w:cs="Times New Roman"/>
          <w:lang w:val="sr-Cyrl-RS"/>
        </w:rPr>
        <w:t>„</w:t>
      </w:r>
      <w:r w:rsidR="00EE5109" w:rsidRPr="00B3123E">
        <w:rPr>
          <w:rFonts w:ascii="Times New Roman" w:hAnsi="Times New Roman" w:cs="Times New Roman"/>
          <w:szCs w:val="24"/>
          <w:lang w:val="sr-Cyrl-RS"/>
        </w:rPr>
        <w:t>Право пословног настањивања и слобода пружања услуга</w:t>
      </w:r>
      <w:r w:rsidR="00F972B3" w:rsidRPr="00B3123E">
        <w:rPr>
          <w:rFonts w:ascii="Times New Roman" w:hAnsi="Times New Roman" w:cs="Times New Roman"/>
          <w:szCs w:val="24"/>
          <w:lang w:val="sr-Cyrl-RS"/>
        </w:rPr>
        <w:t>”</w:t>
      </w:r>
      <w:r w:rsidR="004104C1" w:rsidRPr="00B3123E">
        <w:rPr>
          <w:rFonts w:ascii="Times New Roman" w:hAnsi="Times New Roman" w:cs="Times New Roman"/>
          <w:szCs w:val="24"/>
          <w:lang w:val="sr-Cyrl-RS"/>
        </w:rPr>
        <w:t xml:space="preserve"> </w:t>
      </w:r>
      <w:r w:rsidR="00EE5109" w:rsidRPr="00B3123E">
        <w:rPr>
          <w:rFonts w:ascii="Times New Roman" w:hAnsi="Times New Roman" w:cs="Times New Roman"/>
          <w:szCs w:val="24"/>
          <w:lang w:val="sr-Cyrl-RS"/>
        </w:rPr>
        <w:t xml:space="preserve">пружа помоћ у сачињавању националне поштанске регулативе, у циљу усклађивања исте са поштанским директивама </w:t>
      </w:r>
      <w:r w:rsidR="00F972B3" w:rsidRPr="00B3123E">
        <w:rPr>
          <w:rFonts w:ascii="Times New Roman" w:hAnsi="Times New Roman" w:cs="Times New Roman"/>
          <w:szCs w:val="24"/>
          <w:lang w:val="sr-Cyrl-RS"/>
        </w:rPr>
        <w:t>Европске уније (у даљем тексту: ЕУ)</w:t>
      </w:r>
      <w:r w:rsidR="00EE5109" w:rsidRPr="00B3123E">
        <w:rPr>
          <w:rFonts w:ascii="Times New Roman" w:hAnsi="Times New Roman" w:cs="Times New Roman"/>
          <w:szCs w:val="24"/>
          <w:lang w:val="sr-Cyrl-RS"/>
        </w:rPr>
        <w:t>.</w:t>
      </w:r>
    </w:p>
    <w:p w14:paraId="792CCB53" w14:textId="21792FE8" w:rsidR="006B5C93" w:rsidRPr="00B3123E" w:rsidRDefault="001E4F9A" w:rsidP="006B5C93">
      <w:pPr>
        <w:tabs>
          <w:tab w:val="left" w:pos="1134"/>
          <w:tab w:val="left" w:pos="1440"/>
          <w:tab w:val="left" w:pos="2127"/>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6B5C93" w:rsidRPr="00B3123E">
        <w:rPr>
          <w:rFonts w:ascii="Times New Roman" w:hAnsi="Times New Roman" w:cs="Times New Roman"/>
          <w:szCs w:val="24"/>
          <w:lang w:val="sr-Cyrl-RS"/>
        </w:rPr>
        <w:t xml:space="preserve">Министарство је 2. јуна 2025. године на </w:t>
      </w:r>
      <w:r w:rsidR="00C323EF" w:rsidRPr="00B3123E">
        <w:rPr>
          <w:rFonts w:ascii="Times New Roman" w:hAnsi="Times New Roman" w:cs="Times New Roman"/>
          <w:szCs w:val="24"/>
          <w:lang w:val="sr-Cyrl-RS"/>
        </w:rPr>
        <w:t>Порталу</w:t>
      </w:r>
      <w:r w:rsidR="006B5C93" w:rsidRPr="00B3123E">
        <w:rPr>
          <w:rFonts w:ascii="Times New Roman" w:hAnsi="Times New Roman" w:cs="Times New Roman"/>
          <w:szCs w:val="24"/>
          <w:lang w:val="sr-Cyrl-RS"/>
        </w:rPr>
        <w:t xml:space="preserve"> </w:t>
      </w:r>
      <w:r w:rsidR="00F972B3" w:rsidRPr="00B3123E">
        <w:rPr>
          <w:rFonts w:ascii="Times New Roman" w:hAnsi="Times New Roman" w:cs="Times New Roman"/>
          <w:lang w:val="sr-Cyrl-RS"/>
        </w:rPr>
        <w:t>„</w:t>
      </w:r>
      <w:r w:rsidR="006B5C93" w:rsidRPr="00B3123E">
        <w:rPr>
          <w:rFonts w:ascii="Times New Roman" w:hAnsi="Times New Roman" w:cs="Times New Roman"/>
          <w:szCs w:val="24"/>
          <w:lang w:val="sr-Cyrl-RS"/>
        </w:rPr>
        <w:t>е</w:t>
      </w:r>
      <w:r w:rsidR="00F972B3" w:rsidRPr="00B3123E">
        <w:rPr>
          <w:rFonts w:ascii="Times New Roman" w:hAnsi="Times New Roman" w:cs="Times New Roman"/>
          <w:szCs w:val="24"/>
          <w:lang w:val="sr-Cyrl-RS"/>
        </w:rPr>
        <w:t>-</w:t>
      </w:r>
      <w:r w:rsidR="006B5C93" w:rsidRPr="00B3123E">
        <w:rPr>
          <w:rFonts w:ascii="Times New Roman" w:hAnsi="Times New Roman" w:cs="Times New Roman"/>
          <w:szCs w:val="24"/>
          <w:lang w:val="sr-Cyrl-RS"/>
        </w:rPr>
        <w:t>Консултације</w:t>
      </w:r>
      <w:r w:rsidR="00F972B3" w:rsidRPr="00B3123E">
        <w:rPr>
          <w:rFonts w:ascii="Times New Roman" w:hAnsi="Times New Roman" w:cs="Times New Roman"/>
          <w:szCs w:val="24"/>
          <w:lang w:val="sr-Cyrl-RS"/>
        </w:rPr>
        <w:t>”</w:t>
      </w:r>
      <w:r w:rsidR="006B5C93" w:rsidRPr="00B3123E">
        <w:rPr>
          <w:rFonts w:ascii="Times New Roman" w:hAnsi="Times New Roman" w:cs="Times New Roman"/>
          <w:szCs w:val="24"/>
          <w:lang w:val="sr-Cyrl-RS"/>
        </w:rPr>
        <w:t xml:space="preserve"> објавило почетак израде</w:t>
      </w:r>
      <w:r w:rsidR="00B47EB4" w:rsidRPr="00B3123E">
        <w:rPr>
          <w:rFonts w:ascii="Times New Roman" w:hAnsi="Times New Roman" w:cs="Times New Roman"/>
          <w:szCs w:val="24"/>
          <w:lang w:val="sr-Cyrl-RS"/>
        </w:rPr>
        <w:t xml:space="preserve"> </w:t>
      </w:r>
      <w:r w:rsidR="00FF2B7D" w:rsidRPr="00B3123E">
        <w:rPr>
          <w:rFonts w:ascii="Times New Roman" w:hAnsi="Times New Roman" w:cs="Times New Roman"/>
          <w:szCs w:val="24"/>
          <w:lang w:val="sr-Cyrl-RS"/>
        </w:rPr>
        <w:t>овог програма</w:t>
      </w:r>
      <w:r w:rsidR="006B5C93" w:rsidRPr="00B3123E">
        <w:rPr>
          <w:rFonts w:ascii="Times New Roman" w:hAnsi="Times New Roman" w:cs="Times New Roman"/>
          <w:szCs w:val="24"/>
          <w:lang w:val="sr-Cyrl-RS"/>
        </w:rPr>
        <w:t xml:space="preserve">. </w:t>
      </w:r>
      <w:r w:rsidR="00FF2B7D" w:rsidRPr="00B3123E">
        <w:rPr>
          <w:rFonts w:ascii="Times New Roman" w:hAnsi="Times New Roman" w:cs="Times New Roman"/>
          <w:szCs w:val="24"/>
          <w:lang w:val="sr-Cyrl-RS"/>
        </w:rPr>
        <w:t>Програм</w:t>
      </w:r>
      <w:r w:rsidR="006B5C93" w:rsidRPr="00B3123E">
        <w:rPr>
          <w:rFonts w:ascii="Times New Roman" w:hAnsi="Times New Roman" w:cs="Times New Roman"/>
          <w:szCs w:val="24"/>
          <w:lang w:val="sr-Cyrl-RS"/>
        </w:rPr>
        <w:t xml:space="preserve">, заједно са </w:t>
      </w:r>
      <w:r w:rsidR="00FF2B7D" w:rsidRPr="00B3123E">
        <w:rPr>
          <w:rFonts w:ascii="Times New Roman" w:hAnsi="Times New Roman" w:cs="Times New Roman"/>
          <w:szCs w:val="24"/>
          <w:lang w:val="sr-Cyrl-RS"/>
        </w:rPr>
        <w:t xml:space="preserve">Акционим </w:t>
      </w:r>
      <w:r w:rsidR="006B5C93" w:rsidRPr="00B3123E">
        <w:rPr>
          <w:rFonts w:ascii="Times New Roman" w:hAnsi="Times New Roman" w:cs="Times New Roman"/>
          <w:szCs w:val="24"/>
          <w:lang w:val="sr-Cyrl-RS"/>
        </w:rPr>
        <w:t>план</w:t>
      </w:r>
      <w:r w:rsidR="00B47EB4" w:rsidRPr="00B3123E">
        <w:rPr>
          <w:rFonts w:ascii="Times New Roman" w:hAnsi="Times New Roman" w:cs="Times New Roman"/>
          <w:szCs w:val="24"/>
          <w:lang w:val="sr-Cyrl-RS"/>
        </w:rPr>
        <w:t>ом</w:t>
      </w:r>
      <w:r w:rsidR="006B5C93" w:rsidRPr="00B3123E">
        <w:rPr>
          <w:rFonts w:ascii="Times New Roman" w:hAnsi="Times New Roman" w:cs="Times New Roman"/>
          <w:szCs w:val="24"/>
          <w:lang w:val="sr-Cyrl-RS"/>
        </w:rPr>
        <w:t xml:space="preserve"> за његово спровођење, </w:t>
      </w:r>
      <w:r w:rsidR="00D01CA5" w:rsidRPr="00B3123E">
        <w:rPr>
          <w:rFonts w:ascii="Times New Roman" w:hAnsi="Times New Roman" w:cs="Times New Roman"/>
          <w:szCs w:val="24"/>
          <w:lang w:val="sr-Cyrl-RS"/>
        </w:rPr>
        <w:t>би</w:t>
      </w:r>
      <w:r w:rsidR="00C323EF" w:rsidRPr="00B3123E">
        <w:rPr>
          <w:rFonts w:ascii="Times New Roman" w:hAnsi="Times New Roman" w:cs="Times New Roman"/>
          <w:szCs w:val="24"/>
          <w:lang w:val="sr-Cyrl-RS"/>
        </w:rPr>
        <w:t>ли су доступ</w:t>
      </w:r>
      <w:r w:rsidR="006B5C93" w:rsidRPr="00B3123E">
        <w:rPr>
          <w:rFonts w:ascii="Times New Roman" w:hAnsi="Times New Roman" w:cs="Times New Roman"/>
          <w:szCs w:val="24"/>
          <w:lang w:val="sr-Cyrl-RS"/>
        </w:rPr>
        <w:t>н</w:t>
      </w:r>
      <w:r w:rsidR="00C323EF" w:rsidRPr="00B3123E">
        <w:rPr>
          <w:rFonts w:ascii="Times New Roman" w:hAnsi="Times New Roman" w:cs="Times New Roman"/>
          <w:szCs w:val="24"/>
          <w:lang w:val="sr-Cyrl-RS"/>
        </w:rPr>
        <w:t>и</w:t>
      </w:r>
      <w:r w:rsidR="006B5C93" w:rsidRPr="00B3123E">
        <w:rPr>
          <w:rFonts w:ascii="Times New Roman" w:hAnsi="Times New Roman" w:cs="Times New Roman"/>
          <w:szCs w:val="24"/>
          <w:lang w:val="sr-Cyrl-RS"/>
        </w:rPr>
        <w:t xml:space="preserve"> заинтересованим странама ради достављања сугестија и коментара. </w:t>
      </w:r>
      <w:r w:rsidR="00831CF3" w:rsidRPr="00B3123E">
        <w:rPr>
          <w:rFonts w:ascii="Times New Roman" w:hAnsi="Times New Roman" w:cs="Times New Roman"/>
          <w:szCs w:val="24"/>
          <w:lang w:val="sr-Cyrl-RS"/>
        </w:rPr>
        <w:t>Предметна документа</w:t>
      </w:r>
      <w:r w:rsidR="006B5C93" w:rsidRPr="00B3123E">
        <w:rPr>
          <w:rFonts w:ascii="Times New Roman" w:hAnsi="Times New Roman" w:cs="Times New Roman"/>
          <w:szCs w:val="24"/>
          <w:lang w:val="sr-Cyrl-RS"/>
        </w:rPr>
        <w:t xml:space="preserve"> су такође послат</w:t>
      </w:r>
      <w:r w:rsidR="00831CF3" w:rsidRPr="00B3123E">
        <w:rPr>
          <w:rFonts w:ascii="Times New Roman" w:hAnsi="Times New Roman" w:cs="Times New Roman"/>
          <w:szCs w:val="24"/>
          <w:lang w:val="sr-Cyrl-RS"/>
        </w:rPr>
        <w:t>а</w:t>
      </w:r>
      <w:r w:rsidR="006B5C93" w:rsidRPr="00B3123E">
        <w:rPr>
          <w:rFonts w:ascii="Times New Roman" w:hAnsi="Times New Roman" w:cs="Times New Roman"/>
          <w:szCs w:val="24"/>
          <w:lang w:val="sr-Cyrl-RS"/>
        </w:rPr>
        <w:t xml:space="preserve"> путем електронске поште свим поштанским оператoрима</w:t>
      </w:r>
      <w:r w:rsidR="00831CF3" w:rsidRPr="00B3123E">
        <w:rPr>
          <w:rFonts w:ascii="Times New Roman" w:hAnsi="Times New Roman" w:cs="Times New Roman"/>
          <w:szCs w:val="24"/>
          <w:lang w:val="sr-Cyrl-RS"/>
        </w:rPr>
        <w:t xml:space="preserve"> са значајнијим учешћем на тржишту, ради разматрања ис</w:t>
      </w:r>
      <w:r w:rsidR="00C323EF" w:rsidRPr="00B3123E">
        <w:rPr>
          <w:rFonts w:ascii="Times New Roman" w:hAnsi="Times New Roman" w:cs="Times New Roman"/>
          <w:szCs w:val="24"/>
          <w:lang w:val="sr-Cyrl-RS"/>
        </w:rPr>
        <w:t>тих и ради достављања сугестија и</w:t>
      </w:r>
      <w:r w:rsidR="00831CF3" w:rsidRPr="00B3123E">
        <w:rPr>
          <w:rFonts w:ascii="Times New Roman" w:hAnsi="Times New Roman" w:cs="Times New Roman"/>
          <w:szCs w:val="24"/>
          <w:lang w:val="sr-Cyrl-RS"/>
        </w:rPr>
        <w:t xml:space="preserve"> примедби, као и предлога за унапређење овог програма.</w:t>
      </w:r>
    </w:p>
    <w:p w14:paraId="53709A9A" w14:textId="63004B00" w:rsidR="003F6184"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3F6184" w:rsidRPr="00B3123E">
        <w:rPr>
          <w:rFonts w:ascii="Times New Roman" w:hAnsi="Times New Roman" w:cs="Times New Roman"/>
          <w:szCs w:val="24"/>
          <w:lang w:val="sr-Cyrl-RS"/>
        </w:rPr>
        <w:t>Програм</w:t>
      </w:r>
      <w:r w:rsidR="00304250" w:rsidRPr="00B3123E">
        <w:rPr>
          <w:rFonts w:ascii="Times New Roman" w:hAnsi="Times New Roman" w:cs="Times New Roman"/>
          <w:szCs w:val="24"/>
          <w:lang w:val="sr-Cyrl-RS"/>
        </w:rPr>
        <w:t xml:space="preserve"> </w:t>
      </w:r>
      <w:r w:rsidR="003F6184" w:rsidRPr="00B3123E">
        <w:rPr>
          <w:rFonts w:ascii="Times New Roman" w:hAnsi="Times New Roman" w:cs="Times New Roman"/>
          <w:szCs w:val="24"/>
          <w:lang w:val="sr-Cyrl-RS"/>
        </w:rPr>
        <w:t xml:space="preserve">има за општи циљ да обезбеди потпуно прилагођавање поштанског тржишта растућим потребама друштва и привреде. Фокус је на подизању квалитета услуга, јачању тржишне конкурентности и усклађивању националног система са европским стандардима. </w:t>
      </w:r>
    </w:p>
    <w:p w14:paraId="544093C9" w14:textId="2CE3DA6E" w:rsidR="0055748E"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55748E" w:rsidRPr="00B3123E">
        <w:rPr>
          <w:rFonts w:ascii="Times New Roman" w:hAnsi="Times New Roman" w:cs="Times New Roman"/>
          <w:szCs w:val="24"/>
          <w:lang w:val="sr-Cyrl-RS"/>
        </w:rPr>
        <w:t xml:space="preserve">Предложена </w:t>
      </w:r>
      <w:r w:rsidR="00A211EC" w:rsidRPr="00B3123E">
        <w:rPr>
          <w:rFonts w:ascii="Times New Roman" w:hAnsi="Times New Roman" w:cs="Times New Roman"/>
          <w:szCs w:val="24"/>
          <w:lang w:val="sr-Cyrl-RS"/>
        </w:rPr>
        <w:t>програмска</w:t>
      </w:r>
      <w:r w:rsidR="0055748E" w:rsidRPr="00B3123E">
        <w:rPr>
          <w:rFonts w:ascii="Times New Roman" w:hAnsi="Times New Roman" w:cs="Times New Roman"/>
          <w:szCs w:val="24"/>
          <w:lang w:val="sr-Cyrl-RS"/>
        </w:rPr>
        <w:t xml:space="preserve"> решења, чија реализација ће допринети позитивним променама у области развоја </w:t>
      </w:r>
      <w:r w:rsidR="00A211EC" w:rsidRPr="00B3123E">
        <w:rPr>
          <w:rFonts w:ascii="Times New Roman" w:hAnsi="Times New Roman" w:cs="Times New Roman"/>
          <w:szCs w:val="24"/>
          <w:lang w:val="sr-Cyrl-RS"/>
        </w:rPr>
        <w:t>поштанске делатности</w:t>
      </w:r>
      <w:r w:rsidR="0055748E" w:rsidRPr="00B3123E">
        <w:rPr>
          <w:rFonts w:ascii="Times New Roman" w:hAnsi="Times New Roman" w:cs="Times New Roman"/>
          <w:szCs w:val="24"/>
          <w:lang w:val="sr-Cyrl-RS"/>
        </w:rPr>
        <w:t>, повољно ће утицати на следеће циљне групе:</w:t>
      </w:r>
      <w:r w:rsidR="000C216F" w:rsidRPr="00B3123E">
        <w:rPr>
          <w:lang w:val="sr-Cyrl-RS"/>
        </w:rPr>
        <w:t xml:space="preserve"> </w:t>
      </w:r>
      <w:r w:rsidR="000C216F" w:rsidRPr="00B3123E">
        <w:rPr>
          <w:rFonts w:ascii="Times New Roman" w:hAnsi="Times New Roman" w:cs="Times New Roman"/>
          <w:szCs w:val="24"/>
          <w:lang w:val="sr-Cyrl-RS"/>
        </w:rPr>
        <w:t>на кориснике поштанских услуга, поштанске опер</w:t>
      </w:r>
      <w:r w:rsidR="00C57AED" w:rsidRPr="00B3123E">
        <w:rPr>
          <w:rFonts w:ascii="Times New Roman" w:hAnsi="Times New Roman" w:cs="Times New Roman"/>
          <w:szCs w:val="24"/>
          <w:lang w:val="sr-Cyrl-RS"/>
        </w:rPr>
        <w:t>а</w:t>
      </w:r>
      <w:r w:rsidR="000C216F" w:rsidRPr="00B3123E">
        <w:rPr>
          <w:rFonts w:ascii="Times New Roman" w:hAnsi="Times New Roman" w:cs="Times New Roman"/>
          <w:szCs w:val="24"/>
          <w:lang w:val="sr-Cyrl-RS"/>
        </w:rPr>
        <w:t>т</w:t>
      </w:r>
      <w:r w:rsidR="00C57AED" w:rsidRPr="00B3123E">
        <w:rPr>
          <w:rFonts w:ascii="Times New Roman" w:hAnsi="Times New Roman" w:cs="Times New Roman"/>
          <w:szCs w:val="24"/>
          <w:lang w:val="sr-Cyrl-RS"/>
        </w:rPr>
        <w:t>о</w:t>
      </w:r>
      <w:r w:rsidR="000C216F" w:rsidRPr="00B3123E">
        <w:rPr>
          <w:rFonts w:ascii="Times New Roman" w:hAnsi="Times New Roman" w:cs="Times New Roman"/>
          <w:szCs w:val="24"/>
          <w:lang w:val="sr-Cyrl-RS"/>
        </w:rPr>
        <w:t>ре,  пословање свих привредних субјеката (</w:t>
      </w:r>
      <w:r w:rsidR="00A92A91" w:rsidRPr="00B3123E">
        <w:rPr>
          <w:rFonts w:ascii="Times New Roman" w:hAnsi="Times New Roman" w:cs="Times New Roman"/>
          <w:szCs w:val="24"/>
          <w:lang w:val="sr-Cyrl-RS"/>
        </w:rPr>
        <w:t>мала и средња предузећа</w:t>
      </w:r>
      <w:r w:rsidR="000C216F" w:rsidRPr="00B3123E">
        <w:rPr>
          <w:rFonts w:ascii="Times New Roman" w:hAnsi="Times New Roman" w:cs="Times New Roman"/>
          <w:szCs w:val="24"/>
          <w:lang w:val="sr-Cyrl-RS"/>
        </w:rPr>
        <w:t>, е-трговина</w:t>
      </w:r>
      <w:r w:rsidR="00A92A91" w:rsidRPr="00B3123E">
        <w:rPr>
          <w:rFonts w:ascii="Times New Roman" w:hAnsi="Times New Roman" w:cs="Times New Roman"/>
          <w:szCs w:val="24"/>
          <w:lang w:val="sr-Cyrl-RS"/>
        </w:rPr>
        <w:t xml:space="preserve"> и</w:t>
      </w:r>
      <w:r w:rsidR="000C216F" w:rsidRPr="00B3123E">
        <w:rPr>
          <w:rFonts w:ascii="Times New Roman" w:hAnsi="Times New Roman" w:cs="Times New Roman"/>
          <w:szCs w:val="24"/>
          <w:lang w:val="sr-Cyrl-RS"/>
        </w:rPr>
        <w:t xml:space="preserve"> логистика) и све грађане Републике Србије,</w:t>
      </w:r>
      <w:r w:rsidR="0055748E" w:rsidRPr="00B3123E">
        <w:rPr>
          <w:rFonts w:ascii="Times New Roman" w:hAnsi="Times New Roman" w:cs="Times New Roman"/>
          <w:szCs w:val="24"/>
          <w:lang w:val="sr-Cyrl-RS"/>
        </w:rPr>
        <w:t xml:space="preserve"> са јасним фокусом на унапређење доступности, већу примену нових дигиталних решења у процесима и токовима поштанског саобраћаја и потпуну усклађеност са модерним поштанским стандардима.</w:t>
      </w:r>
    </w:p>
    <w:p w14:paraId="20DEF4F8" w14:textId="2CAA2E31" w:rsidR="00AE4EB9" w:rsidRPr="00B3123E" w:rsidRDefault="000F4BDA" w:rsidP="0000025C">
      <w:pPr>
        <w:tabs>
          <w:tab w:val="left" w:pos="1440"/>
        </w:tabs>
        <w:spacing w:after="0"/>
        <w:rPr>
          <w:rFonts w:ascii="Times New Roman" w:hAnsi="Times New Roman" w:cs="Times New Roman"/>
          <w:szCs w:val="24"/>
          <w:lang w:val="sr-Cyrl-RS"/>
        </w:rPr>
      </w:pPr>
      <w:r w:rsidRPr="00B3123E">
        <w:rPr>
          <w:rFonts w:ascii="Times New Roman" w:hAnsi="Times New Roman" w:cs="Times New Roman"/>
          <w:szCs w:val="24"/>
          <w:lang w:val="sr-Cyrl-RS"/>
        </w:rPr>
        <w:tab/>
      </w:r>
    </w:p>
    <w:p w14:paraId="2468A46A" w14:textId="77777777" w:rsidR="0055226E" w:rsidRPr="00B3123E" w:rsidRDefault="00715156" w:rsidP="00AB6DCA">
      <w:pPr>
        <w:pStyle w:val="Heading1"/>
        <w:numPr>
          <w:ilvl w:val="0"/>
          <w:numId w:val="1"/>
        </w:numPr>
        <w:ind w:left="357" w:hanging="357"/>
        <w:jc w:val="center"/>
        <w:rPr>
          <w:rFonts w:ascii="Times New Roman" w:hAnsi="Times New Roman"/>
          <w:sz w:val="24"/>
          <w:lang w:val="sr-Cyrl-RS"/>
        </w:rPr>
      </w:pPr>
      <w:bookmarkStart w:id="4" w:name="_Toc211545968"/>
      <w:r w:rsidRPr="00B3123E">
        <w:rPr>
          <w:rFonts w:ascii="Times New Roman" w:hAnsi="Times New Roman"/>
          <w:sz w:val="24"/>
          <w:lang w:val="sr-Cyrl-RS"/>
        </w:rPr>
        <w:t>АНАЛИЗА ТРЕНУТНОГ СТАЊА ТРЖИШТА ПОШТАНСКИХ УСЛУГА У РЕПУБЛИЦИ СРБИЈИ</w:t>
      </w:r>
      <w:bookmarkEnd w:id="4"/>
    </w:p>
    <w:p w14:paraId="79BC56F5" w14:textId="25553E00" w:rsidR="00CA7565"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ED2593" w:rsidRPr="00B3123E">
        <w:rPr>
          <w:rFonts w:ascii="Times New Roman" w:hAnsi="Times New Roman" w:cs="Times New Roman"/>
          <w:szCs w:val="24"/>
          <w:lang w:val="sr-Cyrl-RS"/>
        </w:rPr>
        <w:t xml:space="preserve">Анализа постојећег стања се састоји од анализа резултата и учинака претходне стратегије, потом од анализе релевантног домаћег и међународног законодавства за област </w:t>
      </w:r>
      <w:r w:rsidR="00997CE1" w:rsidRPr="00B3123E">
        <w:rPr>
          <w:rFonts w:ascii="Times New Roman" w:hAnsi="Times New Roman" w:cs="Times New Roman"/>
          <w:szCs w:val="24"/>
          <w:lang w:val="sr-Cyrl-RS"/>
        </w:rPr>
        <w:t>поштанских услуга</w:t>
      </w:r>
      <w:r w:rsidR="00BE7AE9" w:rsidRPr="00B3123E">
        <w:rPr>
          <w:rFonts w:ascii="Times New Roman" w:hAnsi="Times New Roman" w:cs="Times New Roman"/>
          <w:szCs w:val="24"/>
          <w:lang w:val="sr-Cyrl-RS"/>
        </w:rPr>
        <w:t>, након чега је, сходно</w:t>
      </w:r>
      <w:r w:rsidR="00ED2593" w:rsidRPr="00B3123E">
        <w:rPr>
          <w:rFonts w:ascii="Times New Roman" w:hAnsi="Times New Roman" w:cs="Times New Roman"/>
          <w:szCs w:val="24"/>
          <w:lang w:val="sr-Cyrl-RS"/>
        </w:rPr>
        <w:t xml:space="preserve"> идентификовани</w:t>
      </w:r>
      <w:r w:rsidR="00BE7AE9" w:rsidRPr="00B3123E">
        <w:rPr>
          <w:rFonts w:ascii="Times New Roman" w:hAnsi="Times New Roman" w:cs="Times New Roman"/>
          <w:szCs w:val="24"/>
          <w:lang w:val="sr-Cyrl-RS"/>
        </w:rPr>
        <w:t xml:space="preserve">м </w:t>
      </w:r>
      <w:r w:rsidR="00ED2593" w:rsidRPr="00B3123E">
        <w:rPr>
          <w:rFonts w:ascii="Times New Roman" w:hAnsi="Times New Roman" w:cs="Times New Roman"/>
          <w:szCs w:val="24"/>
          <w:lang w:val="sr-Cyrl-RS"/>
        </w:rPr>
        <w:t>трендов</w:t>
      </w:r>
      <w:r w:rsidR="00BE7AE9" w:rsidRPr="00B3123E">
        <w:rPr>
          <w:rFonts w:ascii="Times New Roman" w:hAnsi="Times New Roman" w:cs="Times New Roman"/>
          <w:szCs w:val="24"/>
          <w:lang w:val="sr-Cyrl-RS"/>
        </w:rPr>
        <w:t>има</w:t>
      </w:r>
      <w:r w:rsidR="00ED2593" w:rsidRPr="00B3123E">
        <w:rPr>
          <w:rFonts w:ascii="Times New Roman" w:hAnsi="Times New Roman" w:cs="Times New Roman"/>
          <w:szCs w:val="24"/>
          <w:lang w:val="sr-Cyrl-RS"/>
        </w:rPr>
        <w:t xml:space="preserve"> и закључ</w:t>
      </w:r>
      <w:r w:rsidR="00BE7AE9" w:rsidRPr="00B3123E">
        <w:rPr>
          <w:rFonts w:ascii="Times New Roman" w:hAnsi="Times New Roman" w:cs="Times New Roman"/>
          <w:szCs w:val="24"/>
          <w:lang w:val="sr-Cyrl-RS"/>
        </w:rPr>
        <w:t>цима</w:t>
      </w:r>
      <w:r w:rsidR="00ED2593" w:rsidRPr="00B3123E">
        <w:rPr>
          <w:rFonts w:ascii="Times New Roman" w:hAnsi="Times New Roman" w:cs="Times New Roman"/>
          <w:szCs w:val="24"/>
          <w:lang w:val="sr-Cyrl-RS"/>
        </w:rPr>
        <w:t>, спроведена анализа проблема</w:t>
      </w:r>
      <w:r w:rsidR="005C314D" w:rsidRPr="00B3123E">
        <w:rPr>
          <w:rFonts w:ascii="Times New Roman" w:hAnsi="Times New Roman" w:cs="Times New Roman"/>
          <w:szCs w:val="24"/>
          <w:lang w:val="sr-Cyrl-RS"/>
        </w:rPr>
        <w:t>,</w:t>
      </w:r>
      <w:r w:rsidR="00ED2593" w:rsidRPr="00B3123E">
        <w:rPr>
          <w:rFonts w:ascii="Times New Roman" w:hAnsi="Times New Roman" w:cs="Times New Roman"/>
          <w:szCs w:val="24"/>
          <w:lang w:val="sr-Cyrl-RS"/>
        </w:rPr>
        <w:t xml:space="preserve"> на основу које су дефинисани развојни правци.</w:t>
      </w:r>
    </w:p>
    <w:p w14:paraId="05ECE165" w14:textId="16E92552" w:rsidR="005E19A4"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5E19A4" w:rsidRPr="00B3123E">
        <w:rPr>
          <w:rFonts w:ascii="Times New Roman" w:hAnsi="Times New Roman" w:cs="Times New Roman"/>
          <w:szCs w:val="24"/>
          <w:lang w:val="sr-Cyrl-RS"/>
        </w:rPr>
        <w:t>При изради Програма за анализе стања тржишта поштанских услуга коришћени су доступни подаци Републичког завода за статистику, Регулатора, Светског поштанског савеза (Universal Postal Union), као и Европске групе поштанских регулатора (The European Regul</w:t>
      </w:r>
      <w:r w:rsidR="00FF2B7D" w:rsidRPr="00B3123E">
        <w:rPr>
          <w:rFonts w:ascii="Times New Roman" w:hAnsi="Times New Roman" w:cs="Times New Roman"/>
          <w:szCs w:val="24"/>
          <w:lang w:val="sr-Cyrl-RS"/>
        </w:rPr>
        <w:t>ators Group for Postal Services –</w:t>
      </w:r>
      <w:r w:rsidR="005E19A4" w:rsidRPr="00B3123E">
        <w:rPr>
          <w:rFonts w:ascii="Times New Roman" w:hAnsi="Times New Roman" w:cs="Times New Roman"/>
          <w:szCs w:val="24"/>
          <w:lang w:val="sr-Cyrl-RS"/>
        </w:rPr>
        <w:t xml:space="preserve"> у даљем тексту: ERGP).</w:t>
      </w:r>
    </w:p>
    <w:p w14:paraId="32820DA4" w14:textId="77777777" w:rsidR="0062763A" w:rsidRPr="00B3123E" w:rsidRDefault="0062763A" w:rsidP="00DC6618">
      <w:pPr>
        <w:tabs>
          <w:tab w:val="left" w:pos="1440"/>
        </w:tabs>
        <w:spacing w:before="225" w:after="225"/>
        <w:ind w:firstLine="1276"/>
        <w:rPr>
          <w:rFonts w:ascii="Times New Roman" w:hAnsi="Times New Roman" w:cs="Times New Roman"/>
          <w:szCs w:val="24"/>
          <w:lang w:val="sr-Cyrl-RS"/>
        </w:rPr>
      </w:pPr>
    </w:p>
    <w:p w14:paraId="0870A69B" w14:textId="77777777" w:rsidR="00556A70" w:rsidRPr="00B3123E" w:rsidRDefault="00556A70" w:rsidP="00DC6618">
      <w:pPr>
        <w:tabs>
          <w:tab w:val="left" w:pos="1440"/>
        </w:tabs>
        <w:spacing w:before="225" w:after="225"/>
        <w:ind w:firstLine="1276"/>
        <w:rPr>
          <w:rFonts w:ascii="Times New Roman" w:hAnsi="Times New Roman" w:cs="Times New Roman"/>
          <w:szCs w:val="24"/>
          <w:lang w:val="sr-Cyrl-RS"/>
        </w:rPr>
      </w:pPr>
    </w:p>
    <w:p w14:paraId="3E87A26F" w14:textId="2808BAAB" w:rsidR="00A530A2" w:rsidRPr="00B3123E" w:rsidRDefault="00F2707F" w:rsidP="00F2707F">
      <w:pPr>
        <w:tabs>
          <w:tab w:val="left" w:pos="1440"/>
        </w:tabs>
        <w:spacing w:before="225" w:after="225"/>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lastRenderedPageBreak/>
        <w:t xml:space="preserve">2.1. </w:t>
      </w:r>
      <w:r w:rsidR="00A530A2" w:rsidRPr="00B3123E">
        <w:rPr>
          <w:rFonts w:ascii="Times New Roman" w:hAnsi="Times New Roman" w:cs="Times New Roman"/>
          <w:szCs w:val="24"/>
          <w:u w:val="single"/>
          <w:lang w:val="sr-Cyrl-RS"/>
        </w:rPr>
        <w:t xml:space="preserve">Анализа резултата претходне </w:t>
      </w:r>
      <w:r w:rsidR="00C00BFD" w:rsidRPr="00B3123E">
        <w:rPr>
          <w:rFonts w:ascii="Times New Roman" w:hAnsi="Times New Roman" w:cs="Times New Roman"/>
          <w:szCs w:val="24"/>
          <w:u w:val="single"/>
          <w:lang w:val="sr-Cyrl-RS"/>
        </w:rPr>
        <w:t>Стратегије</w:t>
      </w:r>
    </w:p>
    <w:p w14:paraId="746F4B72" w14:textId="338F9F55"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У области поштанских услуга, у протеклом</w:t>
      </w:r>
      <w:r w:rsidR="00FF2B7D" w:rsidRPr="00B3123E">
        <w:rPr>
          <w:rFonts w:ascii="Times New Roman" w:hAnsi="Times New Roman" w:cs="Times New Roman"/>
          <w:iCs/>
          <w:szCs w:val="24"/>
          <w:lang w:val="sr-Cyrl-RS"/>
        </w:rPr>
        <w:t xml:space="preserve"> периоду,</w:t>
      </w:r>
      <w:r w:rsidR="00A530A2" w:rsidRPr="00B3123E">
        <w:rPr>
          <w:rFonts w:ascii="Times New Roman" w:hAnsi="Times New Roman" w:cs="Times New Roman"/>
          <w:iCs/>
          <w:szCs w:val="24"/>
          <w:lang w:val="sr-Cyrl-RS"/>
        </w:rPr>
        <w:t xml:space="preserve"> спровођена </w:t>
      </w:r>
      <w:r w:rsidR="00FF2B7D" w:rsidRPr="00B3123E">
        <w:rPr>
          <w:rFonts w:ascii="Times New Roman" w:hAnsi="Times New Roman" w:cs="Times New Roman"/>
          <w:iCs/>
          <w:szCs w:val="24"/>
          <w:lang w:val="sr-Cyrl-RS"/>
        </w:rPr>
        <w:t xml:space="preserve">је </w:t>
      </w:r>
      <w:r w:rsidR="00A530A2" w:rsidRPr="00B3123E">
        <w:rPr>
          <w:rFonts w:ascii="Times New Roman" w:hAnsi="Times New Roman" w:cs="Times New Roman"/>
          <w:iCs/>
          <w:szCs w:val="24"/>
          <w:lang w:val="sr-Cyrl-RS"/>
        </w:rPr>
        <w:t>Стратегија. Све активности прописане Акционим планом за реализацију Стратегије успешно су спроведене у задатим роковима.</w:t>
      </w:r>
    </w:p>
    <w:p w14:paraId="6CAE4D6C" w14:textId="3AA37888"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67907" w:rsidRPr="00B3123E">
        <w:rPr>
          <w:rFonts w:ascii="Times New Roman" w:hAnsi="Times New Roman" w:cs="Times New Roman"/>
          <w:iCs/>
          <w:szCs w:val="24"/>
          <w:lang w:val="sr-Cyrl-RS"/>
        </w:rPr>
        <w:t>И</w:t>
      </w:r>
      <w:r w:rsidR="00A530A2" w:rsidRPr="00B3123E">
        <w:rPr>
          <w:rFonts w:ascii="Times New Roman" w:hAnsi="Times New Roman" w:cs="Times New Roman"/>
          <w:iCs/>
          <w:szCs w:val="24"/>
          <w:lang w:val="sr-Cyrl-RS"/>
        </w:rPr>
        <w:t xml:space="preserve">мплементација Стратегије донела је бројне резултате који имају директне и индиректне ефекте на развој поштанских услуга у </w:t>
      </w:r>
      <w:r w:rsidR="00FF2B7D" w:rsidRPr="00B3123E">
        <w:rPr>
          <w:rFonts w:ascii="Times New Roman" w:hAnsi="Times New Roman" w:cs="Times New Roman"/>
          <w:iCs/>
          <w:szCs w:val="24"/>
          <w:lang w:val="sr-Cyrl-RS"/>
        </w:rPr>
        <w:t xml:space="preserve">Републици </w:t>
      </w:r>
      <w:r w:rsidR="00A530A2" w:rsidRPr="00B3123E">
        <w:rPr>
          <w:rFonts w:ascii="Times New Roman" w:hAnsi="Times New Roman" w:cs="Times New Roman"/>
          <w:iCs/>
          <w:szCs w:val="24"/>
          <w:lang w:val="sr-Cyrl-RS"/>
        </w:rPr>
        <w:t>Србији, а поштански сектор је</w:t>
      </w:r>
      <w:r w:rsidR="00A67907" w:rsidRPr="00B3123E">
        <w:rPr>
          <w:rFonts w:ascii="Times New Roman" w:hAnsi="Times New Roman" w:cs="Times New Roman"/>
          <w:iCs/>
          <w:szCs w:val="24"/>
          <w:lang w:val="sr-Cyrl-RS"/>
        </w:rPr>
        <w:t xml:space="preserve"> оствареним резултатима</w:t>
      </w:r>
      <w:r w:rsidR="00A530A2" w:rsidRPr="00B3123E">
        <w:rPr>
          <w:rFonts w:ascii="Times New Roman" w:hAnsi="Times New Roman" w:cs="Times New Roman"/>
          <w:iCs/>
          <w:szCs w:val="24"/>
          <w:lang w:val="sr-Cyrl-RS"/>
        </w:rPr>
        <w:t xml:space="preserve"> додатно потврдио своју економску и социјалну важност за кориснике. Стратегијом је, у оквиру Посебног циља 1: Обезбеђивање пружања доступних, поузданих и ефикасних поштанских услуга у Републици Србији у складу са директивама и препорукама Светског поштанског савеза, била прописана Мера 1.1: </w:t>
      </w:r>
      <w:bookmarkStart w:id="5" w:name="_Hlk213850974"/>
      <w:r w:rsidR="00A530A2" w:rsidRPr="00B3123E">
        <w:rPr>
          <w:rFonts w:ascii="Times New Roman" w:hAnsi="Times New Roman" w:cs="Times New Roman"/>
          <w:iCs/>
          <w:szCs w:val="24"/>
          <w:lang w:val="sr-Cyrl-RS"/>
        </w:rPr>
        <w:t>Усклађивање поштанске регулативе са законодавством ЕУ и Светског поштанског савеза</w:t>
      </w:r>
      <w:bookmarkEnd w:id="5"/>
      <w:r w:rsidR="00A530A2" w:rsidRPr="00B3123E">
        <w:rPr>
          <w:rFonts w:ascii="Times New Roman" w:hAnsi="Times New Roman" w:cs="Times New Roman"/>
          <w:iCs/>
          <w:szCs w:val="24"/>
          <w:lang w:val="sr-Cyrl-RS"/>
        </w:rPr>
        <w:t xml:space="preserve"> у области поштанских услуга. Реализацијом активности које су се односиле на ову меру у протеклих неколико година остварен је значајан напредак у законодавству којим се уређује поштански сектор. Наиме, </w:t>
      </w:r>
      <w:r w:rsidR="00FF2B7D" w:rsidRPr="00B3123E">
        <w:rPr>
          <w:rFonts w:ascii="Times New Roman" w:hAnsi="Times New Roman" w:cs="Times New Roman"/>
          <w:iCs/>
          <w:szCs w:val="24"/>
          <w:lang w:val="sr-Cyrl-RS"/>
        </w:rPr>
        <w:t>донет</w:t>
      </w:r>
      <w:r w:rsidR="00A530A2" w:rsidRPr="00B3123E">
        <w:rPr>
          <w:rFonts w:ascii="Times New Roman" w:hAnsi="Times New Roman" w:cs="Times New Roman"/>
          <w:iCs/>
          <w:szCs w:val="24"/>
          <w:lang w:val="sr-Cyrl-RS"/>
        </w:rPr>
        <w:t xml:space="preserve"> је нови Закон и донети су пратећи прописи, чиме је отворена могућност даљег развоја тржишта поштанских услуга као важног дела привреде и друштва. Најзначајнији циљеви који су постигнути доношењем </w:t>
      </w:r>
      <w:r w:rsidR="00C00BFD" w:rsidRPr="00B3123E">
        <w:rPr>
          <w:rFonts w:ascii="Times New Roman" w:hAnsi="Times New Roman" w:cs="Times New Roman"/>
          <w:iCs/>
          <w:szCs w:val="24"/>
          <w:lang w:val="sr-Cyrl-RS"/>
        </w:rPr>
        <w:t>тог</w:t>
      </w:r>
      <w:r w:rsidR="00A530A2" w:rsidRPr="00B3123E">
        <w:rPr>
          <w:rFonts w:ascii="Times New Roman" w:hAnsi="Times New Roman" w:cs="Times New Roman"/>
          <w:iCs/>
          <w:szCs w:val="24"/>
          <w:lang w:val="sr-Cyrl-RS"/>
        </w:rPr>
        <w:t xml:space="preserve"> закона су: обезбеђивање услова за одрживост универзалне поштанске услуге и покривеност целокупне територије Републике Србије под једнаким условима за све грађане, као и развој поштанских услуга ван универзалне поштанске услуге, оријентисаних на кориснике у конкурентном и дигиталном окружењу; даље обезбеђење услова за унапређење развоја тржишта поштанских услуга и равноправну утакмицу на тржишту поштанских услуга; додатно јачање самосталности и ефикасности Регулатора у његовом вршењу регулаторних и других послова; стварање услова за даље унапређење квалитета у обављању поштанских услуга; унапређење пружања прекограничних поштанских услуга и повећање глобалне повезаности; стварање правног оквира за дигитализацију процеса у циљу примене нових технологија и савремене поштанске опреме; обезбеђивање услова за повећање степена задовољења и унапређење  заштите интереса корисника поштанских услуга; подизање нивоа транспарентности и поједностављење приступа корисника поштанских услуга регулативи и самим тим, олакшавање обављања поштанске делатности и лакше остваривање заштите права корисника, кроз оптимизацију броја подзаконских аката. Поред наведеног, а у складу са Мером 4.1. Омогућавање несметаног одвијања прекограничне размене пакетских пошиљака са овлашћеним даваоцима универзалног сервиса држава чланица ЕУ, сп</w:t>
      </w:r>
      <w:r w:rsidR="00FF2B7D" w:rsidRPr="00B3123E">
        <w:rPr>
          <w:rFonts w:ascii="Times New Roman" w:hAnsi="Times New Roman" w:cs="Times New Roman"/>
          <w:iCs/>
          <w:szCs w:val="24"/>
          <w:lang w:val="sr-Cyrl-RS"/>
        </w:rPr>
        <w:t>р</w:t>
      </w:r>
      <w:r w:rsidR="00A530A2" w:rsidRPr="00B3123E">
        <w:rPr>
          <w:rFonts w:ascii="Times New Roman" w:hAnsi="Times New Roman" w:cs="Times New Roman"/>
          <w:iCs/>
          <w:szCs w:val="24"/>
          <w:lang w:val="sr-Cyrl-RS"/>
        </w:rPr>
        <w:t>оведена је и Анализа процене потребе имплементације Уредбе (EU) 2018/644 о услугама прекограничне доставе пакета, која је дала полазну основу за имплеме</w:t>
      </w:r>
      <w:r w:rsidR="00FF2B7D" w:rsidRPr="00B3123E">
        <w:rPr>
          <w:rFonts w:ascii="Times New Roman" w:hAnsi="Times New Roman" w:cs="Times New Roman"/>
          <w:iCs/>
          <w:szCs w:val="24"/>
          <w:lang w:val="sr-Cyrl-RS"/>
        </w:rPr>
        <w:t>н</w:t>
      </w:r>
      <w:r w:rsidR="00A530A2" w:rsidRPr="00B3123E">
        <w:rPr>
          <w:rFonts w:ascii="Times New Roman" w:hAnsi="Times New Roman" w:cs="Times New Roman"/>
          <w:iCs/>
          <w:szCs w:val="24"/>
          <w:lang w:val="sr-Cyrl-RS"/>
        </w:rPr>
        <w:t>тацију ове уредбе у нови Закон. Сходно томе, новим Законом дата је обавеза Регулатору да прикупља и обрађује податке од поштанских оператора потребне за унапређење прекограничне доставе пакета, а Регулатор је у прописаном року донео подзаконски акт којим се, између осталог,  ближе прописују врсте података које су поштански оператори дужни да Регулатору достављају податке, имајући у виду да су исти неопходни за унапређење прекограничне доставе пакета.</w:t>
      </w:r>
    </w:p>
    <w:p w14:paraId="75DD0F8F" w14:textId="677BF182" w:rsidR="00A530A2" w:rsidRPr="00B3123E" w:rsidRDefault="001E4F9A" w:rsidP="00A530A2">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Нови </w:t>
      </w:r>
      <w:r w:rsidR="00FF2B7D" w:rsidRPr="00B3123E">
        <w:rPr>
          <w:rFonts w:ascii="Times New Roman" w:hAnsi="Times New Roman" w:cs="Times New Roman"/>
          <w:iCs/>
          <w:szCs w:val="24"/>
          <w:lang w:val="sr-Cyrl-RS"/>
        </w:rPr>
        <w:t xml:space="preserve">Закон </w:t>
      </w:r>
      <w:r w:rsidR="00A530A2" w:rsidRPr="00B3123E">
        <w:rPr>
          <w:rFonts w:ascii="Times New Roman" w:hAnsi="Times New Roman" w:cs="Times New Roman"/>
          <w:iCs/>
          <w:szCs w:val="24"/>
          <w:lang w:val="sr-Cyrl-RS"/>
        </w:rPr>
        <w:t xml:space="preserve">и подзаконски акти обезбедили су темеље за напредак и увођење савремених, интегрисаних поштанских услуга, базираних на сталним технолошким иновацијама. Ове измене су подржане развојем информационих технологија, дигитализације и интернета, а усклађене са потребама и очекивањима корисника. Поред наведеног, Стратегијом, у оквиру Посебног циља 2. Осигурање доступности и одрживости универзалног поштанског сервиса у складу са потребама корисника и променама на тржишту, Мера 2.1: Обезбеђење одрживости пружања свих услуга из </w:t>
      </w:r>
      <w:r w:rsidR="00A530A2" w:rsidRPr="00B3123E">
        <w:rPr>
          <w:rFonts w:ascii="Times New Roman" w:hAnsi="Times New Roman" w:cs="Times New Roman"/>
          <w:iCs/>
          <w:szCs w:val="24"/>
          <w:lang w:val="sr-Cyrl-RS"/>
        </w:rPr>
        <w:lastRenderedPageBreak/>
        <w:t xml:space="preserve">оквира универзалне поштанске услуге, као услуге од општег интереса, била је предвиђена, између осталог, и Активност 2.1.1: Анализа одрживости </w:t>
      </w:r>
      <w:r w:rsidR="00D8656C" w:rsidRPr="00B3123E">
        <w:rPr>
          <w:rFonts w:ascii="Times New Roman" w:hAnsi="Times New Roman" w:cs="Times New Roman"/>
          <w:iCs/>
          <w:szCs w:val="24"/>
          <w:lang w:val="sr-Cyrl-RS"/>
        </w:rPr>
        <w:t>универзалне поштанске услуге (у даљем тексту</w:t>
      </w:r>
      <w:r w:rsidR="00FF2B7D" w:rsidRPr="00B3123E">
        <w:rPr>
          <w:rFonts w:ascii="Times New Roman" w:hAnsi="Times New Roman" w:cs="Times New Roman"/>
          <w:iCs/>
          <w:szCs w:val="24"/>
          <w:lang w:val="sr-Cyrl-RS"/>
        </w:rPr>
        <w:t>:</w:t>
      </w:r>
      <w:r w:rsidR="00D8656C" w:rsidRPr="00B3123E">
        <w:rPr>
          <w:rFonts w:ascii="Times New Roman" w:hAnsi="Times New Roman" w:cs="Times New Roman"/>
          <w:iCs/>
          <w:szCs w:val="24"/>
          <w:lang w:val="sr-Cyrl-RS"/>
        </w:rPr>
        <w:t xml:space="preserve"> </w:t>
      </w:r>
      <w:r w:rsidR="0003325E" w:rsidRPr="00B3123E">
        <w:rPr>
          <w:rFonts w:ascii="Times New Roman" w:hAnsi="Times New Roman" w:cs="Times New Roman"/>
          <w:iCs/>
          <w:szCs w:val="24"/>
          <w:lang w:val="sr-Cyrl-RS"/>
        </w:rPr>
        <w:t>УПУ</w:t>
      </w:r>
      <w:r w:rsidR="00D8656C"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 и дефинисање њене улоге у складу са променљивим потребама корисника. Сходно томе, као носилац ове активности, Регулатор је формирао Радну групу за израду Студије о одрживости </w:t>
      </w:r>
      <w:r w:rsidR="0003325E"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xml:space="preserve"> у дефинисању њене улоге у складу са проме</w:t>
      </w:r>
      <w:r w:rsidR="009A1D85" w:rsidRPr="00B3123E">
        <w:rPr>
          <w:rFonts w:ascii="Times New Roman" w:hAnsi="Times New Roman" w:cs="Times New Roman"/>
          <w:iCs/>
          <w:szCs w:val="24"/>
          <w:lang w:val="sr-Cyrl-RS"/>
        </w:rPr>
        <w:t>нљивим</w:t>
      </w:r>
      <w:r w:rsidR="00A530A2" w:rsidRPr="00B3123E">
        <w:rPr>
          <w:rFonts w:ascii="Times New Roman" w:hAnsi="Times New Roman" w:cs="Times New Roman"/>
          <w:iCs/>
          <w:szCs w:val="24"/>
          <w:lang w:val="sr-Cyrl-RS"/>
        </w:rPr>
        <w:t xml:space="preserve"> потребама корисника, сачињену од представника Регулатора, Министарства и </w:t>
      </w:r>
      <w:r w:rsidR="0062763A" w:rsidRPr="00B3123E">
        <w:rPr>
          <w:rFonts w:ascii="Times New Roman" w:hAnsi="Times New Roman" w:cs="Times New Roman"/>
          <w:iCs/>
          <w:szCs w:val="24"/>
          <w:lang w:val="sr-Cyrl-RS"/>
        </w:rPr>
        <w:t>ЈПО</w:t>
      </w:r>
      <w:r w:rsidR="00A530A2" w:rsidRPr="00B3123E">
        <w:rPr>
          <w:rFonts w:ascii="Times New Roman" w:hAnsi="Times New Roman" w:cs="Times New Roman"/>
          <w:iCs/>
          <w:szCs w:val="24"/>
          <w:lang w:val="sr-Cyrl-RS"/>
        </w:rPr>
        <w:t xml:space="preserve">. Наведена Радна група је спровела свој задатак и дала препоруке да се изменом регулативе требају извршити следећа унапређења исте: усклађивање са ЕУ регулативом; обезбеђивање услова за одрживост универзалне поштанске услуге; редефинисање опсега </w:t>
      </w:r>
      <w:r w:rsidR="004B4D45"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xml:space="preserve"> у складу са потребама корисника поштанских услуга; редефинисање параметара квалитета преноса поштанских пошиљака, узимајући у обзир потребе корисника поштанских услуга и трошкове пружања услуга, као и редефинисање параметара квалитета доступности поштанских услуга узимајући у обзир географске и демографске специфичности. Све наведено је спроведено кроз доношење новог закона и подзаконских аката, у прописаном року. Такође, у складу са активностима утврђеним акционим планом, а у циљу усклађивања поштанске регулативе са законодавством Светског поштанског савеза, у периоду реализације Стратегије, донети су и </w:t>
      </w:r>
      <w:bookmarkStart w:id="6" w:name="_Hlk214015104"/>
      <w:r w:rsidR="00A530A2" w:rsidRPr="00B3123E">
        <w:rPr>
          <w:rFonts w:ascii="Times New Roman" w:hAnsi="Times New Roman" w:cs="Times New Roman"/>
          <w:iCs/>
          <w:szCs w:val="24"/>
          <w:lang w:val="sr-Cyrl-RS"/>
        </w:rPr>
        <w:t>Закон о потврђивању аката Светског поштанског савеза (</w:t>
      </w:r>
      <w:r w:rsidR="00FF2B7D" w:rsidRPr="00B3123E">
        <w:rPr>
          <w:rFonts w:ascii="Times New Roman" w:hAnsi="Times New Roman" w:cs="Times New Roman"/>
          <w:lang w:val="sr-Cyrl-RS"/>
        </w:rPr>
        <w:t>„</w:t>
      </w:r>
      <w:r w:rsidR="00A530A2" w:rsidRPr="00B3123E">
        <w:rPr>
          <w:rFonts w:ascii="Times New Roman" w:hAnsi="Times New Roman" w:cs="Times New Roman"/>
          <w:iCs/>
          <w:szCs w:val="24"/>
          <w:lang w:val="sr-Cyrl-RS"/>
        </w:rPr>
        <w:t>Службени гласник РС</w:t>
      </w:r>
      <w:r w:rsidR="00FF2B7D"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 Међународни уговори</w:t>
      </w:r>
      <w:r w:rsidR="00FF2B7D" w:rsidRPr="00B3123E">
        <w:rPr>
          <w:rFonts w:ascii="Times New Roman" w:hAnsi="Times New Roman" w:cs="Times New Roman"/>
          <w:szCs w:val="24"/>
          <w:lang w:val="sr-Cyrl-RS"/>
        </w:rPr>
        <w:t>”, број</w:t>
      </w:r>
      <w:r w:rsidR="00FF2B7D" w:rsidRPr="00B3123E">
        <w:rPr>
          <w:rFonts w:ascii="Times New Roman" w:hAnsi="Times New Roman" w:cs="Times New Roman"/>
          <w:iCs/>
          <w:szCs w:val="24"/>
          <w:lang w:val="sr-Cyrl-RS"/>
        </w:rPr>
        <w:t xml:space="preserve"> 1/</w:t>
      </w:r>
      <w:r w:rsidR="00A530A2" w:rsidRPr="00B3123E">
        <w:rPr>
          <w:rFonts w:ascii="Times New Roman" w:hAnsi="Times New Roman" w:cs="Times New Roman"/>
          <w:iCs/>
          <w:szCs w:val="24"/>
          <w:lang w:val="sr-Cyrl-RS"/>
        </w:rPr>
        <w:t>25)</w:t>
      </w:r>
      <w:bookmarkEnd w:id="6"/>
      <w:r w:rsidR="00A530A2" w:rsidRPr="00B3123E">
        <w:rPr>
          <w:rFonts w:ascii="Times New Roman" w:hAnsi="Times New Roman" w:cs="Times New Roman"/>
          <w:iCs/>
          <w:szCs w:val="24"/>
          <w:lang w:val="sr-Cyrl-RS"/>
        </w:rPr>
        <w:t>, Закон о потврђивању Другог додатног протокола Светске поштанске конвенције (</w:t>
      </w:r>
      <w:r w:rsidR="009C728A" w:rsidRPr="00B3123E">
        <w:rPr>
          <w:rFonts w:ascii="Times New Roman" w:hAnsi="Times New Roman" w:cs="Times New Roman"/>
          <w:lang w:val="sr-Cyrl-RS"/>
        </w:rPr>
        <w:t>„</w:t>
      </w:r>
      <w:r w:rsidR="00A530A2" w:rsidRPr="00B3123E">
        <w:rPr>
          <w:rFonts w:ascii="Times New Roman" w:hAnsi="Times New Roman" w:cs="Times New Roman"/>
          <w:iCs/>
          <w:szCs w:val="24"/>
          <w:lang w:val="sr-Cyrl-RS"/>
        </w:rPr>
        <w:t>Службени гласник РС</w:t>
      </w:r>
      <w:r w:rsidR="00FF2B7D"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 Међународни уговори</w:t>
      </w:r>
      <w:r w:rsidR="00FF2B7D" w:rsidRPr="00B3123E">
        <w:rPr>
          <w:rFonts w:ascii="Times New Roman" w:hAnsi="Times New Roman" w:cs="Times New Roman"/>
          <w:szCs w:val="24"/>
          <w:lang w:val="sr-Cyrl-RS"/>
        </w:rPr>
        <w:t>”</w:t>
      </w:r>
      <w:r w:rsidR="00FF2B7D" w:rsidRPr="00B3123E">
        <w:rPr>
          <w:rFonts w:ascii="Times New Roman" w:hAnsi="Times New Roman" w:cs="Times New Roman"/>
          <w:iCs/>
          <w:szCs w:val="24"/>
          <w:lang w:val="sr-Cyrl-RS"/>
        </w:rPr>
        <w:t>, број 1/</w:t>
      </w:r>
      <w:r w:rsidR="00A530A2" w:rsidRPr="00B3123E">
        <w:rPr>
          <w:rFonts w:ascii="Times New Roman" w:hAnsi="Times New Roman" w:cs="Times New Roman"/>
          <w:iCs/>
          <w:szCs w:val="24"/>
          <w:lang w:val="sr-Cyrl-RS"/>
        </w:rPr>
        <w:t>21</w:t>
      </w:r>
      <w:r w:rsidR="007E0986"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као и Закон о потврђивању аката Светског поштанског савеза (</w:t>
      </w:r>
      <w:r w:rsidR="009C728A" w:rsidRPr="00B3123E">
        <w:rPr>
          <w:rFonts w:ascii="Times New Roman" w:hAnsi="Times New Roman" w:cs="Times New Roman"/>
          <w:lang w:val="sr-Cyrl-RS"/>
        </w:rPr>
        <w:t>„</w:t>
      </w:r>
      <w:r w:rsidR="00A530A2" w:rsidRPr="00B3123E">
        <w:rPr>
          <w:rFonts w:ascii="Times New Roman" w:hAnsi="Times New Roman" w:cs="Times New Roman"/>
          <w:iCs/>
          <w:szCs w:val="24"/>
          <w:lang w:val="sr-Cyrl-RS"/>
        </w:rPr>
        <w:t>Службени гласник РС</w:t>
      </w:r>
      <w:r w:rsidR="00FF2B7D"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 Међународни уговори</w:t>
      </w:r>
      <w:r w:rsidR="00FF2B7D" w:rsidRPr="00B3123E">
        <w:rPr>
          <w:rFonts w:ascii="Times New Roman" w:hAnsi="Times New Roman" w:cs="Times New Roman"/>
          <w:szCs w:val="24"/>
          <w:lang w:val="sr-Cyrl-RS"/>
        </w:rPr>
        <w:t>”, број</w:t>
      </w:r>
      <w:r w:rsidR="00A530A2" w:rsidRPr="00B3123E">
        <w:rPr>
          <w:rFonts w:ascii="Times New Roman" w:hAnsi="Times New Roman" w:cs="Times New Roman"/>
          <w:iCs/>
          <w:szCs w:val="24"/>
          <w:lang w:val="sr-Cyrl-RS"/>
        </w:rPr>
        <w:t xml:space="preserve"> 2</w:t>
      </w:r>
      <w:r w:rsidR="00FF2B7D"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23), а предметним актима је у националном законодавству потврђена међународна регулатива која регулише област поштанског саобраћаја у </w:t>
      </w:r>
      <w:r w:rsidR="0062763A" w:rsidRPr="00B3123E">
        <w:rPr>
          <w:rFonts w:ascii="Times New Roman" w:hAnsi="Times New Roman" w:cs="Times New Roman"/>
          <w:iCs/>
          <w:szCs w:val="24"/>
          <w:lang w:val="sr-Cyrl-RS"/>
        </w:rPr>
        <w:t>светским оквирима</w:t>
      </w:r>
      <w:r w:rsidR="00A530A2" w:rsidRPr="00B3123E">
        <w:rPr>
          <w:rFonts w:ascii="Times New Roman" w:hAnsi="Times New Roman" w:cs="Times New Roman"/>
          <w:iCs/>
          <w:szCs w:val="24"/>
          <w:lang w:val="sr-Cyrl-RS"/>
        </w:rPr>
        <w:t>.</w:t>
      </w:r>
    </w:p>
    <w:p w14:paraId="3CAACD5F" w14:textId="6C8757A5" w:rsidR="00A530A2" w:rsidRPr="00B3123E" w:rsidRDefault="001E4F9A" w:rsidP="00A530A2">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Поред наведеног, Регулатор је у року прописаном Акционим планом, отпочео са спровођењем стручног надзора у области поштанских услуга. Наиме, стручни надзор је отпочет над применом </w:t>
      </w:r>
      <w:r w:rsidR="00C00BFD" w:rsidRPr="00B3123E">
        <w:rPr>
          <w:rFonts w:ascii="Times New Roman" w:hAnsi="Times New Roman" w:cs="Times New Roman"/>
          <w:iCs/>
          <w:szCs w:val="24"/>
          <w:lang w:val="sr-Cyrl-RS"/>
        </w:rPr>
        <w:t xml:space="preserve">Закона </w:t>
      </w:r>
      <w:r w:rsidR="00A530A2" w:rsidRPr="00B3123E">
        <w:rPr>
          <w:rFonts w:ascii="Times New Roman" w:hAnsi="Times New Roman" w:cs="Times New Roman"/>
          <w:iCs/>
          <w:szCs w:val="24"/>
          <w:lang w:val="sr-Cyrl-RS"/>
        </w:rPr>
        <w:t xml:space="preserve">и прописа донетих на основу </w:t>
      </w:r>
      <w:r w:rsidR="00EA653D" w:rsidRPr="00B3123E">
        <w:rPr>
          <w:rFonts w:ascii="Times New Roman" w:hAnsi="Times New Roman" w:cs="Times New Roman"/>
          <w:iCs/>
          <w:szCs w:val="24"/>
          <w:lang w:val="sr-Cyrl-RS"/>
        </w:rPr>
        <w:t>З</w:t>
      </w:r>
      <w:r w:rsidR="00A530A2" w:rsidRPr="00B3123E">
        <w:rPr>
          <w:rFonts w:ascii="Times New Roman" w:hAnsi="Times New Roman" w:cs="Times New Roman"/>
          <w:iCs/>
          <w:szCs w:val="24"/>
          <w:lang w:val="sr-Cyrl-RS"/>
        </w:rPr>
        <w:t xml:space="preserve">акона у делу којим је уређен квалитет обављања </w:t>
      </w:r>
      <w:r w:rsidR="00EA653D"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xml:space="preserve">, приступ мрежи, цена и рачуноводство давалаца </w:t>
      </w:r>
      <w:r w:rsidR="00EA653D"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xml:space="preserve">. Сходно томе, стручна лица </w:t>
      </w:r>
      <w:r w:rsidR="00B55EDD" w:rsidRPr="00B3123E">
        <w:rPr>
          <w:rFonts w:ascii="Times New Roman" w:hAnsi="Times New Roman" w:cs="Times New Roman"/>
          <w:iCs/>
          <w:szCs w:val="24"/>
          <w:lang w:val="sr-Cyrl-RS"/>
        </w:rPr>
        <w:t>Р</w:t>
      </w:r>
      <w:r w:rsidR="00A530A2" w:rsidRPr="00B3123E">
        <w:rPr>
          <w:rFonts w:ascii="Times New Roman" w:hAnsi="Times New Roman" w:cs="Times New Roman"/>
          <w:iCs/>
          <w:szCs w:val="24"/>
          <w:lang w:val="sr-Cyrl-RS"/>
        </w:rPr>
        <w:t>е</w:t>
      </w:r>
      <w:r w:rsidR="00B55EDD" w:rsidRPr="00B3123E">
        <w:rPr>
          <w:rFonts w:ascii="Times New Roman" w:hAnsi="Times New Roman" w:cs="Times New Roman"/>
          <w:iCs/>
          <w:szCs w:val="24"/>
          <w:lang w:val="sr-Cyrl-RS"/>
        </w:rPr>
        <w:t>г</w:t>
      </w:r>
      <w:r w:rsidR="00A530A2" w:rsidRPr="00B3123E">
        <w:rPr>
          <w:rFonts w:ascii="Times New Roman" w:hAnsi="Times New Roman" w:cs="Times New Roman"/>
          <w:iCs/>
          <w:szCs w:val="24"/>
          <w:lang w:val="sr-Cyrl-RS"/>
        </w:rPr>
        <w:t xml:space="preserve">улатора почела су да контролишу испуњеност прописаних параметара квалитета при обављању универзалне поштанске услуге, као и квалитет обављања осталих поштанских услуга, да контролишу примену важећих ценовника поштанских услуга, примену уговора о приступу мрежи, као и рачуноводствено раздвајање давалаца </w:t>
      </w:r>
      <w:r w:rsidR="007D2DA6"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У сп</w:t>
      </w:r>
      <w:r w:rsidR="0078740E" w:rsidRPr="00B3123E">
        <w:rPr>
          <w:rFonts w:ascii="Times New Roman" w:hAnsi="Times New Roman" w:cs="Times New Roman"/>
          <w:iCs/>
          <w:szCs w:val="24"/>
          <w:lang w:val="sr-Cyrl-RS"/>
        </w:rPr>
        <w:t>р</w:t>
      </w:r>
      <w:r w:rsidR="00A530A2" w:rsidRPr="00B3123E">
        <w:rPr>
          <w:rFonts w:ascii="Times New Roman" w:hAnsi="Times New Roman" w:cs="Times New Roman"/>
          <w:iCs/>
          <w:szCs w:val="24"/>
          <w:lang w:val="sr-Cyrl-RS"/>
        </w:rPr>
        <w:t>овођењу стручног надзора остварена је континуирана сарадња са инспекторима за поштанске услуге ресорног министарства, при чему је дошло до размене различитих знања и искустава, од значаја за унапређење надзорних активности.</w:t>
      </w:r>
    </w:p>
    <w:p w14:paraId="7F95890E" w14:textId="355C3615"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Такође, у оквиру реализације Стратегије, спроведено је независно мерење квалитета поштанских услуга које пружају поштански оператори, а резултати мерења су објављени на сајту Р</w:t>
      </w:r>
      <w:r w:rsidR="00CA7449" w:rsidRPr="00B3123E">
        <w:rPr>
          <w:rFonts w:ascii="Times New Roman" w:hAnsi="Times New Roman" w:cs="Times New Roman"/>
          <w:iCs/>
          <w:szCs w:val="24"/>
          <w:lang w:val="sr-Cyrl-RS"/>
        </w:rPr>
        <w:t>егулатора</w:t>
      </w:r>
      <w:r w:rsidR="00A530A2" w:rsidRPr="00B3123E">
        <w:rPr>
          <w:rFonts w:ascii="Times New Roman" w:hAnsi="Times New Roman" w:cs="Times New Roman"/>
          <w:iCs/>
          <w:szCs w:val="24"/>
          <w:lang w:val="sr-Cyrl-RS"/>
        </w:rPr>
        <w:t>. Ови резултати су значајно помогли поштанским операторима да унапреде своје пословне процесе, јер су им резултати указали на елементе пословања које требају да поправе и унапреде, а неки оператори су на основу презентованог успели да уоче нови простор за даљи раст и развој, након чега су  направили много боље резултате од претходних. Поред тога, развиjен је</w:t>
      </w:r>
      <w:r w:rsidR="00A530A2" w:rsidRPr="00B3123E">
        <w:rPr>
          <w:rFonts w:ascii="Times New Roman" w:hAnsi="Times New Roman" w:cs="Times New Roman"/>
          <w:iCs/>
          <w:color w:val="000000" w:themeColor="text1"/>
          <w:szCs w:val="24"/>
          <w:lang w:val="sr-Cyrl-RS"/>
        </w:rPr>
        <w:t xml:space="preserve"> и </w:t>
      </w:r>
      <w:hyperlink r:id="rId8" w:tgtFrame="_blank" w:history="1">
        <w:r w:rsidR="00A530A2" w:rsidRPr="00B3123E">
          <w:rPr>
            <w:rStyle w:val="Hyperlink"/>
            <w:rFonts w:ascii="Times New Roman" w:hAnsi="Times New Roman" w:cs="Times New Roman"/>
            <w:iCs/>
            <w:color w:val="000000" w:themeColor="text1"/>
            <w:szCs w:val="24"/>
            <w:u w:val="none"/>
            <w:lang w:val="sr-Cyrl-RS"/>
          </w:rPr>
          <w:t>ГИС портал</w:t>
        </w:r>
      </w:hyperlink>
      <w:r w:rsidR="00A530A2" w:rsidRPr="00B3123E">
        <w:rPr>
          <w:rFonts w:ascii="Times New Roman" w:hAnsi="Times New Roman" w:cs="Times New Roman"/>
          <w:iCs/>
          <w:szCs w:val="24"/>
          <w:lang w:val="sr-Cyrl-RS"/>
        </w:rPr>
        <w:t xml:space="preserve"> за информисање корисника о доступности поштанских услуга, који омогућава приказ локација пословница, пакетомата и територије деловања оператора. Овај портал </w:t>
      </w:r>
      <w:r w:rsidR="00F11BE6" w:rsidRPr="00B3123E">
        <w:rPr>
          <w:rFonts w:ascii="Times New Roman" w:hAnsi="Times New Roman" w:cs="Times New Roman"/>
          <w:iCs/>
          <w:szCs w:val="24"/>
          <w:lang w:val="sr-Cyrl-RS"/>
        </w:rPr>
        <w:t xml:space="preserve">и Портал цена, </w:t>
      </w:r>
      <w:r w:rsidR="00A530A2" w:rsidRPr="00B3123E">
        <w:rPr>
          <w:rFonts w:ascii="Times New Roman" w:hAnsi="Times New Roman" w:cs="Times New Roman"/>
          <w:iCs/>
          <w:szCs w:val="24"/>
          <w:lang w:val="sr-Cyrl-RS"/>
        </w:rPr>
        <w:t xml:space="preserve">омогућио је корисницима да лакше нађу пружаоца услуге која им је потребна, да упореде цене и добију поштанску услугу која више одговара њиховим потребама у виду брзине, доступности или приступачности. Даље, а </w:t>
      </w:r>
      <w:r w:rsidR="009C1B8F" w:rsidRPr="00B3123E">
        <w:rPr>
          <w:rFonts w:ascii="Times New Roman" w:hAnsi="Times New Roman" w:cs="Times New Roman"/>
          <w:iCs/>
          <w:szCs w:val="24"/>
          <w:lang w:val="sr-Cyrl-RS"/>
        </w:rPr>
        <w:t xml:space="preserve">у </w:t>
      </w:r>
      <w:r w:rsidR="00A530A2" w:rsidRPr="00B3123E">
        <w:rPr>
          <w:rFonts w:ascii="Times New Roman" w:hAnsi="Times New Roman" w:cs="Times New Roman"/>
          <w:iCs/>
          <w:szCs w:val="24"/>
          <w:lang w:val="sr-Cyrl-RS"/>
        </w:rPr>
        <w:t xml:space="preserve">циљу унапређења </w:t>
      </w:r>
      <w:r w:rsidR="00A530A2" w:rsidRPr="00B3123E">
        <w:rPr>
          <w:rFonts w:ascii="Times New Roman" w:hAnsi="Times New Roman" w:cs="Times New Roman"/>
          <w:iCs/>
          <w:szCs w:val="24"/>
          <w:lang w:val="sr-Cyrl-RS"/>
        </w:rPr>
        <w:lastRenderedPageBreak/>
        <w:t>заштите интереса корисника, спроведено је истраживање степена задовољства корисника поштанских услуга, које је операторима послужило као основ за уочавање недостатака које треба поправити, као и прилика за уочавање даљих праваца развоја у сусрет потребама грађана и привреде.</w:t>
      </w:r>
    </w:p>
    <w:p w14:paraId="26B7CC3B" w14:textId="410C9F3C"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С тим у вези, сачињена је и анализа одрживости универзалне поштанске услуге, при чему су дате препоруке за редизајнирање обима и начина пружања ових услуга, укључујући укидање превазиђених и увођење иновативних поштанских услуга. </w:t>
      </w:r>
    </w:p>
    <w:p w14:paraId="7422CDDF" w14:textId="1C40D98D"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Унапређена је и финансијска ефикасност кроз унапређење процедуре рачуноводственог раздвајања, а у складу са препорукама Стратегије, цене универзалног сервиса су усклађене са инфлацијом. Поред тога, један од резултата реализ</w:t>
      </w:r>
      <w:r w:rsidR="00AB1809" w:rsidRPr="00B3123E">
        <w:rPr>
          <w:rFonts w:ascii="Times New Roman" w:hAnsi="Times New Roman" w:cs="Times New Roman"/>
          <w:iCs/>
          <w:szCs w:val="24"/>
          <w:lang w:val="sr-Cyrl-RS"/>
        </w:rPr>
        <w:t>а</w:t>
      </w:r>
      <w:r w:rsidR="00A530A2" w:rsidRPr="00B3123E">
        <w:rPr>
          <w:rFonts w:ascii="Times New Roman" w:hAnsi="Times New Roman" w:cs="Times New Roman"/>
          <w:iCs/>
          <w:szCs w:val="24"/>
          <w:lang w:val="sr-Cyrl-RS"/>
        </w:rPr>
        <w:t>ције мера су остварена улагања у модернизацију поштанске инфраструктуре, укључујући и примену пакетомата, којима је значајно унапређена испорука поштанских пошиљака у урбаним срединама,</w:t>
      </w:r>
      <w:r w:rsidR="00C00BFD" w:rsidRPr="00B3123E">
        <w:rPr>
          <w:rFonts w:ascii="Times New Roman" w:hAnsi="Times New Roman" w:cs="Times New Roman"/>
          <w:iCs/>
          <w:szCs w:val="24"/>
          <w:lang w:val="sr-Cyrl-RS"/>
        </w:rPr>
        <w:t xml:space="preserve"> што је утицало и на повећање е-</w:t>
      </w:r>
      <w:r w:rsidR="00A530A2" w:rsidRPr="00B3123E">
        <w:rPr>
          <w:rFonts w:ascii="Times New Roman" w:hAnsi="Times New Roman" w:cs="Times New Roman"/>
          <w:iCs/>
          <w:szCs w:val="24"/>
          <w:lang w:val="sr-Cyrl-RS"/>
        </w:rPr>
        <w:t>трговине због олакшаног преузимања робе, а у крајњем рез</w:t>
      </w:r>
      <w:r w:rsidR="00C323EF" w:rsidRPr="00B3123E">
        <w:rPr>
          <w:rFonts w:ascii="Times New Roman" w:hAnsi="Times New Roman" w:cs="Times New Roman"/>
          <w:iCs/>
          <w:szCs w:val="24"/>
          <w:lang w:val="sr-Cyrl-RS"/>
        </w:rPr>
        <w:t>у</w:t>
      </w:r>
      <w:r w:rsidR="00A530A2" w:rsidRPr="00B3123E">
        <w:rPr>
          <w:rFonts w:ascii="Times New Roman" w:hAnsi="Times New Roman" w:cs="Times New Roman"/>
          <w:iCs/>
          <w:szCs w:val="24"/>
          <w:lang w:val="sr-Cyrl-RS"/>
        </w:rPr>
        <w:t>лтату на повећање обима пошиљака генерисаних даљинском куповином.</w:t>
      </w:r>
    </w:p>
    <w:p w14:paraId="7640C710" w14:textId="38EE39B1"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Поред тога, у потпуности је реализована и Мера 4.2. Развој међународне сарадње у области поштанских услуга у циљу интеграције поштанског тржишта у глобалну поштански мрежу, кроз учешће представника ЈПО, Регулатора и </w:t>
      </w:r>
      <w:r w:rsidR="00EA653D" w:rsidRPr="00B3123E">
        <w:rPr>
          <w:rFonts w:ascii="Times New Roman" w:hAnsi="Times New Roman" w:cs="Times New Roman"/>
          <w:iCs/>
          <w:szCs w:val="24"/>
          <w:lang w:val="sr-Cyrl-RS"/>
        </w:rPr>
        <w:t>М</w:t>
      </w:r>
      <w:r w:rsidR="00A530A2" w:rsidRPr="00B3123E">
        <w:rPr>
          <w:rFonts w:ascii="Times New Roman" w:hAnsi="Times New Roman" w:cs="Times New Roman"/>
          <w:iCs/>
          <w:szCs w:val="24"/>
          <w:lang w:val="sr-Cyrl-RS"/>
        </w:rPr>
        <w:t xml:space="preserve">инистарства у раду конгреса </w:t>
      </w:r>
      <w:bookmarkStart w:id="7" w:name="_Hlk214019191"/>
      <w:r w:rsidR="00A530A2" w:rsidRPr="00B3123E">
        <w:rPr>
          <w:rFonts w:ascii="Times New Roman" w:hAnsi="Times New Roman" w:cs="Times New Roman"/>
          <w:iCs/>
          <w:szCs w:val="24"/>
          <w:lang w:val="sr-Cyrl-RS"/>
        </w:rPr>
        <w:t>Светског поштанског савеза</w:t>
      </w:r>
      <w:bookmarkEnd w:id="7"/>
      <w:r w:rsidR="00A530A2" w:rsidRPr="00B3123E">
        <w:rPr>
          <w:rFonts w:ascii="Times New Roman" w:hAnsi="Times New Roman" w:cs="Times New Roman"/>
          <w:iCs/>
          <w:szCs w:val="24"/>
          <w:lang w:val="sr-Cyrl-RS"/>
        </w:rPr>
        <w:t xml:space="preserve">, као и на пленарним заседањима и радним групама Европског комитета за поштанску регулативу (CERP), Европске групе поштанских регулатора (ERGP) и Асоцијације јавних поштанских оператора Европе (PostEurop). Спровођењем ове мере остварен је изузетан успех </w:t>
      </w:r>
      <w:r w:rsidR="009C1B8F"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 Република Србија </w:t>
      </w:r>
      <w:r w:rsidR="00E54120" w:rsidRPr="00B3123E">
        <w:rPr>
          <w:rFonts w:ascii="Times New Roman" w:hAnsi="Times New Roman" w:cs="Times New Roman"/>
          <w:iCs/>
          <w:szCs w:val="24"/>
          <w:lang w:val="sr-Cyrl-RS"/>
        </w:rPr>
        <w:t xml:space="preserve">је </w:t>
      </w:r>
      <w:r w:rsidR="00A530A2" w:rsidRPr="00B3123E">
        <w:rPr>
          <w:rFonts w:ascii="Times New Roman" w:hAnsi="Times New Roman" w:cs="Times New Roman"/>
          <w:iCs/>
          <w:szCs w:val="24"/>
          <w:lang w:val="sr-Cyrl-RS"/>
        </w:rPr>
        <w:t xml:space="preserve">на 28. Конгресу Светског поштанског савеза одржаном у октобру 2025. године, изабрана у чланство Савета за поштанску експлоатацију, једном од два најзначајнија тела Светског поштанског савеза, које је усмерено на помоћ поштама да модернизују и унапреде своје поштанске услуге и производе, и бави се оперативним, економским и комерцијалним аспектима поштанског пословања. Рад представника </w:t>
      </w:r>
      <w:r w:rsidR="00EA653D" w:rsidRPr="00B3123E">
        <w:rPr>
          <w:rFonts w:ascii="Times New Roman" w:hAnsi="Times New Roman" w:cs="Times New Roman"/>
          <w:iCs/>
          <w:szCs w:val="24"/>
          <w:lang w:val="sr-Cyrl-RS"/>
        </w:rPr>
        <w:t>Републике Србије</w:t>
      </w:r>
      <w:r w:rsidR="00A530A2" w:rsidRPr="00B3123E">
        <w:rPr>
          <w:rFonts w:ascii="Times New Roman" w:hAnsi="Times New Roman" w:cs="Times New Roman"/>
          <w:iCs/>
          <w:szCs w:val="24"/>
          <w:lang w:val="sr-Cyrl-RS"/>
        </w:rPr>
        <w:t xml:space="preserve"> у овом телу у периоду 2026</w:t>
      </w:r>
      <w:r w:rsidR="009C1B8F" w:rsidRPr="00B3123E">
        <w:rPr>
          <w:rFonts w:ascii="Times New Roman" w:hAnsi="Times New Roman" w:cs="Times New Roman"/>
          <w:iCs/>
          <w:szCs w:val="24"/>
          <w:lang w:val="sr-Cyrl-RS"/>
        </w:rPr>
        <w:t xml:space="preserve"> – </w:t>
      </w:r>
      <w:r w:rsidR="00A530A2" w:rsidRPr="00B3123E">
        <w:rPr>
          <w:rFonts w:ascii="Times New Roman" w:hAnsi="Times New Roman" w:cs="Times New Roman"/>
          <w:iCs/>
          <w:szCs w:val="24"/>
          <w:lang w:val="sr-Cyrl-RS"/>
        </w:rPr>
        <w:t>2029. године</w:t>
      </w:r>
      <w:r w:rsidR="001E0BFB"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 даће значај допринос у промоцији раста поштанских пошиљка, пакета и финансијских услуга на националном поштанском тржишту, осигуравајући да поштанска мрежа остане релевантна, приступачна и иновативна у дигиталној ери.</w:t>
      </w:r>
    </w:p>
    <w:p w14:paraId="2E21B61D" w14:textId="3FE8906C"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У вези са свим напред наведеним, спровођењем заједничких активности и реализацијом мера унапређена је институционална сарадња, што је позитивно утицало на развој поштанског сектора. Сарадња је остварена у изради законских и подзаконских аката, у спровођењу стручног и инспекцијског надзора, у области међународне сарадње, у области европских интеграција и многим другим областима од значаја за поштанске услуге.</w:t>
      </w:r>
    </w:p>
    <w:p w14:paraId="1EA32890" w14:textId="64B44812" w:rsidR="00CA7565" w:rsidRPr="00B3123E" w:rsidRDefault="001E4F9A" w:rsidP="00A530A2">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Министарство je континуирано надгледало реализацију мера и активности предвиђених Акционим планом, пратећи сваке године постигнуте резултате кроз квалитативне и квантитативне параметре. На крају сваке године</w:t>
      </w:r>
      <w:r w:rsidR="001E0BFB"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 сачињавани су и јавности доступни годишњи извештаји о реализацији Стратегије и Акционог плана, који су објављивани на сајту Министарства.</w:t>
      </w:r>
    </w:p>
    <w:p w14:paraId="248DB8C3" w14:textId="7708E2F0" w:rsidR="00556A70" w:rsidRPr="00B3123E" w:rsidRDefault="00556A70" w:rsidP="00A530A2">
      <w:pPr>
        <w:tabs>
          <w:tab w:val="left" w:pos="1440"/>
        </w:tabs>
        <w:spacing w:before="225" w:after="225"/>
        <w:rPr>
          <w:rFonts w:ascii="Times New Roman" w:hAnsi="Times New Roman" w:cs="Times New Roman"/>
          <w:iCs/>
          <w:szCs w:val="24"/>
          <w:lang w:val="sr-Cyrl-RS"/>
        </w:rPr>
      </w:pPr>
    </w:p>
    <w:p w14:paraId="2AF714D7" w14:textId="77777777" w:rsidR="006211A8" w:rsidRPr="00B3123E" w:rsidRDefault="006211A8" w:rsidP="00A530A2">
      <w:pPr>
        <w:tabs>
          <w:tab w:val="left" w:pos="1440"/>
        </w:tabs>
        <w:spacing w:before="225" w:after="225"/>
        <w:rPr>
          <w:rFonts w:ascii="Times New Roman" w:hAnsi="Times New Roman" w:cs="Times New Roman"/>
          <w:iCs/>
          <w:szCs w:val="24"/>
          <w:lang w:val="sr-Cyrl-RS"/>
        </w:rPr>
      </w:pPr>
    </w:p>
    <w:p w14:paraId="60A696A4" w14:textId="43F5F00D" w:rsidR="00CA342D" w:rsidRPr="00B3123E" w:rsidRDefault="004B2269" w:rsidP="004B2269">
      <w:pPr>
        <w:tabs>
          <w:tab w:val="left" w:pos="1440"/>
        </w:tabs>
        <w:spacing w:before="225" w:after="225"/>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lastRenderedPageBreak/>
        <w:t xml:space="preserve">2.2. </w:t>
      </w:r>
      <w:r w:rsidR="002F6179" w:rsidRPr="00B3123E">
        <w:rPr>
          <w:rFonts w:ascii="Times New Roman" w:hAnsi="Times New Roman" w:cs="Times New Roman"/>
          <w:szCs w:val="24"/>
          <w:u w:val="single"/>
          <w:lang w:val="sr-Cyrl-RS"/>
        </w:rPr>
        <w:t xml:space="preserve">Планска документа и </w:t>
      </w:r>
      <w:r w:rsidR="00B558A5" w:rsidRPr="00B3123E">
        <w:rPr>
          <w:rFonts w:ascii="Times New Roman" w:hAnsi="Times New Roman" w:cs="Times New Roman"/>
          <w:szCs w:val="24"/>
          <w:u w:val="single"/>
          <w:lang w:val="sr-Cyrl-RS"/>
        </w:rPr>
        <w:t xml:space="preserve">релевантни </w:t>
      </w:r>
      <w:r w:rsidR="002F6179" w:rsidRPr="00B3123E">
        <w:rPr>
          <w:rFonts w:ascii="Times New Roman" w:hAnsi="Times New Roman" w:cs="Times New Roman"/>
          <w:szCs w:val="24"/>
          <w:u w:val="single"/>
          <w:lang w:val="sr-Cyrl-RS"/>
        </w:rPr>
        <w:t xml:space="preserve">правни оквир за Програм </w:t>
      </w:r>
    </w:p>
    <w:p w14:paraId="23946760" w14:textId="77777777" w:rsidR="002F6179" w:rsidRPr="00B3123E" w:rsidRDefault="002F6179" w:rsidP="00CA342D">
      <w:pPr>
        <w:tabs>
          <w:tab w:val="left" w:pos="1440"/>
        </w:tabs>
        <w:spacing w:before="225" w:after="225"/>
        <w:ind w:firstLine="1276"/>
        <w:rPr>
          <w:rFonts w:ascii="Times New Roman" w:hAnsi="Times New Roman" w:cs="Times New Roman"/>
          <w:szCs w:val="24"/>
          <w:lang w:val="sr-Cyrl-RS"/>
        </w:rPr>
      </w:pPr>
    </w:p>
    <w:p w14:paraId="71EDFC20" w14:textId="20D70D61" w:rsidR="00CA342D"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Тржиште поштанских услуга у Републици Србији регулисано је кроз активности Министарства, које је надлежно и за област поштанских услуга, као и активности националног Регулатора</w:t>
      </w:r>
      <w:r w:rsidR="00A00CDA" w:rsidRPr="00B3123E">
        <w:rPr>
          <w:rFonts w:ascii="Times New Roman" w:hAnsi="Times New Roman" w:cs="Times New Roman"/>
          <w:szCs w:val="24"/>
          <w:lang w:val="sr-Cyrl-RS"/>
        </w:rPr>
        <w:t>.</w:t>
      </w:r>
    </w:p>
    <w:p w14:paraId="51EE3CB4" w14:textId="70D3ED88" w:rsidR="00CA342D"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Министарство спроводи политику Владе, кроз доношење одговарајућих прописа, врши надзор над применом Закона о поштанским услугама и прописа донетих на основу Закона, представља Републику Србију у међународним организацијама и институцијама у области поштанск</w:t>
      </w:r>
      <w:r w:rsidR="000075B8" w:rsidRPr="00B3123E">
        <w:rPr>
          <w:rFonts w:ascii="Times New Roman" w:hAnsi="Times New Roman" w:cs="Times New Roman"/>
          <w:szCs w:val="24"/>
          <w:lang w:val="sr-Cyrl-RS"/>
        </w:rPr>
        <w:t>их услуга</w:t>
      </w:r>
      <w:r w:rsidR="00CA342D" w:rsidRPr="00B3123E">
        <w:rPr>
          <w:rFonts w:ascii="Times New Roman" w:hAnsi="Times New Roman" w:cs="Times New Roman"/>
          <w:szCs w:val="24"/>
          <w:lang w:val="sr-Cyrl-RS"/>
        </w:rPr>
        <w:t xml:space="preserve">, стара се о спровођењу споразума у области поштанских услуга и обавештава </w:t>
      </w:r>
      <w:r w:rsidR="000B5E2F" w:rsidRPr="00B3123E">
        <w:rPr>
          <w:rFonts w:ascii="Times New Roman" w:hAnsi="Times New Roman" w:cs="Times New Roman"/>
          <w:szCs w:val="24"/>
          <w:lang w:val="sr-Cyrl-RS"/>
        </w:rPr>
        <w:t xml:space="preserve">Светски поштански савез </w:t>
      </w:r>
      <w:r w:rsidR="00CA342D" w:rsidRPr="00B3123E">
        <w:rPr>
          <w:rFonts w:ascii="Times New Roman" w:hAnsi="Times New Roman" w:cs="Times New Roman"/>
          <w:szCs w:val="24"/>
          <w:lang w:val="sr-Cyrl-RS"/>
        </w:rPr>
        <w:t>о ЈПО и ентитетима надлежним за испуњавање обавеза из Светске поштанске конвенције и обавља и друге послове утврђене законом.</w:t>
      </w:r>
    </w:p>
    <w:p w14:paraId="3B9BA094" w14:textId="6032AE1C" w:rsidR="00CA342D" w:rsidRPr="00B3123E" w:rsidRDefault="001E4F9A" w:rsidP="001E4F9A">
      <w:pPr>
        <w:tabs>
          <w:tab w:val="left" w:pos="1440"/>
        </w:tabs>
        <w:spacing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 xml:space="preserve">Регулаторно тело за електронске комуникације и поштанске услуге је независна регулаторна организација која, између осталог, врши јавна овлашћења у циљу регулисања тржишта поштанских услуга у Републици Србији. Правни положај и рад Регулатора прописани су законом којим се уређује област електронских комуникација. Регулатор у складу са </w:t>
      </w:r>
      <w:r w:rsidR="00D848BA" w:rsidRPr="00B3123E">
        <w:rPr>
          <w:rFonts w:ascii="Times New Roman" w:hAnsi="Times New Roman" w:cs="Times New Roman"/>
          <w:szCs w:val="24"/>
          <w:lang w:val="sr-Cyrl-RS"/>
        </w:rPr>
        <w:t>Законом о поштанским услугама</w:t>
      </w:r>
      <w:r w:rsidR="00CA342D" w:rsidRPr="00B3123E">
        <w:rPr>
          <w:rFonts w:ascii="Times New Roman" w:hAnsi="Times New Roman" w:cs="Times New Roman"/>
          <w:szCs w:val="24"/>
          <w:lang w:val="sr-Cyrl-RS"/>
        </w:rPr>
        <w:t xml:space="preserve"> доноси подзаконске акте,  издаје и одузима дозволе за обављање поштанских услуга, учествује у раду међународних организација и институција у својству националног регулаторног тела у области поштанских услуга,  врши стручни надзор над радом поштанских оператора, води регистар издатих и одузетих дозвола поштанским операторима и обезбеђује јавни приступ том регистру, спроводи вансудско решавање спорова између поштанских оператора и корисника,  решава спорове између ЈПО и корисника у вези са приступом поштанској мрежи, сачињава упоредни преглед цена поштанских услуга поштанских оператора и на својој интернет страници објављује податке из ценовника поштанских услуга, сачињава географски преглед распрострањености поштанске мреже и територијалне доступности услуга поштанских оператора и на својој интернет страници објављује податке из географског прегледа, подстиче конкуренцију и иновације на тржишту поштанских услуга, прикупља, обрађује и објављује податке о тржишту поштанских услуга уз основне податке о пословању поштанских оператора у вези са обимом и приходом од остварених поштанских услуга по поштанском оператору, прикупља и обрађује податке од поштанских оператора потребне за унапређење прекограничне доставе пакета, прикупља и објављује податке у вези активности поштанских оператора усмерених на одрживи развој и подстиче сарадњу између поштанских оператора и заинтересованих институција по том питању.</w:t>
      </w:r>
    </w:p>
    <w:p w14:paraId="5C6C29C7" w14:textId="1F22AB1B" w:rsidR="00CA342D" w:rsidRPr="00B3123E" w:rsidRDefault="00CA342D" w:rsidP="001E4F9A">
      <w:pPr>
        <w:tabs>
          <w:tab w:val="left" w:pos="567"/>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Републици Србији поштанске услуге регулисане су Законом и одговарајућим подзаконским актима, донетим на основу </w:t>
      </w:r>
      <w:r w:rsidR="00A00CDA" w:rsidRPr="00B3123E">
        <w:rPr>
          <w:rFonts w:ascii="Times New Roman" w:hAnsi="Times New Roman" w:cs="Times New Roman"/>
          <w:szCs w:val="24"/>
          <w:lang w:val="sr-Cyrl-RS"/>
        </w:rPr>
        <w:t>З</w:t>
      </w:r>
      <w:r w:rsidRPr="00B3123E">
        <w:rPr>
          <w:rFonts w:ascii="Times New Roman" w:hAnsi="Times New Roman" w:cs="Times New Roman"/>
          <w:szCs w:val="24"/>
          <w:lang w:val="sr-Cyrl-RS"/>
        </w:rPr>
        <w:t>акона.</w:t>
      </w:r>
    </w:p>
    <w:p w14:paraId="3C8B933B" w14:textId="571A3C6A" w:rsidR="00CA342D" w:rsidRPr="00B3123E" w:rsidRDefault="00CA342D" w:rsidP="001E4F9A">
      <w:pPr>
        <w:tabs>
          <w:tab w:val="left" w:pos="567"/>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Законом </w:t>
      </w:r>
      <w:r w:rsidR="00A00CDA" w:rsidRPr="00B3123E">
        <w:rPr>
          <w:rFonts w:ascii="Times New Roman" w:hAnsi="Times New Roman" w:cs="Times New Roman"/>
          <w:szCs w:val="24"/>
          <w:lang w:val="sr-Cyrl-RS"/>
        </w:rPr>
        <w:t>су уређени</w:t>
      </w:r>
      <w:r w:rsidRPr="00B3123E">
        <w:rPr>
          <w:rFonts w:ascii="Times New Roman" w:hAnsi="Times New Roman" w:cs="Times New Roman"/>
          <w:szCs w:val="24"/>
          <w:lang w:val="sr-Cyrl-RS"/>
        </w:rPr>
        <w:t xml:space="preserve"> услови и начин обављања поштанских услуга, надлежности у области поштанских услуга, права, обавезе и одговорности давалаца и корисника поштанских услуга, надзор над применом закона, као и друга питања од значаја за функционисање и развој поштанских услуга у Републици Србији.</w:t>
      </w:r>
    </w:p>
    <w:p w14:paraId="519C1367" w14:textId="5E9EAEC7"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Законом је утврђено да овлашћења у области поштанских услуга у Републици Србији имају Влада, министарство надлежно за област поштанског саобраћаја и Регулатор. Влада утврђује основна опредељења и принципе обављања поштанских </w:t>
      </w:r>
      <w:r w:rsidRPr="00B3123E">
        <w:rPr>
          <w:rFonts w:ascii="Times New Roman" w:hAnsi="Times New Roman" w:cs="Times New Roman"/>
          <w:szCs w:val="24"/>
          <w:lang w:val="sr-Cyrl-RS"/>
        </w:rPr>
        <w:lastRenderedPageBreak/>
        <w:t xml:space="preserve">услуга, руководећи се општим интересом у овој области, професионалним принципима поштанске струке и начелима </w:t>
      </w:r>
      <w:r w:rsidR="00CB048E" w:rsidRPr="00B3123E">
        <w:rPr>
          <w:rFonts w:ascii="Times New Roman" w:hAnsi="Times New Roman" w:cs="Times New Roman"/>
          <w:szCs w:val="24"/>
          <w:lang w:val="sr-Cyrl-RS"/>
        </w:rPr>
        <w:t>Светског поштанског савеза</w:t>
      </w:r>
      <w:r w:rsidRPr="00B3123E">
        <w:rPr>
          <w:rFonts w:ascii="Times New Roman" w:hAnsi="Times New Roman" w:cs="Times New Roman"/>
          <w:szCs w:val="24"/>
          <w:lang w:val="sr-Cyrl-RS"/>
        </w:rPr>
        <w:t xml:space="preserve"> и других међународних организација, као и преузетим међународним обавезама, доноси програме развоја</w:t>
      </w:r>
      <w:r w:rsidR="004D5BBE"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и акционе планове за њихово спровођење, којима се утврђује начела, циљеви и приоритети развоја поштанских услуга у Републици Србији. </w:t>
      </w:r>
    </w:p>
    <w:p w14:paraId="6BA12F81" w14:textId="77777777"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Законом је прописано да је УПУ, услуга од општег економског интереса која се обавља у континуитету, на територији Републике Србије, у оквиру прописаног квалитета, по приступачним ценама и под једнаким условима за све кориснике, без дискриминације. </w:t>
      </w:r>
    </w:p>
    <w:p w14:paraId="21A866F2" w14:textId="583CBFEF"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 обављање </w:t>
      </w:r>
      <w:bookmarkStart w:id="8" w:name="_Hlk212105527"/>
      <w:r w:rsidRPr="00B3123E">
        <w:rPr>
          <w:rFonts w:ascii="Times New Roman" w:hAnsi="Times New Roman" w:cs="Times New Roman"/>
          <w:szCs w:val="24"/>
          <w:lang w:val="sr-Cyrl-RS"/>
        </w:rPr>
        <w:t>УПУ</w:t>
      </w:r>
      <w:bookmarkEnd w:id="8"/>
      <w:r w:rsidRPr="00B3123E">
        <w:rPr>
          <w:rFonts w:ascii="Times New Roman" w:hAnsi="Times New Roman" w:cs="Times New Roman"/>
          <w:szCs w:val="24"/>
          <w:lang w:val="sr-Cyrl-RS"/>
        </w:rPr>
        <w:t xml:space="preserve"> Законом је овлашћено</w:t>
      </w:r>
      <w:r w:rsidR="005F00F2" w:rsidRPr="00B3123E">
        <w:rPr>
          <w:rFonts w:ascii="Times New Roman" w:hAnsi="Times New Roman" w:cs="Times New Roman"/>
          <w:szCs w:val="24"/>
          <w:lang w:val="sr-Cyrl-RS"/>
        </w:rPr>
        <w:t xml:space="preserve"> </w:t>
      </w:r>
      <w:r w:rsidR="009C728A" w:rsidRPr="00B3123E">
        <w:rPr>
          <w:rFonts w:ascii="Times New Roman" w:hAnsi="Times New Roman" w:cs="Times New Roman"/>
          <w:lang w:val="sr-Cyrl-RS"/>
        </w:rPr>
        <w:t>„</w:t>
      </w:r>
      <w:r w:rsidRPr="00B3123E">
        <w:rPr>
          <w:rFonts w:ascii="Times New Roman" w:hAnsi="Times New Roman" w:cs="Times New Roman"/>
          <w:szCs w:val="24"/>
          <w:lang w:val="sr-Cyrl-RS"/>
        </w:rPr>
        <w:t>Пошта Срб</w:t>
      </w:r>
      <w:r w:rsidR="008F3EF8" w:rsidRPr="00B3123E">
        <w:rPr>
          <w:rFonts w:ascii="Times New Roman" w:hAnsi="Times New Roman" w:cs="Times New Roman"/>
          <w:szCs w:val="24"/>
          <w:lang w:val="sr-Cyrl-RS"/>
        </w:rPr>
        <w:t>ије” д.о.о</w:t>
      </w:r>
      <w:r w:rsidRPr="00B3123E">
        <w:rPr>
          <w:rFonts w:ascii="Times New Roman" w:hAnsi="Times New Roman" w:cs="Times New Roman"/>
          <w:szCs w:val="24"/>
          <w:lang w:val="sr-Cyrl-RS"/>
        </w:rPr>
        <w:t xml:space="preserve">, као ЈПО. У оквиру </w:t>
      </w:r>
      <w:r w:rsidR="004D5BBE"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су и резервисане поштанске услуге, чије је обављање поверено ЈПО и оне обухватају: пријем, усмеравање, пренос и уручење писмоносних поштанских пошиљака масе до 20 грама; пријем, усмеравање, пренос и уручење писмена у судском, управном и прекршајном поступку, као препоручених поштанских пошиљака, без обзира на лимите; пријем и пренос електронске поруке у Јединствено електронско сандуче на Порталу е</w:t>
      </w:r>
      <w:r w:rsidR="009C1B8F" w:rsidRPr="00B3123E">
        <w:rPr>
          <w:rFonts w:ascii="Times New Roman" w:hAnsi="Times New Roman" w:cs="Times New Roman"/>
          <w:szCs w:val="24"/>
          <w:lang w:val="sr-Cyrl-RS"/>
        </w:rPr>
        <w:t>-</w:t>
      </w:r>
      <w:r w:rsidRPr="00B3123E">
        <w:rPr>
          <w:rFonts w:ascii="Times New Roman" w:hAnsi="Times New Roman" w:cs="Times New Roman"/>
          <w:szCs w:val="24"/>
          <w:lang w:val="sr-Cyrl-RS"/>
        </w:rPr>
        <w:t>Управа.</w:t>
      </w:r>
    </w:p>
    <w:p w14:paraId="548207C9" w14:textId="77777777"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Поштанске услуге се не сматрају резервисаним поштанским услугама, ако им је поштарина без допунских услуга виша од износа који је два и по пута већи од поштарине за пренос писмоносне пошиљке најбрже категорије према важећем ценовнику ЈПО. </w:t>
      </w:r>
    </w:p>
    <w:p w14:paraId="1B719ADD" w14:textId="0993F2AF"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Услов за обављање УПУ је поседовање мреже, а ближе услове за обављање УПУ прописује министар надлежан за послове поштанск</w:t>
      </w:r>
      <w:r w:rsidR="00D848BA" w:rsidRPr="00B3123E">
        <w:rPr>
          <w:rFonts w:ascii="Times New Roman" w:hAnsi="Times New Roman" w:cs="Times New Roman"/>
          <w:szCs w:val="24"/>
          <w:lang w:val="sr-Cyrl-RS"/>
        </w:rPr>
        <w:t>их услуга</w:t>
      </w:r>
      <w:r w:rsidR="00351CA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на предлог Регулатора. ЈПО, који обавља УПУ, обезбеђује одрживост обављања УПУ из средстава обезбеђених из прихода остварених пружањем УПУ. Трошкови настали при обављању УПУ од стране ЈПО, подмирују се, првенствено, од прихода насталих обављањем резервисаних и нерезервисаних поштанских услуга, из домена УПУ. ЈПО дужан је да приходе од резервисаних поштанских услуга рачуноводствено одвоји од прихода остварених од нерезервисаних поштанских услуга из домена универзалне поштанске услуге. Давалац УПУ је дужан да рачуноводствено одвоји приходе и трошкове</w:t>
      </w:r>
      <w:r w:rsidRPr="00B3123E">
        <w:rPr>
          <w:lang w:val="sr-Cyrl-RS"/>
        </w:rPr>
        <w:t xml:space="preserve"> </w:t>
      </w:r>
      <w:r w:rsidRPr="00B3123E">
        <w:rPr>
          <w:rFonts w:ascii="Times New Roman" w:hAnsi="Times New Roman" w:cs="Times New Roman"/>
          <w:szCs w:val="24"/>
          <w:lang w:val="sr-Cyrl-RS"/>
        </w:rPr>
        <w:t>УПУ остварене од УПУ, од прихода и трошкова остварених од осталих поштанских услуга, према врстама услуга.</w:t>
      </w:r>
    </w:p>
    <w:p w14:paraId="704ED8E3" w14:textId="278EDF57"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Тренутно</w:t>
      </w:r>
      <w:r w:rsidR="00AC44C2" w:rsidRPr="00B3123E">
        <w:rPr>
          <w:rFonts w:ascii="Times New Roman" w:hAnsi="Times New Roman" w:cs="Times New Roman"/>
          <w:szCs w:val="24"/>
          <w:lang w:val="sr-Cyrl-RS"/>
        </w:rPr>
        <w:t xml:space="preserve"> су</w:t>
      </w:r>
      <w:r w:rsidRPr="00B3123E">
        <w:rPr>
          <w:rFonts w:ascii="Times New Roman" w:hAnsi="Times New Roman" w:cs="Times New Roman"/>
          <w:szCs w:val="24"/>
          <w:lang w:val="sr-Cyrl-RS"/>
        </w:rPr>
        <w:t xml:space="preserve"> на снази</w:t>
      </w:r>
      <w:r w:rsidR="00AC44C2" w:rsidRPr="00B3123E">
        <w:rPr>
          <w:rFonts w:ascii="Times New Roman" w:hAnsi="Times New Roman" w:cs="Times New Roman"/>
          <w:szCs w:val="24"/>
          <w:lang w:val="sr-Cyrl-RS"/>
        </w:rPr>
        <w:t xml:space="preserve"> следећа</w:t>
      </w:r>
      <w:r w:rsidRPr="00B3123E">
        <w:rPr>
          <w:rFonts w:ascii="Times New Roman" w:hAnsi="Times New Roman" w:cs="Times New Roman"/>
          <w:szCs w:val="24"/>
          <w:lang w:val="sr-Cyrl-RS"/>
        </w:rPr>
        <w:t xml:space="preserve"> </w:t>
      </w:r>
      <w:r w:rsidR="00AC44C2" w:rsidRPr="00B3123E">
        <w:rPr>
          <w:rFonts w:ascii="Times New Roman" w:hAnsi="Times New Roman" w:cs="Times New Roman"/>
          <w:szCs w:val="24"/>
          <w:lang w:val="sr-Cyrl-RS"/>
        </w:rPr>
        <w:t xml:space="preserve">акта </w:t>
      </w:r>
      <w:r w:rsidRPr="00B3123E">
        <w:rPr>
          <w:rFonts w:ascii="Times New Roman" w:hAnsi="Times New Roman" w:cs="Times New Roman"/>
          <w:szCs w:val="24"/>
          <w:lang w:val="sr-Cyrl-RS"/>
        </w:rPr>
        <w:t>донет</w:t>
      </w:r>
      <w:r w:rsidR="00AC44C2"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од стране Министарства и Р</w:t>
      </w:r>
      <w:r w:rsidR="00AC44C2" w:rsidRPr="00B3123E">
        <w:rPr>
          <w:rFonts w:ascii="Times New Roman" w:hAnsi="Times New Roman" w:cs="Times New Roman"/>
          <w:szCs w:val="24"/>
          <w:lang w:val="sr-Cyrl-RS"/>
        </w:rPr>
        <w:t>егулатора</w:t>
      </w:r>
      <w:r w:rsidRPr="00B3123E">
        <w:rPr>
          <w:rFonts w:ascii="Times New Roman" w:hAnsi="Times New Roman" w:cs="Times New Roman"/>
          <w:szCs w:val="24"/>
          <w:lang w:val="sr-Cyrl-RS"/>
        </w:rPr>
        <w:t>, на основу Закона:</w:t>
      </w:r>
    </w:p>
    <w:p w14:paraId="1BE37D0B" w14:textId="014A1F1C" w:rsidR="00CA342D" w:rsidRPr="00B3123E" w:rsidRDefault="00CA342D" w:rsidP="00D43F3A">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Правилник о условима и начину обављања поштанских услуга (</w:t>
      </w:r>
      <w:r w:rsidR="009C728A" w:rsidRPr="00B3123E">
        <w:rPr>
          <w:rFonts w:ascii="Times New Roman" w:hAnsi="Times New Roman" w:cs="Times New Roman"/>
          <w:lang w:val="sr-Cyrl-RS"/>
        </w:rPr>
        <w:t>„</w:t>
      </w:r>
      <w:r w:rsidRPr="00B3123E">
        <w:rPr>
          <w:rFonts w:ascii="Times New Roman" w:hAnsi="Times New Roman" w:cs="Times New Roman"/>
          <w:szCs w:val="24"/>
          <w:lang w:val="sr-Cyrl-RS"/>
        </w:rPr>
        <w:t>Службени гласник РС</w:t>
      </w:r>
      <w:r w:rsidR="009C728A" w:rsidRPr="00B3123E">
        <w:rPr>
          <w:rFonts w:ascii="Times New Roman" w:hAnsi="Times New Roman" w:cs="Times New Roman"/>
          <w:szCs w:val="24"/>
          <w:lang w:val="sr-Cyrl-RS"/>
        </w:rPr>
        <w:t>”</w:t>
      </w:r>
      <w:r w:rsidR="009C1B8F" w:rsidRPr="00B3123E">
        <w:rPr>
          <w:rFonts w:ascii="Times New Roman" w:hAnsi="Times New Roman" w:cs="Times New Roman"/>
          <w:szCs w:val="24"/>
          <w:lang w:val="sr-Cyrl-RS"/>
        </w:rPr>
        <w:t>, број 71/</w:t>
      </w:r>
      <w:r w:rsidRPr="00B3123E">
        <w:rPr>
          <w:rFonts w:ascii="Times New Roman" w:hAnsi="Times New Roman" w:cs="Times New Roman"/>
          <w:szCs w:val="24"/>
          <w:lang w:val="sr-Cyrl-RS"/>
        </w:rPr>
        <w:t>25). Овим правилником ближе се уређују услови и начин обављања поштанских услуга, поступање са поштанским пошиљкама од пријема до уручења, садржај захтева за издавање дозволе за обављање поштанских услуга, подаци које су поштански оператори дужни да достављају Регулатору, прекограничн</w:t>
      </w:r>
      <w:r w:rsidR="00D848BA"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достав</w:t>
      </w:r>
      <w:r w:rsidR="00D848BA" w:rsidRPr="00B3123E">
        <w:rPr>
          <w:rFonts w:ascii="Times New Roman" w:hAnsi="Times New Roman" w:cs="Times New Roman"/>
          <w:szCs w:val="24"/>
          <w:lang w:val="sr-Cyrl-RS"/>
        </w:rPr>
        <w:t>а</w:t>
      </w:r>
      <w:r w:rsidRPr="00B3123E">
        <w:rPr>
          <w:rFonts w:ascii="Times New Roman" w:hAnsi="Times New Roman" w:cs="Times New Roman"/>
          <w:szCs w:val="24"/>
          <w:lang w:val="sr-Cyrl-RS"/>
        </w:rPr>
        <w:t>, одржив</w:t>
      </w:r>
      <w:r w:rsidR="00D848BA"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развој, географск</w:t>
      </w:r>
      <w:r w:rsidR="00D848BA"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преглед распрострањености поштанске мреже, као и друга питања од значаја за функционисање и развој пошта</w:t>
      </w:r>
      <w:r w:rsidR="009C1B8F" w:rsidRPr="00B3123E">
        <w:rPr>
          <w:rFonts w:ascii="Times New Roman" w:hAnsi="Times New Roman" w:cs="Times New Roman"/>
          <w:szCs w:val="24"/>
          <w:lang w:val="sr-Cyrl-RS"/>
        </w:rPr>
        <w:t>нских услуга у Републици Србији;</w:t>
      </w:r>
    </w:p>
    <w:p w14:paraId="1DFF7FF9" w14:textId="77777777" w:rsidR="00D43F3A" w:rsidRPr="00B3123E" w:rsidRDefault="00D43F3A" w:rsidP="00D43F3A">
      <w:pPr>
        <w:pStyle w:val="ListParagraph"/>
        <w:tabs>
          <w:tab w:val="left" w:pos="709"/>
        </w:tabs>
        <w:spacing w:before="225" w:after="225"/>
        <w:ind w:left="360"/>
        <w:rPr>
          <w:rFonts w:ascii="Times New Roman" w:hAnsi="Times New Roman" w:cs="Times New Roman"/>
          <w:szCs w:val="24"/>
          <w:lang w:val="sr-Cyrl-RS"/>
        </w:rPr>
      </w:pPr>
    </w:p>
    <w:p w14:paraId="5CEB59CA" w14:textId="6ABB385B" w:rsidR="00D43F3A" w:rsidRPr="00B3123E" w:rsidRDefault="00CA342D" w:rsidP="00D43F3A">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о ближим условима за обављање </w:t>
      </w:r>
      <w:r w:rsidR="00A00CDA" w:rsidRPr="00B3123E">
        <w:rPr>
          <w:rFonts w:ascii="Times New Roman" w:hAnsi="Times New Roman" w:cs="Times New Roman"/>
          <w:szCs w:val="24"/>
          <w:lang w:val="sr-Cyrl-RS"/>
        </w:rPr>
        <w:t>универзалне поштанске услуге</w:t>
      </w:r>
      <w:r w:rsidRPr="00B3123E">
        <w:rPr>
          <w:rFonts w:ascii="Times New Roman" w:hAnsi="Times New Roman" w:cs="Times New Roman"/>
          <w:szCs w:val="24"/>
          <w:lang w:val="sr-Cyrl-RS"/>
        </w:rPr>
        <w:t xml:space="preserve"> (</w:t>
      </w:r>
      <w:r w:rsidR="009C728A" w:rsidRPr="00B3123E">
        <w:rPr>
          <w:rFonts w:ascii="Times New Roman" w:hAnsi="Times New Roman" w:cs="Times New Roman"/>
          <w:lang w:val="sr-Cyrl-RS"/>
        </w:rPr>
        <w:t>„</w:t>
      </w:r>
      <w:r w:rsidRPr="00B3123E">
        <w:rPr>
          <w:rFonts w:ascii="Times New Roman" w:hAnsi="Times New Roman" w:cs="Times New Roman"/>
          <w:szCs w:val="24"/>
          <w:lang w:val="sr-Cyrl-RS"/>
        </w:rPr>
        <w:t>Службени гласник РС</w:t>
      </w:r>
      <w:r w:rsidR="00891FB3" w:rsidRPr="00B3123E">
        <w:rPr>
          <w:rFonts w:ascii="Times New Roman" w:hAnsi="Times New Roman" w:cs="Times New Roman"/>
          <w:szCs w:val="24"/>
          <w:lang w:val="sr-Cyrl-RS"/>
        </w:rPr>
        <w:t>”,</w:t>
      </w:r>
      <w:r w:rsidR="009C1B8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бр</w:t>
      </w:r>
      <w:r w:rsidR="009C1B8F" w:rsidRPr="00B3123E">
        <w:rPr>
          <w:rFonts w:ascii="Times New Roman" w:hAnsi="Times New Roman" w:cs="Times New Roman"/>
          <w:szCs w:val="24"/>
          <w:lang w:val="sr-Cyrl-RS"/>
        </w:rPr>
        <w:t>ој 78/</w:t>
      </w:r>
      <w:r w:rsidRPr="00B3123E">
        <w:rPr>
          <w:rFonts w:ascii="Times New Roman" w:hAnsi="Times New Roman" w:cs="Times New Roman"/>
          <w:szCs w:val="24"/>
          <w:lang w:val="sr-Cyrl-RS"/>
        </w:rPr>
        <w:t xml:space="preserve">25). Овим правилником </w:t>
      </w:r>
      <w:bookmarkStart w:id="9" w:name="_Hlk199940489"/>
      <w:r w:rsidRPr="00B3123E">
        <w:rPr>
          <w:rFonts w:ascii="Times New Roman" w:hAnsi="Times New Roman" w:cs="Times New Roman"/>
          <w:szCs w:val="24"/>
          <w:lang w:val="sr-Cyrl-RS"/>
        </w:rPr>
        <w:t>прописују се ближи услови за обављање УПУ, који се односе на те</w:t>
      </w:r>
      <w:r w:rsidR="009C1B8F" w:rsidRPr="00B3123E">
        <w:rPr>
          <w:rFonts w:ascii="Times New Roman" w:hAnsi="Times New Roman" w:cs="Times New Roman"/>
          <w:szCs w:val="24"/>
          <w:lang w:val="sr-Cyrl-RS"/>
        </w:rPr>
        <w:t>хничке и технолошке ресурсе ЈПО</w:t>
      </w:r>
      <w:r w:rsidRPr="00B3123E">
        <w:rPr>
          <w:rFonts w:ascii="Times New Roman" w:hAnsi="Times New Roman" w:cs="Times New Roman"/>
          <w:szCs w:val="24"/>
          <w:lang w:val="sr-Cyrl-RS"/>
        </w:rPr>
        <w:t xml:space="preserve">/даваоца УПУ, минимум радног времена, неопходне услове за пружање универзалне поштанске услуге особама са инвалидитетом, као и </w:t>
      </w:r>
      <w:bookmarkEnd w:id="9"/>
      <w:r w:rsidRPr="00B3123E">
        <w:rPr>
          <w:rFonts w:ascii="Times New Roman" w:hAnsi="Times New Roman" w:cs="Times New Roman"/>
          <w:szCs w:val="24"/>
          <w:lang w:val="sr-Cyrl-RS"/>
        </w:rPr>
        <w:t>номе</w:t>
      </w:r>
      <w:r w:rsidR="00501082" w:rsidRPr="00B3123E">
        <w:rPr>
          <w:rFonts w:ascii="Times New Roman" w:hAnsi="Times New Roman" w:cs="Times New Roman"/>
          <w:szCs w:val="24"/>
          <w:lang w:val="sr-Cyrl-RS"/>
        </w:rPr>
        <w:t>нклатурa;</w:t>
      </w:r>
    </w:p>
    <w:p w14:paraId="4BE0895A" w14:textId="77777777" w:rsidR="00D43F3A" w:rsidRPr="00B3123E" w:rsidRDefault="00D43F3A" w:rsidP="00D43F3A">
      <w:pPr>
        <w:pStyle w:val="ListParagraph"/>
        <w:rPr>
          <w:rFonts w:ascii="Times New Roman" w:hAnsi="Times New Roman" w:cs="Times New Roman"/>
          <w:szCs w:val="24"/>
          <w:lang w:val="sr-Cyrl-RS"/>
        </w:rPr>
      </w:pPr>
    </w:p>
    <w:p w14:paraId="0140DD27" w14:textId="6DDD46A0" w:rsidR="00CA342D" w:rsidRPr="00B3123E" w:rsidRDefault="00CA342D" w:rsidP="00D43F3A">
      <w:pPr>
        <w:pStyle w:val="ListParagraph"/>
        <w:tabs>
          <w:tab w:val="left" w:pos="709"/>
        </w:tabs>
        <w:spacing w:before="225" w:after="225"/>
        <w:ind w:left="360"/>
        <w:rPr>
          <w:rFonts w:ascii="Times New Roman" w:hAnsi="Times New Roman" w:cs="Times New Roman"/>
          <w:szCs w:val="24"/>
          <w:lang w:val="sr-Cyrl-RS"/>
        </w:rPr>
      </w:pPr>
      <w:r w:rsidRPr="00B3123E">
        <w:rPr>
          <w:rFonts w:ascii="Times New Roman" w:hAnsi="Times New Roman" w:cs="Times New Roman"/>
          <w:szCs w:val="24"/>
          <w:lang w:val="sr-Cyrl-RS"/>
        </w:rPr>
        <w:t xml:space="preserve"> </w:t>
      </w:r>
    </w:p>
    <w:p w14:paraId="3070BF97" w14:textId="518057F0" w:rsidR="00CA342D" w:rsidRPr="00B3123E" w:rsidRDefault="00CA342D" w:rsidP="00D43F3A">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о параметрима квалитета, мерилима и критеријумима за обављање </w:t>
      </w:r>
      <w:r w:rsidR="00A00CDA" w:rsidRPr="00B3123E">
        <w:rPr>
          <w:rFonts w:ascii="Times New Roman" w:hAnsi="Times New Roman" w:cs="Times New Roman"/>
          <w:szCs w:val="24"/>
          <w:lang w:val="sr-Cyrl-RS"/>
        </w:rPr>
        <w:t>универзалне поштанске услуге</w:t>
      </w:r>
      <w:r w:rsidRPr="00B3123E">
        <w:rPr>
          <w:rFonts w:ascii="Times New Roman" w:hAnsi="Times New Roman" w:cs="Times New Roman"/>
          <w:szCs w:val="24"/>
          <w:lang w:val="sr-Cyrl-RS"/>
        </w:rPr>
        <w:t xml:space="preserve"> (</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број 78/25). Овим правилником ближе се уређују мерила и критериј</w:t>
      </w:r>
      <w:r w:rsidR="00501082" w:rsidRPr="00B3123E">
        <w:rPr>
          <w:rFonts w:ascii="Times New Roman" w:hAnsi="Times New Roman" w:cs="Times New Roman"/>
          <w:szCs w:val="24"/>
          <w:lang w:val="sr-Cyrl-RS"/>
        </w:rPr>
        <w:t>у</w:t>
      </w:r>
      <w:r w:rsidRPr="00B3123E">
        <w:rPr>
          <w:rFonts w:ascii="Times New Roman" w:hAnsi="Times New Roman" w:cs="Times New Roman"/>
          <w:szCs w:val="24"/>
          <w:lang w:val="sr-Cyrl-RS"/>
        </w:rPr>
        <w:t>ми које мора</w:t>
      </w:r>
      <w:r w:rsidR="00501082" w:rsidRPr="00B3123E">
        <w:rPr>
          <w:rFonts w:ascii="Times New Roman" w:hAnsi="Times New Roman" w:cs="Times New Roman"/>
          <w:szCs w:val="24"/>
          <w:lang w:val="sr-Cyrl-RS"/>
        </w:rPr>
        <w:t xml:space="preserve"> испуњавати поштанска мрежа ЈПО</w:t>
      </w:r>
      <w:r w:rsidRPr="00B3123E">
        <w:rPr>
          <w:rFonts w:ascii="Times New Roman" w:hAnsi="Times New Roman" w:cs="Times New Roman"/>
          <w:szCs w:val="24"/>
          <w:lang w:val="sr-Cyrl-RS"/>
        </w:rPr>
        <w:t>/</w:t>
      </w:r>
      <w:bookmarkStart w:id="10" w:name="_Hlk198197599"/>
      <w:r w:rsidRPr="00B3123E">
        <w:rPr>
          <w:rFonts w:ascii="Times New Roman" w:hAnsi="Times New Roman" w:cs="Times New Roman"/>
          <w:szCs w:val="24"/>
          <w:lang w:val="sr-Cyrl-RS"/>
        </w:rPr>
        <w:t xml:space="preserve">даваоца </w:t>
      </w:r>
      <w:bookmarkEnd w:id="10"/>
      <w:r w:rsidRPr="00B3123E">
        <w:rPr>
          <w:rFonts w:ascii="Times New Roman" w:hAnsi="Times New Roman" w:cs="Times New Roman"/>
          <w:szCs w:val="24"/>
          <w:lang w:val="sr-Cyrl-RS"/>
        </w:rPr>
        <w:t>УПУ, водећи рачуна о густини насељености, покривености подручја и потребама корисника услуга, као и пара</w:t>
      </w:r>
      <w:r w:rsidR="00501082" w:rsidRPr="00B3123E">
        <w:rPr>
          <w:rFonts w:ascii="Times New Roman" w:hAnsi="Times New Roman" w:cs="Times New Roman"/>
          <w:szCs w:val="24"/>
          <w:lang w:val="sr-Cyrl-RS"/>
        </w:rPr>
        <w:t>метри квалитета за обављање УПУ;</w:t>
      </w:r>
    </w:p>
    <w:p w14:paraId="7365C192" w14:textId="77777777" w:rsidR="00D43F3A" w:rsidRPr="00B3123E" w:rsidRDefault="00D43F3A" w:rsidP="00D43F3A">
      <w:pPr>
        <w:pStyle w:val="ListParagraph"/>
        <w:tabs>
          <w:tab w:val="left" w:pos="709"/>
        </w:tabs>
        <w:spacing w:before="225" w:after="225"/>
        <w:ind w:left="360"/>
        <w:rPr>
          <w:rFonts w:ascii="Times New Roman" w:hAnsi="Times New Roman" w:cs="Times New Roman"/>
          <w:szCs w:val="24"/>
          <w:lang w:val="sr-Cyrl-RS"/>
        </w:rPr>
      </w:pPr>
    </w:p>
    <w:p w14:paraId="459B5B49" w14:textId="1FF97576" w:rsidR="00D43F3A" w:rsidRPr="00B3123E" w:rsidRDefault="00CA342D" w:rsidP="00D43F3A">
      <w:pPr>
        <w:pStyle w:val="ListParagraph"/>
        <w:numPr>
          <w:ilvl w:val="0"/>
          <w:numId w:val="21"/>
        </w:numPr>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Правилник о начину и поступку стручног надзора обављања поштанских услуга (</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50108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број </w:t>
      </w:r>
      <w:r w:rsidR="00B77872" w:rsidRPr="00B3123E">
        <w:rPr>
          <w:rFonts w:ascii="Times New Roman" w:hAnsi="Times New Roman" w:cs="Times New Roman"/>
          <w:szCs w:val="24"/>
          <w:lang w:val="sr-Cyrl-RS"/>
        </w:rPr>
        <w:t>110</w:t>
      </w:r>
      <w:r w:rsidRPr="00B3123E">
        <w:rPr>
          <w:rFonts w:ascii="Times New Roman" w:hAnsi="Times New Roman" w:cs="Times New Roman"/>
          <w:szCs w:val="24"/>
          <w:lang w:val="sr-Cyrl-RS"/>
        </w:rPr>
        <w:t xml:space="preserve">/25). Овим правилником прописује се начин организовања и поступања овлашћених лица Регулатора у вршењу стручног надзора </w:t>
      </w:r>
      <w:bookmarkStart w:id="11" w:name="_Hlk74566687"/>
      <w:r w:rsidRPr="00B3123E">
        <w:rPr>
          <w:rFonts w:ascii="Times New Roman" w:hAnsi="Times New Roman" w:cs="Times New Roman"/>
          <w:szCs w:val="24"/>
          <w:lang w:val="sr-Cyrl-RS"/>
        </w:rPr>
        <w:t>у области поштанских услуга код поштанског оператора</w:t>
      </w:r>
      <w:bookmarkEnd w:id="11"/>
      <w:r w:rsidRPr="00B3123E">
        <w:rPr>
          <w:rFonts w:ascii="Times New Roman" w:hAnsi="Times New Roman" w:cs="Times New Roman"/>
          <w:bCs/>
          <w:szCs w:val="24"/>
          <w:lang w:val="sr-Cyrl-RS"/>
        </w:rPr>
        <w:t>, који се спроводи</w:t>
      </w:r>
      <w:r w:rsidRPr="00B3123E">
        <w:rPr>
          <w:rFonts w:ascii="Times New Roman" w:hAnsi="Times New Roman" w:cs="Times New Roman"/>
          <w:szCs w:val="24"/>
          <w:lang w:val="sr-Cyrl-RS"/>
        </w:rPr>
        <w:t xml:space="preserve"> сагласно Закону.</w:t>
      </w:r>
    </w:p>
    <w:p w14:paraId="6F511BEC" w14:textId="77777777" w:rsidR="00D43F3A" w:rsidRPr="00B3123E" w:rsidRDefault="00D43F3A" w:rsidP="00D43F3A">
      <w:pPr>
        <w:pStyle w:val="ListParagraph"/>
        <w:rPr>
          <w:rFonts w:ascii="Times New Roman" w:hAnsi="Times New Roman" w:cs="Times New Roman"/>
          <w:szCs w:val="24"/>
          <w:lang w:val="sr-Cyrl-RS"/>
        </w:rPr>
      </w:pPr>
    </w:p>
    <w:p w14:paraId="49CDD3DF" w14:textId="3FBC16E1" w:rsidR="00CA342D" w:rsidRPr="00B3123E" w:rsidRDefault="00CA342D" w:rsidP="00D43F3A">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о </w:t>
      </w:r>
      <w:bookmarkStart w:id="12" w:name="_Hlk212030155"/>
      <w:r w:rsidRPr="00B3123E">
        <w:rPr>
          <w:rFonts w:ascii="Times New Roman" w:hAnsi="Times New Roman" w:cs="Times New Roman"/>
          <w:szCs w:val="24"/>
          <w:lang w:val="sr-Cyrl-RS"/>
        </w:rPr>
        <w:t>приступ</w:t>
      </w:r>
      <w:r w:rsidR="00011344"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мрежи </w:t>
      </w:r>
      <w:bookmarkEnd w:id="12"/>
      <w:r w:rsidR="00F76AC2" w:rsidRPr="00B3123E">
        <w:rPr>
          <w:rFonts w:ascii="Times New Roman" w:hAnsi="Times New Roman" w:cs="Times New Roman"/>
          <w:szCs w:val="24"/>
          <w:lang w:val="sr-Cyrl-RS"/>
        </w:rPr>
        <w:t>јавног поштанског оператора</w:t>
      </w:r>
      <w:r w:rsidRPr="00B3123E">
        <w:rPr>
          <w:rFonts w:ascii="Times New Roman" w:hAnsi="Times New Roman" w:cs="Times New Roman"/>
          <w:szCs w:val="24"/>
          <w:lang w:val="sr-Cyrl-RS"/>
        </w:rPr>
        <w:t xml:space="preserve"> (</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 број</w:t>
      </w:r>
      <w:r w:rsidR="00EA23CE" w:rsidRPr="00B3123E">
        <w:rPr>
          <w:rFonts w:ascii="Times New Roman" w:hAnsi="Times New Roman" w:cs="Times New Roman"/>
          <w:szCs w:val="24"/>
          <w:lang w:val="sr-Cyrl-RS"/>
        </w:rPr>
        <w:t xml:space="preserve"> </w:t>
      </w:r>
      <w:r w:rsidR="004B2B79" w:rsidRPr="00B3123E">
        <w:rPr>
          <w:rFonts w:ascii="Times New Roman" w:hAnsi="Times New Roman" w:cs="Times New Roman"/>
          <w:szCs w:val="24"/>
          <w:lang w:val="sr-Cyrl-RS"/>
        </w:rPr>
        <w:t>110</w:t>
      </w:r>
      <w:r w:rsidRPr="00B3123E">
        <w:rPr>
          <w:rFonts w:ascii="Times New Roman" w:hAnsi="Times New Roman" w:cs="Times New Roman"/>
          <w:szCs w:val="24"/>
          <w:lang w:val="sr-Cyrl-RS"/>
        </w:rPr>
        <w:t>/25).  Овим правилником прописуј</w:t>
      </w:r>
      <w:r w:rsidR="00011344"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се начин и услови приступа поштанској мрежи ЈПО.</w:t>
      </w:r>
    </w:p>
    <w:p w14:paraId="712E847C" w14:textId="77777777" w:rsidR="00D43F3A" w:rsidRPr="00B3123E" w:rsidRDefault="00D43F3A" w:rsidP="00D43F3A">
      <w:pPr>
        <w:pStyle w:val="ListParagraph"/>
        <w:rPr>
          <w:rFonts w:ascii="Times New Roman" w:hAnsi="Times New Roman" w:cs="Times New Roman"/>
          <w:szCs w:val="24"/>
          <w:lang w:val="sr-Cyrl-RS"/>
        </w:rPr>
      </w:pPr>
    </w:p>
    <w:p w14:paraId="2CCF235F" w14:textId="07B38621" w:rsidR="00CA342D" w:rsidRPr="00B3123E" w:rsidRDefault="00CA342D" w:rsidP="00D43F3A">
      <w:pPr>
        <w:pStyle w:val="ListParagraph"/>
        <w:numPr>
          <w:ilvl w:val="0"/>
          <w:numId w:val="21"/>
        </w:numPr>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w:t>
      </w:r>
      <w:r w:rsidR="000D50CA" w:rsidRPr="00B3123E">
        <w:rPr>
          <w:rFonts w:ascii="Times New Roman" w:hAnsi="Times New Roman" w:cs="Times New Roman"/>
          <w:bCs/>
          <w:szCs w:val="24"/>
          <w:shd w:val="clear" w:color="auto" w:fill="FFFFFF"/>
          <w:lang w:val="sr-Cyrl-RS"/>
        </w:rPr>
        <w:t>о висини и начину плаћања таксе за издавање дозволе, измену дозволе и накнаде оперативних трошкова за обављање поштанских услуга</w:t>
      </w:r>
      <w:r w:rsidRPr="00B3123E">
        <w:rPr>
          <w:rFonts w:ascii="Times New Roman" w:hAnsi="Times New Roman" w:cs="Times New Roman"/>
          <w:szCs w:val="24"/>
          <w:lang w:val="sr-Cyrl-RS"/>
        </w:rPr>
        <w:t xml:space="preserve"> (</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број </w:t>
      </w:r>
      <w:r w:rsidR="0099505A" w:rsidRPr="00B3123E">
        <w:rPr>
          <w:rFonts w:ascii="Times New Roman" w:hAnsi="Times New Roman" w:cs="Times New Roman"/>
          <w:szCs w:val="24"/>
          <w:lang w:val="sr-Cyrl-RS"/>
        </w:rPr>
        <w:t>12</w:t>
      </w:r>
      <w:r w:rsidRPr="00B3123E">
        <w:rPr>
          <w:rFonts w:ascii="Times New Roman" w:hAnsi="Times New Roman" w:cs="Times New Roman"/>
          <w:szCs w:val="24"/>
          <w:lang w:val="sr-Cyrl-RS"/>
        </w:rPr>
        <w:t>/2</w:t>
      </w:r>
      <w:r w:rsidR="00812F1A" w:rsidRPr="00B3123E">
        <w:rPr>
          <w:rFonts w:ascii="Times New Roman" w:hAnsi="Times New Roman" w:cs="Times New Roman"/>
          <w:szCs w:val="24"/>
          <w:lang w:val="sr-Cyrl-RS"/>
        </w:rPr>
        <w:t>6</w:t>
      </w:r>
      <w:r w:rsidRPr="00B3123E">
        <w:rPr>
          <w:rFonts w:ascii="Times New Roman" w:hAnsi="Times New Roman" w:cs="Times New Roman"/>
          <w:szCs w:val="24"/>
          <w:lang w:val="sr-Cyrl-RS"/>
        </w:rPr>
        <w:t>). Овим правилником прописује се износ и начин плаћања истог за издавање/измену дозволе.</w:t>
      </w:r>
    </w:p>
    <w:p w14:paraId="3758CBD1" w14:textId="77777777" w:rsidR="00D43F3A" w:rsidRPr="00B3123E" w:rsidRDefault="00D43F3A" w:rsidP="00D43F3A">
      <w:pPr>
        <w:pStyle w:val="ListParagraph"/>
        <w:rPr>
          <w:rFonts w:ascii="Times New Roman" w:hAnsi="Times New Roman" w:cs="Times New Roman"/>
          <w:szCs w:val="24"/>
          <w:lang w:val="sr-Cyrl-RS"/>
        </w:rPr>
      </w:pPr>
    </w:p>
    <w:p w14:paraId="218CAF62" w14:textId="145CC616" w:rsidR="00CA342D" w:rsidRPr="00B3123E" w:rsidRDefault="00F76AC2" w:rsidP="00D43F3A">
      <w:pPr>
        <w:pStyle w:val="ListParagraph"/>
        <w:numPr>
          <w:ilvl w:val="0"/>
          <w:numId w:val="21"/>
        </w:numPr>
        <w:tabs>
          <w:tab w:val="left" w:pos="426"/>
        </w:tabs>
        <w:spacing w:before="225" w:after="225"/>
        <w:ind w:left="0" w:firstLine="360"/>
        <w:rPr>
          <w:rFonts w:ascii="Times New Roman" w:hAnsi="Times New Roman" w:cs="Times New Roman"/>
          <w:szCs w:val="24"/>
          <w:lang w:val="sr-Cyrl-RS"/>
        </w:rPr>
      </w:pPr>
      <w:r w:rsidRPr="00B3123E">
        <w:rPr>
          <w:rFonts w:ascii="Times New Roman" w:hAnsi="Times New Roman" w:cs="Times New Roman"/>
          <w:lang w:val="sr-Cyrl-RS"/>
        </w:rPr>
        <w:t>Правилник о поступку вансудског решавања спора по приговору корисника поштанских услуга</w:t>
      </w:r>
      <w:r w:rsidR="00812F1A" w:rsidRPr="00B3123E">
        <w:rPr>
          <w:rFonts w:ascii="Times New Roman" w:hAnsi="Times New Roman" w:cs="Times New Roman"/>
          <w:lang w:val="sr-Cyrl-RS"/>
        </w:rPr>
        <w:t xml:space="preserve"> </w:t>
      </w:r>
      <w:r w:rsidR="00812F1A" w:rsidRPr="00B3123E">
        <w:rPr>
          <w:rFonts w:ascii="Times New Roman" w:hAnsi="Times New Roman" w:cs="Times New Roman"/>
          <w:szCs w:val="24"/>
          <w:lang w:val="sr-Cyrl-RS"/>
        </w:rPr>
        <w:t xml:space="preserve">(„Службени гласник РС”, број </w:t>
      </w:r>
      <w:r w:rsidR="0099505A" w:rsidRPr="00B3123E">
        <w:rPr>
          <w:rFonts w:ascii="Times New Roman" w:hAnsi="Times New Roman" w:cs="Times New Roman"/>
          <w:szCs w:val="24"/>
          <w:lang w:val="sr-Cyrl-RS"/>
        </w:rPr>
        <w:t>4</w:t>
      </w:r>
      <w:r w:rsidR="00812F1A" w:rsidRPr="00B3123E">
        <w:rPr>
          <w:rFonts w:ascii="Times New Roman" w:hAnsi="Times New Roman" w:cs="Times New Roman"/>
          <w:szCs w:val="24"/>
          <w:lang w:val="sr-Cyrl-RS"/>
        </w:rPr>
        <w:t>/2</w:t>
      </w:r>
      <w:r w:rsidR="0099505A" w:rsidRPr="00B3123E">
        <w:rPr>
          <w:rFonts w:ascii="Times New Roman" w:hAnsi="Times New Roman" w:cs="Times New Roman"/>
          <w:szCs w:val="24"/>
          <w:lang w:val="sr-Cyrl-RS"/>
        </w:rPr>
        <w:t>6</w:t>
      </w:r>
      <w:r w:rsidR="00812F1A"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Овим правилником прописује начин спровођења вансудског решавања спора који спроводи Регулатор.</w:t>
      </w:r>
    </w:p>
    <w:p w14:paraId="132CB405" w14:textId="77777777" w:rsidR="003D40B5" w:rsidRPr="00B3123E" w:rsidRDefault="003D40B5" w:rsidP="003D40B5">
      <w:pPr>
        <w:pStyle w:val="ListParagraph"/>
        <w:rPr>
          <w:rFonts w:ascii="Times New Roman" w:hAnsi="Times New Roman" w:cs="Times New Roman"/>
          <w:szCs w:val="24"/>
          <w:lang w:val="sr-Cyrl-RS"/>
        </w:rPr>
      </w:pPr>
    </w:p>
    <w:p w14:paraId="2D30FB19" w14:textId="4912E0B1" w:rsidR="00CA342D" w:rsidRPr="00B3123E" w:rsidRDefault="00CA342D" w:rsidP="00D43F3A">
      <w:pPr>
        <w:pStyle w:val="ListParagraph"/>
        <w:numPr>
          <w:ilvl w:val="0"/>
          <w:numId w:val="21"/>
        </w:numPr>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о обрасцу и начину издавања легитимације овлашћеног лица за </w:t>
      </w:r>
      <w:r w:rsidR="00501082" w:rsidRPr="00B3123E">
        <w:rPr>
          <w:rFonts w:ascii="Times New Roman" w:hAnsi="Times New Roman" w:cs="Times New Roman"/>
          <w:szCs w:val="24"/>
          <w:lang w:val="sr-Cyrl-RS"/>
        </w:rPr>
        <w:t>вршење</w:t>
      </w:r>
      <w:r w:rsidRPr="00B3123E">
        <w:rPr>
          <w:rFonts w:ascii="Times New Roman" w:hAnsi="Times New Roman" w:cs="Times New Roman"/>
          <w:szCs w:val="24"/>
          <w:lang w:val="sr-Cyrl-RS"/>
        </w:rPr>
        <w:t xml:space="preserve"> стручног надзора </w:t>
      </w:r>
      <w:r w:rsidR="00F76AC2" w:rsidRPr="00B3123E">
        <w:rPr>
          <w:rFonts w:ascii="Times New Roman" w:hAnsi="Times New Roman" w:cs="Times New Roman"/>
          <w:szCs w:val="24"/>
          <w:lang w:val="sr-Cyrl-RS"/>
        </w:rPr>
        <w:t>у области поштанских услуга</w:t>
      </w:r>
      <w:r w:rsidRPr="00B3123E">
        <w:rPr>
          <w:rFonts w:ascii="Times New Roman" w:hAnsi="Times New Roman" w:cs="Times New Roman"/>
          <w:szCs w:val="24"/>
          <w:lang w:val="sr-Cyrl-RS"/>
        </w:rPr>
        <w:t xml:space="preserve"> (</w:t>
      </w:r>
      <w:r w:rsidR="00E10D7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Службено гласник РС</w:t>
      </w:r>
      <w:r w:rsidR="0050108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број </w:t>
      </w:r>
      <w:r w:rsidR="00AC44C2" w:rsidRPr="00B3123E">
        <w:rPr>
          <w:rFonts w:ascii="Times New Roman" w:hAnsi="Times New Roman" w:cs="Times New Roman"/>
          <w:szCs w:val="24"/>
          <w:lang w:val="sr-Cyrl-RS"/>
        </w:rPr>
        <w:t>8</w:t>
      </w:r>
      <w:r w:rsidR="0099505A" w:rsidRPr="00B3123E">
        <w:rPr>
          <w:rFonts w:ascii="Times New Roman" w:hAnsi="Times New Roman" w:cs="Times New Roman"/>
          <w:szCs w:val="24"/>
          <w:lang w:val="sr-Cyrl-RS"/>
        </w:rPr>
        <w:t>4</w:t>
      </w:r>
      <w:r w:rsidRPr="00B3123E">
        <w:rPr>
          <w:rFonts w:ascii="Times New Roman" w:hAnsi="Times New Roman" w:cs="Times New Roman"/>
          <w:szCs w:val="24"/>
          <w:lang w:val="sr-Cyrl-RS"/>
        </w:rPr>
        <w:t>/25). Овим правилником прописује изглед и начин издавања легитимације за запослене Регулатора који спроводе стручни надзор.</w:t>
      </w:r>
    </w:p>
    <w:p w14:paraId="75F9FEAE" w14:textId="77777777" w:rsidR="003D40B5" w:rsidRPr="00B3123E" w:rsidRDefault="003D40B5" w:rsidP="003D40B5">
      <w:pPr>
        <w:pStyle w:val="ListParagraph"/>
        <w:rPr>
          <w:rFonts w:ascii="Times New Roman" w:hAnsi="Times New Roman" w:cs="Times New Roman"/>
          <w:szCs w:val="24"/>
          <w:lang w:val="sr-Cyrl-RS"/>
        </w:rPr>
      </w:pPr>
    </w:p>
    <w:p w14:paraId="4B1DC646" w14:textId="431DC168" w:rsidR="00CA342D" w:rsidRPr="00B3123E" w:rsidRDefault="00501082" w:rsidP="003D40B5">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Правилник</w:t>
      </w:r>
      <w:r w:rsidR="00CA342D" w:rsidRPr="00B3123E">
        <w:rPr>
          <w:rFonts w:ascii="Times New Roman" w:hAnsi="Times New Roman" w:cs="Times New Roman"/>
          <w:szCs w:val="24"/>
          <w:lang w:val="sr-Cyrl-RS"/>
        </w:rPr>
        <w:t xml:space="preserve"> о утврђивању Плана издавања пригодних поштанских марака и</w:t>
      </w:r>
      <w:r w:rsidR="00351CA2"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мотива ре</w:t>
      </w:r>
      <w:r w:rsidRPr="00B3123E">
        <w:rPr>
          <w:rFonts w:ascii="Times New Roman" w:hAnsi="Times New Roman" w:cs="Times New Roman"/>
          <w:szCs w:val="24"/>
          <w:lang w:val="sr-Cyrl-RS"/>
        </w:rPr>
        <w:t>довних издања поштанских марака („Службени гласник РС”, број 118/25) којим се</w:t>
      </w:r>
      <w:r w:rsidR="00CA342D" w:rsidRPr="00B3123E">
        <w:rPr>
          <w:rFonts w:ascii="Times New Roman" w:hAnsi="Times New Roman" w:cs="Times New Roman"/>
          <w:szCs w:val="24"/>
          <w:lang w:val="sr-Cyrl-RS"/>
        </w:rPr>
        <w:t xml:space="preserve"> утврђује План издавања пригодних поштанских марака и мотива редовних издања поштанских марака, које у току године издаје </w:t>
      </w:r>
      <w:r w:rsidRPr="00B3123E">
        <w:rPr>
          <w:rFonts w:ascii="Times New Roman" w:hAnsi="Times New Roman" w:cs="Times New Roman"/>
          <w:szCs w:val="24"/>
          <w:lang w:val="sr-Cyrl-RS"/>
        </w:rPr>
        <w:t>„</w:t>
      </w:r>
      <w:r w:rsidR="00CA342D" w:rsidRPr="00B3123E">
        <w:rPr>
          <w:rFonts w:ascii="Times New Roman" w:hAnsi="Times New Roman" w:cs="Times New Roman"/>
          <w:szCs w:val="24"/>
          <w:lang w:val="sr-Cyrl-RS"/>
        </w:rPr>
        <w:t>Пошта Србије</w:t>
      </w:r>
      <w:r w:rsidRPr="00B3123E">
        <w:rPr>
          <w:rFonts w:ascii="Times New Roman" w:hAnsi="Times New Roman" w:cs="Times New Roman"/>
          <w:szCs w:val="24"/>
          <w:lang w:val="sr-Cyrl-RS"/>
        </w:rPr>
        <w:t>” д.о.о.</w:t>
      </w:r>
      <w:r w:rsidR="00F12950" w:rsidRPr="00B3123E">
        <w:rPr>
          <w:rFonts w:ascii="Times New Roman" w:hAnsi="Times New Roman" w:cs="Times New Roman"/>
          <w:szCs w:val="24"/>
          <w:lang w:val="sr-Cyrl-RS"/>
        </w:rPr>
        <w:t xml:space="preserve"> </w:t>
      </w:r>
      <w:r w:rsidR="00F76AC2" w:rsidRPr="00B3123E">
        <w:rPr>
          <w:rFonts w:ascii="Times New Roman" w:hAnsi="Times New Roman" w:cs="Times New Roman"/>
          <w:szCs w:val="24"/>
          <w:lang w:val="sr-Cyrl-RS"/>
        </w:rPr>
        <w:t>(</w:t>
      </w:r>
      <w:r w:rsidR="00E10D7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E10D73"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r w:rsidR="00F76AC2" w:rsidRPr="00B3123E">
        <w:rPr>
          <w:rFonts w:ascii="Times New Roman" w:hAnsi="Times New Roman" w:cs="Times New Roman"/>
          <w:szCs w:val="24"/>
          <w:lang w:val="sr-Cyrl-RS"/>
        </w:rPr>
        <w:t>број 118/25)</w:t>
      </w:r>
      <w:r w:rsidR="00CA342D" w:rsidRPr="00B3123E">
        <w:rPr>
          <w:rFonts w:ascii="Times New Roman" w:hAnsi="Times New Roman" w:cs="Times New Roman"/>
          <w:szCs w:val="24"/>
          <w:lang w:val="sr-Cyrl-RS"/>
        </w:rPr>
        <w:t>.</w:t>
      </w:r>
    </w:p>
    <w:p w14:paraId="3C29D186" w14:textId="3A79AFD8" w:rsidR="00AC44C2" w:rsidRPr="00B3123E" w:rsidRDefault="00AB075A" w:rsidP="003D40B5">
      <w:pPr>
        <w:tabs>
          <w:tab w:val="left" w:pos="709"/>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ab/>
        <w:t xml:space="preserve">Такође, на снази је и правилник донет на основу претходног </w:t>
      </w:r>
      <w:r w:rsidR="00F83416" w:rsidRPr="00B3123E">
        <w:rPr>
          <w:rFonts w:ascii="Times New Roman" w:hAnsi="Times New Roman" w:cs="Times New Roman"/>
          <w:bCs/>
          <w:szCs w:val="24"/>
          <w:lang w:val="sr-Cyrl-RS"/>
        </w:rPr>
        <w:t>Закона о поштанским услугама („Службени гласник PC”, број 77/19)</w:t>
      </w:r>
      <w:r w:rsidRPr="00B3123E">
        <w:rPr>
          <w:rFonts w:ascii="Times New Roman" w:hAnsi="Times New Roman" w:cs="Times New Roman"/>
          <w:szCs w:val="24"/>
          <w:lang w:val="sr-Cyrl-RS"/>
        </w:rPr>
        <w:t xml:space="preserve">, који ће бити </w:t>
      </w:r>
      <w:r w:rsidR="008F3EF8" w:rsidRPr="00B3123E">
        <w:rPr>
          <w:rFonts w:ascii="Times New Roman" w:hAnsi="Times New Roman" w:cs="Times New Roman"/>
          <w:szCs w:val="24"/>
          <w:lang w:val="sr-Cyrl-RS"/>
        </w:rPr>
        <w:t>измењен</w:t>
      </w:r>
      <w:r w:rsidRPr="00B3123E">
        <w:rPr>
          <w:rFonts w:ascii="Times New Roman" w:hAnsi="Times New Roman" w:cs="Times New Roman"/>
          <w:szCs w:val="24"/>
          <w:lang w:val="sr-Cyrl-RS"/>
        </w:rPr>
        <w:t xml:space="preserve"> у првом кварталу 2026. године </w:t>
      </w:r>
      <w:r w:rsidR="0050108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r w:rsidR="00AC44C2" w:rsidRPr="00B3123E">
        <w:rPr>
          <w:rFonts w:ascii="Times New Roman" w:hAnsi="Times New Roman" w:cs="Times New Roman"/>
          <w:szCs w:val="24"/>
          <w:lang w:val="sr-Cyrl-RS"/>
        </w:rPr>
        <w:t xml:space="preserve">Правилник о начину </w:t>
      </w:r>
      <w:bookmarkStart w:id="13" w:name="_Hlk212030014"/>
      <w:r w:rsidR="00AC44C2" w:rsidRPr="00B3123E">
        <w:rPr>
          <w:rFonts w:ascii="Times New Roman" w:hAnsi="Times New Roman" w:cs="Times New Roman"/>
          <w:szCs w:val="24"/>
          <w:lang w:val="sr-Cyrl-RS"/>
        </w:rPr>
        <w:t xml:space="preserve">вођења одвојеног рачуноводства и провере веродостојности регулаторних извештаја </w:t>
      </w:r>
      <w:bookmarkEnd w:id="13"/>
      <w:r w:rsidR="003B5FC7" w:rsidRPr="00B3123E">
        <w:rPr>
          <w:rFonts w:ascii="Times New Roman" w:hAnsi="Times New Roman" w:cs="Times New Roman"/>
          <w:szCs w:val="24"/>
          <w:lang w:val="sr-Cyrl-RS"/>
        </w:rPr>
        <w:t>јавног поштанског оператора</w:t>
      </w:r>
      <w:r w:rsidR="00AC44C2" w:rsidRPr="00B3123E">
        <w:rPr>
          <w:rFonts w:ascii="Times New Roman" w:hAnsi="Times New Roman" w:cs="Times New Roman"/>
          <w:szCs w:val="24"/>
          <w:lang w:val="sr-Cyrl-RS"/>
        </w:rPr>
        <w:t xml:space="preserve"> (</w:t>
      </w:r>
      <w:r w:rsidR="00E10D73" w:rsidRPr="00B3123E">
        <w:rPr>
          <w:rFonts w:ascii="Times New Roman" w:hAnsi="Times New Roman" w:cs="Times New Roman"/>
          <w:szCs w:val="24"/>
          <w:lang w:val="sr-Cyrl-RS"/>
        </w:rPr>
        <w:t>„</w:t>
      </w:r>
      <w:r w:rsidR="00AC44C2" w:rsidRPr="00B3123E">
        <w:rPr>
          <w:rFonts w:ascii="Times New Roman" w:hAnsi="Times New Roman" w:cs="Times New Roman"/>
          <w:szCs w:val="24"/>
          <w:lang w:val="sr-Cyrl-RS"/>
        </w:rPr>
        <w:t>Службени гласник РС</w:t>
      </w:r>
      <w:r w:rsidR="00501082" w:rsidRPr="00B3123E">
        <w:rPr>
          <w:rFonts w:ascii="Times New Roman" w:hAnsi="Times New Roman" w:cs="Times New Roman"/>
          <w:szCs w:val="24"/>
          <w:lang w:val="sr-Cyrl-RS"/>
        </w:rPr>
        <w:t>”</w:t>
      </w:r>
      <w:r w:rsidR="00AC44C2" w:rsidRPr="00B3123E">
        <w:rPr>
          <w:rFonts w:ascii="Times New Roman" w:hAnsi="Times New Roman" w:cs="Times New Roman"/>
          <w:szCs w:val="24"/>
          <w:lang w:val="sr-Cyrl-RS"/>
        </w:rPr>
        <w:t xml:space="preserve">, бр. 126/20 </w:t>
      </w:r>
      <w:r w:rsidR="00DF1C9E" w:rsidRPr="00B3123E">
        <w:rPr>
          <w:rFonts w:ascii="Times New Roman" w:hAnsi="Times New Roman" w:cs="Times New Roman"/>
          <w:szCs w:val="24"/>
          <w:lang w:val="sr-Cyrl-RS"/>
        </w:rPr>
        <w:t>и</w:t>
      </w:r>
      <w:r w:rsidR="00AC44C2" w:rsidRPr="00B3123E">
        <w:rPr>
          <w:rFonts w:ascii="Times New Roman" w:hAnsi="Times New Roman" w:cs="Times New Roman"/>
          <w:szCs w:val="24"/>
          <w:lang w:val="sr-Cyrl-RS"/>
        </w:rPr>
        <w:t xml:space="preserve"> 48/24). </w:t>
      </w:r>
      <w:bookmarkStart w:id="14" w:name="_Hlk212030077"/>
      <w:r w:rsidR="00AC44C2" w:rsidRPr="00B3123E">
        <w:rPr>
          <w:rFonts w:ascii="Times New Roman" w:hAnsi="Times New Roman" w:cs="Times New Roman"/>
          <w:szCs w:val="24"/>
          <w:lang w:val="sr-Cyrl-RS"/>
        </w:rPr>
        <w:t>Овим правилником прописује се начин</w:t>
      </w:r>
      <w:r w:rsidR="00AC44C2" w:rsidRPr="00B3123E">
        <w:rPr>
          <w:lang w:val="sr-Cyrl-RS"/>
        </w:rPr>
        <w:t xml:space="preserve"> </w:t>
      </w:r>
      <w:bookmarkEnd w:id="14"/>
      <w:r w:rsidR="00AC44C2" w:rsidRPr="00B3123E">
        <w:rPr>
          <w:rFonts w:ascii="Times New Roman" w:hAnsi="Times New Roman" w:cs="Times New Roman"/>
          <w:szCs w:val="24"/>
          <w:lang w:val="sr-Cyrl-RS"/>
        </w:rPr>
        <w:t xml:space="preserve">вођења одвојеног рачуноводства и провере веродостојности регулаторних извештаја </w:t>
      </w:r>
      <w:bookmarkStart w:id="15" w:name="_Hlk212030101"/>
      <w:r w:rsidR="003B5FC7" w:rsidRPr="00B3123E">
        <w:rPr>
          <w:rFonts w:ascii="Times New Roman" w:hAnsi="Times New Roman" w:cs="Times New Roman"/>
          <w:szCs w:val="24"/>
          <w:lang w:val="sr-Cyrl-RS"/>
        </w:rPr>
        <w:t>„</w:t>
      </w:r>
      <w:r w:rsidR="00AC44C2" w:rsidRPr="00B3123E">
        <w:rPr>
          <w:rFonts w:ascii="Times New Roman" w:hAnsi="Times New Roman" w:cs="Times New Roman"/>
          <w:szCs w:val="24"/>
          <w:lang w:val="sr-Cyrl-RS"/>
        </w:rPr>
        <w:t>Пошта Србије</w:t>
      </w:r>
      <w:r w:rsidR="003B5FC7" w:rsidRPr="00B3123E">
        <w:rPr>
          <w:rFonts w:ascii="Times New Roman" w:hAnsi="Times New Roman" w:cs="Times New Roman"/>
          <w:szCs w:val="24"/>
          <w:lang w:val="sr-Cyrl-RS"/>
        </w:rPr>
        <w:t>”</w:t>
      </w:r>
      <w:r w:rsidR="00C302CF" w:rsidRPr="00B3123E">
        <w:rPr>
          <w:rFonts w:ascii="Times New Roman" w:hAnsi="Times New Roman" w:cs="Times New Roman"/>
          <w:szCs w:val="24"/>
          <w:lang w:val="sr-Cyrl-RS"/>
        </w:rPr>
        <w:t xml:space="preserve"> д</w:t>
      </w:r>
      <w:r w:rsidR="003B5FC7" w:rsidRPr="00B3123E">
        <w:rPr>
          <w:rFonts w:ascii="Times New Roman" w:hAnsi="Times New Roman" w:cs="Times New Roman"/>
          <w:szCs w:val="24"/>
          <w:lang w:val="sr-Cyrl-RS"/>
        </w:rPr>
        <w:t>.</w:t>
      </w:r>
      <w:r w:rsidR="00C302CF" w:rsidRPr="00B3123E">
        <w:rPr>
          <w:rFonts w:ascii="Times New Roman" w:hAnsi="Times New Roman" w:cs="Times New Roman"/>
          <w:szCs w:val="24"/>
          <w:lang w:val="sr-Cyrl-RS"/>
        </w:rPr>
        <w:t>о</w:t>
      </w:r>
      <w:r w:rsidR="003B5FC7" w:rsidRPr="00B3123E">
        <w:rPr>
          <w:rFonts w:ascii="Times New Roman" w:hAnsi="Times New Roman" w:cs="Times New Roman"/>
          <w:szCs w:val="24"/>
          <w:lang w:val="sr-Cyrl-RS"/>
        </w:rPr>
        <w:t>.</w:t>
      </w:r>
      <w:r w:rsidR="00C302CF" w:rsidRPr="00B3123E">
        <w:rPr>
          <w:rFonts w:ascii="Times New Roman" w:hAnsi="Times New Roman" w:cs="Times New Roman"/>
          <w:szCs w:val="24"/>
          <w:lang w:val="sr-Cyrl-RS"/>
        </w:rPr>
        <w:t>о</w:t>
      </w:r>
      <w:r w:rsidR="00AC44C2" w:rsidRPr="00B3123E">
        <w:rPr>
          <w:rFonts w:ascii="Times New Roman" w:hAnsi="Times New Roman" w:cs="Times New Roman"/>
          <w:szCs w:val="24"/>
          <w:lang w:val="sr-Cyrl-RS"/>
        </w:rPr>
        <w:t xml:space="preserve">, даваоца </w:t>
      </w:r>
      <w:bookmarkEnd w:id="15"/>
      <w:r w:rsidR="00AC44C2" w:rsidRPr="00B3123E">
        <w:rPr>
          <w:rFonts w:ascii="Times New Roman" w:hAnsi="Times New Roman" w:cs="Times New Roman"/>
          <w:szCs w:val="24"/>
          <w:lang w:val="sr-Cyrl-RS"/>
        </w:rPr>
        <w:t>УПУ.</w:t>
      </w:r>
    </w:p>
    <w:p w14:paraId="5A73B37C" w14:textId="41BF7DBD" w:rsidR="00AC44C2" w:rsidRPr="00B3123E" w:rsidRDefault="00AB075A" w:rsidP="003D40B5">
      <w:pPr>
        <w:tabs>
          <w:tab w:val="left" w:pos="709"/>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ab/>
        <w:t>Поред наведеног, Регулатор ће у законски прописаном року</w:t>
      </w:r>
      <w:r w:rsidR="009363C5" w:rsidRPr="00B3123E">
        <w:rPr>
          <w:rFonts w:ascii="Times New Roman" w:hAnsi="Times New Roman" w:cs="Times New Roman"/>
          <w:szCs w:val="24"/>
          <w:lang w:val="sr-Cyrl-RS"/>
        </w:rPr>
        <w:t xml:space="preserve"> у 2026. години</w:t>
      </w:r>
      <w:r w:rsidRPr="00B3123E">
        <w:rPr>
          <w:rFonts w:ascii="Times New Roman" w:hAnsi="Times New Roman" w:cs="Times New Roman"/>
          <w:szCs w:val="24"/>
          <w:lang w:val="sr-Cyrl-RS"/>
        </w:rPr>
        <w:t xml:space="preserve"> донети </w:t>
      </w:r>
      <w:r w:rsidR="00AC44C2" w:rsidRPr="00B3123E">
        <w:rPr>
          <w:rFonts w:ascii="Times New Roman" w:hAnsi="Times New Roman" w:cs="Times New Roman"/>
          <w:szCs w:val="24"/>
          <w:lang w:val="sr-Cyrl-RS"/>
        </w:rPr>
        <w:t>Правилник о начину обрачуна нето трошка и начину остваривања права на накнаду услед неправедног финансијског оптерећења</w:t>
      </w:r>
      <w:r w:rsidR="0099505A" w:rsidRPr="00B3123E">
        <w:rPr>
          <w:rFonts w:ascii="Times New Roman" w:hAnsi="Times New Roman" w:cs="Times New Roman"/>
          <w:szCs w:val="24"/>
          <w:lang w:val="sr-Cyrl-RS"/>
        </w:rPr>
        <w:t>.</w:t>
      </w:r>
    </w:p>
    <w:p w14:paraId="4535D61B" w14:textId="11672798" w:rsidR="002551F6" w:rsidRPr="00B3123E" w:rsidRDefault="00CA342D" w:rsidP="003D40B5">
      <w:pPr>
        <w:tabs>
          <w:tab w:val="left" w:pos="709"/>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Постојећа регулатива, Закон, као и сва подзаконска акта, у највећој мери су усаглашени са европским регулаторним оквиром у области поштанских услуга који чине Уредба (ЕУ) 2018/644 Европског парламента и Савета од 18. априла 2018. године о услугама прекограничне доставе пакета и сет од три поштанске директиве ЕУ (Директива 97/67/EC Европског парламента и Савета од 15. децембра 1997. године о заједничким правилима за развој унутрашњег тржишта заједнице у подручју поштанских услуга и побољшању квалитета поштанских услуга, Директива 2002/39/EC Европског парламента и Савета од 10. јуна 2002. године којом се мења Директива 97/67/EC у вези са даљим отварањем поштанских услуга према тржишној конкуренцији на нивоу заједнице и Директива 2008/06/EC Европског парламента и Савета од 20. фебруара 2008. године којом се мења Директива 97/67/EC у вези са потпуним развојем унутрашњег тржишта поштанских услуга у заједници).</w:t>
      </w:r>
    </w:p>
    <w:p w14:paraId="31CC3183" w14:textId="3FD13B0D" w:rsidR="002551F6" w:rsidRPr="00B3123E" w:rsidRDefault="004B2269" w:rsidP="007F126D">
      <w:pPr>
        <w:tabs>
          <w:tab w:val="left" w:pos="1440"/>
        </w:tabs>
        <w:spacing w:before="225" w:after="225"/>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t xml:space="preserve">2.3. </w:t>
      </w:r>
      <w:r w:rsidR="007F126D" w:rsidRPr="00B3123E">
        <w:rPr>
          <w:rFonts w:ascii="Times New Roman" w:hAnsi="Times New Roman" w:cs="Times New Roman"/>
          <w:szCs w:val="24"/>
          <w:u w:val="single"/>
          <w:lang w:val="sr-Cyrl-RS"/>
        </w:rPr>
        <w:t>Анализа постојећег стања и упоредна међународна пракса у сектору поштанских услуга</w:t>
      </w:r>
    </w:p>
    <w:p w14:paraId="6AD1E1F6" w14:textId="5E2C0EDC" w:rsidR="00DC6618" w:rsidRPr="00B3123E" w:rsidRDefault="00DC6618"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Поштански саобраћај (писмоносне пошиљке и пакети) у Републици Србији кључни је покретач привреде и трговине</w:t>
      </w:r>
      <w:r w:rsidR="00BD7656"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те је темељ за друге секторе и доприноси развоју и </w:t>
      </w:r>
      <w:r w:rsidR="00225B9F" w:rsidRPr="00B3123E">
        <w:rPr>
          <w:rFonts w:ascii="Times New Roman" w:hAnsi="Times New Roman" w:cs="Times New Roman"/>
          <w:szCs w:val="24"/>
          <w:lang w:val="sr-Cyrl-RS"/>
        </w:rPr>
        <w:t>јачању</w:t>
      </w:r>
      <w:r w:rsidRPr="00B3123E">
        <w:rPr>
          <w:rFonts w:ascii="Times New Roman" w:hAnsi="Times New Roman" w:cs="Times New Roman"/>
          <w:szCs w:val="24"/>
          <w:lang w:val="sr-Cyrl-RS"/>
        </w:rPr>
        <w:t xml:space="preserve"> привреде. Предузећа свих величина </w:t>
      </w:r>
      <w:r w:rsidR="0055451C" w:rsidRPr="00B3123E">
        <w:rPr>
          <w:rFonts w:ascii="Times New Roman" w:hAnsi="Times New Roman" w:cs="Times New Roman"/>
          <w:szCs w:val="24"/>
          <w:lang w:val="sr-Cyrl-RS"/>
        </w:rPr>
        <w:t xml:space="preserve">користе </w:t>
      </w:r>
      <w:r w:rsidRPr="00B3123E">
        <w:rPr>
          <w:rFonts w:ascii="Times New Roman" w:hAnsi="Times New Roman" w:cs="Times New Roman"/>
          <w:szCs w:val="24"/>
          <w:lang w:val="sr-Cyrl-RS"/>
        </w:rPr>
        <w:t>поштанск</w:t>
      </w:r>
      <w:r w:rsidR="0055451C"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услуг</w:t>
      </w:r>
      <w:r w:rsidR="0055451C"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ради развоја пословања, </w:t>
      </w:r>
      <w:r w:rsidR="004852ED" w:rsidRPr="00B3123E">
        <w:rPr>
          <w:rFonts w:ascii="Times New Roman" w:hAnsi="Times New Roman" w:cs="Times New Roman"/>
          <w:szCs w:val="24"/>
          <w:lang w:val="sr-Cyrl-RS"/>
        </w:rPr>
        <w:t>снабдевања</w:t>
      </w:r>
      <w:r w:rsidRPr="00B3123E">
        <w:rPr>
          <w:rFonts w:ascii="Times New Roman" w:hAnsi="Times New Roman" w:cs="Times New Roman"/>
          <w:szCs w:val="24"/>
          <w:lang w:val="sr-Cyrl-RS"/>
        </w:rPr>
        <w:t xml:space="preserve"> робом</w:t>
      </w:r>
      <w:r w:rsidR="00B25BCC" w:rsidRPr="00B3123E">
        <w:rPr>
          <w:rFonts w:ascii="Times New Roman" w:hAnsi="Times New Roman" w:cs="Times New Roman"/>
          <w:szCs w:val="24"/>
          <w:lang w:val="sr-Cyrl-RS"/>
        </w:rPr>
        <w:t xml:space="preserve"> итд</w:t>
      </w:r>
      <w:r w:rsidRPr="00B3123E">
        <w:rPr>
          <w:rFonts w:ascii="Times New Roman" w:hAnsi="Times New Roman" w:cs="Times New Roman"/>
          <w:szCs w:val="24"/>
          <w:lang w:val="sr-Cyrl-RS"/>
        </w:rPr>
        <w:t>. Св</w:t>
      </w:r>
      <w:r w:rsidR="00EB48A1" w:rsidRPr="00B3123E">
        <w:rPr>
          <w:rFonts w:ascii="Times New Roman" w:hAnsi="Times New Roman" w:cs="Times New Roman"/>
          <w:szCs w:val="24"/>
          <w:lang w:val="sr-Cyrl-RS"/>
        </w:rPr>
        <w:t>и</w:t>
      </w:r>
      <w:r w:rsidR="00225B9F" w:rsidRPr="00B3123E">
        <w:rPr>
          <w:rFonts w:ascii="Times New Roman" w:hAnsi="Times New Roman" w:cs="Times New Roman"/>
          <w:szCs w:val="24"/>
          <w:lang w:val="sr-Cyrl-RS"/>
        </w:rPr>
        <w:t xml:space="preserve"> </w:t>
      </w:r>
      <w:r w:rsidR="00EB48A1" w:rsidRPr="00B3123E">
        <w:rPr>
          <w:rFonts w:ascii="Times New Roman" w:hAnsi="Times New Roman" w:cs="Times New Roman"/>
          <w:szCs w:val="24"/>
          <w:lang w:val="sr-Cyrl-RS"/>
        </w:rPr>
        <w:t>нивои</w:t>
      </w:r>
      <w:r w:rsidRPr="00B3123E">
        <w:rPr>
          <w:rFonts w:ascii="Times New Roman" w:hAnsi="Times New Roman" w:cs="Times New Roman"/>
          <w:szCs w:val="24"/>
          <w:lang w:val="sr-Cyrl-RS"/>
        </w:rPr>
        <w:t xml:space="preserve"> влада и јавних управа користе поштанске услуге као средство јавне комуникације. Рањивим корисницима и грађанима у удаљеним руралним подручјима требају поштанске услуге како би остали повезани са </w:t>
      </w:r>
      <w:r w:rsidR="00EB48A1" w:rsidRPr="00B3123E">
        <w:rPr>
          <w:rFonts w:ascii="Times New Roman" w:hAnsi="Times New Roman" w:cs="Times New Roman"/>
          <w:szCs w:val="24"/>
          <w:lang w:val="sr-Cyrl-RS"/>
        </w:rPr>
        <w:t>дигиталном економијом</w:t>
      </w:r>
      <w:r w:rsidRPr="00B3123E">
        <w:rPr>
          <w:rFonts w:ascii="Times New Roman" w:hAnsi="Times New Roman" w:cs="Times New Roman"/>
          <w:szCs w:val="24"/>
          <w:lang w:val="sr-Cyrl-RS"/>
        </w:rPr>
        <w:t xml:space="preserve">. Поштански саобраћај игра неопходну улогу у осигурању права на комуникацију и у </w:t>
      </w:r>
      <w:r w:rsidR="00630927" w:rsidRPr="00B3123E">
        <w:rPr>
          <w:rFonts w:ascii="Times New Roman" w:hAnsi="Times New Roman" w:cs="Times New Roman"/>
          <w:szCs w:val="24"/>
          <w:lang w:val="sr-Cyrl-RS"/>
        </w:rPr>
        <w:t>промоцији</w:t>
      </w:r>
      <w:r w:rsidRPr="00B3123E">
        <w:rPr>
          <w:rFonts w:ascii="Times New Roman" w:hAnsi="Times New Roman" w:cs="Times New Roman"/>
          <w:szCs w:val="24"/>
          <w:lang w:val="sr-Cyrl-RS"/>
        </w:rPr>
        <w:t xml:space="preserve"> територијалне, социјалне и </w:t>
      </w:r>
      <w:r w:rsidR="00392A7D" w:rsidRPr="00B3123E">
        <w:rPr>
          <w:rFonts w:ascii="Times New Roman" w:hAnsi="Times New Roman" w:cs="Times New Roman"/>
          <w:szCs w:val="24"/>
          <w:lang w:val="sr-Cyrl-RS"/>
        </w:rPr>
        <w:t>привредне</w:t>
      </w:r>
      <w:r w:rsidRPr="00B3123E">
        <w:rPr>
          <w:rFonts w:ascii="Times New Roman" w:hAnsi="Times New Roman" w:cs="Times New Roman"/>
          <w:szCs w:val="24"/>
          <w:lang w:val="sr-Cyrl-RS"/>
        </w:rPr>
        <w:t xml:space="preserve"> кохезије. С обзиром на то да су многи грађани Републике Србије </w:t>
      </w:r>
      <w:r w:rsidR="00630927" w:rsidRPr="00B3123E">
        <w:rPr>
          <w:rFonts w:ascii="Times New Roman" w:hAnsi="Times New Roman" w:cs="Times New Roman"/>
          <w:szCs w:val="24"/>
          <w:lang w:val="sr-Cyrl-RS"/>
        </w:rPr>
        <w:t xml:space="preserve">били </w:t>
      </w:r>
      <w:r w:rsidRPr="00B3123E">
        <w:rPr>
          <w:rFonts w:ascii="Times New Roman" w:hAnsi="Times New Roman" w:cs="Times New Roman"/>
          <w:szCs w:val="24"/>
          <w:lang w:val="sr-Cyrl-RS"/>
        </w:rPr>
        <w:t xml:space="preserve">затворени у својим домовима током пандемије </w:t>
      </w:r>
      <w:r w:rsidR="00392A7D" w:rsidRPr="00B3123E">
        <w:rPr>
          <w:rFonts w:ascii="Times New Roman" w:hAnsi="Times New Roman" w:cs="Times New Roman"/>
          <w:iCs/>
          <w:szCs w:val="24"/>
          <w:lang w:val="sr-Cyrl-RS"/>
        </w:rPr>
        <w:t>C</w:t>
      </w:r>
      <w:r w:rsidR="00AA483C" w:rsidRPr="00B3123E">
        <w:rPr>
          <w:rFonts w:ascii="Times New Roman" w:hAnsi="Times New Roman" w:cs="Times New Roman"/>
          <w:iCs/>
          <w:szCs w:val="24"/>
          <w:lang w:val="sr-Cyrl-RS"/>
        </w:rPr>
        <w:t>OVID</w:t>
      </w:r>
      <w:r w:rsidRPr="00B3123E">
        <w:rPr>
          <w:rFonts w:ascii="Times New Roman" w:hAnsi="Times New Roman" w:cs="Times New Roman"/>
          <w:szCs w:val="24"/>
          <w:lang w:val="sr-Cyrl-RS"/>
        </w:rPr>
        <w:t>-19, сектор поштанских услуга показао се изразито важним. Пружа приступачне и квалитетне поштанске услуге, доставу производа у медицинске сврхе и понуду других битних услуга попут финан</w:t>
      </w:r>
      <w:r w:rsidR="00BC584D" w:rsidRPr="00B3123E">
        <w:rPr>
          <w:rFonts w:ascii="Times New Roman" w:hAnsi="Times New Roman" w:cs="Times New Roman"/>
          <w:szCs w:val="24"/>
          <w:lang w:val="sr-Cyrl-RS"/>
        </w:rPr>
        <w:t>с</w:t>
      </w:r>
      <w:r w:rsidRPr="00B3123E">
        <w:rPr>
          <w:rFonts w:ascii="Times New Roman" w:hAnsi="Times New Roman" w:cs="Times New Roman"/>
          <w:szCs w:val="24"/>
          <w:lang w:val="sr-Cyrl-RS"/>
        </w:rPr>
        <w:t>ијских услуга за грађане</w:t>
      </w:r>
      <w:r w:rsidR="003B5FC7"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p>
    <w:p w14:paraId="10D67E2D" w14:textId="02A61CDC" w:rsidR="00DC6618" w:rsidRPr="00B3123E" w:rsidRDefault="00DC6618"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Дигитализација и технолошки развој преобразили су потрошачке и пословне потребе, што је довело до стварања нових производа, услуга и пословних модела. То се односи и на сектор поштанских услуга. Од финан</w:t>
      </w:r>
      <w:r w:rsidR="00630927" w:rsidRPr="00B3123E">
        <w:rPr>
          <w:rFonts w:ascii="Times New Roman" w:hAnsi="Times New Roman" w:cs="Times New Roman"/>
          <w:szCs w:val="24"/>
          <w:lang w:val="sr-Cyrl-RS"/>
        </w:rPr>
        <w:t>с</w:t>
      </w:r>
      <w:r w:rsidRPr="00B3123E">
        <w:rPr>
          <w:rFonts w:ascii="Times New Roman" w:hAnsi="Times New Roman" w:cs="Times New Roman"/>
          <w:szCs w:val="24"/>
          <w:lang w:val="sr-Cyrl-RS"/>
        </w:rPr>
        <w:t xml:space="preserve">ијске кризе 2008. </w:t>
      </w:r>
      <w:r w:rsidR="008F3EF8" w:rsidRPr="00B3123E">
        <w:rPr>
          <w:rFonts w:ascii="Times New Roman" w:hAnsi="Times New Roman" w:cs="Times New Roman"/>
          <w:szCs w:val="24"/>
          <w:lang w:val="sr-Cyrl-RS"/>
        </w:rPr>
        <w:t>године</w:t>
      </w:r>
      <w:r w:rsidR="0063092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бележи се велик пад у количини писмоносних пошиљака и убрзава се електронска замена традиционалних поштанских услуга јер државне институције, предузећа и потрошачи све више усвајају</w:t>
      </w:r>
      <w:r w:rsidR="00A73B26" w:rsidRPr="00B3123E">
        <w:rPr>
          <w:rFonts w:ascii="Times New Roman" w:hAnsi="Times New Roman" w:cs="Times New Roman"/>
          <w:szCs w:val="24"/>
          <w:lang w:val="sr-Cyrl-RS"/>
        </w:rPr>
        <w:t xml:space="preserve"> </w:t>
      </w:r>
      <w:r w:rsidR="00AA483C" w:rsidRPr="00B3123E">
        <w:rPr>
          <w:rFonts w:ascii="Times New Roman" w:hAnsi="Times New Roman" w:cs="Times New Roman"/>
          <w:szCs w:val="24"/>
          <w:lang w:val="sr-Cyrl-RS"/>
        </w:rPr>
        <w:t>електронске</w:t>
      </w:r>
      <w:r w:rsidRPr="00B3123E">
        <w:rPr>
          <w:rFonts w:ascii="Times New Roman" w:hAnsi="Times New Roman" w:cs="Times New Roman"/>
          <w:szCs w:val="24"/>
          <w:lang w:val="sr-Cyrl-RS"/>
        </w:rPr>
        <w:t xml:space="preserve"> поступке у различитим доменима. Током пандемије</w:t>
      </w:r>
      <w:bookmarkStart w:id="16" w:name="_Hlk208521520"/>
      <w:r w:rsidR="00D34BCB" w:rsidRPr="00B3123E">
        <w:rPr>
          <w:rFonts w:ascii="Times New Roman" w:hAnsi="Times New Roman" w:cs="Times New Roman"/>
          <w:szCs w:val="24"/>
          <w:lang w:val="sr-Cyrl-RS"/>
        </w:rPr>
        <w:t xml:space="preserve"> </w:t>
      </w:r>
      <w:r w:rsidRPr="00B3123E">
        <w:rPr>
          <w:rFonts w:ascii="Times New Roman" w:hAnsi="Times New Roman" w:cs="Times New Roman"/>
          <w:iCs/>
          <w:szCs w:val="24"/>
          <w:lang w:val="sr-Cyrl-RS"/>
        </w:rPr>
        <w:t>COVID</w:t>
      </w:r>
      <w:bookmarkEnd w:id="16"/>
      <w:r w:rsidRPr="00B3123E">
        <w:rPr>
          <w:rFonts w:ascii="Times New Roman" w:hAnsi="Times New Roman" w:cs="Times New Roman"/>
          <w:szCs w:val="24"/>
          <w:lang w:val="sr-Cyrl-RS"/>
        </w:rPr>
        <w:t>-19</w:t>
      </w:r>
      <w:r w:rsidR="007E146A"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пет великих пружалаца </w:t>
      </w:r>
      <w:r w:rsidR="0013745C"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у ЕУ известило</w:t>
      </w:r>
      <w:r w:rsidR="00344BCB" w:rsidRPr="00B3123E">
        <w:rPr>
          <w:rFonts w:ascii="Times New Roman" w:hAnsi="Times New Roman" w:cs="Times New Roman"/>
          <w:szCs w:val="24"/>
          <w:lang w:val="sr-Cyrl-RS"/>
        </w:rPr>
        <w:t xml:space="preserve"> </w:t>
      </w:r>
      <w:r w:rsidR="00392A7D" w:rsidRPr="00B3123E">
        <w:rPr>
          <w:rFonts w:ascii="Times New Roman" w:hAnsi="Times New Roman" w:cs="Times New Roman"/>
          <w:szCs w:val="24"/>
          <w:lang w:val="sr-Cyrl-RS"/>
        </w:rPr>
        <w:t>је</w:t>
      </w:r>
      <w:r w:rsidRPr="00B3123E">
        <w:rPr>
          <w:rFonts w:ascii="Times New Roman" w:hAnsi="Times New Roman" w:cs="Times New Roman"/>
          <w:szCs w:val="24"/>
          <w:lang w:val="sr-Cyrl-RS"/>
        </w:rPr>
        <w:t xml:space="preserve"> да је дошло до пада у количини писмоносних пошиљака,</w:t>
      </w:r>
      <w:r w:rsidR="008F3EF8" w:rsidRPr="00B3123E">
        <w:rPr>
          <w:rFonts w:ascii="Times New Roman" w:hAnsi="Times New Roman" w:cs="Times New Roman"/>
          <w:szCs w:val="24"/>
          <w:lang w:val="sr-Cyrl-RS"/>
        </w:rPr>
        <w:t xml:space="preserve"> а бројке се крећу од 10</w:t>
      </w:r>
      <w:r w:rsidRPr="00B3123E">
        <w:rPr>
          <w:rFonts w:ascii="Times New Roman" w:hAnsi="Times New Roman" w:cs="Times New Roman"/>
          <w:szCs w:val="24"/>
          <w:lang w:val="sr-Cyrl-RS"/>
        </w:rPr>
        <w:t xml:space="preserve">% у </w:t>
      </w:r>
      <w:r w:rsidR="000C71DB" w:rsidRPr="00B3123E">
        <w:rPr>
          <w:rFonts w:ascii="Times New Roman" w:hAnsi="Times New Roman" w:cs="Times New Roman"/>
          <w:szCs w:val="24"/>
          <w:lang w:val="sr-Cyrl-RS"/>
        </w:rPr>
        <w:t xml:space="preserve">Краљевини </w:t>
      </w:r>
      <w:r w:rsidR="008F3EF8" w:rsidRPr="00B3123E">
        <w:rPr>
          <w:rFonts w:ascii="Times New Roman" w:hAnsi="Times New Roman" w:cs="Times New Roman"/>
          <w:szCs w:val="24"/>
          <w:lang w:val="sr-Cyrl-RS"/>
        </w:rPr>
        <w:t>Холандији до 18</w:t>
      </w:r>
      <w:r w:rsidR="00B32554" w:rsidRPr="00B3123E">
        <w:rPr>
          <w:rFonts w:ascii="Times New Roman" w:hAnsi="Times New Roman" w:cs="Times New Roman"/>
          <w:szCs w:val="24"/>
          <w:lang w:val="sr-Cyrl-RS"/>
        </w:rPr>
        <w:t>% у</w:t>
      </w:r>
      <w:r w:rsidR="000C71DB" w:rsidRPr="00B3123E">
        <w:rPr>
          <w:rFonts w:ascii="Times New Roman" w:hAnsi="Times New Roman" w:cs="Times New Roman"/>
          <w:szCs w:val="24"/>
          <w:lang w:val="sr-Cyrl-RS"/>
        </w:rPr>
        <w:t xml:space="preserve"> Републици </w:t>
      </w:r>
      <w:r w:rsidRPr="00B3123E">
        <w:rPr>
          <w:rFonts w:ascii="Times New Roman" w:hAnsi="Times New Roman" w:cs="Times New Roman"/>
          <w:szCs w:val="24"/>
          <w:lang w:val="sr-Cyrl-RS"/>
        </w:rPr>
        <w:t>Француској</w:t>
      </w:r>
      <w:r w:rsidR="00EC0D9A" w:rsidRPr="00B3123E">
        <w:rPr>
          <w:rStyle w:val="FootnoteReference"/>
          <w:rFonts w:ascii="Times New Roman" w:hAnsi="Times New Roman" w:cs="Times New Roman"/>
          <w:szCs w:val="24"/>
          <w:lang w:val="sr-Cyrl-RS"/>
        </w:rPr>
        <w:footnoteReference w:id="2"/>
      </w:r>
      <w:r w:rsidR="00CA3D6F" w:rsidRPr="00B3123E">
        <w:rPr>
          <w:rFonts w:ascii="Times New Roman" w:hAnsi="Times New Roman" w:cs="Times New Roman"/>
          <w:szCs w:val="24"/>
          <w:lang w:val="sr-Cyrl-RS"/>
        </w:rPr>
        <w:t>.</w:t>
      </w:r>
    </w:p>
    <w:p w14:paraId="0FB335BB" w14:textId="7FCB336F" w:rsidR="00DC6618" w:rsidRPr="00B3123E" w:rsidRDefault="008F554D"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Са друге стране</w:t>
      </w:r>
      <w:r w:rsidR="00D8358D"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изузетно је велики друштвени значај поштанског саобраћаја. Развијена и доступна поштанска мрежа у великој мери позитивно утиче на одрживи развој локалних заједница, нарочито у руралним подручјима. Осим тога, поштански оператори последњих година нуде и дигиталне услуге</w:t>
      </w:r>
      <w:r w:rsidR="00566C16" w:rsidRPr="00B3123E">
        <w:rPr>
          <w:rFonts w:ascii="Times New Roman" w:hAnsi="Times New Roman" w:cs="Times New Roman"/>
          <w:szCs w:val="24"/>
          <w:lang w:val="sr-Cyrl-RS"/>
        </w:rPr>
        <w:t xml:space="preserve"> као што су </w:t>
      </w:r>
      <w:r w:rsidR="00250CEF" w:rsidRPr="00B3123E">
        <w:rPr>
          <w:rFonts w:ascii="Times New Roman" w:hAnsi="Times New Roman" w:cs="Times New Roman"/>
          <w:szCs w:val="24"/>
          <w:lang w:val="sr-Cyrl-RS"/>
        </w:rPr>
        <w:t>Мобилн</w:t>
      </w:r>
      <w:r w:rsidR="00566C16" w:rsidRPr="00B3123E">
        <w:rPr>
          <w:rFonts w:ascii="Times New Roman" w:hAnsi="Times New Roman" w:cs="Times New Roman"/>
          <w:szCs w:val="24"/>
          <w:lang w:val="sr-Cyrl-RS"/>
        </w:rPr>
        <w:t>а</w:t>
      </w:r>
      <w:r w:rsidR="00250CEF" w:rsidRPr="00B3123E">
        <w:rPr>
          <w:rFonts w:ascii="Times New Roman" w:hAnsi="Times New Roman" w:cs="Times New Roman"/>
          <w:szCs w:val="24"/>
          <w:lang w:val="sr-Cyrl-RS"/>
        </w:rPr>
        <w:t xml:space="preserve"> апликациј</w:t>
      </w:r>
      <w:r w:rsidR="00566C16" w:rsidRPr="00B3123E">
        <w:rPr>
          <w:rFonts w:ascii="Times New Roman" w:hAnsi="Times New Roman" w:cs="Times New Roman"/>
          <w:szCs w:val="24"/>
          <w:lang w:val="sr-Cyrl-RS"/>
        </w:rPr>
        <w:t>а</w:t>
      </w:r>
      <w:r w:rsidR="00250CEF" w:rsidRPr="00B3123E">
        <w:rPr>
          <w:rFonts w:ascii="Times New Roman" w:hAnsi="Times New Roman" w:cs="Times New Roman"/>
          <w:szCs w:val="24"/>
          <w:lang w:val="sr-Cyrl-RS"/>
        </w:rPr>
        <w:t xml:space="preserve"> „Пошта Србије</w:t>
      </w:r>
      <w:r w:rsidR="00784924" w:rsidRPr="00B3123E">
        <w:rPr>
          <w:rFonts w:ascii="Times New Roman" w:hAnsi="Times New Roman" w:cs="Times New Roman"/>
          <w:szCs w:val="24"/>
          <w:lang w:val="sr-Cyrl-RS"/>
        </w:rPr>
        <w:t>”,</w:t>
      </w:r>
      <w:r w:rsidR="00250CEF" w:rsidRPr="00B3123E">
        <w:rPr>
          <w:rFonts w:ascii="Times New Roman" w:hAnsi="Times New Roman" w:cs="Times New Roman"/>
          <w:szCs w:val="24"/>
          <w:lang w:val="sr-Cyrl-RS"/>
        </w:rPr>
        <w:t xml:space="preserve"> </w:t>
      </w:r>
      <w:r w:rsidR="005C2EFC" w:rsidRPr="00B3123E">
        <w:rPr>
          <w:rFonts w:ascii="Times New Roman" w:hAnsi="Times New Roman" w:cs="Times New Roman"/>
          <w:szCs w:val="24"/>
          <w:lang w:val="sr-Cyrl-RS"/>
        </w:rPr>
        <w:t>издавање квалификованих електронских сертификата, издавање параметара за еУправ</w:t>
      </w:r>
      <w:r w:rsidR="00566C16" w:rsidRPr="00B3123E">
        <w:rPr>
          <w:rFonts w:ascii="Times New Roman" w:hAnsi="Times New Roman" w:cs="Times New Roman"/>
          <w:szCs w:val="24"/>
          <w:lang w:val="sr-Cyrl-RS"/>
        </w:rPr>
        <w:t>у</w:t>
      </w:r>
      <w:r w:rsidR="005C2EFC" w:rsidRPr="00B3123E">
        <w:rPr>
          <w:rFonts w:ascii="Times New Roman" w:hAnsi="Times New Roman" w:cs="Times New Roman"/>
          <w:szCs w:val="24"/>
          <w:lang w:val="sr-Cyrl-RS"/>
        </w:rPr>
        <w:t xml:space="preserve"> (логовање, </w:t>
      </w:r>
      <w:r w:rsidR="009A0A7C" w:rsidRPr="00B3123E">
        <w:rPr>
          <w:rFonts w:ascii="Times New Roman" w:hAnsi="Times New Roman" w:cs="Times New Roman"/>
          <w:szCs w:val="24"/>
          <w:lang w:val="sr-Cyrl-RS"/>
        </w:rPr>
        <w:t>еАграр</w:t>
      </w:r>
      <w:r w:rsidR="005C2EFC" w:rsidRPr="00B3123E">
        <w:rPr>
          <w:rFonts w:ascii="Times New Roman" w:hAnsi="Times New Roman" w:cs="Times New Roman"/>
          <w:szCs w:val="24"/>
          <w:lang w:val="sr-Cyrl-RS"/>
        </w:rPr>
        <w:t>,</w:t>
      </w:r>
      <w:r w:rsidR="009A0A7C" w:rsidRPr="00B3123E">
        <w:rPr>
          <w:rFonts w:ascii="Times New Roman" w:hAnsi="Times New Roman" w:cs="Times New Roman"/>
          <w:szCs w:val="24"/>
          <w:lang w:val="sr-Cyrl-RS"/>
        </w:rPr>
        <w:t xml:space="preserve"> еЗдравље</w:t>
      </w:r>
      <w:r w:rsidR="005C2EFC" w:rsidRPr="00B3123E">
        <w:rPr>
          <w:rFonts w:ascii="Times New Roman" w:hAnsi="Times New Roman" w:cs="Times New Roman"/>
          <w:szCs w:val="24"/>
          <w:lang w:val="sr-Cyrl-RS"/>
        </w:rPr>
        <w:t>)</w:t>
      </w:r>
      <w:r w:rsidR="00250CEF" w:rsidRPr="00B3123E">
        <w:rPr>
          <w:rFonts w:ascii="Times New Roman" w:hAnsi="Times New Roman" w:cs="Times New Roman"/>
          <w:szCs w:val="24"/>
          <w:lang w:val="sr-Cyrl-RS"/>
        </w:rPr>
        <w:t>, сарадња са еУправом ради подршке корисницима у стварању eГрађанин налога,</w:t>
      </w:r>
      <w:r w:rsidR="00180E66" w:rsidRPr="00B3123E">
        <w:rPr>
          <w:rFonts w:ascii="Times New Roman" w:hAnsi="Times New Roman" w:cs="Times New Roman"/>
          <w:szCs w:val="24"/>
          <w:lang w:val="sr-Cyrl-RS"/>
        </w:rPr>
        <w:t xml:space="preserve"> </w:t>
      </w:r>
      <w:r w:rsidR="005C2EFC" w:rsidRPr="00B3123E">
        <w:rPr>
          <w:rFonts w:ascii="Times New Roman" w:hAnsi="Times New Roman" w:cs="Times New Roman"/>
          <w:szCs w:val="24"/>
          <w:lang w:val="sr-Cyrl-RS"/>
        </w:rPr>
        <w:t>еРецепт</w:t>
      </w:r>
      <w:r w:rsidRPr="00B3123E">
        <w:rPr>
          <w:rFonts w:ascii="Times New Roman" w:hAnsi="Times New Roman" w:cs="Times New Roman"/>
          <w:szCs w:val="24"/>
          <w:lang w:val="sr-Cyrl-RS"/>
        </w:rPr>
        <w:t>, приступа интернету</w:t>
      </w:r>
      <w:r w:rsidR="00250CEF" w:rsidRPr="00B3123E">
        <w:rPr>
          <w:rFonts w:ascii="Times New Roman" w:hAnsi="Times New Roman" w:cs="Times New Roman"/>
          <w:szCs w:val="24"/>
          <w:lang w:val="sr-Cyrl-RS"/>
        </w:rPr>
        <w:t xml:space="preserve"> и др.</w:t>
      </w:r>
      <w:r w:rsidRPr="00B3123E">
        <w:rPr>
          <w:rFonts w:ascii="Times New Roman" w:hAnsi="Times New Roman" w:cs="Times New Roman"/>
          <w:szCs w:val="24"/>
          <w:lang w:val="sr-Cyrl-RS"/>
        </w:rPr>
        <w:t xml:space="preserve"> чиме доприносе дигиталној писмености и доступности јавних услуга. </w:t>
      </w:r>
    </w:p>
    <w:p w14:paraId="6920EEF1" w14:textId="2C9EE187" w:rsidR="00DC6618" w:rsidRPr="00B3123E" w:rsidRDefault="00DC6618" w:rsidP="003D40B5">
      <w:pPr>
        <w:tabs>
          <w:tab w:val="left" w:pos="1440"/>
        </w:tabs>
        <w:spacing w:before="225" w:after="225"/>
        <w:ind w:firstLine="709"/>
        <w:rPr>
          <w:lang w:val="sr-Cyrl-RS"/>
        </w:rPr>
      </w:pPr>
      <w:r w:rsidRPr="00B3123E">
        <w:rPr>
          <w:rFonts w:ascii="Times New Roman" w:hAnsi="Times New Roman" w:cs="Times New Roman"/>
          <w:szCs w:val="24"/>
          <w:lang w:val="sr-Cyrl-RS"/>
        </w:rPr>
        <w:lastRenderedPageBreak/>
        <w:t>Будући да пословни модел пружања поштанских услуга зависи од економије обима, због смањења количине писмоносних пошиљака (просечно –</w:t>
      </w:r>
      <w:r w:rsidR="00B35347" w:rsidRPr="00B3123E">
        <w:rPr>
          <w:rFonts w:ascii="Times New Roman" w:hAnsi="Times New Roman" w:cs="Times New Roman"/>
          <w:szCs w:val="24"/>
          <w:lang w:val="sr-Cyrl-RS"/>
        </w:rPr>
        <w:t xml:space="preserve"> </w:t>
      </w:r>
      <w:r w:rsidR="008F3EF8" w:rsidRPr="00B3123E">
        <w:rPr>
          <w:rFonts w:ascii="Times New Roman" w:hAnsi="Times New Roman" w:cs="Times New Roman"/>
          <w:szCs w:val="24"/>
          <w:lang w:val="sr-Cyrl-RS"/>
        </w:rPr>
        <w:t>4,9</w:t>
      </w:r>
      <w:r w:rsidRPr="00B3123E">
        <w:rPr>
          <w:rFonts w:ascii="Times New Roman" w:hAnsi="Times New Roman" w:cs="Times New Roman"/>
          <w:szCs w:val="24"/>
          <w:lang w:val="sr-Cyrl-RS"/>
        </w:rPr>
        <w:t>% сваке године од 2008.</w:t>
      </w:r>
      <w:r w:rsidR="00D8358D" w:rsidRPr="00B3123E">
        <w:rPr>
          <w:rFonts w:ascii="Times New Roman" w:hAnsi="Times New Roman" w:cs="Times New Roman"/>
          <w:szCs w:val="24"/>
          <w:lang w:val="sr-Cyrl-RS"/>
        </w:rPr>
        <w:t xml:space="preserve"> године</w:t>
      </w:r>
      <w:r w:rsidRPr="00B3123E">
        <w:rPr>
          <w:rFonts w:ascii="Times New Roman" w:hAnsi="Times New Roman" w:cs="Times New Roman"/>
          <w:szCs w:val="24"/>
          <w:lang w:val="sr-Cyrl-RS"/>
        </w:rPr>
        <w:t xml:space="preserve">) долази до повећања трошкова доставе по јединици. Како би отклонили учинак повећања трошкова, многи поштански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и у Е</w:t>
      </w:r>
      <w:r w:rsidR="003B5FC7"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мењају свој пословни модел, па тако и оператори у Републици Србији. </w:t>
      </w:r>
      <w:r w:rsidR="00D02445" w:rsidRPr="00B3123E">
        <w:rPr>
          <w:rFonts w:ascii="Times New Roman" w:hAnsi="Times New Roman" w:cs="Times New Roman"/>
          <w:szCs w:val="24"/>
          <w:lang w:val="sr-Cyrl-RS"/>
        </w:rPr>
        <w:t>Пружаоци</w:t>
      </w:r>
      <w:r w:rsidRPr="00B3123E">
        <w:rPr>
          <w:rFonts w:ascii="Times New Roman" w:hAnsi="Times New Roman" w:cs="Times New Roman"/>
          <w:szCs w:val="24"/>
          <w:lang w:val="sr-Cyrl-RS"/>
        </w:rPr>
        <w:t xml:space="preserve"> </w:t>
      </w:r>
      <w:r w:rsidR="00661C57"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уз своје постојеће мреже и структуру високих фиксних трошкова истраживали</w:t>
      </w:r>
      <w:r w:rsidR="00FC3499" w:rsidRPr="00B3123E">
        <w:rPr>
          <w:rFonts w:ascii="Times New Roman" w:hAnsi="Times New Roman" w:cs="Times New Roman"/>
          <w:szCs w:val="24"/>
          <w:lang w:val="sr-Cyrl-RS"/>
        </w:rPr>
        <w:t xml:space="preserve"> су</w:t>
      </w:r>
      <w:r w:rsidRPr="00B3123E">
        <w:rPr>
          <w:rFonts w:ascii="Times New Roman" w:hAnsi="Times New Roman" w:cs="Times New Roman"/>
          <w:szCs w:val="24"/>
          <w:lang w:val="sr-Cyrl-RS"/>
        </w:rPr>
        <w:t xml:space="preserve"> начине повећања </w:t>
      </w:r>
      <w:r w:rsidR="00D02445" w:rsidRPr="00B3123E">
        <w:rPr>
          <w:rFonts w:ascii="Times New Roman" w:hAnsi="Times New Roman" w:cs="Times New Roman"/>
          <w:szCs w:val="24"/>
          <w:lang w:val="sr-Cyrl-RS"/>
        </w:rPr>
        <w:t>ефикасности</w:t>
      </w:r>
      <w:r w:rsidRPr="00B3123E">
        <w:rPr>
          <w:rFonts w:ascii="Times New Roman" w:hAnsi="Times New Roman" w:cs="Times New Roman"/>
          <w:szCs w:val="24"/>
          <w:lang w:val="sr-Cyrl-RS"/>
        </w:rPr>
        <w:t xml:space="preserve">, побољшања решења усмерених према купцу, диверсификације услуга и проналаска нових тржишта на којима могу расти. Раст е-трговине дао им је могућност развоја у подручју доставе пакета и многи се </w:t>
      </w:r>
      <w:r w:rsidR="00D02445" w:rsidRPr="00B3123E">
        <w:rPr>
          <w:rFonts w:ascii="Times New Roman" w:hAnsi="Times New Roman" w:cs="Times New Roman"/>
          <w:szCs w:val="24"/>
          <w:lang w:val="sr-Cyrl-RS"/>
        </w:rPr>
        <w:t>пружаоци</w:t>
      </w:r>
      <w:r w:rsidRPr="00B3123E">
        <w:rPr>
          <w:rFonts w:ascii="Times New Roman" w:hAnsi="Times New Roman" w:cs="Times New Roman"/>
          <w:szCs w:val="24"/>
          <w:lang w:val="sr-Cyrl-RS"/>
        </w:rPr>
        <w:t xml:space="preserve"> </w:t>
      </w:r>
      <w:r w:rsidR="008163D8"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сад</w:t>
      </w:r>
      <w:r w:rsidR="008A3D82"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надмећу с</w:t>
      </w:r>
      <w:r w:rsidR="008A3D82"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другим </w:t>
      </w:r>
      <w:r w:rsidR="00D02445" w:rsidRPr="00B3123E">
        <w:rPr>
          <w:rFonts w:ascii="Times New Roman" w:hAnsi="Times New Roman" w:cs="Times New Roman"/>
          <w:szCs w:val="24"/>
          <w:lang w:val="sr-Cyrl-RS"/>
        </w:rPr>
        <w:t>пружаоцима</w:t>
      </w:r>
      <w:r w:rsidRPr="00B3123E">
        <w:rPr>
          <w:rFonts w:ascii="Times New Roman" w:hAnsi="Times New Roman" w:cs="Times New Roman"/>
          <w:szCs w:val="24"/>
          <w:lang w:val="sr-Cyrl-RS"/>
        </w:rPr>
        <w:t xml:space="preserve"> услуга доставе пакета. Осим неколико </w:t>
      </w:r>
      <w:r w:rsidR="00D02445" w:rsidRPr="00B3123E">
        <w:rPr>
          <w:rFonts w:ascii="Times New Roman" w:hAnsi="Times New Roman" w:cs="Times New Roman"/>
          <w:szCs w:val="24"/>
          <w:lang w:val="sr-Cyrl-RS"/>
        </w:rPr>
        <w:t>изузетака</w:t>
      </w:r>
      <w:r w:rsidR="008A3D8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тржишни уд</w:t>
      </w:r>
      <w:r w:rsidR="00D0244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о </w:t>
      </w:r>
      <w:r w:rsidR="00D02445" w:rsidRPr="00B3123E">
        <w:rPr>
          <w:rFonts w:ascii="Times New Roman" w:hAnsi="Times New Roman" w:cs="Times New Roman"/>
          <w:szCs w:val="24"/>
          <w:lang w:val="sr-Cyrl-RS"/>
        </w:rPr>
        <w:t>пружаоца</w:t>
      </w:r>
      <w:r w:rsidRPr="00B3123E">
        <w:rPr>
          <w:rFonts w:ascii="Times New Roman" w:hAnsi="Times New Roman" w:cs="Times New Roman"/>
          <w:szCs w:val="24"/>
          <w:lang w:val="sr-Cyrl-RS"/>
        </w:rPr>
        <w:t xml:space="preserve"> </w:t>
      </w:r>
      <w:r w:rsidR="001858DC"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у сегменту доставе пакета и даље је прилично мал</w:t>
      </w:r>
      <w:r w:rsidR="00D02445"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у </w:t>
      </w:r>
      <w:r w:rsidR="00D02445" w:rsidRPr="00B3123E">
        <w:rPr>
          <w:rFonts w:ascii="Times New Roman" w:hAnsi="Times New Roman" w:cs="Times New Roman"/>
          <w:szCs w:val="24"/>
          <w:lang w:val="sr-Cyrl-RS"/>
        </w:rPr>
        <w:t>поређењу</w:t>
      </w:r>
      <w:r w:rsidRPr="00B3123E">
        <w:rPr>
          <w:rFonts w:ascii="Times New Roman" w:hAnsi="Times New Roman" w:cs="Times New Roman"/>
          <w:szCs w:val="24"/>
          <w:lang w:val="sr-Cyrl-RS"/>
        </w:rPr>
        <w:t xml:space="preserve"> са сегментом писмон</w:t>
      </w:r>
      <w:r w:rsidR="00D02445" w:rsidRPr="00B3123E">
        <w:rPr>
          <w:rFonts w:ascii="Times New Roman" w:hAnsi="Times New Roman" w:cs="Times New Roman"/>
          <w:szCs w:val="24"/>
          <w:lang w:val="sr-Cyrl-RS"/>
        </w:rPr>
        <w:t>осн</w:t>
      </w:r>
      <w:r w:rsidRPr="00B3123E">
        <w:rPr>
          <w:rFonts w:ascii="Times New Roman" w:hAnsi="Times New Roman" w:cs="Times New Roman"/>
          <w:szCs w:val="24"/>
          <w:lang w:val="sr-Cyrl-RS"/>
        </w:rPr>
        <w:t>их пошиљака, гд</w:t>
      </w:r>
      <w:r w:rsidR="00D0244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одувек имају јако велик тржишни уд</w:t>
      </w:r>
      <w:r w:rsidR="00D0244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о или су чак и даље једини релевантан тржишни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w:t>
      </w:r>
    </w:p>
    <w:p w14:paraId="2F7B939B" w14:textId="75DC077F" w:rsidR="008F554D" w:rsidRPr="00B3123E" w:rsidRDefault="008F554D"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Поштанска инфраструктура у </w:t>
      </w:r>
      <w:r w:rsidR="00C86F7C"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Србији </w:t>
      </w:r>
      <w:r w:rsidR="001A6486" w:rsidRPr="00B3123E">
        <w:rPr>
          <w:rFonts w:ascii="Times New Roman" w:hAnsi="Times New Roman" w:cs="Times New Roman"/>
          <w:szCs w:val="24"/>
          <w:lang w:val="sr-Cyrl-RS"/>
        </w:rPr>
        <w:t>читавим сетом услуга, а пре свега кроз логистичку подршку извозу и е-трговини</w:t>
      </w:r>
      <w:r w:rsidR="000120D7"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доприноси интернационализацији</w:t>
      </w:r>
      <w:r w:rsidR="008A0771" w:rsidRPr="00B3123E">
        <w:rPr>
          <w:rFonts w:ascii="Times New Roman" w:hAnsi="Times New Roman" w:cs="Times New Roman"/>
          <w:szCs w:val="24"/>
          <w:lang w:val="sr-Cyrl-RS"/>
        </w:rPr>
        <w:t xml:space="preserve"> домаће</w:t>
      </w:r>
      <w:r w:rsidRPr="00B3123E">
        <w:rPr>
          <w:rFonts w:ascii="Times New Roman" w:hAnsi="Times New Roman" w:cs="Times New Roman"/>
          <w:szCs w:val="24"/>
          <w:lang w:val="sr-Cyrl-RS"/>
        </w:rPr>
        <w:t xml:space="preserve"> привреде и комуникациј</w:t>
      </w:r>
      <w:r w:rsidR="000120D7"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са дијаспором</w:t>
      </w:r>
      <w:r w:rsidR="00C740B8" w:rsidRPr="00B3123E">
        <w:rPr>
          <w:rFonts w:ascii="Times New Roman" w:hAnsi="Times New Roman" w:cs="Times New Roman"/>
          <w:szCs w:val="24"/>
          <w:lang w:val="sr-Cyrl-RS"/>
        </w:rPr>
        <w:t>, кроз извоз српских производа и услуга на међународно тржиште</w:t>
      </w:r>
      <w:r w:rsidRPr="00B3123E">
        <w:rPr>
          <w:rFonts w:ascii="Times New Roman" w:hAnsi="Times New Roman" w:cs="Times New Roman"/>
          <w:szCs w:val="24"/>
          <w:lang w:val="sr-Cyrl-RS"/>
        </w:rPr>
        <w:t>. Такође, прилагођавање европским стандардима (нпр. либерализација тржишта поштанских услуга) доприноси унапређењу квалитета и конкурентности.</w:t>
      </w:r>
    </w:p>
    <w:p w14:paraId="32DA650B" w14:textId="77777777" w:rsidR="008F554D" w:rsidRPr="00B3123E" w:rsidRDefault="008F554D"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Поштанске услуге спадају у ред високо софистицираних услуга са константним техничко-технолошким иновацијама, пре свега у области информационо комуникационих технологија, па самим тим представљају делатност која, поред сопственог одрживог економског раста, може успешно да подржи даљи техничко-технолошки развој </w:t>
      </w:r>
      <w:r w:rsidR="001A6486" w:rsidRPr="00B3123E">
        <w:rPr>
          <w:rFonts w:ascii="Times New Roman" w:hAnsi="Times New Roman" w:cs="Times New Roman"/>
          <w:szCs w:val="24"/>
          <w:lang w:val="sr-Cyrl-RS"/>
        </w:rPr>
        <w:t xml:space="preserve">Републике </w:t>
      </w:r>
      <w:r w:rsidRPr="00B3123E">
        <w:rPr>
          <w:rFonts w:ascii="Times New Roman" w:hAnsi="Times New Roman" w:cs="Times New Roman"/>
          <w:szCs w:val="24"/>
          <w:lang w:val="sr-Cyrl-RS"/>
        </w:rPr>
        <w:t>Србије</w:t>
      </w:r>
      <w:r w:rsidR="008A3D82" w:rsidRPr="00B3123E">
        <w:rPr>
          <w:rFonts w:ascii="Times New Roman" w:hAnsi="Times New Roman" w:cs="Times New Roman"/>
          <w:szCs w:val="24"/>
          <w:lang w:val="sr-Cyrl-RS"/>
        </w:rPr>
        <w:t>.</w:t>
      </w:r>
    </w:p>
    <w:p w14:paraId="7F6338A0" w14:textId="77777777" w:rsidR="008F554D" w:rsidRPr="00B3123E" w:rsidRDefault="008F554D"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Иако</w:t>
      </w:r>
      <w:r w:rsidR="00C10739" w:rsidRPr="00B3123E">
        <w:rPr>
          <w:rFonts w:ascii="Times New Roman" w:hAnsi="Times New Roman" w:cs="Times New Roman"/>
          <w:szCs w:val="24"/>
          <w:lang w:val="sr-Cyrl-RS"/>
        </w:rPr>
        <w:t xml:space="preserve"> се последњих година</w:t>
      </w:r>
      <w:r w:rsidRPr="00B3123E">
        <w:rPr>
          <w:rFonts w:ascii="Times New Roman" w:hAnsi="Times New Roman" w:cs="Times New Roman"/>
          <w:szCs w:val="24"/>
          <w:lang w:val="sr-Cyrl-RS"/>
        </w:rPr>
        <w:t>,</w:t>
      </w:r>
      <w:r w:rsidR="00C10739" w:rsidRPr="00B3123E">
        <w:rPr>
          <w:rFonts w:ascii="Times New Roman" w:hAnsi="Times New Roman" w:cs="Times New Roman"/>
          <w:szCs w:val="24"/>
          <w:lang w:val="sr-Cyrl-RS"/>
        </w:rPr>
        <w:t xml:space="preserve"> поштански саобраћај константно трансформише и налази пред изузетно значајним изазовима, </w:t>
      </w:r>
      <w:r w:rsidRPr="00B3123E">
        <w:rPr>
          <w:rFonts w:ascii="Times New Roman" w:hAnsi="Times New Roman" w:cs="Times New Roman"/>
          <w:szCs w:val="24"/>
          <w:lang w:val="sr-Cyrl-RS"/>
        </w:rPr>
        <w:t>његова основна мисија остаје иста</w:t>
      </w:r>
      <w:r w:rsidR="008A3D8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да служи грађанима и привреди, чиме директно доприноси јачању економске стабилности и социјалне кохезије у </w:t>
      </w:r>
      <w:r w:rsidR="001A6486"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Србији.</w:t>
      </w:r>
    </w:p>
    <w:p w14:paraId="1C8045F7" w14:textId="4FADCBDD" w:rsidR="00C10739" w:rsidRPr="00B3123E" w:rsidRDefault="00C10739"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Поштански сектор представља значајан фактор који утиче на раст привреде, запослености и </w:t>
      </w:r>
      <w:r w:rsidR="00C86F7C" w:rsidRPr="00B3123E">
        <w:rPr>
          <w:rFonts w:ascii="Times New Roman" w:hAnsi="Times New Roman" w:cs="Times New Roman"/>
          <w:szCs w:val="24"/>
          <w:lang w:val="sr-Cyrl-RS"/>
        </w:rPr>
        <w:t xml:space="preserve">бруто </w:t>
      </w:r>
      <w:r w:rsidR="008F3EF8" w:rsidRPr="00B3123E">
        <w:rPr>
          <w:rFonts w:ascii="Times New Roman" w:hAnsi="Times New Roman" w:cs="Times New Roman"/>
          <w:szCs w:val="24"/>
          <w:lang w:val="sr-Cyrl-RS"/>
        </w:rPr>
        <w:t>домаћи</w:t>
      </w:r>
      <w:r w:rsidR="00C86F7C" w:rsidRPr="00B3123E">
        <w:rPr>
          <w:rFonts w:ascii="Times New Roman" w:hAnsi="Times New Roman" w:cs="Times New Roman"/>
          <w:szCs w:val="24"/>
          <w:lang w:val="sr-Cyrl-RS"/>
        </w:rPr>
        <w:t xml:space="preserve"> производа (у даљем тексту</w:t>
      </w:r>
      <w:r w:rsidR="003B5FC7" w:rsidRPr="00B3123E">
        <w:rPr>
          <w:rFonts w:ascii="Times New Roman" w:hAnsi="Times New Roman" w:cs="Times New Roman"/>
          <w:szCs w:val="24"/>
          <w:lang w:val="sr-Cyrl-RS"/>
        </w:rPr>
        <w:t>:</w:t>
      </w:r>
      <w:r w:rsidR="00C86F7C"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БДП</w:t>
      </w:r>
      <w:r w:rsidR="003B5FC7"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у Републици Србији. </w:t>
      </w:r>
      <w:r w:rsidR="003D40B5"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Тако</w:t>
      </w:r>
      <w:r w:rsidR="000120D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је:</w:t>
      </w:r>
    </w:p>
    <w:p w14:paraId="0008E7AE" w14:textId="682C7562" w:rsidR="004E769A" w:rsidRPr="00B3123E" w:rsidRDefault="006211A8" w:rsidP="00076DA2">
      <w:pPr>
        <w:pStyle w:val="ListParagraph"/>
        <w:numPr>
          <w:ilvl w:val="0"/>
          <w:numId w:val="20"/>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у</w:t>
      </w:r>
      <w:r w:rsidR="004E769A" w:rsidRPr="00B3123E">
        <w:rPr>
          <w:rFonts w:ascii="Times New Roman" w:hAnsi="Times New Roman" w:cs="Times New Roman"/>
          <w:szCs w:val="24"/>
          <w:lang w:val="sr-Cyrl-RS"/>
        </w:rPr>
        <w:t xml:space="preserve"> 2024. години поштанска делатност у </w:t>
      </w:r>
      <w:r w:rsidR="001A6486" w:rsidRPr="00B3123E">
        <w:rPr>
          <w:rFonts w:ascii="Times New Roman" w:hAnsi="Times New Roman" w:cs="Times New Roman"/>
          <w:szCs w:val="24"/>
          <w:lang w:val="sr-Cyrl-RS"/>
        </w:rPr>
        <w:t xml:space="preserve">Републици </w:t>
      </w:r>
      <w:r w:rsidR="004E769A" w:rsidRPr="00B3123E">
        <w:rPr>
          <w:rFonts w:ascii="Times New Roman" w:hAnsi="Times New Roman" w:cs="Times New Roman"/>
          <w:szCs w:val="24"/>
          <w:lang w:val="sr-Cyrl-RS"/>
        </w:rPr>
        <w:t xml:space="preserve">Србији остварила приход од око 37 милијарди динара (око 319 милиона </w:t>
      </w:r>
      <w:r w:rsidR="00186032" w:rsidRPr="00B3123E">
        <w:rPr>
          <w:rFonts w:ascii="Times New Roman" w:hAnsi="Times New Roman" w:cs="Times New Roman"/>
          <w:szCs w:val="24"/>
          <w:lang w:val="sr-Cyrl-RS"/>
        </w:rPr>
        <w:t>евра</w:t>
      </w:r>
      <w:r w:rsidR="004E769A" w:rsidRPr="00B3123E">
        <w:rPr>
          <w:rFonts w:ascii="Times New Roman" w:hAnsi="Times New Roman" w:cs="Times New Roman"/>
          <w:szCs w:val="24"/>
          <w:lang w:val="sr-Cyrl-RS"/>
        </w:rPr>
        <w:t>)</w:t>
      </w:r>
      <w:r w:rsidR="004034A6" w:rsidRPr="00B3123E">
        <w:rPr>
          <w:rStyle w:val="FootnoteReference"/>
          <w:rFonts w:ascii="Times New Roman" w:hAnsi="Times New Roman" w:cs="Times New Roman"/>
          <w:szCs w:val="24"/>
          <w:lang w:val="sr-Cyrl-RS"/>
        </w:rPr>
        <w:footnoteReference w:id="3"/>
      </w:r>
      <w:r w:rsidR="004E769A" w:rsidRPr="00B3123E">
        <w:rPr>
          <w:rFonts w:ascii="Times New Roman" w:hAnsi="Times New Roman" w:cs="Times New Roman"/>
          <w:szCs w:val="24"/>
          <w:lang w:val="sr-Cyrl-RS"/>
        </w:rPr>
        <w:t>, што чини око 0,</w:t>
      </w:r>
      <w:r w:rsidR="004034A6" w:rsidRPr="00B3123E">
        <w:rPr>
          <w:rFonts w:ascii="Times New Roman" w:hAnsi="Times New Roman" w:cs="Times New Roman"/>
          <w:szCs w:val="24"/>
          <w:lang w:val="sr-Cyrl-RS"/>
        </w:rPr>
        <w:t>39</w:t>
      </w:r>
      <w:r w:rsidR="003B5FC7" w:rsidRPr="00B3123E">
        <w:rPr>
          <w:rFonts w:ascii="Times New Roman" w:hAnsi="Times New Roman" w:cs="Times New Roman"/>
          <w:szCs w:val="24"/>
          <w:lang w:val="sr-Cyrl-RS"/>
        </w:rPr>
        <w:t>% укупног БДП у тој години;</w:t>
      </w:r>
      <w:r w:rsidR="004E769A" w:rsidRPr="00B3123E">
        <w:rPr>
          <w:rFonts w:ascii="Times New Roman" w:hAnsi="Times New Roman" w:cs="Times New Roman"/>
          <w:szCs w:val="24"/>
          <w:lang w:val="sr-Cyrl-RS"/>
        </w:rPr>
        <w:t xml:space="preserve"> </w:t>
      </w:r>
      <w:r w:rsidR="004E769A" w:rsidRPr="00B3123E">
        <w:rPr>
          <w:rStyle w:val="FootnoteReference"/>
          <w:rFonts w:ascii="Times New Roman" w:hAnsi="Times New Roman" w:cs="Times New Roman"/>
          <w:szCs w:val="24"/>
          <w:lang w:val="sr-Cyrl-RS"/>
        </w:rPr>
        <w:footnoteReference w:id="4"/>
      </w:r>
    </w:p>
    <w:p w14:paraId="70ACB49B" w14:textId="6DB2822C" w:rsidR="00C10739" w:rsidRPr="00B3123E" w:rsidRDefault="006211A8" w:rsidP="00076DA2">
      <w:pPr>
        <w:pStyle w:val="ListParagraph"/>
        <w:numPr>
          <w:ilvl w:val="0"/>
          <w:numId w:val="20"/>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у</w:t>
      </w:r>
      <w:r w:rsidR="004E769A" w:rsidRPr="00B3123E">
        <w:rPr>
          <w:rFonts w:ascii="Times New Roman" w:hAnsi="Times New Roman" w:cs="Times New Roman"/>
          <w:szCs w:val="24"/>
          <w:lang w:val="sr-Cyrl-RS"/>
        </w:rPr>
        <w:t xml:space="preserve"> поштанском сектору у 2024. години било је укупно запослено 18.887 радника, односно око 0,8% од укупног броја запослених у Републици Србији.</w:t>
      </w:r>
      <w:r w:rsidR="004E769A" w:rsidRPr="00B3123E">
        <w:rPr>
          <w:rStyle w:val="FootnoteReference"/>
          <w:rFonts w:ascii="Times New Roman" w:hAnsi="Times New Roman" w:cs="Times New Roman"/>
          <w:szCs w:val="24"/>
          <w:lang w:val="sr-Cyrl-RS"/>
        </w:rPr>
        <w:footnoteReference w:id="5"/>
      </w:r>
    </w:p>
    <w:p w14:paraId="2C999992" w14:textId="6D121D89" w:rsidR="00D02445" w:rsidRPr="00B3123E" w:rsidRDefault="004E769A"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Иако је последњих година у свету дошло до раздвајања везе између раста БДП и оствареног обима поштанских услуга, ипак учешће поштанског сектора у укупном БДП једне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директно указује на његов значај </w:t>
      </w:r>
      <w:r w:rsidR="00114EC6" w:rsidRPr="00B3123E">
        <w:rPr>
          <w:rFonts w:ascii="Times New Roman" w:hAnsi="Times New Roman" w:cs="Times New Roman"/>
          <w:szCs w:val="24"/>
          <w:lang w:val="sr-Cyrl-RS"/>
        </w:rPr>
        <w:t>з</w:t>
      </w:r>
      <w:r w:rsidRPr="00B3123E">
        <w:rPr>
          <w:rFonts w:ascii="Times New Roman" w:hAnsi="Times New Roman" w:cs="Times New Roman"/>
          <w:szCs w:val="24"/>
          <w:lang w:val="sr-Cyrl-RS"/>
        </w:rPr>
        <w:t xml:space="preserve">а укупни привредни развој те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Такође значајна чињеница је и то што сектор поштанских услуга у Републици Србији </w:t>
      </w:r>
      <w:r w:rsidRPr="00B3123E">
        <w:rPr>
          <w:rFonts w:ascii="Times New Roman" w:hAnsi="Times New Roman" w:cs="Times New Roman"/>
          <w:szCs w:val="24"/>
          <w:lang w:val="sr-Cyrl-RS"/>
        </w:rPr>
        <w:lastRenderedPageBreak/>
        <w:t>прати општи привредни развој имајући у виду да је учешће у БДП, као и учешће у укупном броју запослених остало скоро на истом нивоу као и 2019. године (0,39% БДП, 0,9% запослених)</w:t>
      </w:r>
      <w:r w:rsidRPr="00B3123E">
        <w:rPr>
          <w:rStyle w:val="FootnoteReference"/>
          <w:rFonts w:ascii="Times New Roman" w:hAnsi="Times New Roman" w:cs="Times New Roman"/>
          <w:szCs w:val="24"/>
          <w:lang w:val="sr-Cyrl-RS"/>
        </w:rPr>
        <w:footnoteReference w:id="6"/>
      </w:r>
      <w:r w:rsidRPr="00B3123E">
        <w:rPr>
          <w:rFonts w:ascii="Times New Roman" w:hAnsi="Times New Roman" w:cs="Times New Roman"/>
          <w:szCs w:val="24"/>
          <w:lang w:val="sr-Cyrl-RS"/>
        </w:rPr>
        <w:t xml:space="preserve">. </w:t>
      </w:r>
    </w:p>
    <w:p w14:paraId="587B3B66" w14:textId="0DE87D61" w:rsidR="00D437CA" w:rsidRPr="00B3123E" w:rsidRDefault="00346AF9" w:rsidP="000D7EB9">
      <w:pPr>
        <w:tabs>
          <w:tab w:val="left" w:pos="1440"/>
        </w:tabs>
        <w:spacing w:before="225" w:after="225"/>
        <w:ind w:firstLine="709"/>
        <w:rPr>
          <w:lang w:val="sr-Cyrl-RS"/>
        </w:rPr>
      </w:pPr>
      <w:r w:rsidRPr="00B3123E">
        <w:rPr>
          <w:rFonts w:ascii="Times New Roman" w:hAnsi="Times New Roman" w:cs="Times New Roman"/>
          <w:szCs w:val="24"/>
          <w:lang w:val="sr-Cyrl-RS"/>
        </w:rPr>
        <w:t>Иако</w:t>
      </w:r>
      <w:r w:rsidR="00D02445" w:rsidRPr="00B3123E">
        <w:rPr>
          <w:rFonts w:ascii="Times New Roman" w:hAnsi="Times New Roman" w:cs="Times New Roman"/>
          <w:szCs w:val="24"/>
          <w:lang w:val="sr-Cyrl-RS"/>
        </w:rPr>
        <w:t xml:space="preserve"> се стање на тржишту променило, Република Србија има за циљ </w:t>
      </w:r>
      <w:r w:rsidRPr="00B3123E">
        <w:rPr>
          <w:rFonts w:ascii="Times New Roman" w:hAnsi="Times New Roman" w:cs="Times New Roman"/>
          <w:szCs w:val="24"/>
          <w:lang w:val="sr-Cyrl-RS"/>
        </w:rPr>
        <w:t xml:space="preserve">да </w:t>
      </w:r>
      <w:r w:rsidR="00D02445" w:rsidRPr="00B3123E">
        <w:rPr>
          <w:rFonts w:ascii="Times New Roman" w:hAnsi="Times New Roman" w:cs="Times New Roman"/>
          <w:szCs w:val="24"/>
          <w:lang w:val="sr-Cyrl-RS"/>
        </w:rPr>
        <w:t>осигура да грађани и предузећа</w:t>
      </w:r>
      <w:r w:rsidR="00746129" w:rsidRPr="00B3123E">
        <w:rPr>
          <w:rFonts w:ascii="Times New Roman" w:hAnsi="Times New Roman" w:cs="Times New Roman"/>
          <w:szCs w:val="24"/>
          <w:lang w:val="sr-Cyrl-RS"/>
        </w:rPr>
        <w:t xml:space="preserve"> остварују</w:t>
      </w:r>
      <w:r w:rsidR="00D02445" w:rsidRPr="00B3123E">
        <w:rPr>
          <w:rFonts w:ascii="Times New Roman" w:hAnsi="Times New Roman" w:cs="Times New Roman"/>
          <w:szCs w:val="24"/>
          <w:lang w:val="sr-Cyrl-RS"/>
        </w:rPr>
        <w:t xml:space="preserve"> корист од основних поштанских услуга (универзални</w:t>
      </w:r>
      <w:r w:rsidR="000120D7" w:rsidRPr="00B3123E">
        <w:rPr>
          <w:rFonts w:ascii="Times New Roman" w:hAnsi="Times New Roman" w:cs="Times New Roman"/>
          <w:szCs w:val="24"/>
          <w:lang w:val="sr-Cyrl-RS"/>
        </w:rPr>
        <w:t xml:space="preserve"> се</w:t>
      </w:r>
      <w:r w:rsidR="0068127E" w:rsidRPr="00B3123E">
        <w:rPr>
          <w:rFonts w:ascii="Times New Roman" w:hAnsi="Times New Roman" w:cs="Times New Roman"/>
          <w:szCs w:val="24"/>
          <w:lang w:val="sr-Cyrl-RS"/>
        </w:rPr>
        <w:t>р</w:t>
      </w:r>
      <w:r w:rsidR="000120D7" w:rsidRPr="00B3123E">
        <w:rPr>
          <w:rFonts w:ascii="Times New Roman" w:hAnsi="Times New Roman" w:cs="Times New Roman"/>
          <w:szCs w:val="24"/>
          <w:lang w:val="sr-Cyrl-RS"/>
        </w:rPr>
        <w:t>вис</w:t>
      </w:r>
      <w:r w:rsidR="00D02445" w:rsidRPr="00B3123E">
        <w:rPr>
          <w:rFonts w:ascii="Times New Roman" w:hAnsi="Times New Roman" w:cs="Times New Roman"/>
          <w:szCs w:val="24"/>
          <w:lang w:val="sr-Cyrl-RS"/>
        </w:rPr>
        <w:t>). Велик</w:t>
      </w:r>
      <w:r w:rsidRPr="00B3123E">
        <w:rPr>
          <w:rFonts w:ascii="Times New Roman" w:hAnsi="Times New Roman" w:cs="Times New Roman"/>
          <w:szCs w:val="24"/>
          <w:lang w:val="sr-Cyrl-RS"/>
        </w:rPr>
        <w:t>и</w:t>
      </w:r>
      <w:r w:rsidR="00D02445" w:rsidRPr="00B3123E">
        <w:rPr>
          <w:rFonts w:ascii="Times New Roman" w:hAnsi="Times New Roman" w:cs="Times New Roman"/>
          <w:szCs w:val="24"/>
          <w:lang w:val="sr-Cyrl-RS"/>
        </w:rPr>
        <w:t xml:space="preserve"> део становништва, </w:t>
      </w:r>
      <w:r w:rsidRPr="00B3123E">
        <w:rPr>
          <w:rFonts w:ascii="Times New Roman" w:hAnsi="Times New Roman" w:cs="Times New Roman"/>
          <w:szCs w:val="24"/>
          <w:lang w:val="sr-Cyrl-RS"/>
        </w:rPr>
        <w:t>нарочито</w:t>
      </w:r>
      <w:r w:rsidR="00D02445" w:rsidRPr="00B3123E">
        <w:rPr>
          <w:rFonts w:ascii="Times New Roman" w:hAnsi="Times New Roman" w:cs="Times New Roman"/>
          <w:szCs w:val="24"/>
          <w:lang w:val="sr-Cyrl-RS"/>
        </w:rPr>
        <w:t xml:space="preserve"> они који живе у удаљеним или руралним регијама, и даље зависе од </w:t>
      </w:r>
      <w:r w:rsidR="00EE6B5D" w:rsidRPr="00B3123E">
        <w:rPr>
          <w:rFonts w:ascii="Times New Roman" w:hAnsi="Times New Roman" w:cs="Times New Roman"/>
          <w:szCs w:val="24"/>
          <w:lang w:val="sr-Cyrl-RS"/>
        </w:rPr>
        <w:t xml:space="preserve">УПУ </w:t>
      </w:r>
      <w:r w:rsidR="00D02445" w:rsidRPr="00B3123E">
        <w:rPr>
          <w:rFonts w:ascii="Times New Roman" w:hAnsi="Times New Roman" w:cs="Times New Roman"/>
          <w:szCs w:val="24"/>
          <w:lang w:val="sr-Cyrl-RS"/>
        </w:rPr>
        <w:t xml:space="preserve">како би остали повезани и вероватно је да ће тако остати у идућих пет до десет година. Многа предузећа и државне установе још увек употребљавају писмоносне пошиљке за комуникацију. </w:t>
      </w:r>
      <w:r w:rsidR="00F618AB" w:rsidRPr="00B3123E">
        <w:rPr>
          <w:rFonts w:ascii="Times New Roman" w:hAnsi="Times New Roman" w:cs="Times New Roman"/>
          <w:szCs w:val="24"/>
          <w:lang w:val="sr-Cyrl-RS"/>
        </w:rPr>
        <w:t>Д</w:t>
      </w:r>
      <w:r w:rsidR="00D02445" w:rsidRPr="00B3123E">
        <w:rPr>
          <w:rFonts w:ascii="Times New Roman" w:hAnsi="Times New Roman" w:cs="Times New Roman"/>
          <w:szCs w:val="24"/>
          <w:lang w:val="sr-Cyrl-RS"/>
        </w:rPr>
        <w:t>аље</w:t>
      </w:r>
      <w:r w:rsidR="00392A7D" w:rsidRPr="00B3123E">
        <w:rPr>
          <w:rFonts w:ascii="Times New Roman" w:hAnsi="Times New Roman" w:cs="Times New Roman"/>
          <w:szCs w:val="24"/>
          <w:lang w:val="sr-Cyrl-RS"/>
        </w:rPr>
        <w:t>,</w:t>
      </w:r>
      <w:r w:rsidR="00D02445" w:rsidRPr="00B3123E">
        <w:rPr>
          <w:rFonts w:ascii="Times New Roman" w:hAnsi="Times New Roman" w:cs="Times New Roman"/>
          <w:szCs w:val="24"/>
          <w:lang w:val="sr-Cyrl-RS"/>
        </w:rPr>
        <w:t xml:space="preserve"> покривеност интернетом није уједначена</w:t>
      </w:r>
      <w:r w:rsidR="00746129" w:rsidRPr="00B3123E">
        <w:rPr>
          <w:rFonts w:ascii="Times New Roman" w:hAnsi="Times New Roman" w:cs="Times New Roman"/>
          <w:szCs w:val="24"/>
          <w:lang w:val="sr-Cyrl-RS"/>
        </w:rPr>
        <w:t xml:space="preserve"> па су неки грађани искључиво усмерени на доставу писама</w:t>
      </w:r>
      <w:r w:rsidR="00D02445" w:rsidRPr="00B3123E">
        <w:rPr>
          <w:rFonts w:ascii="Times New Roman" w:hAnsi="Times New Roman" w:cs="Times New Roman"/>
          <w:szCs w:val="24"/>
          <w:lang w:val="sr-Cyrl-RS"/>
        </w:rPr>
        <w:t xml:space="preserve">. </w:t>
      </w:r>
      <w:r w:rsidR="000120D7" w:rsidRPr="00B3123E">
        <w:rPr>
          <w:rFonts w:ascii="Times New Roman" w:hAnsi="Times New Roman" w:cs="Times New Roman"/>
          <w:szCs w:val="24"/>
          <w:lang w:val="sr-Cyrl-RS"/>
        </w:rPr>
        <w:t>Такође, м</w:t>
      </w:r>
      <w:r w:rsidR="00D02445" w:rsidRPr="00B3123E">
        <w:rPr>
          <w:rFonts w:ascii="Times New Roman" w:hAnsi="Times New Roman" w:cs="Times New Roman"/>
          <w:szCs w:val="24"/>
          <w:lang w:val="sr-Cyrl-RS"/>
        </w:rPr>
        <w:t>ере физичког размака и ограничења кретања т</w:t>
      </w:r>
      <w:r w:rsidRPr="00B3123E">
        <w:rPr>
          <w:rFonts w:ascii="Times New Roman" w:hAnsi="Times New Roman" w:cs="Times New Roman"/>
          <w:szCs w:val="24"/>
          <w:lang w:val="sr-Cyrl-RS"/>
        </w:rPr>
        <w:t>о</w:t>
      </w:r>
      <w:r w:rsidR="00D02445" w:rsidRPr="00B3123E">
        <w:rPr>
          <w:rFonts w:ascii="Times New Roman" w:hAnsi="Times New Roman" w:cs="Times New Roman"/>
          <w:szCs w:val="24"/>
          <w:lang w:val="sr-Cyrl-RS"/>
        </w:rPr>
        <w:t xml:space="preserve">ком пандемије </w:t>
      </w:r>
      <w:r w:rsidR="00D02445" w:rsidRPr="00B3123E">
        <w:rPr>
          <w:rFonts w:ascii="Times New Roman" w:hAnsi="Times New Roman" w:cs="Times New Roman"/>
          <w:iCs/>
          <w:szCs w:val="24"/>
          <w:lang w:val="sr-Cyrl-RS"/>
        </w:rPr>
        <w:t>COVID</w:t>
      </w:r>
      <w:r w:rsidR="00D02445" w:rsidRPr="00B3123E">
        <w:rPr>
          <w:rFonts w:ascii="Times New Roman" w:hAnsi="Times New Roman" w:cs="Times New Roman"/>
          <w:szCs w:val="24"/>
          <w:lang w:val="sr-Cyrl-RS"/>
        </w:rPr>
        <w:t xml:space="preserve">-19 показале су да су поштанске услуге биле неопходне за доставу писмоносних пошиљака и пакета </w:t>
      </w:r>
      <w:r w:rsidR="00C70C5B" w:rsidRPr="00B3123E">
        <w:rPr>
          <w:rFonts w:ascii="Times New Roman" w:hAnsi="Times New Roman" w:cs="Times New Roman"/>
          <w:szCs w:val="24"/>
          <w:lang w:val="sr-Cyrl-RS"/>
        </w:rPr>
        <w:t>физичким и правним лицима</w:t>
      </w:r>
      <w:r w:rsidR="00D02445" w:rsidRPr="00B3123E">
        <w:rPr>
          <w:rFonts w:ascii="Times New Roman" w:hAnsi="Times New Roman" w:cs="Times New Roman"/>
          <w:szCs w:val="24"/>
          <w:lang w:val="sr-Cyrl-RS"/>
        </w:rPr>
        <w:t xml:space="preserve"> у ц</w:t>
      </w:r>
      <w:r w:rsidR="00463E3A" w:rsidRPr="00B3123E">
        <w:rPr>
          <w:rFonts w:ascii="Times New Roman" w:hAnsi="Times New Roman" w:cs="Times New Roman"/>
          <w:szCs w:val="24"/>
          <w:lang w:val="sr-Cyrl-RS"/>
        </w:rPr>
        <w:t xml:space="preserve">елој </w:t>
      </w:r>
      <w:r w:rsidR="00D02445" w:rsidRPr="00B3123E">
        <w:rPr>
          <w:rFonts w:ascii="Times New Roman" w:hAnsi="Times New Roman" w:cs="Times New Roman"/>
          <w:szCs w:val="24"/>
          <w:lang w:val="sr-Cyrl-RS"/>
        </w:rPr>
        <w:t>зе</w:t>
      </w:r>
      <w:r w:rsidR="007B2BD0" w:rsidRPr="00B3123E">
        <w:rPr>
          <w:rFonts w:ascii="Times New Roman" w:hAnsi="Times New Roman" w:cs="Times New Roman"/>
          <w:szCs w:val="24"/>
          <w:lang w:val="sr-Cyrl-RS"/>
        </w:rPr>
        <w:t>мљи</w:t>
      </w:r>
      <w:r w:rsidR="00D02445" w:rsidRPr="00B3123E">
        <w:rPr>
          <w:rFonts w:ascii="Times New Roman" w:hAnsi="Times New Roman" w:cs="Times New Roman"/>
          <w:szCs w:val="24"/>
          <w:lang w:val="sr-Cyrl-RS"/>
        </w:rPr>
        <w:t>.</w:t>
      </w:r>
    </w:p>
    <w:p w14:paraId="11FB9B38" w14:textId="77777777" w:rsidR="004820D4" w:rsidRPr="00B3123E" w:rsidRDefault="004820D4" w:rsidP="004820D4">
      <w:pPr>
        <w:tabs>
          <w:tab w:val="left" w:pos="1440"/>
        </w:tabs>
        <w:spacing w:before="225" w:after="225"/>
        <w:ind w:firstLine="1276"/>
        <w:rPr>
          <w:lang w:val="sr-Cyrl-RS"/>
        </w:rPr>
      </w:pPr>
    </w:p>
    <w:p w14:paraId="0AA29CFD" w14:textId="275D9FA5" w:rsidR="00715156" w:rsidRPr="00B3123E" w:rsidRDefault="004B2269" w:rsidP="002A4FB9">
      <w:pPr>
        <w:pStyle w:val="Heading2"/>
        <w:numPr>
          <w:ilvl w:val="1"/>
          <w:numId w:val="15"/>
        </w:numPr>
        <w:rPr>
          <w:rFonts w:ascii="Times New Roman" w:hAnsi="Times New Roman" w:cs="Times New Roman"/>
          <w:b w:val="0"/>
          <w:color w:val="auto"/>
          <w:u w:val="single"/>
          <w:lang w:val="sr-Cyrl-RS"/>
        </w:rPr>
      </w:pPr>
      <w:bookmarkStart w:id="17" w:name="_Toc211545969"/>
      <w:r w:rsidRPr="00B3123E">
        <w:rPr>
          <w:rFonts w:ascii="Times New Roman" w:hAnsi="Times New Roman" w:cs="Times New Roman"/>
          <w:b w:val="0"/>
          <w:color w:val="auto"/>
          <w:u w:val="single"/>
          <w:lang w:val="sr-Cyrl-RS"/>
        </w:rPr>
        <w:t xml:space="preserve"> </w:t>
      </w:r>
      <w:r w:rsidR="00BC7701" w:rsidRPr="00B3123E">
        <w:rPr>
          <w:rFonts w:ascii="Times New Roman" w:hAnsi="Times New Roman" w:cs="Times New Roman"/>
          <w:b w:val="0"/>
          <w:color w:val="auto"/>
          <w:u w:val="single"/>
          <w:lang w:val="sr-Cyrl-RS"/>
        </w:rPr>
        <w:t>Основни показатељи развијености тржишта поштанских услуга у Републици Србији</w:t>
      </w:r>
      <w:r w:rsidR="004019A4" w:rsidRPr="00B3123E">
        <w:rPr>
          <w:rFonts w:ascii="Times New Roman" w:hAnsi="Times New Roman" w:cs="Times New Roman"/>
          <w:b w:val="0"/>
          <w:color w:val="auto"/>
          <w:u w:val="single"/>
          <w:lang w:val="sr-Cyrl-RS"/>
        </w:rPr>
        <w:t xml:space="preserve"> и поређење са </w:t>
      </w:r>
      <w:r w:rsidR="00213D0D" w:rsidRPr="00B3123E">
        <w:rPr>
          <w:rFonts w:ascii="Times New Roman" w:hAnsi="Times New Roman" w:cs="Times New Roman"/>
          <w:b w:val="0"/>
          <w:color w:val="auto"/>
          <w:u w:val="single"/>
          <w:lang w:val="sr-Cyrl-RS"/>
        </w:rPr>
        <w:t>државама</w:t>
      </w:r>
      <w:r w:rsidR="004019A4" w:rsidRPr="00B3123E">
        <w:rPr>
          <w:rFonts w:ascii="Times New Roman" w:hAnsi="Times New Roman" w:cs="Times New Roman"/>
          <w:b w:val="0"/>
          <w:color w:val="auto"/>
          <w:u w:val="single"/>
          <w:lang w:val="sr-Cyrl-RS"/>
        </w:rPr>
        <w:t xml:space="preserve"> ЕУ</w:t>
      </w:r>
      <w:bookmarkEnd w:id="17"/>
    </w:p>
    <w:p w14:paraId="1B6D3CBA" w14:textId="77777777" w:rsidR="00703D59" w:rsidRPr="00B3123E" w:rsidRDefault="00703D59" w:rsidP="004019A4">
      <w:pPr>
        <w:tabs>
          <w:tab w:val="left" w:pos="1440"/>
        </w:tabs>
        <w:ind w:firstLine="1276"/>
        <w:rPr>
          <w:rFonts w:ascii="Times New Roman" w:hAnsi="Times New Roman" w:cs="Times New Roman"/>
          <w:szCs w:val="24"/>
          <w:u w:val="single"/>
          <w:lang w:val="sr-Cyrl-RS"/>
        </w:rPr>
      </w:pPr>
    </w:p>
    <w:p w14:paraId="48BF627E" w14:textId="77777777" w:rsidR="003534A6" w:rsidRPr="00B3123E" w:rsidRDefault="003534A6" w:rsidP="000D7EB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За анализу развијености тржишта поштанских услуга користи се сет показатеља који на најбољи начин осликавају кретања на посматраном поштанском тржишту. За ове показатеље најчешће се користе подаци о: обиму и приходима поштанских услуга, ценама поштанских услуга, структури тржишта (број оператора, запосленост и сл.), као и о поштанској мрежи (број јединица поштанске мреже, број поштанских сандучића и др.).</w:t>
      </w:r>
    </w:p>
    <w:p w14:paraId="71325B14" w14:textId="77777777" w:rsidR="00930468" w:rsidRPr="00B3123E" w:rsidRDefault="00930468" w:rsidP="004019A4">
      <w:pPr>
        <w:tabs>
          <w:tab w:val="left" w:pos="1440"/>
        </w:tabs>
        <w:ind w:firstLine="1276"/>
        <w:rPr>
          <w:rFonts w:ascii="Times New Roman" w:hAnsi="Times New Roman" w:cs="Times New Roman"/>
          <w:szCs w:val="24"/>
          <w:lang w:val="sr-Cyrl-RS"/>
        </w:rPr>
      </w:pPr>
    </w:p>
    <w:p w14:paraId="33DD1044" w14:textId="77777777" w:rsidR="004019A4" w:rsidRPr="00B3123E" w:rsidRDefault="004019A4" w:rsidP="004B2269">
      <w:pPr>
        <w:pStyle w:val="Heading3"/>
        <w:rPr>
          <w:rFonts w:ascii="Times New Roman" w:hAnsi="Times New Roman" w:cs="Times New Roman"/>
          <w:b w:val="0"/>
          <w:i w:val="0"/>
          <w:u w:val="single"/>
          <w:lang w:val="sr-Cyrl-RS"/>
        </w:rPr>
      </w:pPr>
      <w:bookmarkStart w:id="18" w:name="_Toc211545970"/>
      <w:r w:rsidRPr="00B3123E">
        <w:rPr>
          <w:rFonts w:ascii="Times New Roman" w:hAnsi="Times New Roman" w:cs="Times New Roman"/>
          <w:b w:val="0"/>
          <w:i w:val="0"/>
          <w:u w:val="single"/>
          <w:lang w:val="sr-Cyrl-RS"/>
        </w:rPr>
        <w:t>Обим поштанских услуга</w:t>
      </w:r>
      <w:bookmarkEnd w:id="18"/>
    </w:p>
    <w:p w14:paraId="42C5E03D" w14:textId="77777777" w:rsidR="00277F22" w:rsidRPr="00B3123E" w:rsidRDefault="00277F22" w:rsidP="00930468">
      <w:pPr>
        <w:rPr>
          <w:sz w:val="4"/>
          <w:szCs w:val="4"/>
          <w:u w:val="single"/>
          <w:lang w:val="sr-Cyrl-RS"/>
        </w:rPr>
      </w:pPr>
    </w:p>
    <w:p w14:paraId="3C384E57" w14:textId="56F19273" w:rsidR="00930468" w:rsidRPr="00B3123E" w:rsidRDefault="00277F22" w:rsidP="000D7EB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На тржишту поштанских услуга у Републици Србији (Слика 1.) у периоду од 2015. до 2024. године бележи се пад укупног обима поштанских услуга за око 9%. Пад укупног обима поштанских услуга нарочито је био изражен у периоду 2018</w:t>
      </w:r>
      <w:r w:rsidR="003B5FC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3B5FC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2024. године</w:t>
      </w:r>
      <w:r w:rsidR="00114EC6"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када је кумулативно износио </w:t>
      </w:r>
      <w:r w:rsidR="00105019" w:rsidRPr="00B3123E">
        <w:rPr>
          <w:rFonts w:ascii="Times New Roman" w:hAnsi="Times New Roman" w:cs="Times New Roman"/>
          <w:szCs w:val="24"/>
          <w:lang w:val="sr-Cyrl-RS"/>
        </w:rPr>
        <w:t>16,8</w:t>
      </w:r>
      <w:r w:rsidRPr="00B3123E">
        <w:rPr>
          <w:rFonts w:ascii="Times New Roman" w:hAnsi="Times New Roman" w:cs="Times New Roman"/>
          <w:szCs w:val="24"/>
          <w:lang w:val="sr-Cyrl-RS"/>
        </w:rPr>
        <w:t xml:space="preserve">%. У </w:t>
      </w:r>
      <w:r w:rsidR="00105019" w:rsidRPr="00B3123E">
        <w:rPr>
          <w:rFonts w:ascii="Times New Roman" w:hAnsi="Times New Roman" w:cs="Times New Roman"/>
          <w:szCs w:val="24"/>
          <w:lang w:val="sr-Cyrl-RS"/>
        </w:rPr>
        <w:t xml:space="preserve">периоду од </w:t>
      </w:r>
      <w:r w:rsidRPr="00B3123E">
        <w:rPr>
          <w:rFonts w:ascii="Times New Roman" w:hAnsi="Times New Roman" w:cs="Times New Roman"/>
          <w:szCs w:val="24"/>
          <w:lang w:val="sr-Cyrl-RS"/>
        </w:rPr>
        <w:t>201</w:t>
      </w:r>
      <w:r w:rsidR="00105019" w:rsidRPr="00B3123E">
        <w:rPr>
          <w:rFonts w:ascii="Times New Roman" w:hAnsi="Times New Roman" w:cs="Times New Roman"/>
          <w:szCs w:val="24"/>
          <w:lang w:val="sr-Cyrl-RS"/>
        </w:rPr>
        <w:t>5</w:t>
      </w:r>
      <w:r w:rsidRPr="00B3123E">
        <w:rPr>
          <w:rFonts w:ascii="Times New Roman" w:hAnsi="Times New Roman" w:cs="Times New Roman"/>
          <w:szCs w:val="24"/>
          <w:lang w:val="sr-Cyrl-RS"/>
        </w:rPr>
        <w:t>.</w:t>
      </w:r>
      <w:r w:rsidR="00105019" w:rsidRPr="00B3123E">
        <w:rPr>
          <w:rFonts w:ascii="Times New Roman" w:hAnsi="Times New Roman" w:cs="Times New Roman"/>
          <w:szCs w:val="24"/>
          <w:lang w:val="sr-Cyrl-RS"/>
        </w:rPr>
        <w:t xml:space="preserve"> до</w:t>
      </w:r>
      <w:r w:rsidRPr="00B3123E">
        <w:rPr>
          <w:rFonts w:ascii="Times New Roman" w:hAnsi="Times New Roman" w:cs="Times New Roman"/>
          <w:szCs w:val="24"/>
          <w:lang w:val="sr-Cyrl-RS"/>
        </w:rPr>
        <w:t xml:space="preserve"> 2018. </w:t>
      </w:r>
      <w:r w:rsidR="00D02445" w:rsidRPr="00B3123E">
        <w:rPr>
          <w:rFonts w:ascii="Times New Roman" w:hAnsi="Times New Roman" w:cs="Times New Roman"/>
          <w:szCs w:val="24"/>
          <w:lang w:val="sr-Cyrl-RS"/>
        </w:rPr>
        <w:t>године</w:t>
      </w:r>
      <w:r w:rsidR="00FD0F16"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бележи се известан раст укупног обима поштанских услуга који је</w:t>
      </w:r>
      <w:r w:rsidR="00105019" w:rsidRPr="00B3123E">
        <w:rPr>
          <w:rFonts w:ascii="Times New Roman" w:hAnsi="Times New Roman" w:cs="Times New Roman"/>
          <w:szCs w:val="24"/>
          <w:lang w:val="sr-Cyrl-RS"/>
        </w:rPr>
        <w:t xml:space="preserve"> директна</w:t>
      </w:r>
      <w:r w:rsidRPr="00B3123E">
        <w:rPr>
          <w:rFonts w:ascii="Times New Roman" w:hAnsi="Times New Roman" w:cs="Times New Roman"/>
          <w:szCs w:val="24"/>
          <w:lang w:val="sr-Cyrl-RS"/>
        </w:rPr>
        <w:t xml:space="preserve"> последица раста пакетских, експрес и курирских услуга. Након овог краткотрајног раста, у 2019. години настављен је тренд пада укупног обима и то за 5</w:t>
      </w:r>
      <w:r w:rsidR="00105019" w:rsidRPr="00B3123E">
        <w:rPr>
          <w:rFonts w:ascii="Times New Roman" w:hAnsi="Times New Roman" w:cs="Times New Roman"/>
          <w:szCs w:val="24"/>
          <w:lang w:val="sr-Cyrl-RS"/>
        </w:rPr>
        <w:t>,3</w:t>
      </w:r>
      <w:r w:rsidRPr="00B3123E">
        <w:rPr>
          <w:rFonts w:ascii="Times New Roman" w:hAnsi="Times New Roman" w:cs="Times New Roman"/>
          <w:szCs w:val="24"/>
          <w:lang w:val="sr-Cyrl-RS"/>
        </w:rPr>
        <w:t>% у односу на претходну годин</w:t>
      </w:r>
      <w:r w:rsidR="00332B8E"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што је директна последица значајнијег пада писмоносних услуга.</w:t>
      </w:r>
      <w:r w:rsidR="00105019" w:rsidRPr="00B3123E">
        <w:rPr>
          <w:rFonts w:ascii="Times New Roman" w:hAnsi="Times New Roman" w:cs="Times New Roman"/>
          <w:szCs w:val="24"/>
          <w:lang w:val="sr-Cyrl-RS"/>
        </w:rPr>
        <w:t xml:space="preserve"> Од 2021. године беле</w:t>
      </w:r>
      <w:r w:rsidR="00FF50ED" w:rsidRPr="00B3123E">
        <w:rPr>
          <w:rFonts w:ascii="Times New Roman" w:hAnsi="Times New Roman" w:cs="Times New Roman"/>
          <w:szCs w:val="24"/>
          <w:lang w:val="sr-Cyrl-RS"/>
        </w:rPr>
        <w:t>ж</w:t>
      </w:r>
      <w:r w:rsidR="00105019" w:rsidRPr="00B3123E">
        <w:rPr>
          <w:rFonts w:ascii="Times New Roman" w:hAnsi="Times New Roman" w:cs="Times New Roman"/>
          <w:szCs w:val="24"/>
          <w:lang w:val="sr-Cyrl-RS"/>
        </w:rPr>
        <w:t xml:space="preserve">и се константан пад </w:t>
      </w:r>
      <w:r w:rsidR="00FF50ED" w:rsidRPr="00B3123E">
        <w:rPr>
          <w:rFonts w:ascii="Times New Roman" w:hAnsi="Times New Roman" w:cs="Times New Roman"/>
          <w:szCs w:val="24"/>
          <w:lang w:val="sr-Cyrl-RS"/>
        </w:rPr>
        <w:t>који се креће између 3% и 7,6% годишње.</w:t>
      </w:r>
    </w:p>
    <w:p w14:paraId="572232B3" w14:textId="77777777" w:rsidR="00FF50ED" w:rsidRPr="00B3123E" w:rsidRDefault="00FF50ED" w:rsidP="000D7EB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Пад укупног обима поштанских услуга у овом периоду, пре свега, је последица пада обима писмоносних пошиљака (Слика 2.) који је годишње износио између </w:t>
      </w:r>
      <w:r w:rsidR="004A1A25" w:rsidRPr="00B3123E">
        <w:rPr>
          <w:rFonts w:ascii="Times New Roman" w:hAnsi="Times New Roman" w:cs="Times New Roman"/>
          <w:szCs w:val="24"/>
          <w:lang w:val="sr-Cyrl-RS"/>
        </w:rPr>
        <w:t>0,6</w:t>
      </w:r>
      <w:r w:rsidRPr="00B3123E">
        <w:rPr>
          <w:rFonts w:ascii="Times New Roman" w:hAnsi="Times New Roman" w:cs="Times New Roman"/>
          <w:szCs w:val="24"/>
          <w:lang w:val="sr-Cyrl-RS"/>
        </w:rPr>
        <w:t xml:space="preserve">% и </w:t>
      </w:r>
      <w:r w:rsidR="004A1A25" w:rsidRPr="00B3123E">
        <w:rPr>
          <w:rFonts w:ascii="Times New Roman" w:hAnsi="Times New Roman" w:cs="Times New Roman"/>
          <w:szCs w:val="24"/>
          <w:lang w:val="sr-Cyrl-RS"/>
        </w:rPr>
        <w:t>9,7</w:t>
      </w:r>
      <w:r w:rsidRPr="00B3123E">
        <w:rPr>
          <w:rFonts w:ascii="Times New Roman" w:hAnsi="Times New Roman" w:cs="Times New Roman"/>
          <w:szCs w:val="24"/>
          <w:lang w:val="sr-Cyrl-RS"/>
        </w:rPr>
        <w:t xml:space="preserve">% (осим 2017. </w:t>
      </w:r>
      <w:r w:rsidR="004A1A25" w:rsidRPr="00B3123E">
        <w:rPr>
          <w:rFonts w:ascii="Times New Roman" w:hAnsi="Times New Roman" w:cs="Times New Roman"/>
          <w:szCs w:val="24"/>
          <w:lang w:val="sr-Cyrl-RS"/>
        </w:rPr>
        <w:t xml:space="preserve">и 2021. </w:t>
      </w:r>
      <w:r w:rsidRPr="00B3123E">
        <w:rPr>
          <w:rFonts w:ascii="Times New Roman" w:hAnsi="Times New Roman" w:cs="Times New Roman"/>
          <w:szCs w:val="24"/>
          <w:lang w:val="sr-Cyrl-RS"/>
        </w:rPr>
        <w:t xml:space="preserve">године када је забележен раст од </w:t>
      </w:r>
      <w:r w:rsidR="004A1A25" w:rsidRPr="00B3123E">
        <w:rPr>
          <w:rFonts w:ascii="Times New Roman" w:hAnsi="Times New Roman" w:cs="Times New Roman"/>
          <w:szCs w:val="24"/>
          <w:lang w:val="sr-Cyrl-RS"/>
        </w:rPr>
        <w:t>2,7</w:t>
      </w:r>
      <w:r w:rsidRPr="00B3123E">
        <w:rPr>
          <w:rFonts w:ascii="Times New Roman" w:hAnsi="Times New Roman" w:cs="Times New Roman"/>
          <w:szCs w:val="24"/>
          <w:lang w:val="sr-Cyrl-RS"/>
        </w:rPr>
        <w:t>%</w:t>
      </w:r>
      <w:r w:rsidR="004A1A25" w:rsidRPr="00B3123E">
        <w:rPr>
          <w:rFonts w:ascii="Times New Roman" w:hAnsi="Times New Roman" w:cs="Times New Roman"/>
          <w:szCs w:val="24"/>
          <w:lang w:val="sr-Cyrl-RS"/>
        </w:rPr>
        <w:t xml:space="preserve">, односно 0,5% респективно </w:t>
      </w:r>
      <w:r w:rsidRPr="00B3123E">
        <w:rPr>
          <w:rFonts w:ascii="Times New Roman" w:hAnsi="Times New Roman" w:cs="Times New Roman"/>
          <w:szCs w:val="24"/>
          <w:lang w:val="sr-Cyrl-RS"/>
        </w:rPr>
        <w:t xml:space="preserve">у односу на претходну годину). Укупан обим писмоносних пошиљака у </w:t>
      </w:r>
      <w:r w:rsidR="004A1A25" w:rsidRPr="00B3123E">
        <w:rPr>
          <w:rFonts w:ascii="Times New Roman" w:hAnsi="Times New Roman" w:cs="Times New Roman"/>
          <w:szCs w:val="24"/>
          <w:lang w:val="sr-Cyrl-RS"/>
        </w:rPr>
        <w:t>2024</w:t>
      </w:r>
      <w:r w:rsidRPr="00B3123E">
        <w:rPr>
          <w:rFonts w:ascii="Times New Roman" w:hAnsi="Times New Roman" w:cs="Times New Roman"/>
          <w:szCs w:val="24"/>
          <w:lang w:val="sr-Cyrl-RS"/>
        </w:rPr>
        <w:t xml:space="preserve">. години износио је око </w:t>
      </w:r>
      <w:r w:rsidR="004A1A25" w:rsidRPr="00B3123E">
        <w:rPr>
          <w:rFonts w:ascii="Times New Roman" w:hAnsi="Times New Roman" w:cs="Times New Roman"/>
          <w:szCs w:val="24"/>
          <w:lang w:val="sr-Cyrl-RS"/>
        </w:rPr>
        <w:t>209</w:t>
      </w:r>
      <w:r w:rsidRPr="00B3123E">
        <w:rPr>
          <w:rFonts w:ascii="Times New Roman" w:hAnsi="Times New Roman" w:cs="Times New Roman"/>
          <w:szCs w:val="24"/>
          <w:lang w:val="sr-Cyrl-RS"/>
        </w:rPr>
        <w:t xml:space="preserve"> милиона и био је за </w:t>
      </w:r>
      <w:r w:rsidR="004A1A25" w:rsidRPr="00B3123E">
        <w:rPr>
          <w:rFonts w:ascii="Times New Roman" w:hAnsi="Times New Roman" w:cs="Times New Roman"/>
          <w:szCs w:val="24"/>
          <w:lang w:val="sr-Cyrl-RS"/>
        </w:rPr>
        <w:t>око 27</w:t>
      </w:r>
      <w:r w:rsidRPr="00B3123E">
        <w:rPr>
          <w:rFonts w:ascii="Times New Roman" w:hAnsi="Times New Roman" w:cs="Times New Roman"/>
          <w:szCs w:val="24"/>
          <w:lang w:val="sr-Cyrl-RS"/>
        </w:rPr>
        <w:t>% мањи у односу на 201</w:t>
      </w:r>
      <w:r w:rsidR="004A1A25" w:rsidRPr="00B3123E">
        <w:rPr>
          <w:rFonts w:ascii="Times New Roman" w:hAnsi="Times New Roman" w:cs="Times New Roman"/>
          <w:szCs w:val="24"/>
          <w:lang w:val="sr-Cyrl-RS"/>
        </w:rPr>
        <w:t>5</w:t>
      </w:r>
      <w:r w:rsidRPr="00B3123E">
        <w:rPr>
          <w:rFonts w:ascii="Times New Roman" w:hAnsi="Times New Roman" w:cs="Times New Roman"/>
          <w:szCs w:val="24"/>
          <w:lang w:val="sr-Cyrl-RS"/>
        </w:rPr>
        <w:t>. годину.</w:t>
      </w:r>
    </w:p>
    <w:p w14:paraId="55FFE7B9" w14:textId="063F5A93" w:rsidR="00277F22" w:rsidRPr="00B3123E" w:rsidRDefault="00277F22" w:rsidP="004E03EA">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Обим поштанских услуга у Републици Србији у периоду 2015-2024.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 (у милионима)</w:t>
      </w:r>
    </w:p>
    <w:p w14:paraId="55699739" w14:textId="77777777" w:rsidR="00930468" w:rsidRPr="00B3123E" w:rsidRDefault="004E03EA" w:rsidP="004E03EA">
      <w:pPr>
        <w:pBdr>
          <w:top w:val="single" w:sz="8" w:space="1" w:color="0070C0"/>
          <w:bottom w:val="single" w:sz="8" w:space="1" w:color="0070C0"/>
        </w:pBdr>
        <w:spacing w:after="0"/>
        <w:rPr>
          <w:lang w:val="sr-Cyrl-RS"/>
        </w:rPr>
      </w:pPr>
      <w:r w:rsidRPr="00B3123E">
        <w:rPr>
          <w:noProof/>
        </w:rPr>
        <w:drawing>
          <wp:inline distT="0" distB="0" distL="0" distR="0" wp14:anchorId="164B9D3B" wp14:editId="6DDB9242">
            <wp:extent cx="5760000" cy="3312000"/>
            <wp:effectExtent l="0" t="0" r="0" b="3175"/>
            <wp:docPr id="11" name="Chart 11">
              <a:extLst xmlns:a="http://schemas.openxmlformats.org/drawingml/2006/main">
                <a:ext uri="{FF2B5EF4-FFF2-40B4-BE49-F238E27FC236}">
                  <a16:creationId xmlns:a16="http://schemas.microsoft.com/office/drawing/2014/main" id="{741DD315-327E-431C-A2C9-3BCAEA37BD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EDB3894" w14:textId="77777777" w:rsidR="00930468" w:rsidRPr="00B3123E" w:rsidRDefault="00105019" w:rsidP="00105019">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w:t>
      </w:r>
      <w:r w:rsidR="00D02445" w:rsidRPr="00B3123E">
        <w:rPr>
          <w:rFonts w:ascii="Times New Roman" w:hAnsi="Times New Roman" w:cs="Times New Roman"/>
          <w:sz w:val="20"/>
          <w:szCs w:val="18"/>
          <w:lang w:val="sr-Cyrl-RS"/>
        </w:rPr>
        <w:t>и</w:t>
      </w:r>
      <w:r w:rsidRPr="00B3123E">
        <w:rPr>
          <w:rFonts w:ascii="Times New Roman" w:hAnsi="Times New Roman" w:cs="Times New Roman"/>
          <w:sz w:val="20"/>
          <w:szCs w:val="18"/>
          <w:lang w:val="sr-Cyrl-RS"/>
        </w:rPr>
        <w:t>: Републички завод за статистику, РАТЕЛ</w:t>
      </w:r>
    </w:p>
    <w:p w14:paraId="4B165B8F" w14:textId="77777777" w:rsidR="00930468" w:rsidRPr="00B3123E" w:rsidRDefault="00930468" w:rsidP="00930468">
      <w:pPr>
        <w:rPr>
          <w:lang w:val="sr-Cyrl-RS"/>
        </w:rPr>
      </w:pPr>
    </w:p>
    <w:p w14:paraId="33C355F7" w14:textId="775A9598" w:rsidR="00FF50ED" w:rsidRPr="00B3123E" w:rsidRDefault="00FF50ED" w:rsidP="00FF50ED">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2</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Обим писмоносних пошиљака у Пошти Србије у периоду 2015-2024.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 (у милионима)</w:t>
      </w:r>
    </w:p>
    <w:p w14:paraId="67C5B67A" w14:textId="77777777" w:rsidR="00FF50ED" w:rsidRPr="00B3123E" w:rsidRDefault="00440911" w:rsidP="00FF50ED">
      <w:pPr>
        <w:pBdr>
          <w:top w:val="single" w:sz="8" w:space="1" w:color="0070C0"/>
          <w:bottom w:val="single" w:sz="8" w:space="1" w:color="0070C0"/>
        </w:pBdr>
        <w:spacing w:after="0"/>
        <w:rPr>
          <w:lang w:val="sr-Cyrl-RS"/>
        </w:rPr>
      </w:pPr>
      <w:r w:rsidRPr="00B3123E">
        <w:rPr>
          <w:noProof/>
        </w:rPr>
        <w:drawing>
          <wp:inline distT="0" distB="0" distL="0" distR="0" wp14:anchorId="1B86E62A" wp14:editId="21389A39">
            <wp:extent cx="5760000" cy="3312000"/>
            <wp:effectExtent l="0" t="0" r="0" b="3175"/>
            <wp:docPr id="17" name="Chart 1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6F646AE" w14:textId="77777777" w:rsidR="00FF50ED" w:rsidRPr="00B3123E" w:rsidRDefault="00FF50ED" w:rsidP="00FF50ED">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w:t>
      </w:r>
      <w:r w:rsidR="00D02445" w:rsidRPr="00B3123E">
        <w:rPr>
          <w:rFonts w:ascii="Times New Roman" w:hAnsi="Times New Roman" w:cs="Times New Roman"/>
          <w:sz w:val="20"/>
          <w:szCs w:val="18"/>
          <w:lang w:val="sr-Cyrl-RS"/>
        </w:rPr>
        <w:t>и</w:t>
      </w:r>
      <w:r w:rsidRPr="00B3123E">
        <w:rPr>
          <w:rFonts w:ascii="Times New Roman" w:hAnsi="Times New Roman" w:cs="Times New Roman"/>
          <w:sz w:val="20"/>
          <w:szCs w:val="18"/>
          <w:lang w:val="sr-Cyrl-RS"/>
        </w:rPr>
        <w:t>: Републички завод за статистику, РАТЕЛ</w:t>
      </w:r>
    </w:p>
    <w:p w14:paraId="51024B50" w14:textId="77777777" w:rsidR="002901D0" w:rsidRPr="00B3123E" w:rsidRDefault="002901D0" w:rsidP="00FF50ED">
      <w:pPr>
        <w:spacing w:after="0"/>
        <w:rPr>
          <w:rFonts w:ascii="Times New Roman" w:hAnsi="Times New Roman" w:cs="Times New Roman"/>
          <w:sz w:val="20"/>
          <w:szCs w:val="18"/>
          <w:lang w:val="sr-Cyrl-RS"/>
        </w:rPr>
      </w:pPr>
    </w:p>
    <w:p w14:paraId="60102E8D" w14:textId="5D00F608" w:rsidR="002901D0" w:rsidRPr="00B3123E" w:rsidRDefault="00853646" w:rsidP="000D7EB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О</w:t>
      </w:r>
      <w:r w:rsidR="002901D0" w:rsidRPr="00B3123E">
        <w:rPr>
          <w:rFonts w:ascii="Times New Roman" w:hAnsi="Times New Roman" w:cs="Times New Roman"/>
          <w:szCs w:val="24"/>
          <w:lang w:val="sr-Cyrl-RS"/>
        </w:rPr>
        <w:t>бим</w:t>
      </w:r>
      <w:r w:rsidR="00020A42" w:rsidRPr="00B3123E">
        <w:rPr>
          <w:rFonts w:ascii="Times New Roman" w:hAnsi="Times New Roman" w:cs="Times New Roman"/>
          <w:szCs w:val="24"/>
          <w:lang w:val="sr-Cyrl-RS"/>
        </w:rPr>
        <w:t xml:space="preserve"> </w:t>
      </w:r>
      <w:r w:rsidR="002901D0" w:rsidRPr="00B3123E">
        <w:rPr>
          <w:rFonts w:ascii="Times New Roman" w:hAnsi="Times New Roman" w:cs="Times New Roman"/>
          <w:szCs w:val="24"/>
          <w:lang w:val="sr-Cyrl-RS"/>
        </w:rPr>
        <w:t>пакетских услуга</w:t>
      </w:r>
      <w:r w:rsidRPr="00B3123E">
        <w:rPr>
          <w:rFonts w:ascii="Times New Roman" w:hAnsi="Times New Roman" w:cs="Times New Roman"/>
          <w:szCs w:val="24"/>
          <w:lang w:val="sr-Cyrl-RS"/>
        </w:rPr>
        <w:t xml:space="preserve"> (Слика 3.)</w:t>
      </w:r>
      <w:r w:rsidR="00EF009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бележи константан раст (осим у периоду </w:t>
      </w:r>
      <w:r w:rsidR="00A9642D" w:rsidRPr="00B3123E">
        <w:rPr>
          <w:rFonts w:ascii="Times New Roman" w:hAnsi="Times New Roman" w:cs="Times New Roman"/>
          <w:szCs w:val="24"/>
          <w:lang w:val="sr-Cyrl-RS"/>
        </w:rPr>
        <w:t>пандемије</w:t>
      </w:r>
      <w:r w:rsidRPr="00B3123E">
        <w:rPr>
          <w:rFonts w:ascii="Times New Roman" w:hAnsi="Times New Roman" w:cs="Times New Roman"/>
          <w:szCs w:val="24"/>
          <w:lang w:val="sr-Cyrl-RS"/>
        </w:rPr>
        <w:t xml:space="preserve"> </w:t>
      </w:r>
      <w:r w:rsidRPr="00B3123E">
        <w:rPr>
          <w:rFonts w:ascii="Times New Roman" w:hAnsi="Times New Roman" w:cs="Times New Roman"/>
          <w:iCs/>
          <w:szCs w:val="24"/>
          <w:lang w:val="sr-Cyrl-RS"/>
        </w:rPr>
        <w:t>COVID</w:t>
      </w:r>
      <w:r w:rsidRPr="00B3123E">
        <w:rPr>
          <w:rFonts w:ascii="Times New Roman" w:hAnsi="Times New Roman" w:cs="Times New Roman"/>
          <w:szCs w:val="24"/>
          <w:lang w:val="sr-Cyrl-RS"/>
        </w:rPr>
        <w:t>-19 2020. године, када је забележен пад обима пакета у унутрашњем саобраћају)</w:t>
      </w:r>
      <w:r w:rsidR="002901D0" w:rsidRPr="00B3123E">
        <w:rPr>
          <w:rFonts w:ascii="Times New Roman" w:hAnsi="Times New Roman" w:cs="Times New Roman"/>
          <w:szCs w:val="24"/>
          <w:lang w:val="sr-Cyrl-RS"/>
        </w:rPr>
        <w:t>, тако да је 20</w:t>
      </w:r>
      <w:r w:rsidRPr="00B3123E">
        <w:rPr>
          <w:rFonts w:ascii="Times New Roman" w:hAnsi="Times New Roman" w:cs="Times New Roman"/>
          <w:szCs w:val="24"/>
          <w:lang w:val="sr-Cyrl-RS"/>
        </w:rPr>
        <w:t>24</w:t>
      </w:r>
      <w:r w:rsidR="002901D0" w:rsidRPr="00B3123E">
        <w:rPr>
          <w:rFonts w:ascii="Times New Roman" w:hAnsi="Times New Roman" w:cs="Times New Roman"/>
          <w:szCs w:val="24"/>
          <w:lang w:val="sr-Cyrl-RS"/>
        </w:rPr>
        <w:t xml:space="preserve">. године износио око </w:t>
      </w:r>
      <w:r w:rsidRPr="00B3123E">
        <w:rPr>
          <w:rFonts w:ascii="Times New Roman" w:hAnsi="Times New Roman" w:cs="Times New Roman"/>
          <w:szCs w:val="24"/>
          <w:lang w:val="sr-Cyrl-RS"/>
        </w:rPr>
        <w:t>2</w:t>
      </w:r>
      <w:r w:rsidR="002901D0" w:rsidRPr="00B3123E">
        <w:rPr>
          <w:rFonts w:ascii="Times New Roman" w:hAnsi="Times New Roman" w:cs="Times New Roman"/>
          <w:szCs w:val="24"/>
          <w:lang w:val="sr-Cyrl-RS"/>
        </w:rPr>
        <w:t>,</w:t>
      </w:r>
      <w:r w:rsidRPr="00B3123E">
        <w:rPr>
          <w:rFonts w:ascii="Times New Roman" w:hAnsi="Times New Roman" w:cs="Times New Roman"/>
          <w:szCs w:val="24"/>
          <w:lang w:val="sr-Cyrl-RS"/>
        </w:rPr>
        <w:t>5</w:t>
      </w:r>
      <w:r w:rsidR="002901D0" w:rsidRPr="00B3123E">
        <w:rPr>
          <w:rFonts w:ascii="Times New Roman" w:hAnsi="Times New Roman" w:cs="Times New Roman"/>
          <w:szCs w:val="24"/>
          <w:lang w:val="sr-Cyrl-RS"/>
        </w:rPr>
        <w:t xml:space="preserve"> милиона пакета и био је за </w:t>
      </w:r>
      <w:r w:rsidRPr="00B3123E">
        <w:rPr>
          <w:rFonts w:ascii="Times New Roman" w:hAnsi="Times New Roman" w:cs="Times New Roman"/>
          <w:szCs w:val="24"/>
          <w:lang w:val="sr-Cyrl-RS"/>
        </w:rPr>
        <w:t>573</w:t>
      </w:r>
      <w:r w:rsidR="002901D0" w:rsidRPr="00B3123E">
        <w:rPr>
          <w:rFonts w:ascii="Times New Roman" w:hAnsi="Times New Roman" w:cs="Times New Roman"/>
          <w:szCs w:val="24"/>
          <w:lang w:val="sr-Cyrl-RS"/>
        </w:rPr>
        <w:t>% виши него у 201</w:t>
      </w:r>
      <w:r w:rsidRPr="00B3123E">
        <w:rPr>
          <w:rFonts w:ascii="Times New Roman" w:hAnsi="Times New Roman" w:cs="Times New Roman"/>
          <w:szCs w:val="24"/>
          <w:lang w:val="sr-Cyrl-RS"/>
        </w:rPr>
        <w:t>5</w:t>
      </w:r>
      <w:r w:rsidR="002901D0" w:rsidRPr="00B3123E">
        <w:rPr>
          <w:rFonts w:ascii="Times New Roman" w:hAnsi="Times New Roman" w:cs="Times New Roman"/>
          <w:szCs w:val="24"/>
          <w:lang w:val="sr-Cyrl-RS"/>
        </w:rPr>
        <w:t xml:space="preserve">. години, односно у 2019. години забележен је раст од око 16% у односу </w:t>
      </w:r>
      <w:r w:rsidR="002901D0" w:rsidRPr="00B3123E">
        <w:rPr>
          <w:rFonts w:ascii="Times New Roman" w:hAnsi="Times New Roman" w:cs="Times New Roman"/>
          <w:szCs w:val="24"/>
          <w:lang w:val="sr-Cyrl-RS"/>
        </w:rPr>
        <w:lastRenderedPageBreak/>
        <w:t>на 2018. годину</w:t>
      </w:r>
      <w:r w:rsidR="002901D0" w:rsidRPr="00B3123E">
        <w:rPr>
          <w:rStyle w:val="FootnoteReference"/>
          <w:rFonts w:ascii="Times New Roman" w:hAnsi="Times New Roman" w:cs="Times New Roman"/>
          <w:szCs w:val="24"/>
          <w:lang w:val="sr-Cyrl-RS"/>
        </w:rPr>
        <w:footnoteReference w:id="7"/>
      </w:r>
      <w:r w:rsidR="002901D0" w:rsidRPr="00B3123E">
        <w:rPr>
          <w:rFonts w:ascii="Times New Roman" w:hAnsi="Times New Roman" w:cs="Times New Roman"/>
          <w:szCs w:val="24"/>
          <w:lang w:val="sr-Cyrl-RS"/>
        </w:rPr>
        <w:t>. У унутрашњем саобраћају у 2019. години било је дупло више пакета него у 2012. години.</w:t>
      </w:r>
    </w:p>
    <w:p w14:paraId="35786046" w14:textId="7052F405" w:rsidR="002901D0" w:rsidRPr="00B3123E" w:rsidRDefault="002901D0" w:rsidP="00853646">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3</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Обим пакетских пошиљака у Пошти Србије у периоду 2015</w:t>
      </w:r>
      <w:r w:rsidR="0005410B">
        <w:rPr>
          <w:rFonts w:ascii="Times New Roman" w:eastAsiaTheme="minorHAnsi" w:hAnsi="Times New Roman" w:cs="Times New Roman"/>
          <w:b w:val="0"/>
          <w:color w:val="auto"/>
        </w:rPr>
        <w:t>-</w:t>
      </w:r>
      <w:r w:rsidRPr="00B3123E">
        <w:rPr>
          <w:rFonts w:ascii="Times New Roman" w:eastAsiaTheme="minorHAnsi" w:hAnsi="Times New Roman" w:cs="Times New Roman"/>
          <w:b w:val="0"/>
          <w:color w:val="auto"/>
          <w:lang w:val="sr-Cyrl-RS"/>
        </w:rPr>
        <w:t>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 (у хиљадама)</w:t>
      </w:r>
    </w:p>
    <w:p w14:paraId="661233D2" w14:textId="77777777" w:rsidR="002901D0" w:rsidRPr="00B3123E" w:rsidRDefault="002901D0" w:rsidP="00853646">
      <w:pPr>
        <w:pBdr>
          <w:top w:val="single" w:sz="8" w:space="1" w:color="0070C0"/>
          <w:bottom w:val="single" w:sz="8" w:space="1" w:color="0070C0"/>
        </w:pBdr>
        <w:spacing w:after="0"/>
        <w:rPr>
          <w:rFonts w:ascii="Times New Roman" w:hAnsi="Times New Roman" w:cs="Times New Roman"/>
          <w:sz w:val="20"/>
          <w:szCs w:val="18"/>
          <w:lang w:val="sr-Cyrl-RS"/>
        </w:rPr>
      </w:pPr>
      <w:r w:rsidRPr="00B3123E">
        <w:rPr>
          <w:noProof/>
        </w:rPr>
        <w:drawing>
          <wp:inline distT="0" distB="0" distL="0" distR="0" wp14:anchorId="138142B1" wp14:editId="60E84CCD">
            <wp:extent cx="5943600" cy="4123055"/>
            <wp:effectExtent l="0" t="0" r="0" b="0"/>
            <wp:docPr id="9" name="Chart 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35AE9AF" w14:textId="77777777" w:rsidR="002901D0" w:rsidRPr="00B3123E" w:rsidRDefault="00853646" w:rsidP="00FF50ED">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 Републички завод за статистику, РАТЕЛ</w:t>
      </w:r>
    </w:p>
    <w:p w14:paraId="31C3DC15" w14:textId="77777777" w:rsidR="00853646" w:rsidRPr="00B3123E" w:rsidRDefault="00853646" w:rsidP="00FF50ED">
      <w:pPr>
        <w:spacing w:after="0"/>
        <w:rPr>
          <w:rFonts w:ascii="Times New Roman" w:hAnsi="Times New Roman" w:cs="Times New Roman"/>
          <w:sz w:val="20"/>
          <w:szCs w:val="18"/>
          <w:lang w:val="sr-Cyrl-RS"/>
        </w:rPr>
      </w:pPr>
    </w:p>
    <w:p w14:paraId="41DECE9F" w14:textId="62F5F16A" w:rsidR="00853646" w:rsidRPr="00B3123E" w:rsidRDefault="00853646"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међународном поштанском саобраћају </w:t>
      </w:r>
      <w:r w:rsidR="007D435B" w:rsidRPr="00B3123E">
        <w:rPr>
          <w:rFonts w:ascii="Times New Roman" w:hAnsi="Times New Roman" w:cs="Times New Roman"/>
          <w:szCs w:val="24"/>
          <w:lang w:val="sr-Cyrl-RS"/>
        </w:rPr>
        <w:t>(Слика 3. и Слика 4.), осим у 2022. години бележи се константа</w:t>
      </w:r>
      <w:r w:rsidR="001A6486" w:rsidRPr="00B3123E">
        <w:rPr>
          <w:rFonts w:ascii="Times New Roman" w:hAnsi="Times New Roman" w:cs="Times New Roman"/>
          <w:szCs w:val="24"/>
          <w:lang w:val="sr-Cyrl-RS"/>
        </w:rPr>
        <w:t>н</w:t>
      </w:r>
      <w:r w:rsidR="007D435B" w:rsidRPr="00B3123E">
        <w:rPr>
          <w:rFonts w:ascii="Times New Roman" w:hAnsi="Times New Roman" w:cs="Times New Roman"/>
          <w:szCs w:val="24"/>
          <w:lang w:val="sr-Cyrl-RS"/>
        </w:rPr>
        <w:t xml:space="preserve"> раст са просечном годишњом стопом од око 10%</w:t>
      </w:r>
      <w:r w:rsidR="00F37E0D" w:rsidRPr="00B3123E">
        <w:rPr>
          <w:rFonts w:ascii="Times New Roman" w:hAnsi="Times New Roman" w:cs="Times New Roman"/>
          <w:szCs w:val="24"/>
          <w:lang w:val="sr-Cyrl-RS"/>
        </w:rPr>
        <w:t xml:space="preserve">, </w:t>
      </w:r>
      <w:r w:rsidR="007D435B" w:rsidRPr="00B3123E">
        <w:rPr>
          <w:rFonts w:ascii="Times New Roman" w:hAnsi="Times New Roman" w:cs="Times New Roman"/>
          <w:szCs w:val="24"/>
          <w:lang w:val="sr-Cyrl-RS"/>
        </w:rPr>
        <w:t>тако да се број међународних</w:t>
      </w:r>
      <w:r w:rsidR="005C1B1A" w:rsidRPr="00B3123E">
        <w:rPr>
          <w:rFonts w:ascii="Times New Roman" w:hAnsi="Times New Roman" w:cs="Times New Roman"/>
          <w:szCs w:val="24"/>
          <w:lang w:val="sr-Cyrl-RS"/>
        </w:rPr>
        <w:t xml:space="preserve"> </w:t>
      </w:r>
      <w:r w:rsidR="007D435B" w:rsidRPr="00B3123E">
        <w:rPr>
          <w:rFonts w:ascii="Times New Roman" w:hAnsi="Times New Roman" w:cs="Times New Roman"/>
          <w:szCs w:val="24"/>
          <w:lang w:val="sr-Cyrl-RS"/>
        </w:rPr>
        <w:t xml:space="preserve">пакетских пошиљака у периоду од 2015. до 2024. године скоро </w:t>
      </w:r>
      <w:r w:rsidR="00C03FCA" w:rsidRPr="00B3123E">
        <w:rPr>
          <w:rFonts w:ascii="Times New Roman" w:hAnsi="Times New Roman" w:cs="Times New Roman"/>
          <w:szCs w:val="24"/>
          <w:lang w:val="sr-Cyrl-RS"/>
        </w:rPr>
        <w:t>утростручио са око 66 хиљада на око 152 хиљаде</w:t>
      </w:r>
      <w:r w:rsidR="007D435B" w:rsidRPr="00B3123E">
        <w:rPr>
          <w:rFonts w:ascii="Times New Roman" w:hAnsi="Times New Roman" w:cs="Times New Roman"/>
          <w:szCs w:val="24"/>
          <w:lang w:val="sr-Cyrl-RS"/>
        </w:rPr>
        <w:t xml:space="preserve">. </w:t>
      </w:r>
      <w:r w:rsidR="00C03FCA" w:rsidRPr="00B3123E">
        <w:rPr>
          <w:rFonts w:ascii="Times New Roman" w:hAnsi="Times New Roman" w:cs="Times New Roman"/>
          <w:szCs w:val="24"/>
          <w:lang w:val="sr-Cyrl-RS"/>
        </w:rPr>
        <w:t>Пакетске пошиљке у унутрашњем поштанском саобраћају</w:t>
      </w:r>
      <w:r w:rsidR="00AE1904" w:rsidRPr="00B3123E">
        <w:rPr>
          <w:rFonts w:ascii="Times New Roman" w:hAnsi="Times New Roman" w:cs="Times New Roman"/>
          <w:szCs w:val="24"/>
          <w:lang w:val="sr-Cyrl-RS"/>
        </w:rPr>
        <w:t xml:space="preserve"> </w:t>
      </w:r>
      <w:r w:rsidR="00C03FCA" w:rsidRPr="00B3123E">
        <w:rPr>
          <w:rFonts w:ascii="Times New Roman" w:hAnsi="Times New Roman" w:cs="Times New Roman"/>
          <w:szCs w:val="24"/>
          <w:lang w:val="sr-Cyrl-RS"/>
        </w:rPr>
        <w:t>учествују у укупном обиму са преко 90% тако да је тренд укупног обима пакетских пошиљака и даље под директним утицајем кретања у унутрашњем поштанском саобраћају.</w:t>
      </w:r>
    </w:p>
    <w:p w14:paraId="1BA97E0F" w14:textId="77777777" w:rsidR="007D435B" w:rsidRPr="00B3123E" w:rsidRDefault="007D435B" w:rsidP="007D435B">
      <w:pPr>
        <w:tabs>
          <w:tab w:val="left" w:pos="1440"/>
        </w:tabs>
        <w:spacing w:before="225" w:after="225"/>
        <w:ind w:firstLine="1276"/>
        <w:rPr>
          <w:rFonts w:ascii="Times New Roman" w:hAnsi="Times New Roman" w:cs="Times New Roman"/>
          <w:szCs w:val="24"/>
          <w:lang w:val="sr-Cyrl-RS"/>
        </w:rPr>
      </w:pPr>
    </w:p>
    <w:p w14:paraId="5055C630" w14:textId="77777777" w:rsidR="007D435B" w:rsidRPr="00B3123E" w:rsidRDefault="007D435B" w:rsidP="007D435B">
      <w:pPr>
        <w:tabs>
          <w:tab w:val="left" w:pos="1440"/>
        </w:tabs>
        <w:spacing w:before="225" w:after="225"/>
        <w:ind w:firstLine="1276"/>
        <w:rPr>
          <w:rFonts w:ascii="Times New Roman" w:hAnsi="Times New Roman" w:cs="Times New Roman"/>
          <w:szCs w:val="24"/>
          <w:lang w:val="sr-Cyrl-RS"/>
        </w:rPr>
      </w:pPr>
    </w:p>
    <w:p w14:paraId="05A0F6E2" w14:textId="052FF114" w:rsidR="007D435B" w:rsidRPr="00B3123E" w:rsidRDefault="007D435B" w:rsidP="007D435B">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4</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Годишња стопа промене обима пакетских пошиљак</w:t>
      </w:r>
      <w:r w:rsidR="005E5D55" w:rsidRPr="00B3123E">
        <w:rPr>
          <w:rFonts w:ascii="Times New Roman" w:eastAsiaTheme="minorHAnsi" w:hAnsi="Times New Roman" w:cs="Times New Roman"/>
          <w:b w:val="0"/>
          <w:color w:val="auto"/>
          <w:lang w:val="sr-Cyrl-RS"/>
        </w:rPr>
        <w:t>а у</w:t>
      </w:r>
      <w:r w:rsidR="006211A8" w:rsidRPr="00B3123E">
        <w:rPr>
          <w:rFonts w:ascii="Times New Roman" w:eastAsiaTheme="minorHAnsi" w:hAnsi="Times New Roman" w:cs="Times New Roman"/>
          <w:b w:val="0"/>
          <w:color w:val="auto"/>
          <w:lang w:val="sr-Cyrl-RS"/>
        </w:rPr>
        <w:t xml:space="preserve"> </w:t>
      </w:r>
      <w:r w:rsidR="006211A8" w:rsidRPr="00B3123E">
        <w:rPr>
          <w:rFonts w:ascii="Times New Roman" w:eastAsiaTheme="minorHAnsi" w:hAnsi="Times New Roman" w:cs="Times New Roman"/>
          <w:b w:val="0"/>
          <w:bCs w:val="0"/>
          <w:color w:val="auto"/>
          <w:lang w:val="sr-Cyrl-RS"/>
        </w:rPr>
        <w:t>„</w:t>
      </w:r>
      <w:r w:rsidR="005E5D55" w:rsidRPr="00B3123E">
        <w:rPr>
          <w:rFonts w:ascii="Times New Roman" w:eastAsiaTheme="minorHAnsi" w:hAnsi="Times New Roman" w:cs="Times New Roman"/>
          <w:b w:val="0"/>
          <w:color w:val="auto"/>
          <w:lang w:val="sr-Cyrl-RS"/>
        </w:rPr>
        <w:t>Пошти Србије</w:t>
      </w:r>
      <w:r w:rsidR="006211A8" w:rsidRPr="00B3123E">
        <w:rPr>
          <w:rFonts w:ascii="Times New Roman" w:eastAsiaTheme="minorHAnsi" w:hAnsi="Times New Roman" w:cs="Times New Roman"/>
          <w:b w:val="0"/>
          <w:bCs w:val="0"/>
          <w:color w:val="auto"/>
          <w:lang w:val="sr-Cyrl-RS"/>
        </w:rPr>
        <w:t>”</w:t>
      </w:r>
      <w:r w:rsidR="005E5D55" w:rsidRPr="00B3123E">
        <w:rPr>
          <w:rFonts w:ascii="Times New Roman" w:eastAsiaTheme="minorHAnsi" w:hAnsi="Times New Roman" w:cs="Times New Roman"/>
          <w:b w:val="0"/>
          <w:color w:val="auto"/>
          <w:lang w:val="sr-Cyrl-RS"/>
        </w:rPr>
        <w:t xml:space="preserve"> у периоду 2015</w:t>
      </w:r>
      <w:r w:rsidRPr="00B3123E">
        <w:rPr>
          <w:rFonts w:ascii="Times New Roman" w:eastAsiaTheme="minorHAnsi" w:hAnsi="Times New Roman" w:cs="Times New Roman"/>
          <w:b w:val="0"/>
          <w:color w:val="auto"/>
          <w:lang w:val="sr-Cyrl-RS"/>
        </w:rPr>
        <w:t>-2024.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 xml:space="preserve">г. </w:t>
      </w:r>
    </w:p>
    <w:p w14:paraId="0B2BEE9B" w14:textId="77777777" w:rsidR="00853646" w:rsidRPr="00B3123E" w:rsidRDefault="007D435B" w:rsidP="007D435B">
      <w:pPr>
        <w:pBdr>
          <w:top w:val="single" w:sz="8" w:space="1" w:color="0070C0"/>
          <w:bottom w:val="single" w:sz="8" w:space="1" w:color="0070C0"/>
        </w:pBdr>
        <w:tabs>
          <w:tab w:val="left" w:pos="1440"/>
        </w:tabs>
        <w:spacing w:after="0"/>
        <w:rPr>
          <w:rFonts w:ascii="Times New Roman" w:hAnsi="Times New Roman" w:cs="Times New Roman"/>
          <w:szCs w:val="24"/>
          <w:lang w:val="sr-Cyrl-RS"/>
        </w:rPr>
      </w:pPr>
      <w:r w:rsidRPr="00B3123E">
        <w:rPr>
          <w:noProof/>
        </w:rPr>
        <w:drawing>
          <wp:inline distT="0" distB="0" distL="0" distR="0" wp14:anchorId="4AD73FC5" wp14:editId="3EB6469A">
            <wp:extent cx="5943600" cy="3566795"/>
            <wp:effectExtent l="0" t="0" r="0" b="0"/>
            <wp:docPr id="10" name="Chart 10">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0C8B80" w14:textId="30730101" w:rsidR="00853646" w:rsidRPr="00B3123E" w:rsidRDefault="007D435B" w:rsidP="009D763D">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 Републички завод за статистику, РАТЕЛ</w:t>
      </w:r>
    </w:p>
    <w:p w14:paraId="0D74C0F7" w14:textId="77777777" w:rsidR="009D763D" w:rsidRPr="00B3123E" w:rsidRDefault="009D763D" w:rsidP="009D763D">
      <w:pPr>
        <w:spacing w:after="0"/>
        <w:rPr>
          <w:rFonts w:ascii="Times New Roman" w:hAnsi="Times New Roman" w:cs="Times New Roman"/>
          <w:sz w:val="20"/>
          <w:szCs w:val="18"/>
          <w:lang w:val="sr-Cyrl-RS"/>
        </w:rPr>
      </w:pPr>
    </w:p>
    <w:p w14:paraId="1D5076DB" w14:textId="604654CC" w:rsidR="008771BA" w:rsidRPr="00B3123E" w:rsidRDefault="008771BA" w:rsidP="004E03EA">
      <w:pPr>
        <w:pStyle w:val="Caption"/>
        <w:keepNext/>
        <w:spacing w:after="0"/>
        <w:jc w:val="both"/>
        <w:rPr>
          <w:rFonts w:ascii="Times New Roman" w:eastAsiaTheme="minorHAnsi" w:hAnsi="Times New Roman" w:cs="Times New Roman"/>
          <w:b w:val="0"/>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5</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Обим услуга из домена експрес услуга у </w:t>
      </w:r>
      <w:r w:rsidR="005E5D55" w:rsidRPr="00B3123E">
        <w:rPr>
          <w:rFonts w:ascii="Times New Roman" w:eastAsiaTheme="minorHAnsi" w:hAnsi="Times New Roman" w:cs="Times New Roman"/>
          <w:b w:val="0"/>
          <w:color w:val="auto"/>
          <w:lang w:val="sr-Cyrl-RS"/>
        </w:rPr>
        <w:t>Републици Србији у периоду 2015</w:t>
      </w:r>
      <w:r w:rsidRPr="00B3123E">
        <w:rPr>
          <w:rFonts w:ascii="Times New Roman" w:eastAsiaTheme="minorHAnsi" w:hAnsi="Times New Roman" w:cs="Times New Roman"/>
          <w:b w:val="0"/>
          <w:color w:val="auto"/>
          <w:lang w:val="sr-Cyrl-RS"/>
        </w:rPr>
        <w:t>-2024.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 (у хиљадама)</w:t>
      </w:r>
    </w:p>
    <w:p w14:paraId="32EC82BB" w14:textId="77777777" w:rsidR="004E03EA" w:rsidRPr="00B3123E" w:rsidRDefault="00440911" w:rsidP="004E03EA">
      <w:pPr>
        <w:pBdr>
          <w:top w:val="single" w:sz="8" w:space="1" w:color="0070C0"/>
          <w:bottom w:val="single" w:sz="8" w:space="1" w:color="0070C0"/>
        </w:pBdr>
        <w:spacing w:after="0"/>
        <w:rPr>
          <w:lang w:val="sr-Cyrl-RS"/>
        </w:rPr>
      </w:pPr>
      <w:r w:rsidRPr="00B3123E">
        <w:rPr>
          <w:noProof/>
        </w:rPr>
        <w:drawing>
          <wp:inline distT="0" distB="0" distL="0" distR="0" wp14:anchorId="71BF5A35" wp14:editId="54F4A268">
            <wp:extent cx="5760000" cy="3312000"/>
            <wp:effectExtent l="0" t="0" r="0" b="3175"/>
            <wp:docPr id="19" name="Chart 19">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6600B3D" w14:textId="77777777" w:rsidR="004E03EA" w:rsidRPr="00B3123E" w:rsidRDefault="004E03EA" w:rsidP="004E03EA">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 Републички завод за статистику, РАТЕЛ</w:t>
      </w:r>
    </w:p>
    <w:p w14:paraId="1D9BEBB1" w14:textId="049A77F5" w:rsidR="00357961" w:rsidRPr="00B3123E" w:rsidRDefault="00357961" w:rsidP="000D7EB9">
      <w:pPr>
        <w:tabs>
          <w:tab w:val="left" w:pos="1440"/>
        </w:tabs>
        <w:spacing w:before="225" w:after="225"/>
        <w:ind w:firstLine="709"/>
        <w:rPr>
          <w:rFonts w:ascii="Times New Roman" w:hAnsi="Times New Roman" w:cs="Times New Roman"/>
          <w:szCs w:val="24"/>
          <w:lang w:val="sr-Cyrl-RS"/>
        </w:rPr>
      </w:pPr>
      <w:bookmarkStart w:id="19" w:name="_Hlk209091991"/>
      <w:r w:rsidRPr="00B3123E">
        <w:rPr>
          <w:rFonts w:ascii="Times New Roman" w:hAnsi="Times New Roman" w:cs="Times New Roman"/>
          <w:szCs w:val="24"/>
          <w:lang w:val="sr-Cyrl-RS"/>
        </w:rPr>
        <w:t xml:space="preserve">Када се посматра обим услуга из домена експрес услуга у Републици Србији у периоду од 2015. до 2024. године приметан </w:t>
      </w:r>
      <w:r w:rsidR="007E0986" w:rsidRPr="00B3123E">
        <w:rPr>
          <w:rFonts w:ascii="Times New Roman" w:hAnsi="Times New Roman" w:cs="Times New Roman"/>
          <w:szCs w:val="24"/>
          <w:lang w:val="sr-Cyrl-RS"/>
        </w:rPr>
        <w:t xml:space="preserve">је </w:t>
      </w:r>
      <w:r w:rsidRPr="00B3123E">
        <w:rPr>
          <w:rFonts w:ascii="Times New Roman" w:hAnsi="Times New Roman" w:cs="Times New Roman"/>
          <w:szCs w:val="24"/>
          <w:lang w:val="sr-Cyrl-RS"/>
        </w:rPr>
        <w:t xml:space="preserve">константан раст скоро у читавом периоду осим 2022. године (Слика 5.). Годишња стопа раста експрес пошиљака </w:t>
      </w:r>
      <w:bookmarkEnd w:id="19"/>
      <w:r w:rsidRPr="00B3123E">
        <w:rPr>
          <w:rFonts w:ascii="Times New Roman" w:hAnsi="Times New Roman" w:cs="Times New Roman"/>
          <w:szCs w:val="24"/>
          <w:lang w:val="sr-Cyrl-RS"/>
        </w:rPr>
        <w:t>скоро у читавом посматраном периоду је била више од 1</w:t>
      </w:r>
      <w:r w:rsidR="00392A7D" w:rsidRPr="00B3123E">
        <w:rPr>
          <w:rFonts w:ascii="Times New Roman" w:hAnsi="Times New Roman" w:cs="Times New Roman"/>
          <w:szCs w:val="24"/>
          <w:lang w:val="sr-Cyrl-RS"/>
        </w:rPr>
        <w:t>1</w:t>
      </w:r>
      <w:r w:rsidRPr="00B3123E">
        <w:rPr>
          <w:rFonts w:ascii="Times New Roman" w:hAnsi="Times New Roman" w:cs="Times New Roman"/>
          <w:szCs w:val="24"/>
          <w:lang w:val="sr-Cyrl-RS"/>
        </w:rPr>
        <w:t>% годишње тако да укупни раст износи око 130%, односно у 2024. години остварен је обим од око 53 милиона пошиљака.</w:t>
      </w:r>
    </w:p>
    <w:p w14:paraId="01ADB88D" w14:textId="77777777" w:rsidR="00B44323" w:rsidRPr="00B3123E" w:rsidRDefault="00B44323"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Један од основних разлога за овако интензиван раст пакетских, експрес и курирских услуга је и убрзани развој е-трговине у Републици Србији последњих неколико година. Имајући у виду предвиђени даљи раст електронске трговине, посебно регулисањем одвијања прекограничног пакетског саобраћаја, у наредном периоду се очекује даљи раст ових поштанских услуга, што ће пред поштанске операторе поставити нове изазове, пре свега у сегменту цене и квалитета услуга.</w:t>
      </w:r>
    </w:p>
    <w:p w14:paraId="5504CDC3" w14:textId="5C016112" w:rsidR="00440911" w:rsidRPr="00B3123E" w:rsidRDefault="009C16C6"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Укупан приход од поштанских услуга од 2012</w:t>
      </w:r>
      <w:r w:rsidR="00FD3103"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године, када је износио око 12,7 милијарди динара, константно је растао са просечном годишњом стопом од 8% тако да је у 2019. години остварен приход од приближно 21 милијарде динара (Слика 6.), што представља повећање од 67%.</w:t>
      </w:r>
    </w:p>
    <w:p w14:paraId="34569C75" w14:textId="4EE40D8D" w:rsidR="009C16C6" w:rsidRPr="00B3123E" w:rsidRDefault="009C16C6" w:rsidP="00490C35">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6</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Приход од поштанских услуга у Републици Србији у периоду 2015-2024.</w:t>
      </w:r>
      <w:r w:rsidR="002A3C45" w:rsidRPr="00B3123E">
        <w:rPr>
          <w:rFonts w:ascii="Times New Roman" w:eastAsiaTheme="minorHAnsi" w:hAnsi="Times New Roman" w:cs="Times New Roman"/>
          <w:b w:val="0"/>
          <w:color w:val="auto"/>
          <w:lang w:val="sr-Cyrl-RS"/>
        </w:rPr>
        <w:t xml:space="preserve"> год</w:t>
      </w:r>
      <w:r w:rsidRPr="00B3123E">
        <w:rPr>
          <w:rFonts w:ascii="Times New Roman" w:eastAsiaTheme="minorHAnsi" w:hAnsi="Times New Roman" w:cs="Times New Roman"/>
          <w:b w:val="0"/>
          <w:color w:val="auto"/>
          <w:lang w:val="sr-Cyrl-RS"/>
        </w:rPr>
        <w:t>. (у мил</w:t>
      </w:r>
      <w:r w:rsidR="002A3C45" w:rsidRPr="00B3123E">
        <w:rPr>
          <w:rFonts w:ascii="Times New Roman" w:eastAsiaTheme="minorHAnsi" w:hAnsi="Times New Roman" w:cs="Times New Roman"/>
          <w:b w:val="0"/>
          <w:color w:val="auto"/>
          <w:lang w:val="sr-Cyrl-RS"/>
        </w:rPr>
        <w:t>.</w:t>
      </w:r>
      <w:r w:rsidRPr="00B3123E">
        <w:rPr>
          <w:rFonts w:ascii="Times New Roman" w:eastAsiaTheme="minorHAnsi" w:hAnsi="Times New Roman" w:cs="Times New Roman"/>
          <w:b w:val="0"/>
          <w:color w:val="auto"/>
          <w:lang w:val="sr-Cyrl-RS"/>
        </w:rPr>
        <w:t xml:space="preserve"> дин.) </w:t>
      </w:r>
    </w:p>
    <w:p w14:paraId="79BD0D71" w14:textId="77777777" w:rsidR="009C16C6" w:rsidRPr="00B3123E" w:rsidRDefault="00490C35" w:rsidP="00490C35">
      <w:pPr>
        <w:pBdr>
          <w:top w:val="single" w:sz="8" w:space="1" w:color="0070C0"/>
          <w:bottom w:val="single" w:sz="8" w:space="1" w:color="0070C0"/>
        </w:pBdr>
        <w:tabs>
          <w:tab w:val="left" w:pos="1440"/>
        </w:tabs>
        <w:spacing w:after="0"/>
        <w:rPr>
          <w:rFonts w:ascii="Times New Roman" w:hAnsi="Times New Roman" w:cs="Times New Roman"/>
          <w:szCs w:val="24"/>
          <w:lang w:val="sr-Cyrl-RS"/>
        </w:rPr>
      </w:pPr>
      <w:r w:rsidRPr="00B3123E">
        <w:rPr>
          <w:noProof/>
        </w:rPr>
        <w:drawing>
          <wp:inline distT="0" distB="0" distL="0" distR="0" wp14:anchorId="48075310" wp14:editId="5C0A5A23">
            <wp:extent cx="5760000" cy="3312000"/>
            <wp:effectExtent l="0" t="0" r="0" b="3175"/>
            <wp:docPr id="16" name="Chart 16">
              <a:extLst xmlns:a="http://schemas.openxmlformats.org/drawingml/2006/main">
                <a:ext uri="{FF2B5EF4-FFF2-40B4-BE49-F238E27FC236}">
                  <a16:creationId xmlns:a16="http://schemas.microsoft.com/office/drawing/2014/main" id="{3A4A55E5-6EBD-4ED5-A156-B81E7EF87D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659069B" w14:textId="01C65336" w:rsidR="00D46020" w:rsidRPr="00B3123E" w:rsidRDefault="00490C35" w:rsidP="00D46020">
      <w:pPr>
        <w:tabs>
          <w:tab w:val="left" w:pos="1440"/>
        </w:tabs>
        <w:spacing w:after="0"/>
        <w:rPr>
          <w:rFonts w:ascii="Times New Roman" w:hAnsi="Times New Roman" w:cs="Times New Roman"/>
          <w:szCs w:val="24"/>
          <w:lang w:val="sr-Cyrl-RS"/>
        </w:rPr>
      </w:pPr>
      <w:r w:rsidRPr="00B3123E">
        <w:rPr>
          <w:rFonts w:ascii="Times New Roman" w:hAnsi="Times New Roman" w:cs="Times New Roman"/>
          <w:sz w:val="18"/>
          <w:szCs w:val="18"/>
          <w:lang w:val="sr-Cyrl-RS"/>
        </w:rPr>
        <w:t>Извор: РАТЕЛ Прегледи тржишта телекомуникација и поштанских услуга у Републици Србији у 2015-2024. г.</w:t>
      </w:r>
    </w:p>
    <w:p w14:paraId="21885A01" w14:textId="64B4C3B3" w:rsidR="00D437CA" w:rsidRPr="00B3123E" w:rsidRDefault="00440911"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Приход од поштанских услуга у Републици Србији бележи константан раст у периоду од 2015. до 2024. године</w:t>
      </w:r>
      <w:r w:rsidR="00A866B1" w:rsidRPr="00B3123E">
        <w:rPr>
          <w:rFonts w:ascii="Times New Roman" w:hAnsi="Times New Roman" w:cs="Times New Roman"/>
          <w:szCs w:val="24"/>
          <w:lang w:val="sr-Cyrl-RS"/>
        </w:rPr>
        <w:t xml:space="preserve"> (132,9%) упркос паду</w:t>
      </w:r>
      <w:r w:rsidRPr="00B3123E">
        <w:rPr>
          <w:rFonts w:ascii="Times New Roman" w:hAnsi="Times New Roman" w:cs="Times New Roman"/>
          <w:szCs w:val="24"/>
          <w:lang w:val="sr-Cyrl-RS"/>
        </w:rPr>
        <w:t xml:space="preserve"> укупн</w:t>
      </w:r>
      <w:r w:rsidR="00A866B1" w:rsidRPr="00B3123E">
        <w:rPr>
          <w:rFonts w:ascii="Times New Roman" w:hAnsi="Times New Roman" w:cs="Times New Roman"/>
          <w:szCs w:val="24"/>
          <w:lang w:val="sr-Cyrl-RS"/>
        </w:rPr>
        <w:t>ог</w:t>
      </w:r>
      <w:r w:rsidRPr="00B3123E">
        <w:rPr>
          <w:rFonts w:ascii="Times New Roman" w:hAnsi="Times New Roman" w:cs="Times New Roman"/>
          <w:szCs w:val="24"/>
          <w:lang w:val="sr-Cyrl-RS"/>
        </w:rPr>
        <w:t xml:space="preserve"> обим</w:t>
      </w:r>
      <w:r w:rsidR="00A866B1"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поштанских услуга у </w:t>
      </w:r>
      <w:r w:rsidR="00A866B1" w:rsidRPr="00B3123E">
        <w:rPr>
          <w:rFonts w:ascii="Times New Roman" w:hAnsi="Times New Roman" w:cs="Times New Roman"/>
          <w:szCs w:val="24"/>
          <w:lang w:val="sr-Cyrl-RS"/>
        </w:rPr>
        <w:t>овом периоду</w:t>
      </w:r>
      <w:r w:rsidRPr="00B3123E">
        <w:rPr>
          <w:rFonts w:ascii="Times New Roman" w:hAnsi="Times New Roman" w:cs="Times New Roman"/>
          <w:szCs w:val="24"/>
          <w:lang w:val="sr-Cyrl-RS"/>
        </w:rPr>
        <w:t xml:space="preserve"> за око 9%</w:t>
      </w:r>
      <w:r w:rsidR="00A866B1" w:rsidRPr="00B3123E">
        <w:rPr>
          <w:rFonts w:ascii="Times New Roman" w:hAnsi="Times New Roman" w:cs="Times New Roman"/>
          <w:szCs w:val="24"/>
          <w:lang w:val="sr-Cyrl-RS"/>
        </w:rPr>
        <w:t>.</w:t>
      </w:r>
      <w:r w:rsidR="00FD3103" w:rsidRPr="00B3123E">
        <w:rPr>
          <w:rFonts w:ascii="Times New Roman" w:hAnsi="Times New Roman" w:cs="Times New Roman"/>
          <w:szCs w:val="24"/>
          <w:lang w:val="sr-Cyrl-RS"/>
        </w:rPr>
        <w:t xml:space="preserve"> </w:t>
      </w:r>
      <w:r w:rsidR="00A866B1" w:rsidRPr="00B3123E">
        <w:rPr>
          <w:rFonts w:ascii="Times New Roman" w:hAnsi="Times New Roman" w:cs="Times New Roman"/>
          <w:szCs w:val="24"/>
          <w:lang w:val="sr-Cyrl-RS"/>
        </w:rPr>
        <w:t>Р</w:t>
      </w:r>
      <w:r w:rsidRPr="00B3123E">
        <w:rPr>
          <w:rFonts w:ascii="Times New Roman" w:hAnsi="Times New Roman" w:cs="Times New Roman"/>
          <w:szCs w:val="24"/>
          <w:lang w:val="sr-Cyrl-RS"/>
        </w:rPr>
        <w:t xml:space="preserve">аст укупног прихода од поштанских услуга последица је, пре свега, промене структуре поштанских услуга, смањења укупног обима писмоносних услуга и раста обима </w:t>
      </w:r>
      <w:r w:rsidR="00A866B1" w:rsidRPr="00B3123E">
        <w:rPr>
          <w:rFonts w:ascii="Times New Roman" w:hAnsi="Times New Roman" w:cs="Times New Roman"/>
          <w:szCs w:val="24"/>
          <w:lang w:val="sr-Cyrl-RS"/>
        </w:rPr>
        <w:t>осталих поштанских</w:t>
      </w:r>
      <w:r w:rsidRPr="00B3123E">
        <w:rPr>
          <w:rFonts w:ascii="Times New Roman" w:hAnsi="Times New Roman" w:cs="Times New Roman"/>
          <w:szCs w:val="24"/>
          <w:lang w:val="sr-Cyrl-RS"/>
        </w:rPr>
        <w:t xml:space="preserve"> услуга</w:t>
      </w:r>
      <w:r w:rsidR="00A866B1" w:rsidRPr="00B3123E">
        <w:rPr>
          <w:rFonts w:ascii="Times New Roman" w:hAnsi="Times New Roman" w:cs="Times New Roman"/>
          <w:szCs w:val="24"/>
          <w:lang w:val="sr-Cyrl-RS"/>
        </w:rPr>
        <w:t>, али и значајнијег раста цена поштанских услуга последњих година</w:t>
      </w:r>
      <w:r w:rsidRPr="00B3123E">
        <w:rPr>
          <w:rFonts w:ascii="Times New Roman" w:hAnsi="Times New Roman" w:cs="Times New Roman"/>
          <w:szCs w:val="24"/>
          <w:lang w:val="sr-Cyrl-RS"/>
        </w:rPr>
        <w:t>.</w:t>
      </w:r>
    </w:p>
    <w:p w14:paraId="7DEFED5B" w14:textId="615B2C7B" w:rsidR="00A866B1" w:rsidRPr="00B3123E" w:rsidRDefault="00FD3103" w:rsidP="009D763D">
      <w:pPr>
        <w:pStyle w:val="Heading3"/>
        <w:rPr>
          <w:rFonts w:ascii="Times New Roman" w:hAnsi="Times New Roman" w:cs="Times New Roman"/>
          <w:b w:val="0"/>
          <w:i w:val="0"/>
          <w:u w:val="single"/>
          <w:lang w:val="sr-Cyrl-RS"/>
        </w:rPr>
      </w:pPr>
      <w:bookmarkStart w:id="20" w:name="_Toc211545971"/>
      <w:r w:rsidRPr="00B3123E">
        <w:rPr>
          <w:rFonts w:ascii="Times New Roman" w:hAnsi="Times New Roman" w:cs="Times New Roman"/>
          <w:b w:val="0"/>
          <w:i w:val="0"/>
          <w:u w:val="single"/>
          <w:lang w:val="sr-Cyrl-RS"/>
        </w:rPr>
        <w:t>Ц</w:t>
      </w:r>
      <w:r w:rsidR="00635ECE" w:rsidRPr="00B3123E">
        <w:rPr>
          <w:rFonts w:ascii="Times New Roman" w:hAnsi="Times New Roman" w:cs="Times New Roman"/>
          <w:b w:val="0"/>
          <w:i w:val="0"/>
          <w:u w:val="single"/>
          <w:lang w:val="sr-Cyrl-RS"/>
        </w:rPr>
        <w:t>ене поштанских услуга</w:t>
      </w:r>
      <w:bookmarkEnd w:id="20"/>
    </w:p>
    <w:p w14:paraId="7871C480" w14:textId="1AD82227" w:rsidR="00A866B1" w:rsidRPr="00B3123E" w:rsidRDefault="00A866B1"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Анализом цена поштанских услуга у Републици Србији обухваћене су поштарине за писмо до 20 грама у унутрашњем и међународном поштанском саобраћају, као и поштарине за пакете масе </w:t>
      </w:r>
      <w:r w:rsidR="005E5D55" w:rsidRPr="00B3123E">
        <w:rPr>
          <w:rFonts w:ascii="Times New Roman" w:hAnsi="Times New Roman" w:cs="Times New Roman"/>
          <w:szCs w:val="24"/>
          <w:lang w:val="sr-Cyrl-RS"/>
        </w:rPr>
        <w:t>два</w:t>
      </w:r>
      <w:r w:rsidRPr="00B3123E">
        <w:rPr>
          <w:rFonts w:ascii="Times New Roman" w:hAnsi="Times New Roman" w:cs="Times New Roman"/>
          <w:szCs w:val="24"/>
          <w:lang w:val="sr-Cyrl-RS"/>
        </w:rPr>
        <w:t xml:space="preserve"> </w:t>
      </w:r>
      <w:r w:rsidR="00CD1DC4" w:rsidRPr="00B3123E">
        <w:rPr>
          <w:rFonts w:ascii="Times New Roman" w:hAnsi="Times New Roman" w:cs="Times New Roman"/>
          <w:szCs w:val="24"/>
          <w:lang w:val="sr-Cyrl-RS"/>
        </w:rPr>
        <w:t>килограма</w:t>
      </w:r>
      <w:r w:rsidRPr="00B3123E">
        <w:rPr>
          <w:rFonts w:ascii="Times New Roman" w:hAnsi="Times New Roman" w:cs="Times New Roman"/>
          <w:szCs w:val="24"/>
          <w:lang w:val="sr-Cyrl-RS"/>
        </w:rPr>
        <w:t>, такође у унутрашњем и међународном поштанском саобраћају</w:t>
      </w:r>
      <w:r w:rsidR="00A56A85" w:rsidRPr="00B3123E">
        <w:rPr>
          <w:rFonts w:ascii="Times New Roman" w:hAnsi="Times New Roman" w:cs="Times New Roman"/>
          <w:szCs w:val="24"/>
          <w:lang w:val="sr-Cyrl-RS"/>
        </w:rPr>
        <w:t xml:space="preserve">. Такође упоређене су износи поштарина за поједине поштанске услуге у 2019, 2022. и 2023. години као </w:t>
      </w:r>
      <w:r w:rsidR="00562F38" w:rsidRPr="00B3123E">
        <w:rPr>
          <w:rFonts w:ascii="Times New Roman" w:hAnsi="Times New Roman" w:cs="Times New Roman"/>
          <w:szCs w:val="24"/>
          <w:lang w:val="sr-Cyrl-RS"/>
        </w:rPr>
        <w:t>и</w:t>
      </w:r>
      <w:r w:rsidR="00A56A85" w:rsidRPr="00B3123E">
        <w:rPr>
          <w:rFonts w:ascii="Times New Roman" w:hAnsi="Times New Roman" w:cs="Times New Roman"/>
          <w:szCs w:val="24"/>
          <w:lang w:val="sr-Cyrl-RS"/>
        </w:rPr>
        <w:t xml:space="preserve"> разлике поштарина за услуге у унутрашњем и међународном поштанском саобраћају.</w:t>
      </w:r>
    </w:p>
    <w:p w14:paraId="3F8C59DC" w14:textId="01466F1A" w:rsidR="00A56A85" w:rsidRPr="00B3123E" w:rsidRDefault="00A56A85"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Основна карактеристика цена поштанских услуга у Европи је релативно велика разлика од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до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као и константан раст (у већини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у посматраним годинама.</w:t>
      </w:r>
    </w:p>
    <w:p w14:paraId="33C700FA" w14:textId="652BB6E1" w:rsidR="00A114A1" w:rsidRPr="00B3123E" w:rsidRDefault="00696E9C"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Поштарина за писмо прве стопе (до 20 грама) у унутрашњем саобраћају у Србији мењала се </w:t>
      </w:r>
      <w:r w:rsidR="008D6997" w:rsidRPr="00B3123E">
        <w:rPr>
          <w:rFonts w:ascii="Times New Roman" w:hAnsi="Times New Roman" w:cs="Times New Roman"/>
          <w:szCs w:val="24"/>
          <w:lang w:val="sr-Cyrl-RS"/>
        </w:rPr>
        <w:t>последњих</w:t>
      </w:r>
      <w:r w:rsidRPr="00B3123E">
        <w:rPr>
          <w:rFonts w:ascii="Times New Roman" w:hAnsi="Times New Roman" w:cs="Times New Roman"/>
          <w:szCs w:val="24"/>
          <w:lang w:val="sr-Cyrl-RS"/>
        </w:rPr>
        <w:t xml:space="preserve"> неколико година и </w:t>
      </w:r>
      <w:r w:rsidR="00D2360B" w:rsidRPr="00B3123E">
        <w:rPr>
          <w:rFonts w:ascii="Times New Roman" w:hAnsi="Times New Roman" w:cs="Times New Roman"/>
          <w:szCs w:val="24"/>
          <w:lang w:val="sr-Cyrl-RS"/>
        </w:rPr>
        <w:t>од</w:t>
      </w:r>
      <w:r w:rsidRPr="00B3123E">
        <w:rPr>
          <w:rFonts w:ascii="Times New Roman" w:hAnsi="Times New Roman" w:cs="Times New Roman"/>
          <w:szCs w:val="24"/>
          <w:lang w:val="sr-Cyrl-RS"/>
        </w:rPr>
        <w:t xml:space="preserve"> 0,23 </w:t>
      </w:r>
      <w:r w:rsidR="0010571C"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у 2019. години</w:t>
      </w:r>
      <w:r w:rsidR="00D2360B" w:rsidRPr="00B3123E">
        <w:rPr>
          <w:rFonts w:ascii="Times New Roman" w:hAnsi="Times New Roman" w:cs="Times New Roman"/>
          <w:szCs w:val="24"/>
          <w:lang w:val="sr-Cyrl-RS"/>
        </w:rPr>
        <w:t>, преко 0,26</w:t>
      </w:r>
      <w:r w:rsidR="009B6416" w:rsidRPr="00B3123E">
        <w:rPr>
          <w:rFonts w:ascii="Times New Roman" w:hAnsi="Times New Roman" w:cs="Times New Roman"/>
          <w:szCs w:val="24"/>
          <w:lang w:val="sr-Cyrl-RS"/>
        </w:rPr>
        <w:t xml:space="preserve"> </w:t>
      </w:r>
      <w:r w:rsidR="0010571C" w:rsidRPr="00B3123E">
        <w:rPr>
          <w:rFonts w:ascii="Times New Roman" w:hAnsi="Times New Roman" w:cs="Times New Roman"/>
          <w:szCs w:val="24"/>
          <w:lang w:val="sr-Cyrl-RS"/>
        </w:rPr>
        <w:t>евра</w:t>
      </w:r>
      <w:r w:rsidR="00D2360B" w:rsidRPr="00B3123E">
        <w:rPr>
          <w:rFonts w:ascii="Times New Roman" w:hAnsi="Times New Roman" w:cs="Times New Roman"/>
          <w:szCs w:val="24"/>
          <w:lang w:val="sr-Cyrl-RS"/>
        </w:rPr>
        <w:t xml:space="preserve">  током 2022</w:t>
      </w:r>
      <w:r w:rsidR="00562F38" w:rsidRPr="00B3123E">
        <w:rPr>
          <w:rFonts w:ascii="Times New Roman" w:hAnsi="Times New Roman" w:cs="Times New Roman"/>
          <w:szCs w:val="24"/>
          <w:lang w:val="sr-Cyrl-RS"/>
        </w:rPr>
        <w:t xml:space="preserve">. </w:t>
      </w:r>
      <w:r w:rsidR="00D2360B" w:rsidRPr="00B3123E">
        <w:rPr>
          <w:rFonts w:ascii="Times New Roman" w:hAnsi="Times New Roman" w:cs="Times New Roman"/>
          <w:szCs w:val="24"/>
          <w:lang w:val="sr-Cyrl-RS"/>
        </w:rPr>
        <w:t>и 2023. године (Слика 7.)</w:t>
      </w:r>
      <w:r w:rsidR="002C57B9" w:rsidRPr="00B3123E">
        <w:rPr>
          <w:rFonts w:ascii="Times New Roman" w:hAnsi="Times New Roman" w:cs="Times New Roman"/>
          <w:szCs w:val="24"/>
          <w:lang w:val="sr-Cyrl-RS"/>
        </w:rPr>
        <w:t xml:space="preserve"> </w:t>
      </w:r>
      <w:r w:rsidR="00D2360B" w:rsidRPr="00B3123E">
        <w:rPr>
          <w:rFonts w:ascii="Times New Roman" w:hAnsi="Times New Roman" w:cs="Times New Roman"/>
          <w:szCs w:val="24"/>
          <w:lang w:val="sr-Cyrl-RS"/>
        </w:rPr>
        <w:t>до</w:t>
      </w:r>
      <w:r w:rsidRPr="00B3123E">
        <w:rPr>
          <w:rFonts w:ascii="Times New Roman" w:hAnsi="Times New Roman" w:cs="Times New Roman"/>
          <w:szCs w:val="24"/>
          <w:lang w:val="sr-Cyrl-RS"/>
        </w:rPr>
        <w:t xml:space="preserve"> 0,5</w:t>
      </w:r>
      <w:r w:rsidR="001A0413" w:rsidRPr="00B3123E">
        <w:rPr>
          <w:rFonts w:ascii="Times New Roman" w:hAnsi="Times New Roman" w:cs="Times New Roman"/>
          <w:szCs w:val="24"/>
          <w:lang w:val="sr-Cyrl-RS"/>
        </w:rPr>
        <w:t>1</w:t>
      </w:r>
      <w:r w:rsidRPr="00B3123E">
        <w:rPr>
          <w:rFonts w:ascii="Times New Roman" w:hAnsi="Times New Roman" w:cs="Times New Roman"/>
          <w:szCs w:val="24"/>
          <w:lang w:val="sr-Cyrl-RS"/>
        </w:rPr>
        <w:t xml:space="preserve"> </w:t>
      </w:r>
      <w:r w:rsidR="0010571C"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w:t>
      </w:r>
      <w:r w:rsidR="00D2360B" w:rsidRPr="00B3123E">
        <w:rPr>
          <w:rFonts w:ascii="Times New Roman" w:hAnsi="Times New Roman" w:cs="Times New Roman"/>
          <w:szCs w:val="24"/>
          <w:lang w:val="sr-Cyrl-RS"/>
        </w:rPr>
        <w:t>(6</w:t>
      </w:r>
      <w:r w:rsidR="001A0413" w:rsidRPr="00B3123E">
        <w:rPr>
          <w:rFonts w:ascii="Times New Roman" w:hAnsi="Times New Roman" w:cs="Times New Roman"/>
          <w:szCs w:val="24"/>
          <w:lang w:val="sr-Cyrl-RS"/>
        </w:rPr>
        <w:t>1</w:t>
      </w:r>
      <w:r w:rsidR="00D2360B" w:rsidRPr="00B3123E">
        <w:rPr>
          <w:rFonts w:ascii="Times New Roman" w:hAnsi="Times New Roman" w:cs="Times New Roman"/>
          <w:szCs w:val="24"/>
          <w:lang w:val="sr-Cyrl-RS"/>
        </w:rPr>
        <w:t xml:space="preserve"> динара) у 2025. години.</w:t>
      </w:r>
    </w:p>
    <w:p w14:paraId="747D3B14" w14:textId="2791B0E6" w:rsidR="006D71D7" w:rsidRPr="00B3123E" w:rsidRDefault="006D71D7" w:rsidP="006D71D7">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7</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Поштарина за писмо до 20 </w:t>
      </w:r>
      <w:r w:rsidR="00963772">
        <w:rPr>
          <w:rFonts w:ascii="Times New Roman" w:eastAsiaTheme="minorHAnsi" w:hAnsi="Times New Roman" w:cs="Times New Roman"/>
          <w:b w:val="0"/>
          <w:color w:val="auto"/>
        </w:rPr>
        <w:t>g</w:t>
      </w:r>
      <w:r w:rsidRPr="00B3123E">
        <w:rPr>
          <w:rFonts w:ascii="Times New Roman" w:eastAsiaTheme="minorHAnsi" w:hAnsi="Times New Roman" w:cs="Times New Roman"/>
          <w:b w:val="0"/>
          <w:color w:val="auto"/>
          <w:lang w:val="sr-Cyrl-RS"/>
        </w:rPr>
        <w:t xml:space="preserve"> УПС </w:t>
      </w:r>
      <w:r w:rsidR="00765B26" w:rsidRPr="00B3123E">
        <w:rPr>
          <w:rFonts w:ascii="Times New Roman" w:eastAsiaTheme="minorHAnsi" w:hAnsi="Times New Roman" w:cs="Times New Roman"/>
          <w:b w:val="0"/>
          <w:color w:val="auto"/>
          <w:lang w:val="sr-Cyrl-RS"/>
        </w:rPr>
        <w:t>у Европи</w:t>
      </w:r>
      <w:r w:rsidR="00BD4441" w:rsidRPr="00B3123E">
        <w:rPr>
          <w:rFonts w:ascii="Times New Roman" w:eastAsiaTheme="minorHAnsi" w:hAnsi="Times New Roman" w:cs="Times New Roman"/>
          <w:b w:val="0"/>
          <w:color w:val="auto"/>
          <w:lang w:val="sr-Cyrl-RS"/>
        </w:rPr>
        <w:t xml:space="preserve"> 2019, 2022</w:t>
      </w:r>
      <w:r w:rsidR="00AF5C4B">
        <w:rPr>
          <w:rFonts w:ascii="Times New Roman" w:eastAsiaTheme="minorHAnsi" w:hAnsi="Times New Roman" w:cs="Times New Roman"/>
          <w:b w:val="0"/>
          <w:color w:val="auto"/>
          <w:lang w:val="sr-Cyrl-RS"/>
        </w:rPr>
        <w:t>.</w:t>
      </w:r>
      <w:r w:rsidR="00BD4441" w:rsidRPr="00B3123E">
        <w:rPr>
          <w:rFonts w:ascii="Times New Roman" w:eastAsiaTheme="minorHAnsi" w:hAnsi="Times New Roman" w:cs="Times New Roman"/>
          <w:b w:val="0"/>
          <w:color w:val="auto"/>
          <w:lang w:val="sr-Cyrl-RS"/>
        </w:rPr>
        <w:t xml:space="preserve"> и 2023.г. </w:t>
      </w:r>
      <w:r w:rsidRPr="00B3123E">
        <w:rPr>
          <w:rFonts w:ascii="Times New Roman" w:eastAsiaTheme="minorHAnsi" w:hAnsi="Times New Roman" w:cs="Times New Roman"/>
          <w:b w:val="0"/>
          <w:color w:val="auto"/>
          <w:lang w:val="sr-Cyrl-RS"/>
        </w:rPr>
        <w:t xml:space="preserve">(у </w:t>
      </w:r>
      <w:r w:rsidR="00AF5C4B" w:rsidRPr="00C54516">
        <w:rPr>
          <w:rFonts w:ascii="Times New Roman" w:hAnsi="Times New Roman" w:cs="Times New Roman"/>
          <w:b w:val="0"/>
          <w:bCs w:val="0"/>
          <w:szCs w:val="24"/>
          <w:lang w:val="sr-Cyrl-RS"/>
        </w:rPr>
        <w:t>евр</w:t>
      </w:r>
      <w:r w:rsidR="003E05DA" w:rsidRPr="00C54516">
        <w:rPr>
          <w:rFonts w:ascii="Times New Roman" w:hAnsi="Times New Roman" w:cs="Times New Roman"/>
          <w:b w:val="0"/>
          <w:bCs w:val="0"/>
          <w:szCs w:val="24"/>
          <w:lang w:val="sr-Cyrl-RS"/>
        </w:rPr>
        <w:t>има</w:t>
      </w:r>
      <w:r w:rsidRPr="00B3123E">
        <w:rPr>
          <w:rFonts w:ascii="Times New Roman" w:eastAsiaTheme="minorHAnsi" w:hAnsi="Times New Roman" w:cs="Times New Roman"/>
          <w:b w:val="0"/>
          <w:color w:val="auto"/>
          <w:lang w:val="sr-Cyrl-RS"/>
        </w:rPr>
        <w:t xml:space="preserve">) </w:t>
      </w:r>
    </w:p>
    <w:p w14:paraId="03505A51" w14:textId="77777777" w:rsidR="006D7B1C" w:rsidRPr="00B3123E" w:rsidRDefault="006D7B1C" w:rsidP="006D7B1C">
      <w:pPr>
        <w:tabs>
          <w:tab w:val="left" w:pos="1440"/>
        </w:tabs>
        <w:spacing w:before="225" w:after="225"/>
        <w:rPr>
          <w:rFonts w:ascii="Times New Roman" w:hAnsi="Times New Roman" w:cs="Times New Roman"/>
          <w:szCs w:val="24"/>
          <w:lang w:val="sr-Cyrl-RS"/>
        </w:rPr>
      </w:pPr>
      <w:r w:rsidRPr="00B3123E">
        <w:rPr>
          <w:noProof/>
        </w:rPr>
        <w:drawing>
          <wp:inline distT="0" distB="0" distL="0" distR="0" wp14:anchorId="1430DBF1" wp14:editId="31725D41">
            <wp:extent cx="5940000" cy="3384000"/>
            <wp:effectExtent l="0" t="0" r="3810" b="6985"/>
            <wp:docPr id="20" name="Chart 20">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CA58634" w14:textId="5DA0BD74" w:rsidR="006D71D7" w:rsidRPr="00B3123E" w:rsidRDefault="006D71D7" w:rsidP="006D71D7">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EA5DB8" w:rsidRPr="00B3123E">
        <w:rPr>
          <w:rFonts w:ascii="Times New Roman" w:hAnsi="Times New Roman" w:cs="Times New Roman"/>
          <w:sz w:val="18"/>
          <w:szCs w:val="18"/>
          <w:lang w:val="sr-Cyrl-RS"/>
        </w:rPr>
        <w:t>ERGP (24) 8 - Report on postal core indicators for monitoring the European postal market</w:t>
      </w:r>
    </w:p>
    <w:p w14:paraId="351A5C40" w14:textId="5F234A59" w:rsidR="00BD5BE8" w:rsidRPr="00B3123E" w:rsidRDefault="00BD5BE8" w:rsidP="004B78B6">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Упркос повећању поштарина за писмо масе до 20 грама у </w:t>
      </w:r>
      <w:r w:rsidR="00CD1DC4"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Србији је већ дужи низ година међу најнижим у Европи и значајно је испод европског просека од 0,78 евра (слика 8.). Поштарина за ову категорију пошиљака је знатно изнад просека, пре свега, у </w:t>
      </w:r>
      <w:r w:rsidR="00B05A99"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Финској (2,10 </w:t>
      </w:r>
      <w:r w:rsidR="00F5375A"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и </w:t>
      </w:r>
      <w:r w:rsidR="00B05A99" w:rsidRPr="00B3123E">
        <w:rPr>
          <w:rFonts w:ascii="Times New Roman" w:hAnsi="Times New Roman" w:cs="Times New Roman"/>
          <w:szCs w:val="24"/>
          <w:lang w:val="sr-Cyrl-RS"/>
        </w:rPr>
        <w:t xml:space="preserve">Краљевини </w:t>
      </w:r>
      <w:r w:rsidRPr="00B3123E">
        <w:rPr>
          <w:rFonts w:ascii="Times New Roman" w:hAnsi="Times New Roman" w:cs="Times New Roman"/>
          <w:szCs w:val="24"/>
          <w:lang w:val="sr-Cyrl-RS"/>
        </w:rPr>
        <w:t>Данској (1,61</w:t>
      </w:r>
      <w:r w:rsidR="009B6416" w:rsidRPr="00B3123E">
        <w:rPr>
          <w:rFonts w:ascii="Times New Roman" w:hAnsi="Times New Roman" w:cs="Times New Roman"/>
          <w:szCs w:val="24"/>
          <w:lang w:val="sr-Cyrl-RS"/>
        </w:rPr>
        <w:t xml:space="preserve"> </w:t>
      </w:r>
      <w:r w:rsidR="00F5375A"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а донекле и у </w:t>
      </w:r>
      <w:r w:rsidR="00B05A99" w:rsidRPr="00B3123E">
        <w:rPr>
          <w:rFonts w:ascii="Times New Roman" w:hAnsi="Times New Roman" w:cs="Times New Roman"/>
          <w:szCs w:val="24"/>
          <w:lang w:val="sr-Cyrl-RS"/>
        </w:rPr>
        <w:t xml:space="preserve">Краљевини </w:t>
      </w:r>
      <w:r w:rsidRPr="00B3123E">
        <w:rPr>
          <w:rFonts w:ascii="Times New Roman" w:hAnsi="Times New Roman" w:cs="Times New Roman"/>
          <w:szCs w:val="24"/>
          <w:lang w:val="sr-Cyrl-RS"/>
        </w:rPr>
        <w:t>Белгији,</w:t>
      </w:r>
      <w:r w:rsidR="00B05A99" w:rsidRPr="00B3123E">
        <w:rPr>
          <w:rFonts w:ascii="Times New Roman" w:hAnsi="Times New Roman" w:cs="Times New Roman"/>
          <w:szCs w:val="24"/>
          <w:lang w:val="sr-Cyrl-RS"/>
        </w:rPr>
        <w:t xml:space="preserve"> Републици </w:t>
      </w:r>
      <w:r w:rsidRPr="00B3123E">
        <w:rPr>
          <w:rFonts w:ascii="Times New Roman" w:hAnsi="Times New Roman" w:cs="Times New Roman"/>
          <w:szCs w:val="24"/>
          <w:lang w:val="sr-Cyrl-RS"/>
        </w:rPr>
        <w:t xml:space="preserve">Италији и </w:t>
      </w:r>
      <w:r w:rsidR="00B05A99"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Француској. У већини осталих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поштарина је око или испод просека. Када је реч о окружењу код свих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поштарина је испод европског просека.</w:t>
      </w:r>
    </w:p>
    <w:p w14:paraId="4F51C82F" w14:textId="77777777" w:rsidR="008D6997" w:rsidRPr="00B3123E" w:rsidRDefault="008D6997" w:rsidP="00D2360B">
      <w:pPr>
        <w:tabs>
          <w:tab w:val="left" w:pos="1440"/>
        </w:tabs>
        <w:spacing w:before="225" w:after="225"/>
        <w:ind w:firstLine="1276"/>
        <w:rPr>
          <w:rFonts w:ascii="Times New Roman" w:hAnsi="Times New Roman" w:cs="Times New Roman"/>
          <w:szCs w:val="24"/>
          <w:lang w:val="sr-Cyrl-RS"/>
        </w:rPr>
      </w:pPr>
    </w:p>
    <w:p w14:paraId="0F79911D" w14:textId="50CF266D" w:rsidR="00D062BD" w:rsidRPr="00B3123E" w:rsidRDefault="00D062BD" w:rsidP="00D062BD">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8</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Просечна поштарина за писмо до 20 </w:t>
      </w:r>
      <w:r w:rsidR="005E5D55" w:rsidRPr="00B3123E">
        <w:rPr>
          <w:rFonts w:ascii="Times New Roman" w:eastAsiaTheme="minorHAnsi" w:hAnsi="Times New Roman" w:cs="Times New Roman"/>
          <w:b w:val="0"/>
          <w:color w:val="auto"/>
          <w:lang w:val="sr-Cyrl-RS"/>
        </w:rPr>
        <w:t>g</w:t>
      </w:r>
      <w:r w:rsidRPr="00B3123E">
        <w:rPr>
          <w:rFonts w:ascii="Times New Roman" w:eastAsiaTheme="minorHAnsi" w:hAnsi="Times New Roman" w:cs="Times New Roman"/>
          <w:b w:val="0"/>
          <w:color w:val="auto"/>
          <w:lang w:val="sr-Cyrl-RS"/>
        </w:rPr>
        <w:t xml:space="preserve"> УПС у Европи у 2023.</w:t>
      </w:r>
      <w:r w:rsidR="005F0D6C">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 xml:space="preserve">г. (у </w:t>
      </w:r>
      <w:r w:rsidR="00963772" w:rsidRPr="00C54516">
        <w:rPr>
          <w:rFonts w:ascii="Times New Roman" w:hAnsi="Times New Roman" w:cs="Times New Roman"/>
          <w:b w:val="0"/>
          <w:bCs w:val="0"/>
          <w:szCs w:val="24"/>
          <w:lang w:val="sr-Cyrl-RS"/>
        </w:rPr>
        <w:t>евр</w:t>
      </w:r>
      <w:r w:rsidR="003E05DA" w:rsidRPr="00C54516">
        <w:rPr>
          <w:rFonts w:ascii="Times New Roman" w:hAnsi="Times New Roman" w:cs="Times New Roman"/>
          <w:b w:val="0"/>
          <w:bCs w:val="0"/>
          <w:szCs w:val="24"/>
          <w:lang w:val="sr-Cyrl-RS"/>
        </w:rPr>
        <w:t>има</w:t>
      </w:r>
      <w:r w:rsidRPr="00B3123E">
        <w:rPr>
          <w:rFonts w:ascii="Times New Roman" w:eastAsiaTheme="minorHAnsi" w:hAnsi="Times New Roman" w:cs="Times New Roman"/>
          <w:b w:val="0"/>
          <w:color w:val="auto"/>
          <w:lang w:val="sr-Cyrl-RS"/>
        </w:rPr>
        <w:t xml:space="preserve">) </w:t>
      </w:r>
    </w:p>
    <w:p w14:paraId="45C0B770" w14:textId="77777777" w:rsidR="00D062BD" w:rsidRPr="00B3123E" w:rsidRDefault="00D2360B" w:rsidP="00D062BD">
      <w:pPr>
        <w:tabs>
          <w:tab w:val="left" w:pos="1440"/>
        </w:tabs>
        <w:spacing w:after="0"/>
        <w:jc w:val="center"/>
        <w:rPr>
          <w:rFonts w:ascii="Times New Roman" w:hAnsi="Times New Roman" w:cs="Times New Roman"/>
          <w:b/>
          <w:bCs/>
          <w:szCs w:val="24"/>
          <w:lang w:val="sr-Cyrl-RS"/>
        </w:rPr>
      </w:pPr>
      <w:r w:rsidRPr="00B3123E">
        <w:rPr>
          <w:noProof/>
        </w:rPr>
        <w:drawing>
          <wp:inline distT="0" distB="0" distL="0" distR="0" wp14:anchorId="0B706301" wp14:editId="7192CF6A">
            <wp:extent cx="4572976" cy="5400000"/>
            <wp:effectExtent l="0" t="0" r="0" b="0"/>
            <wp:docPr id="2" name="Chart 2">
              <a:extLst xmlns:a="http://schemas.openxmlformats.org/drawingml/2006/main">
                <a:ext uri="{FF2B5EF4-FFF2-40B4-BE49-F238E27FC236}">
                  <a16:creationId xmlns:a16="http://schemas.microsoft.com/office/drawing/2014/main" id="{00000000-0008-0000-05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F335786" w14:textId="5EFE8CDF" w:rsidR="008D6997" w:rsidRPr="00B3123E" w:rsidRDefault="00D062BD" w:rsidP="00EA5DB8">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EA5DB8" w:rsidRPr="00B3123E">
        <w:rPr>
          <w:rFonts w:ascii="Times New Roman" w:hAnsi="Times New Roman" w:cs="Times New Roman"/>
          <w:sz w:val="18"/>
          <w:szCs w:val="18"/>
          <w:lang w:val="sr-Cyrl-RS"/>
        </w:rPr>
        <w:t>ERGP (24) 8 - Report on postal core indicators for monitoring the European postal market</w:t>
      </w:r>
    </w:p>
    <w:p w14:paraId="51E44A81" w14:textId="77777777" w:rsidR="00EA5DB8" w:rsidRPr="00B3123E" w:rsidRDefault="00EA5DB8" w:rsidP="00EA5DB8">
      <w:pPr>
        <w:pBdr>
          <w:top w:val="single" w:sz="8" w:space="1" w:color="0070C0"/>
        </w:pBdr>
        <w:spacing w:after="0"/>
        <w:rPr>
          <w:rFonts w:ascii="Times New Roman" w:hAnsi="Times New Roman" w:cs="Times New Roman"/>
          <w:szCs w:val="24"/>
          <w:lang w:val="sr-Cyrl-RS"/>
        </w:rPr>
      </w:pPr>
    </w:p>
    <w:p w14:paraId="1FB19C67" w14:textId="45F93608" w:rsidR="00BD5BE8" w:rsidRPr="00B3123E" w:rsidRDefault="00BD5BE8"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Просечна поштарина за приоритетно писмо масе до 20 грама у Европи износи 1,27 </w:t>
      </w:r>
      <w:r w:rsidR="00F5375A" w:rsidRPr="00B3123E">
        <w:rPr>
          <w:rFonts w:ascii="Times New Roman" w:hAnsi="Times New Roman" w:cs="Times New Roman"/>
          <w:szCs w:val="24"/>
          <w:lang w:val="sr-Cyrl-RS"/>
        </w:rPr>
        <w:t>евра</w:t>
      </w:r>
      <w:r w:rsidR="00EA5DB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(Слика 9.)</w:t>
      </w:r>
      <w:r w:rsidR="00EA5DB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Као и код неприоритетних писама и овде на вредност просечне поштарине највећи утицај имају </w:t>
      </w:r>
      <w:r w:rsidR="00B05A99" w:rsidRPr="00B3123E">
        <w:rPr>
          <w:rFonts w:ascii="Times New Roman" w:hAnsi="Times New Roman" w:cs="Times New Roman"/>
          <w:szCs w:val="24"/>
          <w:lang w:val="sr-Cyrl-RS"/>
        </w:rPr>
        <w:t xml:space="preserve">Краљевина </w:t>
      </w:r>
      <w:r w:rsidRPr="00B3123E">
        <w:rPr>
          <w:rFonts w:ascii="Times New Roman" w:hAnsi="Times New Roman" w:cs="Times New Roman"/>
          <w:szCs w:val="24"/>
          <w:lang w:val="sr-Cyrl-RS"/>
        </w:rPr>
        <w:t xml:space="preserve">Данска (4,30 </w:t>
      </w:r>
      <w:r w:rsidR="00F5375A"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w:t>
      </w:r>
      <w:r w:rsidR="00B05A99" w:rsidRPr="00B3123E">
        <w:rPr>
          <w:rFonts w:ascii="Times New Roman" w:hAnsi="Times New Roman" w:cs="Times New Roman"/>
          <w:szCs w:val="24"/>
          <w:lang w:val="sr-Cyrl-RS"/>
        </w:rPr>
        <w:t>Реп</w:t>
      </w:r>
      <w:r w:rsidR="00826361" w:rsidRPr="00B3123E">
        <w:rPr>
          <w:rFonts w:ascii="Times New Roman" w:hAnsi="Times New Roman" w:cs="Times New Roman"/>
          <w:szCs w:val="24"/>
          <w:lang w:val="sr-Cyrl-RS"/>
        </w:rPr>
        <w:t>у</w:t>
      </w:r>
      <w:r w:rsidR="00B05A99" w:rsidRPr="00B3123E">
        <w:rPr>
          <w:rFonts w:ascii="Times New Roman" w:hAnsi="Times New Roman" w:cs="Times New Roman"/>
          <w:szCs w:val="24"/>
          <w:lang w:val="sr-Cyrl-RS"/>
        </w:rPr>
        <w:t xml:space="preserve">блика </w:t>
      </w:r>
      <w:r w:rsidRPr="00B3123E">
        <w:rPr>
          <w:rFonts w:ascii="Times New Roman" w:hAnsi="Times New Roman" w:cs="Times New Roman"/>
          <w:szCs w:val="24"/>
          <w:lang w:val="sr-Cyrl-RS"/>
        </w:rPr>
        <w:t xml:space="preserve">Финска (3,60 </w:t>
      </w:r>
      <w:r w:rsidR="00F5375A"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w:t>
      </w:r>
      <w:r w:rsidR="00B05A99" w:rsidRPr="00B3123E">
        <w:rPr>
          <w:rFonts w:ascii="Times New Roman" w:hAnsi="Times New Roman" w:cs="Times New Roman"/>
          <w:szCs w:val="24"/>
          <w:lang w:val="sr-Cyrl-RS"/>
        </w:rPr>
        <w:t xml:space="preserve">Република </w:t>
      </w:r>
      <w:r w:rsidRPr="00B3123E">
        <w:rPr>
          <w:rFonts w:ascii="Times New Roman" w:hAnsi="Times New Roman" w:cs="Times New Roman"/>
          <w:szCs w:val="24"/>
          <w:lang w:val="sr-Cyrl-RS"/>
        </w:rPr>
        <w:t xml:space="preserve">Италија (2,80 </w:t>
      </w:r>
      <w:r w:rsidR="00F5375A"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и </w:t>
      </w:r>
      <w:r w:rsidR="00B05A99" w:rsidRPr="00B3123E">
        <w:rPr>
          <w:rFonts w:ascii="Times New Roman" w:hAnsi="Times New Roman" w:cs="Times New Roman"/>
          <w:szCs w:val="24"/>
          <w:lang w:val="sr-Cyrl-RS"/>
        </w:rPr>
        <w:t xml:space="preserve">Краљевина </w:t>
      </w:r>
      <w:r w:rsidRPr="00B3123E">
        <w:rPr>
          <w:rFonts w:ascii="Times New Roman" w:hAnsi="Times New Roman" w:cs="Times New Roman"/>
          <w:szCs w:val="24"/>
          <w:lang w:val="sr-Cyrl-RS"/>
        </w:rPr>
        <w:t xml:space="preserve">Белгија (2,17 </w:t>
      </w:r>
      <w:r w:rsidR="00F5375A"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док је у већини осталих европских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поштарина за приоритетно писмо масе до 20 грама око просека и мењале су се од 2019. године па до данас.</w:t>
      </w:r>
    </w:p>
    <w:p w14:paraId="7BC9E478" w14:textId="041842BF" w:rsidR="00765B26" w:rsidRPr="00B3123E" w:rsidRDefault="00765B26" w:rsidP="00765B26">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9</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Поштарина за приоритетно писмо до 20 </w:t>
      </w:r>
      <w:r w:rsidR="00116538" w:rsidRPr="00B3123E">
        <w:rPr>
          <w:rFonts w:ascii="Times New Roman" w:eastAsiaTheme="minorHAnsi" w:hAnsi="Times New Roman" w:cs="Times New Roman"/>
          <w:b w:val="0"/>
          <w:color w:val="auto"/>
          <w:lang w:val="sr-Cyrl-RS"/>
        </w:rPr>
        <w:t>g</w:t>
      </w:r>
      <w:r w:rsidRPr="00B3123E">
        <w:rPr>
          <w:rFonts w:ascii="Times New Roman" w:eastAsiaTheme="minorHAnsi" w:hAnsi="Times New Roman" w:cs="Times New Roman"/>
          <w:b w:val="0"/>
          <w:color w:val="auto"/>
          <w:lang w:val="sr-Cyrl-RS"/>
        </w:rPr>
        <w:t xml:space="preserve"> УПС </w:t>
      </w:r>
      <w:r w:rsidR="00BD4441" w:rsidRPr="00B3123E">
        <w:rPr>
          <w:rFonts w:ascii="Times New Roman" w:eastAsiaTheme="minorHAnsi" w:hAnsi="Times New Roman" w:cs="Times New Roman"/>
          <w:b w:val="0"/>
          <w:color w:val="auto"/>
          <w:lang w:val="sr-Cyrl-RS"/>
        </w:rPr>
        <w:t>у Европи 2019, 2022</w:t>
      </w:r>
      <w:r w:rsidR="00116538" w:rsidRPr="00B3123E">
        <w:rPr>
          <w:rFonts w:ascii="Times New Roman" w:eastAsiaTheme="minorHAnsi" w:hAnsi="Times New Roman" w:cs="Times New Roman"/>
          <w:b w:val="0"/>
          <w:color w:val="auto"/>
          <w:lang w:val="sr-Cyrl-RS"/>
        </w:rPr>
        <w:t>.</w:t>
      </w:r>
      <w:r w:rsidR="00BD4441" w:rsidRPr="00B3123E">
        <w:rPr>
          <w:rFonts w:ascii="Times New Roman" w:eastAsiaTheme="minorHAnsi" w:hAnsi="Times New Roman" w:cs="Times New Roman"/>
          <w:b w:val="0"/>
          <w:color w:val="auto"/>
          <w:lang w:val="sr-Cyrl-RS"/>
        </w:rPr>
        <w:t xml:space="preserve"> и 2023.</w:t>
      </w:r>
      <w:r w:rsidR="00264D62">
        <w:rPr>
          <w:rFonts w:ascii="Times New Roman" w:eastAsiaTheme="minorHAnsi" w:hAnsi="Times New Roman" w:cs="Times New Roman"/>
          <w:b w:val="0"/>
          <w:color w:val="auto"/>
          <w:lang w:val="sr-Cyrl-RS"/>
        </w:rPr>
        <w:t xml:space="preserve"> </w:t>
      </w:r>
      <w:r w:rsidR="00BD4441" w:rsidRPr="00B3123E">
        <w:rPr>
          <w:rFonts w:ascii="Times New Roman" w:eastAsiaTheme="minorHAnsi" w:hAnsi="Times New Roman" w:cs="Times New Roman"/>
          <w:b w:val="0"/>
          <w:color w:val="auto"/>
          <w:lang w:val="sr-Cyrl-RS"/>
        </w:rPr>
        <w:t xml:space="preserve">г. </w:t>
      </w:r>
      <w:r w:rsidRPr="00B3123E">
        <w:rPr>
          <w:rFonts w:ascii="Times New Roman" w:eastAsiaTheme="minorHAnsi" w:hAnsi="Times New Roman" w:cs="Times New Roman"/>
          <w:b w:val="0"/>
          <w:color w:val="auto"/>
          <w:lang w:val="sr-Cyrl-RS"/>
        </w:rPr>
        <w:t>(у</w:t>
      </w:r>
      <w:r w:rsidR="00A96E1B" w:rsidRPr="00C54516">
        <w:rPr>
          <w:rFonts w:ascii="Times New Roman" w:eastAsiaTheme="minorHAnsi" w:hAnsi="Times New Roman" w:cs="Times New Roman"/>
          <w:b w:val="0"/>
          <w:bCs w:val="0"/>
          <w:color w:val="auto"/>
          <w:lang w:val="sr-Cyrl-RS"/>
        </w:rPr>
        <w:t xml:space="preserve"> </w:t>
      </w:r>
      <w:r w:rsidR="00264D62" w:rsidRPr="00C54516">
        <w:rPr>
          <w:rFonts w:ascii="Times New Roman" w:hAnsi="Times New Roman" w:cs="Times New Roman"/>
          <w:b w:val="0"/>
          <w:bCs w:val="0"/>
          <w:szCs w:val="24"/>
          <w:lang w:val="sr-Cyrl-RS"/>
        </w:rPr>
        <w:t>евр</w:t>
      </w:r>
      <w:r w:rsidR="003E05DA" w:rsidRPr="00C54516">
        <w:rPr>
          <w:rFonts w:ascii="Times New Roman" w:hAnsi="Times New Roman" w:cs="Times New Roman"/>
          <w:b w:val="0"/>
          <w:bCs w:val="0"/>
          <w:szCs w:val="24"/>
          <w:lang w:val="sr-Cyrl-RS"/>
        </w:rPr>
        <w:t>има</w:t>
      </w:r>
      <w:r w:rsidRPr="00B3123E">
        <w:rPr>
          <w:rFonts w:ascii="Times New Roman" w:eastAsiaTheme="minorHAnsi" w:hAnsi="Times New Roman" w:cs="Times New Roman"/>
          <w:b w:val="0"/>
          <w:color w:val="auto"/>
          <w:lang w:val="sr-Cyrl-RS"/>
        </w:rPr>
        <w:t xml:space="preserve">) </w:t>
      </w:r>
    </w:p>
    <w:p w14:paraId="0B4ED39F" w14:textId="77777777" w:rsidR="00D062BD" w:rsidRPr="00B3123E" w:rsidRDefault="00765B26" w:rsidP="00765B26">
      <w:pPr>
        <w:tabs>
          <w:tab w:val="left" w:pos="1440"/>
        </w:tabs>
        <w:spacing w:after="0"/>
        <w:rPr>
          <w:rFonts w:ascii="Times New Roman" w:hAnsi="Times New Roman" w:cs="Times New Roman"/>
          <w:szCs w:val="24"/>
          <w:lang w:val="sr-Cyrl-RS"/>
        </w:rPr>
      </w:pPr>
      <w:r w:rsidRPr="00B3123E">
        <w:rPr>
          <w:noProof/>
        </w:rPr>
        <w:drawing>
          <wp:inline distT="0" distB="0" distL="0" distR="0" wp14:anchorId="282BFC3C" wp14:editId="3A7864D6">
            <wp:extent cx="5943600" cy="3378835"/>
            <wp:effectExtent l="0" t="0" r="0" b="0"/>
            <wp:docPr id="23" name="Chart 23">
              <a:extLst xmlns:a="http://schemas.openxmlformats.org/drawingml/2006/main">
                <a:ext uri="{FF2B5EF4-FFF2-40B4-BE49-F238E27FC236}">
                  <a16:creationId xmlns:a16="http://schemas.microsoft.com/office/drawing/2014/main" id="{CB189CAF-4893-4C84-9B7B-7723840817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A193055" w14:textId="606231F6" w:rsidR="00765B26" w:rsidRPr="00B3123E" w:rsidRDefault="00765B26" w:rsidP="00765B26">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EA5DB8" w:rsidRPr="00B3123E">
        <w:rPr>
          <w:rFonts w:ascii="Times New Roman" w:hAnsi="Times New Roman" w:cs="Times New Roman"/>
          <w:sz w:val="18"/>
          <w:szCs w:val="18"/>
          <w:lang w:val="sr-Cyrl-RS"/>
        </w:rPr>
        <w:t>ERGP (24) 8 - Report on postal core indicators for monitoring the European postal market</w:t>
      </w:r>
    </w:p>
    <w:p w14:paraId="63602836" w14:textId="77777777" w:rsidR="00593D71" w:rsidRPr="00B3123E" w:rsidRDefault="00593D71" w:rsidP="00593D71">
      <w:pPr>
        <w:tabs>
          <w:tab w:val="left" w:pos="1440"/>
        </w:tabs>
        <w:spacing w:before="225" w:after="225"/>
        <w:ind w:firstLine="1276"/>
        <w:rPr>
          <w:rFonts w:ascii="Times New Roman" w:hAnsi="Times New Roman" w:cs="Times New Roman"/>
          <w:szCs w:val="24"/>
          <w:lang w:val="sr-Cyrl-RS"/>
        </w:rPr>
      </w:pPr>
    </w:p>
    <w:p w14:paraId="7AF378B4" w14:textId="51557F26" w:rsidR="00107BD1" w:rsidRPr="00B3123E" w:rsidRDefault="00107BD1"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И овде се Република Србија налази</w:t>
      </w:r>
      <w:r w:rsidR="00947B0B" w:rsidRPr="00B3123E">
        <w:rPr>
          <w:rFonts w:ascii="Times New Roman" w:hAnsi="Times New Roman" w:cs="Times New Roman"/>
          <w:szCs w:val="24"/>
          <w:lang w:val="sr-Cyrl-RS"/>
        </w:rPr>
        <w:t>ла</w:t>
      </w:r>
      <w:r w:rsidRPr="00B3123E">
        <w:rPr>
          <w:rFonts w:ascii="Times New Roman" w:hAnsi="Times New Roman" w:cs="Times New Roman"/>
          <w:szCs w:val="24"/>
          <w:lang w:val="sr-Cyrl-RS"/>
        </w:rPr>
        <w:t xml:space="preserve"> у групи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које су испод европског просека са поштарином од 0,30 </w:t>
      </w:r>
      <w:r w:rsidR="00F5375A"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у 2023. години (Слика 10.). И са тренутном поштарином од 72 динара (0,61 </w:t>
      </w:r>
      <w:r w:rsidR="00F5375A"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и даље је у групи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у којима је ова услуга најјефтинија у Европи.</w:t>
      </w:r>
    </w:p>
    <w:p w14:paraId="696A9078" w14:textId="77777777" w:rsidR="00593D71" w:rsidRPr="00B3123E" w:rsidRDefault="00593D71" w:rsidP="00593D71">
      <w:pPr>
        <w:tabs>
          <w:tab w:val="left" w:pos="1440"/>
        </w:tabs>
        <w:spacing w:before="225" w:after="225"/>
        <w:ind w:firstLine="1276"/>
        <w:rPr>
          <w:rFonts w:ascii="Times New Roman" w:hAnsi="Times New Roman" w:cs="Times New Roman"/>
          <w:szCs w:val="24"/>
          <w:lang w:val="sr-Cyrl-RS"/>
        </w:rPr>
      </w:pPr>
    </w:p>
    <w:p w14:paraId="383527D5" w14:textId="77777777" w:rsidR="00D062BD" w:rsidRPr="00B3123E" w:rsidRDefault="00D062BD" w:rsidP="006D71D7">
      <w:pPr>
        <w:tabs>
          <w:tab w:val="left" w:pos="1440"/>
        </w:tabs>
        <w:spacing w:before="225" w:after="225"/>
        <w:rPr>
          <w:rFonts w:ascii="Times New Roman" w:hAnsi="Times New Roman" w:cs="Times New Roman"/>
          <w:szCs w:val="24"/>
          <w:lang w:val="sr-Cyrl-RS"/>
        </w:rPr>
      </w:pPr>
    </w:p>
    <w:p w14:paraId="6A45E0DB" w14:textId="123D7630" w:rsidR="00765B26" w:rsidRPr="00B3123E" w:rsidRDefault="00765B26" w:rsidP="00765B26">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10</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Просечна поштарина за приоритетно писмо до 20 </w:t>
      </w:r>
      <w:r w:rsidR="00116538" w:rsidRPr="00B3123E">
        <w:rPr>
          <w:rFonts w:ascii="Times New Roman" w:eastAsiaTheme="minorHAnsi" w:hAnsi="Times New Roman" w:cs="Times New Roman"/>
          <w:b w:val="0"/>
          <w:color w:val="auto"/>
          <w:lang w:val="sr-Cyrl-RS"/>
        </w:rPr>
        <w:t>g</w:t>
      </w:r>
      <w:r w:rsidRPr="00B3123E">
        <w:rPr>
          <w:rFonts w:ascii="Times New Roman" w:eastAsiaTheme="minorHAnsi" w:hAnsi="Times New Roman" w:cs="Times New Roman"/>
          <w:b w:val="0"/>
          <w:color w:val="auto"/>
          <w:lang w:val="sr-Cyrl-RS"/>
        </w:rPr>
        <w:t xml:space="preserve"> УПС у Европи у 2023.</w:t>
      </w:r>
      <w:r w:rsidR="003E05DA">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г. (у</w:t>
      </w:r>
      <w:r w:rsidRPr="00C54516">
        <w:rPr>
          <w:rFonts w:ascii="Times New Roman" w:eastAsiaTheme="minorHAnsi" w:hAnsi="Times New Roman" w:cs="Times New Roman"/>
          <w:b w:val="0"/>
          <w:bCs w:val="0"/>
          <w:color w:val="auto"/>
          <w:lang w:val="sr-Cyrl-RS"/>
        </w:rPr>
        <w:t xml:space="preserve"> </w:t>
      </w:r>
      <w:r w:rsidR="00146264" w:rsidRPr="00C54516">
        <w:rPr>
          <w:rFonts w:ascii="Times New Roman" w:hAnsi="Times New Roman" w:cs="Times New Roman"/>
          <w:b w:val="0"/>
          <w:bCs w:val="0"/>
          <w:szCs w:val="24"/>
          <w:lang w:val="sr-Cyrl-RS"/>
        </w:rPr>
        <w:t>евр</w:t>
      </w:r>
      <w:r w:rsidR="003E05DA" w:rsidRPr="00C54516">
        <w:rPr>
          <w:rFonts w:ascii="Times New Roman" w:hAnsi="Times New Roman" w:cs="Times New Roman"/>
          <w:b w:val="0"/>
          <w:bCs w:val="0"/>
          <w:szCs w:val="24"/>
          <w:lang w:val="sr-Cyrl-RS"/>
        </w:rPr>
        <w:t>има</w:t>
      </w:r>
      <w:r w:rsidRPr="00B3123E">
        <w:rPr>
          <w:rFonts w:ascii="Times New Roman" w:eastAsiaTheme="minorHAnsi" w:hAnsi="Times New Roman" w:cs="Times New Roman"/>
          <w:b w:val="0"/>
          <w:color w:val="auto"/>
          <w:lang w:val="sr-Cyrl-RS"/>
        </w:rPr>
        <w:t xml:space="preserve">) </w:t>
      </w:r>
    </w:p>
    <w:p w14:paraId="15D02088" w14:textId="77777777" w:rsidR="00765B26" w:rsidRPr="00B3123E" w:rsidRDefault="00765B26" w:rsidP="00765B26">
      <w:pPr>
        <w:tabs>
          <w:tab w:val="left" w:pos="1440"/>
        </w:tabs>
        <w:spacing w:after="0"/>
        <w:jc w:val="center"/>
        <w:rPr>
          <w:rFonts w:ascii="Times New Roman" w:hAnsi="Times New Roman" w:cs="Times New Roman"/>
          <w:b/>
          <w:bCs/>
          <w:szCs w:val="24"/>
          <w:lang w:val="sr-Cyrl-RS"/>
        </w:rPr>
      </w:pPr>
      <w:r w:rsidRPr="00B3123E">
        <w:rPr>
          <w:noProof/>
        </w:rPr>
        <w:drawing>
          <wp:inline distT="0" distB="0" distL="0" distR="0" wp14:anchorId="37C133D1" wp14:editId="09EDBD1C">
            <wp:extent cx="4572976" cy="5400000"/>
            <wp:effectExtent l="0" t="0" r="0" b="0"/>
            <wp:docPr id="25" name="Chart 25">
              <a:extLst xmlns:a="http://schemas.openxmlformats.org/drawingml/2006/main">
                <a:ext uri="{FF2B5EF4-FFF2-40B4-BE49-F238E27FC236}">
                  <a16:creationId xmlns:a16="http://schemas.microsoft.com/office/drawing/2014/main" id="{50725CDA-D4BF-4BFF-ADE5-77EB534F01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C7CB541" w14:textId="0CE5F542" w:rsidR="00765B26" w:rsidRPr="00B3123E" w:rsidRDefault="00765B26" w:rsidP="00765B26">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bookmarkStart w:id="21" w:name="_Hlk212101527"/>
      <w:bookmarkStart w:id="22" w:name="_Hlk212117783"/>
      <w:r w:rsidR="00F076CD" w:rsidRPr="00B3123E">
        <w:rPr>
          <w:rFonts w:ascii="Times New Roman" w:hAnsi="Times New Roman" w:cs="Times New Roman"/>
          <w:sz w:val="18"/>
          <w:szCs w:val="18"/>
          <w:lang w:val="sr-Cyrl-RS"/>
        </w:rPr>
        <w:t xml:space="preserve">ERGP </w:t>
      </w:r>
      <w:r w:rsidR="004A68DA" w:rsidRPr="00B3123E">
        <w:rPr>
          <w:rFonts w:ascii="Times New Roman" w:hAnsi="Times New Roman" w:cs="Times New Roman"/>
          <w:sz w:val="18"/>
          <w:szCs w:val="18"/>
          <w:lang w:val="sr-Cyrl-RS"/>
        </w:rPr>
        <w:t>(24) 8 - Report on postal core indicators for monitoring the European postal market</w:t>
      </w:r>
      <w:bookmarkEnd w:id="21"/>
    </w:p>
    <w:bookmarkEnd w:id="22"/>
    <w:p w14:paraId="07427321" w14:textId="77777777" w:rsidR="0036410A" w:rsidRPr="00B3123E" w:rsidRDefault="0036410A" w:rsidP="006D71D7">
      <w:pPr>
        <w:tabs>
          <w:tab w:val="left" w:pos="1440"/>
        </w:tabs>
        <w:spacing w:before="225" w:after="225"/>
        <w:rPr>
          <w:rFonts w:ascii="Times New Roman" w:hAnsi="Times New Roman" w:cs="Times New Roman"/>
          <w:szCs w:val="24"/>
          <w:lang w:val="sr-Cyrl-RS"/>
        </w:rPr>
      </w:pPr>
    </w:p>
    <w:p w14:paraId="1B477DDA" w14:textId="090327B8" w:rsidR="00765B26" w:rsidRPr="00B3123E" w:rsidRDefault="0036410A"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свим европским </w:t>
      </w:r>
      <w:r w:rsidR="001A6486" w:rsidRPr="00B3123E">
        <w:rPr>
          <w:rFonts w:ascii="Times New Roman" w:hAnsi="Times New Roman" w:cs="Times New Roman"/>
          <w:szCs w:val="24"/>
          <w:lang w:val="sr-Cyrl-RS"/>
        </w:rPr>
        <w:t>државама</w:t>
      </w:r>
      <w:r w:rsidRPr="00B3123E">
        <w:rPr>
          <w:rFonts w:ascii="Times New Roman" w:hAnsi="Times New Roman" w:cs="Times New Roman"/>
          <w:szCs w:val="24"/>
          <w:lang w:val="sr-Cyrl-RS"/>
        </w:rPr>
        <w:t xml:space="preserve"> поштарина за приоритетно писмо масе до 20 грама у унутрашњем поштанском саобраћају </w:t>
      </w:r>
      <w:r w:rsidR="00DC6477" w:rsidRPr="00B3123E">
        <w:rPr>
          <w:rFonts w:ascii="Times New Roman" w:hAnsi="Times New Roman" w:cs="Times New Roman"/>
          <w:szCs w:val="24"/>
          <w:lang w:val="sr-Cyrl-RS"/>
        </w:rPr>
        <w:t xml:space="preserve">у претходном периоду била </w:t>
      </w:r>
      <w:r w:rsidRPr="00B3123E">
        <w:rPr>
          <w:rFonts w:ascii="Times New Roman" w:hAnsi="Times New Roman" w:cs="Times New Roman"/>
          <w:szCs w:val="24"/>
          <w:lang w:val="sr-Cyrl-RS"/>
        </w:rPr>
        <w:t>је виша од поштарине за неприоритетно писмо</w:t>
      </w:r>
      <w:r w:rsidR="00CB394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исте категорије. Просечна разлика у поштарини измећу ове две категорије писма у Европи </w:t>
      </w:r>
      <w:r w:rsidR="00DC6477" w:rsidRPr="00B3123E">
        <w:rPr>
          <w:rFonts w:ascii="Times New Roman" w:hAnsi="Times New Roman" w:cs="Times New Roman"/>
          <w:szCs w:val="24"/>
          <w:lang w:val="sr-Cyrl-RS"/>
        </w:rPr>
        <w:t xml:space="preserve">је </w:t>
      </w:r>
      <w:r w:rsidR="0098077E" w:rsidRPr="00B3123E">
        <w:rPr>
          <w:rFonts w:ascii="Times New Roman" w:hAnsi="Times New Roman" w:cs="Times New Roman"/>
          <w:szCs w:val="24"/>
          <w:lang w:val="sr-Cyrl-RS"/>
        </w:rPr>
        <w:t>износи</w:t>
      </w:r>
      <w:r w:rsidR="00DC6477" w:rsidRPr="00B3123E">
        <w:rPr>
          <w:rFonts w:ascii="Times New Roman" w:hAnsi="Times New Roman" w:cs="Times New Roman"/>
          <w:szCs w:val="24"/>
          <w:lang w:val="sr-Cyrl-RS"/>
        </w:rPr>
        <w:t>ла</w:t>
      </w:r>
      <w:r w:rsidR="00947B0B" w:rsidRPr="00B3123E">
        <w:rPr>
          <w:rFonts w:ascii="Times New Roman" w:hAnsi="Times New Roman" w:cs="Times New Roman"/>
          <w:szCs w:val="24"/>
          <w:lang w:val="sr-Cyrl-RS"/>
        </w:rPr>
        <w:t xml:space="preserve"> </w:t>
      </w:r>
      <w:r w:rsidR="0098077E" w:rsidRPr="00B3123E">
        <w:rPr>
          <w:rFonts w:ascii="Times New Roman" w:hAnsi="Times New Roman" w:cs="Times New Roman"/>
          <w:szCs w:val="24"/>
          <w:lang w:val="sr-Cyrl-RS"/>
        </w:rPr>
        <w:t>63</w:t>
      </w:r>
      <w:r w:rsidRPr="00B3123E">
        <w:rPr>
          <w:rFonts w:ascii="Times New Roman" w:hAnsi="Times New Roman" w:cs="Times New Roman"/>
          <w:szCs w:val="24"/>
          <w:lang w:val="sr-Cyrl-RS"/>
        </w:rPr>
        <w:t>%</w:t>
      </w:r>
      <w:r w:rsidR="0098077E" w:rsidRPr="00B3123E">
        <w:rPr>
          <w:rFonts w:ascii="Times New Roman" w:hAnsi="Times New Roman" w:cs="Times New Roman"/>
          <w:szCs w:val="24"/>
          <w:lang w:val="sr-Cyrl-RS"/>
        </w:rPr>
        <w:t xml:space="preserve">, при чему је највећа разлика у </w:t>
      </w:r>
      <w:r w:rsidR="00826361" w:rsidRPr="00B3123E">
        <w:rPr>
          <w:rFonts w:ascii="Times New Roman" w:hAnsi="Times New Roman" w:cs="Times New Roman"/>
          <w:szCs w:val="24"/>
          <w:lang w:val="sr-Cyrl-RS"/>
        </w:rPr>
        <w:t xml:space="preserve">Републици </w:t>
      </w:r>
      <w:r w:rsidR="0098077E" w:rsidRPr="00B3123E">
        <w:rPr>
          <w:rFonts w:ascii="Times New Roman" w:hAnsi="Times New Roman" w:cs="Times New Roman"/>
          <w:szCs w:val="24"/>
          <w:lang w:val="sr-Cyrl-RS"/>
        </w:rPr>
        <w:t>Турској,</w:t>
      </w:r>
      <w:r w:rsidR="00826361" w:rsidRPr="00B3123E">
        <w:rPr>
          <w:rFonts w:ascii="Times New Roman" w:hAnsi="Times New Roman" w:cs="Times New Roman"/>
          <w:szCs w:val="24"/>
          <w:lang w:val="sr-Cyrl-RS"/>
        </w:rPr>
        <w:t xml:space="preserve"> Краљевини</w:t>
      </w:r>
      <w:r w:rsidR="0098077E" w:rsidRPr="00B3123E">
        <w:rPr>
          <w:rFonts w:ascii="Times New Roman" w:hAnsi="Times New Roman" w:cs="Times New Roman"/>
          <w:szCs w:val="24"/>
          <w:lang w:val="sr-Cyrl-RS"/>
        </w:rPr>
        <w:t xml:space="preserve"> Данској, </w:t>
      </w:r>
      <w:r w:rsidR="00826361" w:rsidRPr="00B3123E">
        <w:rPr>
          <w:rFonts w:ascii="Times New Roman" w:hAnsi="Times New Roman" w:cs="Times New Roman"/>
          <w:szCs w:val="24"/>
          <w:lang w:val="sr-Cyrl-RS"/>
        </w:rPr>
        <w:t xml:space="preserve">Републици </w:t>
      </w:r>
      <w:r w:rsidR="0098077E" w:rsidRPr="00B3123E">
        <w:rPr>
          <w:rFonts w:ascii="Times New Roman" w:hAnsi="Times New Roman" w:cs="Times New Roman"/>
          <w:szCs w:val="24"/>
          <w:lang w:val="sr-Cyrl-RS"/>
        </w:rPr>
        <w:t xml:space="preserve">Италији и </w:t>
      </w:r>
      <w:r w:rsidR="00826361" w:rsidRPr="00B3123E">
        <w:rPr>
          <w:rFonts w:ascii="Times New Roman" w:hAnsi="Times New Roman" w:cs="Times New Roman"/>
          <w:szCs w:val="24"/>
          <w:lang w:val="sr-Cyrl-RS"/>
        </w:rPr>
        <w:t xml:space="preserve">Републици </w:t>
      </w:r>
      <w:r w:rsidR="0098077E" w:rsidRPr="00B3123E">
        <w:rPr>
          <w:rFonts w:ascii="Times New Roman" w:hAnsi="Times New Roman" w:cs="Times New Roman"/>
          <w:szCs w:val="24"/>
          <w:lang w:val="sr-Cyrl-RS"/>
        </w:rPr>
        <w:t xml:space="preserve">Грчкој (где је приоритетно писмо дупло скупље), док је најмања разлика у </w:t>
      </w:r>
      <w:r w:rsidR="00826361" w:rsidRPr="00B3123E">
        <w:rPr>
          <w:rFonts w:ascii="Times New Roman" w:hAnsi="Times New Roman" w:cs="Times New Roman"/>
          <w:szCs w:val="24"/>
          <w:lang w:val="sr-Cyrl-RS"/>
        </w:rPr>
        <w:t xml:space="preserve">Републици </w:t>
      </w:r>
      <w:r w:rsidR="0098077E" w:rsidRPr="00B3123E">
        <w:rPr>
          <w:rFonts w:ascii="Times New Roman" w:hAnsi="Times New Roman" w:cs="Times New Roman"/>
          <w:szCs w:val="24"/>
          <w:lang w:val="sr-Cyrl-RS"/>
        </w:rPr>
        <w:t>Литванији и</w:t>
      </w:r>
      <w:r w:rsidR="00826361" w:rsidRPr="00B3123E">
        <w:rPr>
          <w:rFonts w:ascii="Times New Roman" w:hAnsi="Times New Roman" w:cs="Times New Roman"/>
          <w:szCs w:val="24"/>
          <w:lang w:val="sr-Cyrl-RS"/>
        </w:rPr>
        <w:t xml:space="preserve"> Републици</w:t>
      </w:r>
      <w:r w:rsidR="0098077E" w:rsidRPr="00B3123E">
        <w:rPr>
          <w:rFonts w:ascii="Times New Roman" w:hAnsi="Times New Roman" w:cs="Times New Roman"/>
          <w:szCs w:val="24"/>
          <w:lang w:val="sr-Cyrl-RS"/>
        </w:rPr>
        <w:t xml:space="preserve"> Словенији где су поштарине за ове категорије писама скоро изједначене</w:t>
      </w:r>
      <w:r w:rsidR="009537BD" w:rsidRPr="00B3123E">
        <w:rPr>
          <w:rFonts w:ascii="Times New Roman" w:hAnsi="Times New Roman" w:cs="Times New Roman"/>
          <w:szCs w:val="24"/>
          <w:lang w:val="sr-Cyrl-RS"/>
        </w:rPr>
        <w:t xml:space="preserve">, а </w:t>
      </w:r>
      <w:r w:rsidR="001A6486" w:rsidRPr="00B3123E">
        <w:rPr>
          <w:rFonts w:ascii="Times New Roman" w:hAnsi="Times New Roman" w:cs="Times New Roman"/>
          <w:szCs w:val="24"/>
          <w:lang w:val="sr-Cyrl-RS"/>
        </w:rPr>
        <w:t xml:space="preserve">Република </w:t>
      </w:r>
      <w:r w:rsidR="0098077E" w:rsidRPr="00B3123E">
        <w:rPr>
          <w:rFonts w:ascii="Times New Roman" w:hAnsi="Times New Roman" w:cs="Times New Roman"/>
          <w:szCs w:val="24"/>
          <w:lang w:val="sr-Cyrl-RS"/>
        </w:rPr>
        <w:t xml:space="preserve">Србија </w:t>
      </w:r>
      <w:r w:rsidR="009537BD" w:rsidRPr="00B3123E">
        <w:rPr>
          <w:rFonts w:ascii="Times New Roman" w:hAnsi="Times New Roman" w:cs="Times New Roman"/>
          <w:szCs w:val="24"/>
          <w:lang w:val="sr-Cyrl-RS"/>
        </w:rPr>
        <w:t xml:space="preserve">се у наведеном периоду </w:t>
      </w:r>
      <w:r w:rsidR="0098077E" w:rsidRPr="00B3123E">
        <w:rPr>
          <w:rFonts w:ascii="Times New Roman" w:hAnsi="Times New Roman" w:cs="Times New Roman"/>
          <w:szCs w:val="24"/>
          <w:lang w:val="sr-Cyrl-RS"/>
        </w:rPr>
        <w:t>налази</w:t>
      </w:r>
      <w:r w:rsidR="009537BD" w:rsidRPr="00B3123E">
        <w:rPr>
          <w:rFonts w:ascii="Times New Roman" w:hAnsi="Times New Roman" w:cs="Times New Roman"/>
          <w:szCs w:val="24"/>
          <w:lang w:val="sr-Cyrl-RS"/>
        </w:rPr>
        <w:t xml:space="preserve">ла </w:t>
      </w:r>
      <w:r w:rsidR="0098077E" w:rsidRPr="00B3123E">
        <w:rPr>
          <w:rFonts w:ascii="Times New Roman" w:hAnsi="Times New Roman" w:cs="Times New Roman"/>
          <w:szCs w:val="24"/>
          <w:lang w:val="sr-Cyrl-RS"/>
        </w:rPr>
        <w:t xml:space="preserve">у групи </w:t>
      </w:r>
      <w:r w:rsidR="00213D0D" w:rsidRPr="00B3123E">
        <w:rPr>
          <w:rFonts w:ascii="Times New Roman" w:hAnsi="Times New Roman" w:cs="Times New Roman"/>
          <w:szCs w:val="24"/>
          <w:lang w:val="sr-Cyrl-RS"/>
        </w:rPr>
        <w:t>држава</w:t>
      </w:r>
      <w:r w:rsidR="0098077E" w:rsidRPr="00B3123E">
        <w:rPr>
          <w:rFonts w:ascii="Times New Roman" w:hAnsi="Times New Roman" w:cs="Times New Roman"/>
          <w:szCs w:val="24"/>
          <w:lang w:val="sr-Cyrl-RS"/>
        </w:rPr>
        <w:t xml:space="preserve"> која је у складу са европским просеком (Слика 11.).</w:t>
      </w:r>
    </w:p>
    <w:p w14:paraId="20B3C4E7" w14:textId="28C86882" w:rsidR="00F4376C" w:rsidRPr="00B3123E" w:rsidRDefault="00F4376C" w:rsidP="00F4376C">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11</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Разлика у цени </w:t>
      </w:r>
      <w:r w:rsidR="00962C66" w:rsidRPr="00B3123E">
        <w:rPr>
          <w:rFonts w:ascii="Times New Roman" w:eastAsiaTheme="minorHAnsi" w:hAnsi="Times New Roman" w:cs="Times New Roman"/>
          <w:b w:val="0"/>
          <w:color w:val="auto"/>
          <w:lang w:val="sr-Cyrl-RS"/>
        </w:rPr>
        <w:t>између приоритетних и неприоритетних писама у Европи, УПС, 2023.</w:t>
      </w:r>
      <w:r w:rsidR="003E05DA">
        <w:rPr>
          <w:rFonts w:ascii="Times New Roman" w:eastAsiaTheme="minorHAnsi" w:hAnsi="Times New Roman" w:cs="Times New Roman"/>
          <w:b w:val="0"/>
          <w:color w:val="auto"/>
        </w:rPr>
        <w:t xml:space="preserve"> </w:t>
      </w:r>
      <w:r w:rsidR="00962C66" w:rsidRPr="00B3123E">
        <w:rPr>
          <w:rFonts w:ascii="Times New Roman" w:eastAsiaTheme="minorHAnsi" w:hAnsi="Times New Roman" w:cs="Times New Roman"/>
          <w:b w:val="0"/>
          <w:color w:val="auto"/>
          <w:lang w:val="sr-Cyrl-RS"/>
        </w:rPr>
        <w:t>г.</w:t>
      </w:r>
      <w:r w:rsidRPr="00B3123E">
        <w:rPr>
          <w:rFonts w:ascii="Times New Roman" w:eastAsiaTheme="minorHAnsi" w:hAnsi="Times New Roman" w:cs="Times New Roman"/>
          <w:b w:val="0"/>
          <w:color w:val="auto"/>
          <w:lang w:val="sr-Cyrl-RS"/>
        </w:rPr>
        <w:t xml:space="preserve"> (у </w:t>
      </w:r>
      <w:r w:rsidR="00962C66" w:rsidRPr="00B3123E">
        <w:rPr>
          <w:rFonts w:ascii="Times New Roman" w:eastAsiaTheme="minorHAnsi" w:hAnsi="Times New Roman" w:cs="Times New Roman"/>
          <w:b w:val="0"/>
          <w:color w:val="auto"/>
          <w:lang w:val="sr-Cyrl-RS"/>
        </w:rPr>
        <w:t>%</w:t>
      </w:r>
      <w:r w:rsidRPr="00B3123E">
        <w:rPr>
          <w:rFonts w:ascii="Times New Roman" w:eastAsiaTheme="minorHAnsi" w:hAnsi="Times New Roman" w:cs="Times New Roman"/>
          <w:b w:val="0"/>
          <w:color w:val="auto"/>
          <w:lang w:val="sr-Cyrl-RS"/>
        </w:rPr>
        <w:t xml:space="preserve">) </w:t>
      </w:r>
    </w:p>
    <w:p w14:paraId="2B9587F1" w14:textId="77777777" w:rsidR="00F4376C" w:rsidRPr="00B3123E" w:rsidRDefault="00962C66" w:rsidP="00F4376C">
      <w:pPr>
        <w:tabs>
          <w:tab w:val="left" w:pos="1440"/>
        </w:tabs>
        <w:spacing w:after="0"/>
        <w:jc w:val="center"/>
        <w:rPr>
          <w:rFonts w:ascii="Times New Roman" w:hAnsi="Times New Roman" w:cs="Times New Roman"/>
          <w:b/>
          <w:bCs/>
          <w:szCs w:val="24"/>
          <w:lang w:val="sr-Cyrl-RS"/>
        </w:rPr>
      </w:pPr>
      <w:r w:rsidRPr="00B3123E">
        <w:rPr>
          <w:noProof/>
        </w:rPr>
        <w:drawing>
          <wp:inline distT="0" distB="0" distL="0" distR="0" wp14:anchorId="007C8908" wp14:editId="44A1B1AD">
            <wp:extent cx="4572976" cy="6848476"/>
            <wp:effectExtent l="0" t="0" r="0" b="0"/>
            <wp:docPr id="27" name="Chart 27">
              <a:extLst xmlns:a="http://schemas.openxmlformats.org/drawingml/2006/main">
                <a:ext uri="{FF2B5EF4-FFF2-40B4-BE49-F238E27FC236}">
                  <a16:creationId xmlns:a16="http://schemas.microsoft.com/office/drawing/2014/main" id="{008FB1E2-3B34-4338-BE8F-E4CFFF2435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68E73B4" w14:textId="55FB8EF4" w:rsidR="0098077E" w:rsidRPr="00B3123E" w:rsidRDefault="00F4376C" w:rsidP="00707ED4">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CB3942" w:rsidRPr="00B3123E">
        <w:rPr>
          <w:rFonts w:ascii="Times New Roman" w:hAnsi="Times New Roman" w:cs="Times New Roman"/>
          <w:sz w:val="18"/>
          <w:szCs w:val="18"/>
          <w:lang w:val="sr-Cyrl-RS"/>
        </w:rPr>
        <w:t>(24) 8 - Report on postal core indicators for monitoring the European postal market</w:t>
      </w:r>
    </w:p>
    <w:p w14:paraId="7CC2D063" w14:textId="77777777" w:rsidR="00707ED4" w:rsidRPr="00B3123E" w:rsidRDefault="00707ED4" w:rsidP="00707ED4">
      <w:pPr>
        <w:pBdr>
          <w:top w:val="single" w:sz="8" w:space="1" w:color="0070C0"/>
        </w:pBdr>
        <w:spacing w:after="0"/>
        <w:rPr>
          <w:rFonts w:ascii="Times New Roman" w:hAnsi="Times New Roman" w:cs="Times New Roman"/>
          <w:sz w:val="18"/>
          <w:szCs w:val="18"/>
          <w:lang w:val="sr-Cyrl-RS"/>
        </w:rPr>
      </w:pPr>
    </w:p>
    <w:p w14:paraId="71F98253" w14:textId="1EC09CD7" w:rsidR="0098077E" w:rsidRPr="00B3123E" w:rsidRDefault="0098077E"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Када је реч о поштарини за приоритетно писмо масе до 20 грама у међународном поштанском саобраћају</w:t>
      </w:r>
      <w:r w:rsidR="00741197" w:rsidRPr="00B3123E">
        <w:rPr>
          <w:rFonts w:ascii="Times New Roman" w:hAnsi="Times New Roman" w:cs="Times New Roman"/>
          <w:szCs w:val="24"/>
          <w:lang w:val="sr-Cyrl-RS"/>
        </w:rPr>
        <w:t>, као и у унутрашњем саобраћају</w:t>
      </w:r>
      <w:r w:rsidR="00707ED4" w:rsidRPr="00B3123E">
        <w:rPr>
          <w:rFonts w:ascii="Times New Roman" w:hAnsi="Times New Roman" w:cs="Times New Roman"/>
          <w:szCs w:val="24"/>
          <w:lang w:val="sr-Cyrl-RS"/>
        </w:rPr>
        <w:t xml:space="preserve">, </w:t>
      </w:r>
      <w:r w:rsidR="00741197" w:rsidRPr="00B3123E">
        <w:rPr>
          <w:rFonts w:ascii="Times New Roman" w:hAnsi="Times New Roman" w:cs="Times New Roman"/>
          <w:szCs w:val="24"/>
          <w:lang w:val="sr-Cyrl-RS"/>
        </w:rPr>
        <w:t xml:space="preserve"> значајно</w:t>
      </w:r>
      <w:r w:rsidR="00707ED4" w:rsidRPr="00B3123E">
        <w:rPr>
          <w:rFonts w:ascii="Times New Roman" w:hAnsi="Times New Roman" w:cs="Times New Roman"/>
          <w:szCs w:val="24"/>
          <w:lang w:val="sr-Cyrl-RS"/>
        </w:rPr>
        <w:t xml:space="preserve"> је</w:t>
      </w:r>
      <w:r w:rsidR="00741197" w:rsidRPr="00B3123E">
        <w:rPr>
          <w:rFonts w:ascii="Times New Roman" w:hAnsi="Times New Roman" w:cs="Times New Roman"/>
          <w:szCs w:val="24"/>
          <w:lang w:val="sr-Cyrl-RS"/>
        </w:rPr>
        <w:t xml:space="preserve"> варира</w:t>
      </w:r>
      <w:r w:rsidR="00707ED4" w:rsidRPr="00B3123E">
        <w:rPr>
          <w:rFonts w:ascii="Times New Roman" w:hAnsi="Times New Roman" w:cs="Times New Roman"/>
          <w:szCs w:val="24"/>
          <w:lang w:val="sr-Cyrl-RS"/>
        </w:rPr>
        <w:t>ла</w:t>
      </w:r>
      <w:r w:rsidR="00741197" w:rsidRPr="00B3123E">
        <w:rPr>
          <w:rFonts w:ascii="Times New Roman" w:hAnsi="Times New Roman" w:cs="Times New Roman"/>
          <w:szCs w:val="24"/>
          <w:lang w:val="sr-Cyrl-RS"/>
        </w:rPr>
        <w:t xml:space="preserve"> од </w:t>
      </w:r>
      <w:r w:rsidR="001E3AFB" w:rsidRPr="00B3123E">
        <w:rPr>
          <w:rFonts w:ascii="Times New Roman" w:hAnsi="Times New Roman" w:cs="Times New Roman"/>
          <w:szCs w:val="24"/>
          <w:lang w:val="sr-Cyrl-RS"/>
        </w:rPr>
        <w:t>државе</w:t>
      </w:r>
      <w:r w:rsidR="00741197" w:rsidRPr="00B3123E">
        <w:rPr>
          <w:rFonts w:ascii="Times New Roman" w:hAnsi="Times New Roman" w:cs="Times New Roman"/>
          <w:szCs w:val="24"/>
          <w:lang w:val="sr-Cyrl-RS"/>
        </w:rPr>
        <w:t xml:space="preserve"> до </w:t>
      </w:r>
      <w:r w:rsidR="001E3AFB" w:rsidRPr="00B3123E">
        <w:rPr>
          <w:rFonts w:ascii="Times New Roman" w:hAnsi="Times New Roman" w:cs="Times New Roman"/>
          <w:szCs w:val="24"/>
          <w:lang w:val="sr-Cyrl-RS"/>
        </w:rPr>
        <w:t>државе</w:t>
      </w:r>
      <w:r w:rsidR="00707ED4" w:rsidRPr="00B3123E">
        <w:rPr>
          <w:rFonts w:ascii="Times New Roman" w:hAnsi="Times New Roman" w:cs="Times New Roman"/>
          <w:szCs w:val="24"/>
          <w:lang w:val="sr-Cyrl-RS"/>
        </w:rPr>
        <w:t xml:space="preserve"> </w:t>
      </w:r>
      <w:r w:rsidR="00741197" w:rsidRPr="00B3123E">
        <w:rPr>
          <w:rFonts w:ascii="Times New Roman" w:hAnsi="Times New Roman" w:cs="Times New Roman"/>
          <w:szCs w:val="24"/>
          <w:lang w:val="sr-Cyrl-RS"/>
        </w:rPr>
        <w:t xml:space="preserve">и у већини </w:t>
      </w:r>
      <w:r w:rsidR="00213D0D" w:rsidRPr="00B3123E">
        <w:rPr>
          <w:rFonts w:ascii="Times New Roman" w:hAnsi="Times New Roman" w:cs="Times New Roman"/>
          <w:szCs w:val="24"/>
          <w:lang w:val="sr-Cyrl-RS"/>
        </w:rPr>
        <w:t>држава</w:t>
      </w:r>
      <w:r w:rsidR="00741197" w:rsidRPr="00B3123E">
        <w:rPr>
          <w:rFonts w:ascii="Times New Roman" w:hAnsi="Times New Roman" w:cs="Times New Roman"/>
          <w:szCs w:val="24"/>
          <w:lang w:val="sr-Cyrl-RS"/>
        </w:rPr>
        <w:t xml:space="preserve"> се мењала од 2019. до 2023</w:t>
      </w:r>
      <w:r w:rsidR="00F612F0" w:rsidRPr="00B3123E">
        <w:rPr>
          <w:rFonts w:ascii="Times New Roman" w:hAnsi="Times New Roman" w:cs="Times New Roman"/>
          <w:szCs w:val="24"/>
          <w:lang w:val="sr-Cyrl-RS"/>
        </w:rPr>
        <w:t>.</w:t>
      </w:r>
      <w:r w:rsidR="00741197" w:rsidRPr="00B3123E">
        <w:rPr>
          <w:rFonts w:ascii="Times New Roman" w:hAnsi="Times New Roman" w:cs="Times New Roman"/>
          <w:szCs w:val="24"/>
          <w:lang w:val="sr-Cyrl-RS"/>
        </w:rPr>
        <w:t xml:space="preserve"> године (Слика 12.).</w:t>
      </w:r>
    </w:p>
    <w:p w14:paraId="0C09A45D" w14:textId="77777777" w:rsidR="0098077E" w:rsidRPr="00B3123E" w:rsidRDefault="0098077E" w:rsidP="0098077E">
      <w:pPr>
        <w:tabs>
          <w:tab w:val="left" w:pos="1440"/>
        </w:tabs>
        <w:spacing w:before="225" w:after="225"/>
        <w:ind w:firstLine="1276"/>
        <w:rPr>
          <w:rFonts w:ascii="Times New Roman" w:hAnsi="Times New Roman" w:cs="Times New Roman"/>
          <w:szCs w:val="24"/>
          <w:lang w:val="sr-Cyrl-RS"/>
        </w:rPr>
      </w:pPr>
    </w:p>
    <w:p w14:paraId="68F34126" w14:textId="05D744FA" w:rsidR="00BD4441" w:rsidRPr="00B3123E" w:rsidRDefault="00BD4441" w:rsidP="00BD4441">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12</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Поштарина за приоритетно писмо до 20 гр. МПС у Европи 2019, 2022</w:t>
      </w:r>
      <w:r w:rsidR="003E05DA">
        <w:rPr>
          <w:rFonts w:ascii="Times New Roman" w:eastAsiaTheme="minorHAnsi" w:hAnsi="Times New Roman" w:cs="Times New Roman"/>
          <w:b w:val="0"/>
          <w:color w:val="auto"/>
          <w:lang w:val="sr-Cyrl-RS"/>
        </w:rPr>
        <w:t>.</w:t>
      </w:r>
      <w:r w:rsidRPr="00B3123E">
        <w:rPr>
          <w:rFonts w:ascii="Times New Roman" w:eastAsiaTheme="minorHAnsi" w:hAnsi="Times New Roman" w:cs="Times New Roman"/>
          <w:b w:val="0"/>
          <w:color w:val="auto"/>
          <w:lang w:val="sr-Cyrl-RS"/>
        </w:rPr>
        <w:t xml:space="preserve"> и 2023.</w:t>
      </w:r>
      <w:r w:rsidR="003E05DA">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г. (у</w:t>
      </w:r>
      <w:r w:rsidR="00BF6DEA" w:rsidRPr="00B3123E">
        <w:rPr>
          <w:rFonts w:ascii="Times New Roman" w:eastAsiaTheme="minorHAnsi" w:hAnsi="Times New Roman" w:cs="Times New Roman"/>
          <w:b w:val="0"/>
          <w:color w:val="auto"/>
          <w:lang w:val="sr-Cyrl-RS"/>
        </w:rPr>
        <w:t xml:space="preserve"> </w:t>
      </w:r>
      <w:r w:rsidR="003E05DA" w:rsidRPr="00C54516">
        <w:rPr>
          <w:rFonts w:ascii="Times New Roman" w:hAnsi="Times New Roman" w:cs="Times New Roman"/>
          <w:b w:val="0"/>
          <w:bCs w:val="0"/>
          <w:szCs w:val="24"/>
          <w:lang w:val="sr-Cyrl-RS"/>
        </w:rPr>
        <w:t>еврима</w:t>
      </w:r>
      <w:r w:rsidRPr="00B3123E">
        <w:rPr>
          <w:rFonts w:ascii="Times New Roman" w:eastAsiaTheme="minorHAnsi" w:hAnsi="Times New Roman" w:cs="Times New Roman"/>
          <w:b w:val="0"/>
          <w:color w:val="auto"/>
          <w:lang w:val="sr-Cyrl-RS"/>
        </w:rPr>
        <w:t xml:space="preserve">) </w:t>
      </w:r>
    </w:p>
    <w:p w14:paraId="571745F1" w14:textId="77777777" w:rsidR="00BD4441" w:rsidRPr="00B3123E" w:rsidRDefault="00BD4441" w:rsidP="00BD4441">
      <w:pPr>
        <w:tabs>
          <w:tab w:val="left" w:pos="1440"/>
        </w:tabs>
        <w:spacing w:after="0"/>
        <w:rPr>
          <w:rFonts w:ascii="Times New Roman" w:hAnsi="Times New Roman" w:cs="Times New Roman"/>
          <w:szCs w:val="24"/>
          <w:lang w:val="sr-Cyrl-RS"/>
        </w:rPr>
      </w:pPr>
      <w:r w:rsidRPr="00B3123E">
        <w:rPr>
          <w:noProof/>
        </w:rPr>
        <w:drawing>
          <wp:inline distT="0" distB="0" distL="0" distR="0" wp14:anchorId="0A2A156A" wp14:editId="0B84411A">
            <wp:extent cx="6191250" cy="3872865"/>
            <wp:effectExtent l="0" t="0" r="0" b="0"/>
            <wp:docPr id="30" name="Chart 30">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2E3010C" w14:textId="3D184B14" w:rsidR="00BD4441" w:rsidRPr="00B3123E" w:rsidRDefault="00BD4441" w:rsidP="00BD4441">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CB3942" w:rsidRPr="00B3123E">
        <w:rPr>
          <w:rFonts w:ascii="Times New Roman" w:hAnsi="Times New Roman" w:cs="Times New Roman"/>
          <w:sz w:val="18"/>
          <w:szCs w:val="18"/>
          <w:lang w:val="sr-Cyrl-RS"/>
        </w:rPr>
        <w:t>(24) 8 - Report on postal core indicators for monitoring the European postal market</w:t>
      </w:r>
    </w:p>
    <w:p w14:paraId="49AC02AC" w14:textId="77777777" w:rsidR="00BD4441" w:rsidRPr="00B3123E" w:rsidRDefault="00BD4441" w:rsidP="00BD4441">
      <w:pPr>
        <w:tabs>
          <w:tab w:val="left" w:pos="1440"/>
        </w:tabs>
        <w:spacing w:before="225" w:after="225"/>
        <w:rPr>
          <w:rFonts w:ascii="Times New Roman" w:hAnsi="Times New Roman" w:cs="Times New Roman"/>
          <w:szCs w:val="24"/>
          <w:lang w:val="sr-Cyrl-RS"/>
        </w:rPr>
      </w:pPr>
    </w:p>
    <w:p w14:paraId="66EF6E1A" w14:textId="662191C5" w:rsidR="00741197" w:rsidRPr="00B3123E" w:rsidRDefault="00741197"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Просечна поштарина за приоритетно писмо масе до 20 грама у међународном саобраћају у Европи износи 1,76 </w:t>
      </w:r>
      <w:r w:rsidR="0010571C"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(Слика 13.). Као и у унутрашњем поштанском саобраћају и овде на високу просечну цену утичу две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w:t>
      </w:r>
      <w:r w:rsidR="00826361" w:rsidRPr="00B3123E">
        <w:rPr>
          <w:rFonts w:ascii="Times New Roman" w:hAnsi="Times New Roman" w:cs="Times New Roman"/>
          <w:szCs w:val="24"/>
          <w:lang w:val="sr-Cyrl-RS"/>
        </w:rPr>
        <w:t xml:space="preserve">Краљевина </w:t>
      </w:r>
      <w:r w:rsidRPr="00B3123E">
        <w:rPr>
          <w:rFonts w:ascii="Times New Roman" w:hAnsi="Times New Roman" w:cs="Times New Roman"/>
          <w:szCs w:val="24"/>
          <w:lang w:val="sr-Cyrl-RS"/>
        </w:rPr>
        <w:t>Данска 4,83</w:t>
      </w:r>
      <w:r w:rsidR="0010571C" w:rsidRPr="00B3123E">
        <w:rPr>
          <w:rFonts w:ascii="Times New Roman" w:hAnsi="Times New Roman" w:cs="Times New Roman"/>
          <w:szCs w:val="24"/>
          <w:lang w:val="sr-Cyrl-RS"/>
        </w:rPr>
        <w:t xml:space="preserve"> евра</w:t>
      </w:r>
      <w:r w:rsidRPr="00B3123E">
        <w:rPr>
          <w:rFonts w:ascii="Times New Roman" w:hAnsi="Times New Roman" w:cs="Times New Roman"/>
          <w:szCs w:val="24"/>
          <w:lang w:val="sr-Cyrl-RS"/>
        </w:rPr>
        <w:t xml:space="preserve"> и </w:t>
      </w:r>
      <w:r w:rsidR="00826361" w:rsidRPr="00B3123E">
        <w:rPr>
          <w:rFonts w:ascii="Times New Roman" w:hAnsi="Times New Roman" w:cs="Times New Roman"/>
          <w:szCs w:val="24"/>
          <w:lang w:val="sr-Cyrl-RS"/>
        </w:rPr>
        <w:t xml:space="preserve">Република </w:t>
      </w:r>
      <w:r w:rsidRPr="00B3123E">
        <w:rPr>
          <w:rFonts w:ascii="Times New Roman" w:hAnsi="Times New Roman" w:cs="Times New Roman"/>
          <w:szCs w:val="24"/>
          <w:lang w:val="sr-Cyrl-RS"/>
        </w:rPr>
        <w:t>Италија 3,50</w:t>
      </w:r>
      <w:r w:rsidR="0010571C" w:rsidRPr="00B3123E">
        <w:rPr>
          <w:rFonts w:ascii="Times New Roman" w:hAnsi="Times New Roman" w:cs="Times New Roman"/>
          <w:szCs w:val="24"/>
          <w:lang w:val="sr-Cyrl-RS"/>
        </w:rPr>
        <w:t xml:space="preserve"> евра</w:t>
      </w:r>
      <w:r w:rsidRPr="00B3123E">
        <w:rPr>
          <w:rFonts w:ascii="Times New Roman" w:hAnsi="Times New Roman" w:cs="Times New Roman"/>
          <w:szCs w:val="24"/>
          <w:lang w:val="sr-Cyrl-RS"/>
        </w:rPr>
        <w:t xml:space="preserve">) са знатно вишом поштарином за ову категорију пошиљака у односу на остале европске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w:t>
      </w:r>
      <w:r w:rsidR="00037F90" w:rsidRPr="00B3123E">
        <w:rPr>
          <w:rFonts w:ascii="Times New Roman" w:hAnsi="Times New Roman" w:cs="Times New Roman"/>
          <w:szCs w:val="24"/>
          <w:lang w:val="sr-Cyrl-RS"/>
        </w:rPr>
        <w:t xml:space="preserve"> И овде</w:t>
      </w:r>
      <w:r w:rsidR="001A6486" w:rsidRPr="00B3123E">
        <w:rPr>
          <w:rFonts w:ascii="Times New Roman" w:hAnsi="Times New Roman" w:cs="Times New Roman"/>
          <w:szCs w:val="24"/>
          <w:lang w:val="sr-Cyrl-RS"/>
        </w:rPr>
        <w:t xml:space="preserve"> се Република</w:t>
      </w:r>
      <w:r w:rsidR="00037F90" w:rsidRPr="00B3123E">
        <w:rPr>
          <w:rFonts w:ascii="Times New Roman" w:hAnsi="Times New Roman" w:cs="Times New Roman"/>
          <w:szCs w:val="24"/>
          <w:lang w:val="sr-Cyrl-RS"/>
        </w:rPr>
        <w:t xml:space="preserve"> Србија налази у групи </w:t>
      </w:r>
      <w:r w:rsidR="00213D0D" w:rsidRPr="00B3123E">
        <w:rPr>
          <w:rFonts w:ascii="Times New Roman" w:hAnsi="Times New Roman" w:cs="Times New Roman"/>
          <w:szCs w:val="24"/>
          <w:lang w:val="sr-Cyrl-RS"/>
        </w:rPr>
        <w:t>држава</w:t>
      </w:r>
      <w:r w:rsidR="00037F90" w:rsidRPr="00B3123E">
        <w:rPr>
          <w:rFonts w:ascii="Times New Roman" w:hAnsi="Times New Roman" w:cs="Times New Roman"/>
          <w:szCs w:val="24"/>
          <w:lang w:val="sr-Cyrl-RS"/>
        </w:rPr>
        <w:t xml:space="preserve"> код којих је поштарина доста нижа (скоро дупло) од европског просека.</w:t>
      </w:r>
    </w:p>
    <w:p w14:paraId="0A5FD1B0" w14:textId="77777777" w:rsidR="00741197" w:rsidRPr="00B3123E" w:rsidRDefault="00741197" w:rsidP="00741197">
      <w:pPr>
        <w:tabs>
          <w:tab w:val="left" w:pos="1440"/>
        </w:tabs>
        <w:spacing w:before="225" w:after="225"/>
        <w:ind w:firstLine="1276"/>
        <w:rPr>
          <w:rFonts w:ascii="Times New Roman" w:hAnsi="Times New Roman" w:cs="Times New Roman"/>
          <w:szCs w:val="24"/>
          <w:lang w:val="sr-Cyrl-RS"/>
        </w:rPr>
      </w:pPr>
    </w:p>
    <w:p w14:paraId="18FBF22E" w14:textId="77777777" w:rsidR="000A5CFA" w:rsidRPr="00B3123E" w:rsidRDefault="000A5CFA" w:rsidP="00741197">
      <w:pPr>
        <w:tabs>
          <w:tab w:val="left" w:pos="1440"/>
        </w:tabs>
        <w:spacing w:before="225" w:after="225"/>
        <w:ind w:firstLine="1276"/>
        <w:rPr>
          <w:rFonts w:ascii="Times New Roman" w:hAnsi="Times New Roman" w:cs="Times New Roman"/>
          <w:szCs w:val="24"/>
          <w:lang w:val="sr-Cyrl-RS"/>
        </w:rPr>
      </w:pPr>
    </w:p>
    <w:p w14:paraId="14868CC1" w14:textId="0A9D9D39" w:rsidR="000A5CFA" w:rsidRPr="00B3123E" w:rsidRDefault="000A5CFA" w:rsidP="000A5CFA">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13</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Просечна поштарина за приоритетно писмо до 20 </w:t>
      </w:r>
      <w:r w:rsidR="00A622F1" w:rsidRPr="00B3123E">
        <w:rPr>
          <w:rFonts w:ascii="Times New Roman" w:eastAsiaTheme="minorHAnsi" w:hAnsi="Times New Roman" w:cs="Times New Roman"/>
          <w:b w:val="0"/>
          <w:color w:val="auto"/>
          <w:lang w:val="sr-Cyrl-RS"/>
        </w:rPr>
        <w:t>g</w:t>
      </w:r>
      <w:r w:rsidRPr="00B3123E">
        <w:rPr>
          <w:rFonts w:ascii="Times New Roman" w:eastAsiaTheme="minorHAnsi" w:hAnsi="Times New Roman" w:cs="Times New Roman"/>
          <w:b w:val="0"/>
          <w:color w:val="auto"/>
          <w:lang w:val="sr-Cyrl-RS"/>
        </w:rPr>
        <w:t xml:space="preserve"> МПС у Европи у 2023.</w:t>
      </w:r>
      <w:r w:rsidR="005A1671">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 xml:space="preserve">г. (у </w:t>
      </w:r>
      <w:r w:rsidR="005A1671" w:rsidRPr="006E41E3">
        <w:rPr>
          <w:rFonts w:ascii="Times New Roman" w:hAnsi="Times New Roman" w:cs="Times New Roman"/>
          <w:b w:val="0"/>
          <w:bCs w:val="0"/>
          <w:szCs w:val="24"/>
          <w:lang w:val="sr-Cyrl-RS"/>
        </w:rPr>
        <w:t>евр</w:t>
      </w:r>
      <w:r w:rsidR="008A3C19" w:rsidRPr="006E41E3">
        <w:rPr>
          <w:rFonts w:ascii="Times New Roman" w:hAnsi="Times New Roman" w:cs="Times New Roman"/>
          <w:b w:val="0"/>
          <w:bCs w:val="0"/>
          <w:szCs w:val="24"/>
          <w:lang w:val="sr-Cyrl-RS"/>
        </w:rPr>
        <w:t>има</w:t>
      </w:r>
      <w:r w:rsidRPr="00B3123E">
        <w:rPr>
          <w:rFonts w:ascii="Times New Roman" w:eastAsiaTheme="minorHAnsi" w:hAnsi="Times New Roman" w:cs="Times New Roman"/>
          <w:b w:val="0"/>
          <w:color w:val="auto"/>
          <w:lang w:val="sr-Cyrl-RS"/>
        </w:rPr>
        <w:t xml:space="preserve">) </w:t>
      </w:r>
    </w:p>
    <w:p w14:paraId="08D28AE1" w14:textId="77777777" w:rsidR="000A5CFA" w:rsidRPr="00B3123E" w:rsidRDefault="00A157CC" w:rsidP="000A5CFA">
      <w:pPr>
        <w:tabs>
          <w:tab w:val="left" w:pos="1440"/>
        </w:tabs>
        <w:spacing w:after="0"/>
        <w:jc w:val="center"/>
        <w:rPr>
          <w:rFonts w:ascii="Times New Roman" w:hAnsi="Times New Roman" w:cs="Times New Roman"/>
          <w:b/>
          <w:bCs/>
          <w:szCs w:val="24"/>
          <w:lang w:val="sr-Cyrl-RS"/>
        </w:rPr>
      </w:pPr>
      <w:r w:rsidRPr="00B3123E">
        <w:rPr>
          <w:noProof/>
        </w:rPr>
        <w:drawing>
          <wp:inline distT="0" distB="0" distL="0" distR="0" wp14:anchorId="6BC241C2" wp14:editId="16619BFA">
            <wp:extent cx="4572976" cy="5324476"/>
            <wp:effectExtent l="0" t="0" r="0" b="0"/>
            <wp:docPr id="36" name="Chart 36">
              <a:extLst xmlns:a="http://schemas.openxmlformats.org/drawingml/2006/main">
                <a:ext uri="{FF2B5EF4-FFF2-40B4-BE49-F238E27FC236}">
                  <a16:creationId xmlns:a16="http://schemas.microsoft.com/office/drawing/2014/main" id="{50A1D62F-7EB7-4AAA-AC8E-86373C3C14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0268726" w14:textId="373658B6" w:rsidR="000A5CFA" w:rsidRPr="00B3123E" w:rsidRDefault="000A5CFA" w:rsidP="000A5CFA">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CB3942" w:rsidRPr="00B3123E">
        <w:rPr>
          <w:rFonts w:ascii="Times New Roman" w:hAnsi="Times New Roman" w:cs="Times New Roman"/>
          <w:sz w:val="18"/>
          <w:szCs w:val="18"/>
          <w:lang w:val="sr-Cyrl-RS"/>
        </w:rPr>
        <w:t>(24) 8 - Report on postal core indicators for monitoring the European postal market</w:t>
      </w:r>
    </w:p>
    <w:p w14:paraId="311B7321" w14:textId="77777777" w:rsidR="000A5CFA" w:rsidRPr="00B3123E" w:rsidRDefault="000A5CFA" w:rsidP="00BD4441">
      <w:pPr>
        <w:tabs>
          <w:tab w:val="left" w:pos="1440"/>
        </w:tabs>
        <w:spacing w:before="225" w:after="225"/>
        <w:rPr>
          <w:rFonts w:ascii="Times New Roman" w:hAnsi="Times New Roman" w:cs="Times New Roman"/>
          <w:szCs w:val="24"/>
          <w:lang w:val="sr-Cyrl-RS"/>
        </w:rPr>
      </w:pPr>
    </w:p>
    <w:p w14:paraId="051C86EB" w14:textId="30E0FB9B" w:rsidR="000B3FEB" w:rsidRPr="00B3123E" w:rsidRDefault="005F6D2D"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Када је реч о разлици између поштарина за приоритетна писма у међународном и унутрашњем поштанском саобраћају европски просек </w:t>
      </w:r>
      <w:r w:rsidR="00707ED4" w:rsidRPr="00B3123E">
        <w:rPr>
          <w:rFonts w:ascii="Times New Roman" w:hAnsi="Times New Roman" w:cs="Times New Roman"/>
          <w:szCs w:val="24"/>
          <w:lang w:val="sr-Cyrl-RS"/>
        </w:rPr>
        <w:t>је у претходном периоду износио</w:t>
      </w:r>
      <w:r w:rsidRPr="00B3123E">
        <w:rPr>
          <w:rFonts w:ascii="Times New Roman" w:hAnsi="Times New Roman" w:cs="Times New Roman"/>
          <w:szCs w:val="24"/>
          <w:lang w:val="sr-Cyrl-RS"/>
        </w:rPr>
        <w:t xml:space="preserve"> 39% (Слика 14.)</w:t>
      </w:r>
      <w:r w:rsidR="00707ED4" w:rsidRPr="00B3123E">
        <w:rPr>
          <w:rFonts w:ascii="Times New Roman" w:hAnsi="Times New Roman" w:cs="Times New Roman"/>
          <w:szCs w:val="24"/>
          <w:lang w:val="sr-Cyrl-RS"/>
        </w:rPr>
        <w:t xml:space="preserve">, а </w:t>
      </w:r>
      <w:r w:rsidR="001A6486" w:rsidRPr="00B3123E">
        <w:rPr>
          <w:rFonts w:ascii="Times New Roman" w:hAnsi="Times New Roman" w:cs="Times New Roman"/>
          <w:szCs w:val="24"/>
          <w:lang w:val="sr-Cyrl-RS"/>
        </w:rPr>
        <w:t xml:space="preserve">Република </w:t>
      </w:r>
      <w:r w:rsidRPr="00B3123E">
        <w:rPr>
          <w:rFonts w:ascii="Times New Roman" w:hAnsi="Times New Roman" w:cs="Times New Roman"/>
          <w:szCs w:val="24"/>
          <w:lang w:val="sr-Cyrl-RS"/>
        </w:rPr>
        <w:t>Србија</w:t>
      </w:r>
      <w:r w:rsidR="00707ED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са </w:t>
      </w:r>
      <w:r w:rsidR="000B3FEB" w:rsidRPr="00B3123E">
        <w:rPr>
          <w:rFonts w:ascii="Times New Roman" w:hAnsi="Times New Roman" w:cs="Times New Roman"/>
          <w:szCs w:val="24"/>
          <w:lang w:val="sr-Cyrl-RS"/>
        </w:rPr>
        <w:t>разликом поштарина за ове категорије писама од 133%</w:t>
      </w:r>
      <w:r w:rsidR="00707ED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налази</w:t>
      </w:r>
      <w:r w:rsidR="00707ED4" w:rsidRPr="00B3123E">
        <w:rPr>
          <w:rFonts w:ascii="Times New Roman" w:hAnsi="Times New Roman" w:cs="Times New Roman"/>
          <w:szCs w:val="24"/>
          <w:lang w:val="sr-Cyrl-RS"/>
        </w:rPr>
        <w:t>ла</w:t>
      </w:r>
      <w:r w:rsidR="00E9294C" w:rsidRPr="00B3123E">
        <w:rPr>
          <w:rFonts w:ascii="Times New Roman" w:hAnsi="Times New Roman" w:cs="Times New Roman"/>
          <w:szCs w:val="24"/>
          <w:lang w:val="sr-Cyrl-RS"/>
        </w:rPr>
        <w:t xml:space="preserve"> </w:t>
      </w:r>
      <w:r w:rsidR="000B3FEB" w:rsidRPr="00B3123E">
        <w:rPr>
          <w:rFonts w:ascii="Times New Roman" w:hAnsi="Times New Roman" w:cs="Times New Roman"/>
          <w:szCs w:val="24"/>
          <w:lang w:val="sr-Cyrl-RS"/>
        </w:rPr>
        <w:t>се</w:t>
      </w:r>
      <w:r w:rsidR="00E9294C" w:rsidRPr="00B3123E">
        <w:rPr>
          <w:rFonts w:ascii="Times New Roman" w:hAnsi="Times New Roman" w:cs="Times New Roman"/>
          <w:szCs w:val="24"/>
          <w:lang w:val="sr-Cyrl-RS"/>
        </w:rPr>
        <w:t xml:space="preserve"> </w:t>
      </w:r>
      <w:r w:rsidR="000B3FEB" w:rsidRPr="00B3123E">
        <w:rPr>
          <w:rFonts w:ascii="Times New Roman" w:hAnsi="Times New Roman" w:cs="Times New Roman"/>
          <w:szCs w:val="24"/>
          <w:lang w:val="sr-Cyrl-RS"/>
        </w:rPr>
        <w:t xml:space="preserve">у групи </w:t>
      </w:r>
      <w:r w:rsidR="00213D0D" w:rsidRPr="00B3123E">
        <w:rPr>
          <w:rFonts w:ascii="Times New Roman" w:hAnsi="Times New Roman" w:cs="Times New Roman"/>
          <w:szCs w:val="24"/>
          <w:lang w:val="sr-Cyrl-RS"/>
        </w:rPr>
        <w:t>држава</w:t>
      </w:r>
      <w:r w:rsidR="000B3FEB" w:rsidRPr="00B3123E">
        <w:rPr>
          <w:rFonts w:ascii="Times New Roman" w:hAnsi="Times New Roman" w:cs="Times New Roman"/>
          <w:szCs w:val="24"/>
          <w:lang w:val="sr-Cyrl-RS"/>
        </w:rPr>
        <w:t xml:space="preserve"> изнад европског просека. </w:t>
      </w:r>
    </w:p>
    <w:p w14:paraId="32709540" w14:textId="77777777" w:rsidR="006B3C88" w:rsidRPr="00B3123E" w:rsidRDefault="006B3C88" w:rsidP="006D71D7">
      <w:pPr>
        <w:tabs>
          <w:tab w:val="left" w:pos="1440"/>
        </w:tabs>
        <w:spacing w:before="225" w:after="225"/>
        <w:rPr>
          <w:rFonts w:ascii="Times New Roman" w:hAnsi="Times New Roman" w:cs="Times New Roman"/>
          <w:szCs w:val="24"/>
          <w:lang w:val="sr-Cyrl-RS"/>
        </w:rPr>
      </w:pPr>
    </w:p>
    <w:p w14:paraId="241A94B7" w14:textId="77777777" w:rsidR="006B3C88" w:rsidRPr="00B3123E" w:rsidRDefault="006B3C88" w:rsidP="006D71D7">
      <w:pPr>
        <w:tabs>
          <w:tab w:val="left" w:pos="1440"/>
        </w:tabs>
        <w:spacing w:before="225" w:after="225"/>
        <w:rPr>
          <w:rFonts w:ascii="Times New Roman" w:hAnsi="Times New Roman" w:cs="Times New Roman"/>
          <w:szCs w:val="24"/>
          <w:lang w:val="sr-Cyrl-RS"/>
        </w:rPr>
      </w:pPr>
    </w:p>
    <w:p w14:paraId="2AC7E981" w14:textId="77777777" w:rsidR="006B3C88" w:rsidRPr="00B3123E" w:rsidRDefault="006B3C88" w:rsidP="006D71D7">
      <w:pPr>
        <w:tabs>
          <w:tab w:val="left" w:pos="1440"/>
        </w:tabs>
        <w:spacing w:before="225" w:after="225"/>
        <w:rPr>
          <w:rFonts w:ascii="Times New Roman" w:hAnsi="Times New Roman" w:cs="Times New Roman"/>
          <w:szCs w:val="24"/>
          <w:lang w:val="sr-Cyrl-RS"/>
        </w:rPr>
      </w:pPr>
    </w:p>
    <w:p w14:paraId="5255B61B" w14:textId="1939AB9E" w:rsidR="006B3C88" w:rsidRPr="00B3123E" w:rsidRDefault="006B3C88" w:rsidP="006B3C88">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14</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Разлика у цени између приоритетних писама у МПС и УПС у Европи, 2023.</w:t>
      </w:r>
      <w:r w:rsidR="005A1671">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 xml:space="preserve">г. (у %) </w:t>
      </w:r>
    </w:p>
    <w:p w14:paraId="3D380526" w14:textId="77777777" w:rsidR="006B3C88" w:rsidRPr="00B3123E" w:rsidRDefault="006B3C88" w:rsidP="006B3C88">
      <w:pPr>
        <w:tabs>
          <w:tab w:val="left" w:pos="1440"/>
        </w:tabs>
        <w:spacing w:after="0"/>
        <w:jc w:val="center"/>
        <w:rPr>
          <w:rFonts w:ascii="Times New Roman" w:hAnsi="Times New Roman" w:cs="Times New Roman"/>
          <w:szCs w:val="24"/>
          <w:lang w:val="sr-Cyrl-RS"/>
        </w:rPr>
      </w:pPr>
      <w:r w:rsidRPr="00B3123E">
        <w:rPr>
          <w:noProof/>
        </w:rPr>
        <w:drawing>
          <wp:inline distT="0" distB="0" distL="0" distR="0" wp14:anchorId="39A979E5" wp14:editId="35B6293F">
            <wp:extent cx="5940000" cy="7668000"/>
            <wp:effectExtent l="0" t="0" r="3810" b="0"/>
            <wp:docPr id="32" name="Chart 32">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92A4664" w14:textId="136AA60B" w:rsidR="006B3C88" w:rsidRPr="00B3123E" w:rsidRDefault="006B3C88" w:rsidP="006B3C88">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144C3B" w:rsidRPr="00B3123E">
        <w:rPr>
          <w:rFonts w:ascii="Times New Roman" w:hAnsi="Times New Roman" w:cs="Times New Roman"/>
          <w:sz w:val="18"/>
          <w:szCs w:val="18"/>
          <w:lang w:val="sr-Cyrl-RS"/>
        </w:rPr>
        <w:t>(24) 8 - Report on postal core indicators for monitoring the European postal market</w:t>
      </w:r>
    </w:p>
    <w:p w14:paraId="55DB3E06" w14:textId="77777777" w:rsidR="00225455" w:rsidRPr="00B3123E" w:rsidRDefault="00225455" w:rsidP="006B3C88">
      <w:pPr>
        <w:pBdr>
          <w:top w:val="single" w:sz="8" w:space="1" w:color="0070C0"/>
        </w:pBdr>
        <w:spacing w:after="0"/>
        <w:rPr>
          <w:rFonts w:ascii="Times New Roman" w:hAnsi="Times New Roman" w:cs="Times New Roman"/>
          <w:sz w:val="6"/>
          <w:szCs w:val="6"/>
          <w:lang w:val="sr-Cyrl-RS"/>
        </w:rPr>
      </w:pPr>
    </w:p>
    <w:p w14:paraId="6795CD78" w14:textId="77777777" w:rsidR="007E0986" w:rsidRPr="00B3123E" w:rsidRDefault="007E0986" w:rsidP="00E24D51">
      <w:pPr>
        <w:tabs>
          <w:tab w:val="left" w:pos="1440"/>
        </w:tabs>
        <w:spacing w:before="225" w:after="225"/>
        <w:ind w:firstLine="709"/>
        <w:rPr>
          <w:rFonts w:ascii="Times New Roman" w:hAnsi="Times New Roman" w:cs="Times New Roman"/>
          <w:szCs w:val="24"/>
          <w:lang w:val="sr-Cyrl-RS"/>
        </w:rPr>
      </w:pPr>
    </w:p>
    <w:p w14:paraId="537E514C" w14:textId="77777777" w:rsidR="007E0986" w:rsidRPr="00B3123E" w:rsidRDefault="007E0986" w:rsidP="00E24D51">
      <w:pPr>
        <w:tabs>
          <w:tab w:val="left" w:pos="1440"/>
        </w:tabs>
        <w:spacing w:before="225" w:after="225"/>
        <w:ind w:firstLine="709"/>
        <w:rPr>
          <w:rFonts w:ascii="Times New Roman" w:hAnsi="Times New Roman" w:cs="Times New Roman"/>
          <w:szCs w:val="24"/>
          <w:lang w:val="sr-Cyrl-RS"/>
        </w:rPr>
      </w:pPr>
    </w:p>
    <w:p w14:paraId="56E741E6" w14:textId="4403629C" w:rsidR="00225455" w:rsidRPr="00B3123E" w:rsidRDefault="00A75B87"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Као и код писмоносних пошиљака и </w:t>
      </w:r>
      <w:bookmarkStart w:id="23" w:name="_Hlk206574319"/>
      <w:r w:rsidRPr="00B3123E">
        <w:rPr>
          <w:rFonts w:ascii="Times New Roman" w:hAnsi="Times New Roman" w:cs="Times New Roman"/>
          <w:szCs w:val="24"/>
          <w:lang w:val="sr-Cyrl-RS"/>
        </w:rPr>
        <w:t xml:space="preserve">поштарина за пакете до </w:t>
      </w:r>
      <w:r w:rsidR="00A622F1" w:rsidRPr="00B3123E">
        <w:rPr>
          <w:rFonts w:ascii="Times New Roman" w:hAnsi="Times New Roman" w:cs="Times New Roman"/>
          <w:szCs w:val="24"/>
          <w:lang w:val="sr-Cyrl-RS"/>
        </w:rPr>
        <w:t>два</w:t>
      </w:r>
      <w:r w:rsidRPr="00B3123E">
        <w:rPr>
          <w:rFonts w:ascii="Times New Roman" w:hAnsi="Times New Roman" w:cs="Times New Roman"/>
          <w:szCs w:val="24"/>
          <w:lang w:val="sr-Cyrl-RS"/>
        </w:rPr>
        <w:t xml:space="preserve"> </w:t>
      </w:r>
      <w:r w:rsidR="007E0986" w:rsidRPr="00B3123E">
        <w:rPr>
          <w:rFonts w:ascii="Times New Roman" w:hAnsi="Times New Roman" w:cs="Times New Roman"/>
          <w:szCs w:val="24"/>
          <w:lang w:val="sr-Cyrl-RS"/>
        </w:rPr>
        <w:t>килограма</w:t>
      </w:r>
      <w:r w:rsidRPr="00B3123E">
        <w:rPr>
          <w:rFonts w:ascii="Times New Roman" w:hAnsi="Times New Roman" w:cs="Times New Roman"/>
          <w:szCs w:val="24"/>
          <w:lang w:val="sr-Cyrl-RS"/>
        </w:rPr>
        <w:t xml:space="preserve"> у унутрашњем поштанском саобраћају у Европи</w:t>
      </w:r>
      <w:bookmarkEnd w:id="23"/>
      <w:r w:rsidRPr="00B3123E">
        <w:rPr>
          <w:rFonts w:ascii="Times New Roman" w:hAnsi="Times New Roman" w:cs="Times New Roman"/>
          <w:szCs w:val="24"/>
          <w:lang w:val="sr-Cyrl-RS"/>
        </w:rPr>
        <w:t xml:space="preserve"> значајно</w:t>
      </w:r>
      <w:r w:rsidR="004D5E2E" w:rsidRPr="00B3123E">
        <w:rPr>
          <w:rFonts w:ascii="Times New Roman" w:hAnsi="Times New Roman" w:cs="Times New Roman"/>
          <w:szCs w:val="24"/>
          <w:lang w:val="sr-Cyrl-RS"/>
        </w:rPr>
        <w:t xml:space="preserve"> се</w:t>
      </w:r>
      <w:r w:rsidRPr="00B3123E">
        <w:rPr>
          <w:rFonts w:ascii="Times New Roman" w:hAnsi="Times New Roman" w:cs="Times New Roman"/>
          <w:szCs w:val="24"/>
          <w:lang w:val="sr-Cyrl-RS"/>
        </w:rPr>
        <w:t xml:space="preserve"> разликује од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до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с тим што последњих година код већине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није било значајније повећања поштарине, а има и случајева њеног смањења (Слика 15.). </w:t>
      </w:r>
    </w:p>
    <w:p w14:paraId="00D7E69B" w14:textId="77777777" w:rsidR="00225455" w:rsidRPr="00B3123E" w:rsidRDefault="00225455" w:rsidP="00225455">
      <w:pPr>
        <w:spacing w:after="0"/>
        <w:rPr>
          <w:rFonts w:ascii="Times New Roman" w:hAnsi="Times New Roman" w:cs="Times New Roman"/>
          <w:sz w:val="18"/>
          <w:szCs w:val="18"/>
          <w:lang w:val="sr-Cyrl-RS"/>
        </w:rPr>
      </w:pPr>
    </w:p>
    <w:p w14:paraId="75B677CF" w14:textId="53B4AF0D" w:rsidR="007D6FFF" w:rsidRPr="00B3123E" w:rsidRDefault="007D6FFF" w:rsidP="007D6FFF">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15</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Поштарина за пакет од </w:t>
      </w:r>
      <w:r w:rsidR="00081150" w:rsidRPr="00B3123E">
        <w:rPr>
          <w:rFonts w:ascii="Times New Roman" w:eastAsiaTheme="minorHAnsi" w:hAnsi="Times New Roman" w:cs="Times New Roman"/>
          <w:b w:val="0"/>
          <w:color w:val="auto"/>
          <w:lang w:val="sr-Cyrl-RS"/>
        </w:rPr>
        <w:t>два</w:t>
      </w:r>
      <w:r w:rsidRPr="00B3123E">
        <w:rPr>
          <w:rFonts w:ascii="Times New Roman" w:eastAsiaTheme="minorHAnsi" w:hAnsi="Times New Roman" w:cs="Times New Roman"/>
          <w:b w:val="0"/>
          <w:color w:val="auto"/>
          <w:lang w:val="sr-Cyrl-RS"/>
        </w:rPr>
        <w:t xml:space="preserve"> </w:t>
      </w:r>
      <w:r w:rsidR="00081150" w:rsidRPr="00B3123E">
        <w:rPr>
          <w:rFonts w:ascii="Times New Roman" w:eastAsiaTheme="minorHAnsi" w:hAnsi="Times New Roman" w:cs="Times New Roman"/>
          <w:b w:val="0"/>
          <w:color w:val="auto"/>
          <w:lang w:val="sr-Cyrl-RS"/>
        </w:rPr>
        <w:t>kg</w:t>
      </w:r>
      <w:r w:rsidRPr="00B3123E">
        <w:rPr>
          <w:rFonts w:ascii="Times New Roman" w:eastAsiaTheme="minorHAnsi" w:hAnsi="Times New Roman" w:cs="Times New Roman"/>
          <w:b w:val="0"/>
          <w:color w:val="auto"/>
          <w:lang w:val="sr-Cyrl-RS"/>
        </w:rPr>
        <w:t xml:space="preserve"> УПС у Европи 2019, 2022</w:t>
      </w:r>
      <w:r w:rsidR="00081150" w:rsidRPr="00B3123E">
        <w:rPr>
          <w:rFonts w:ascii="Times New Roman" w:eastAsiaTheme="minorHAnsi" w:hAnsi="Times New Roman" w:cs="Times New Roman"/>
          <w:b w:val="0"/>
          <w:color w:val="auto"/>
          <w:lang w:val="sr-Cyrl-RS"/>
        </w:rPr>
        <w:t>.</w:t>
      </w:r>
      <w:r w:rsidRPr="00B3123E">
        <w:rPr>
          <w:rFonts w:ascii="Times New Roman" w:eastAsiaTheme="minorHAnsi" w:hAnsi="Times New Roman" w:cs="Times New Roman"/>
          <w:b w:val="0"/>
          <w:color w:val="auto"/>
          <w:lang w:val="sr-Cyrl-RS"/>
        </w:rPr>
        <w:t xml:space="preserve"> и 2023.г. (у</w:t>
      </w:r>
      <w:r w:rsidR="003B3DB5" w:rsidRPr="00B3123E">
        <w:rPr>
          <w:rFonts w:ascii="Times New Roman" w:eastAsiaTheme="minorHAnsi" w:hAnsi="Times New Roman" w:cs="Times New Roman"/>
          <w:b w:val="0"/>
          <w:color w:val="auto"/>
          <w:lang w:val="sr-Cyrl-RS"/>
        </w:rPr>
        <w:t xml:space="preserve"> </w:t>
      </w:r>
      <w:r w:rsidR="000B03CF" w:rsidRPr="000B03CF">
        <w:rPr>
          <w:rFonts w:ascii="Times New Roman" w:hAnsi="Times New Roman" w:cs="Times New Roman"/>
          <w:b w:val="0"/>
          <w:bCs w:val="0"/>
          <w:szCs w:val="24"/>
          <w:lang w:val="sr-Cyrl-RS"/>
        </w:rPr>
        <w:t>еврима</w:t>
      </w:r>
      <w:r w:rsidRPr="000B03CF">
        <w:rPr>
          <w:rFonts w:ascii="Times New Roman" w:eastAsiaTheme="minorHAnsi" w:hAnsi="Times New Roman" w:cs="Times New Roman"/>
          <w:b w:val="0"/>
          <w:bCs w:val="0"/>
          <w:color w:val="auto"/>
          <w:lang w:val="sr-Cyrl-RS"/>
        </w:rPr>
        <w:t>)</w:t>
      </w:r>
      <w:r w:rsidRPr="00B3123E">
        <w:rPr>
          <w:rFonts w:ascii="Times New Roman" w:eastAsiaTheme="minorHAnsi" w:hAnsi="Times New Roman" w:cs="Times New Roman"/>
          <w:b w:val="0"/>
          <w:color w:val="auto"/>
          <w:lang w:val="sr-Cyrl-RS"/>
        </w:rPr>
        <w:t xml:space="preserve"> </w:t>
      </w:r>
    </w:p>
    <w:p w14:paraId="741F468B" w14:textId="77777777" w:rsidR="007D6FFF" w:rsidRPr="00B3123E" w:rsidRDefault="007D6FFF" w:rsidP="007D6FFF">
      <w:pPr>
        <w:tabs>
          <w:tab w:val="left" w:pos="1440"/>
        </w:tabs>
        <w:spacing w:after="0"/>
        <w:rPr>
          <w:rFonts w:ascii="Times New Roman" w:hAnsi="Times New Roman" w:cs="Times New Roman"/>
          <w:szCs w:val="24"/>
          <w:lang w:val="sr-Cyrl-RS"/>
        </w:rPr>
      </w:pPr>
      <w:r w:rsidRPr="00B3123E">
        <w:rPr>
          <w:noProof/>
        </w:rPr>
        <w:drawing>
          <wp:inline distT="0" distB="0" distL="0" distR="0" wp14:anchorId="285934AC" wp14:editId="01467BB6">
            <wp:extent cx="5943600" cy="4096385"/>
            <wp:effectExtent l="0" t="0" r="0" b="0"/>
            <wp:docPr id="34" name="Chart 34">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EE24219" w14:textId="04B53338" w:rsidR="007D6FFF" w:rsidRPr="00B3123E" w:rsidRDefault="007D6FFF" w:rsidP="007D6FFF">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144C3B" w:rsidRPr="00B3123E">
        <w:rPr>
          <w:rFonts w:ascii="Times New Roman" w:hAnsi="Times New Roman" w:cs="Times New Roman"/>
          <w:sz w:val="18"/>
          <w:szCs w:val="18"/>
          <w:lang w:val="sr-Cyrl-RS"/>
        </w:rPr>
        <w:t>(24) 8 - Report on postal core indicators for monitoring the European postal market</w:t>
      </w:r>
    </w:p>
    <w:p w14:paraId="790E9FCE" w14:textId="77777777" w:rsidR="007D6FFF" w:rsidRPr="00B3123E" w:rsidRDefault="007D6FFF" w:rsidP="006D71D7">
      <w:pPr>
        <w:tabs>
          <w:tab w:val="left" w:pos="1440"/>
        </w:tabs>
        <w:spacing w:before="225" w:after="225"/>
        <w:rPr>
          <w:rFonts w:ascii="Times New Roman" w:hAnsi="Times New Roman" w:cs="Times New Roman"/>
          <w:szCs w:val="24"/>
          <w:lang w:val="sr-Cyrl-RS"/>
        </w:rPr>
      </w:pPr>
    </w:p>
    <w:p w14:paraId="4115A33D" w14:textId="68943FAF" w:rsidR="00A75B87" w:rsidRPr="00B3123E" w:rsidRDefault="00A75B87"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Просечна поштарина за пакете до </w:t>
      </w:r>
      <w:r w:rsidR="00C53421" w:rsidRPr="00B3123E">
        <w:rPr>
          <w:rFonts w:ascii="Times New Roman" w:hAnsi="Times New Roman" w:cs="Times New Roman"/>
          <w:szCs w:val="24"/>
          <w:lang w:val="sr-Cyrl-RS"/>
        </w:rPr>
        <w:t>два</w:t>
      </w:r>
      <w:r w:rsidRPr="00B3123E">
        <w:rPr>
          <w:rFonts w:ascii="Times New Roman" w:hAnsi="Times New Roman" w:cs="Times New Roman"/>
          <w:szCs w:val="24"/>
          <w:lang w:val="sr-Cyrl-RS"/>
        </w:rPr>
        <w:t xml:space="preserve"> килограма у унутрашњем поштанском саобраћају у Европи</w:t>
      </w:r>
      <w:r w:rsidR="00B879B9"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износи 5,64</w:t>
      </w:r>
      <w:r w:rsidR="003B3DB5" w:rsidRPr="00B3123E">
        <w:rPr>
          <w:rFonts w:ascii="Times New Roman" w:hAnsi="Times New Roman" w:cs="Times New Roman"/>
          <w:szCs w:val="24"/>
          <w:lang w:val="sr-Cyrl-RS"/>
        </w:rPr>
        <w:t xml:space="preserve"> </w:t>
      </w:r>
      <w:r w:rsidR="0010571C" w:rsidRPr="00B3123E">
        <w:rPr>
          <w:rFonts w:ascii="Times New Roman" w:hAnsi="Times New Roman" w:cs="Times New Roman"/>
          <w:szCs w:val="24"/>
          <w:lang w:val="sr-Cyrl-RS"/>
        </w:rPr>
        <w:t>евра</w:t>
      </w:r>
      <w:r w:rsidRPr="00B3123E">
        <w:rPr>
          <w:rFonts w:ascii="Times New Roman" w:hAnsi="Times New Roman" w:cs="Times New Roman"/>
          <w:szCs w:val="24"/>
          <w:lang w:val="sr-Cyrl-RS"/>
        </w:rPr>
        <w:t xml:space="preserve"> (Слика 16.). И овде се </w:t>
      </w:r>
      <w:r w:rsidR="001A6486" w:rsidRPr="00B3123E">
        <w:rPr>
          <w:rFonts w:ascii="Times New Roman" w:hAnsi="Times New Roman" w:cs="Times New Roman"/>
          <w:szCs w:val="24"/>
          <w:lang w:val="sr-Cyrl-RS"/>
        </w:rPr>
        <w:t xml:space="preserve">Република </w:t>
      </w:r>
      <w:r w:rsidRPr="00B3123E">
        <w:rPr>
          <w:rFonts w:ascii="Times New Roman" w:hAnsi="Times New Roman" w:cs="Times New Roman"/>
          <w:szCs w:val="24"/>
          <w:lang w:val="sr-Cyrl-RS"/>
        </w:rPr>
        <w:t>Србија са износом поштарине од 1,71</w:t>
      </w:r>
      <w:r w:rsidR="0010571C" w:rsidRPr="00B3123E">
        <w:rPr>
          <w:rFonts w:ascii="Times New Roman" w:hAnsi="Times New Roman" w:cs="Times New Roman"/>
          <w:szCs w:val="24"/>
          <w:lang w:val="sr-Cyrl-RS"/>
        </w:rPr>
        <w:t xml:space="preserve"> евр</w:t>
      </w:r>
      <w:r w:rsidR="00C53421" w:rsidRPr="00B3123E">
        <w:rPr>
          <w:rFonts w:ascii="Times New Roman" w:hAnsi="Times New Roman" w:cs="Times New Roman"/>
          <w:szCs w:val="24"/>
          <w:lang w:val="sr-Cyrl-RS"/>
        </w:rPr>
        <w:t>о</w:t>
      </w:r>
      <w:r w:rsidRPr="00B3123E">
        <w:rPr>
          <w:rFonts w:ascii="Times New Roman" w:hAnsi="Times New Roman" w:cs="Times New Roman"/>
          <w:szCs w:val="24"/>
          <w:lang w:val="sr-Cyrl-RS"/>
        </w:rPr>
        <w:t xml:space="preserve"> у 2023. години налаз</w:t>
      </w:r>
      <w:r w:rsidR="00620E32" w:rsidRPr="00B3123E">
        <w:rPr>
          <w:rFonts w:ascii="Times New Roman" w:hAnsi="Times New Roman" w:cs="Times New Roman"/>
          <w:szCs w:val="24"/>
          <w:lang w:val="sr-Cyrl-RS"/>
        </w:rPr>
        <w:t>ила</w:t>
      </w:r>
      <w:r w:rsidRPr="00B3123E">
        <w:rPr>
          <w:rFonts w:ascii="Times New Roman" w:hAnsi="Times New Roman" w:cs="Times New Roman"/>
          <w:szCs w:val="24"/>
          <w:lang w:val="sr-Cyrl-RS"/>
        </w:rPr>
        <w:t xml:space="preserve"> у групи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код којих је поштарина значајно испод европског просека.</w:t>
      </w:r>
      <w:r w:rsidRPr="00B3123E">
        <w:rPr>
          <w:rStyle w:val="FootnoteReference"/>
          <w:rFonts w:ascii="Times New Roman" w:hAnsi="Times New Roman" w:cs="Times New Roman"/>
          <w:szCs w:val="24"/>
          <w:lang w:val="sr-Cyrl-RS"/>
        </w:rPr>
        <w:footnoteReference w:id="8"/>
      </w:r>
    </w:p>
    <w:p w14:paraId="7624294F" w14:textId="77777777" w:rsidR="00444492" w:rsidRPr="00B3123E" w:rsidRDefault="00444492" w:rsidP="006D71D7">
      <w:pPr>
        <w:tabs>
          <w:tab w:val="left" w:pos="1440"/>
        </w:tabs>
        <w:spacing w:before="225" w:after="225"/>
        <w:rPr>
          <w:rFonts w:ascii="Times New Roman" w:hAnsi="Times New Roman" w:cs="Times New Roman"/>
          <w:szCs w:val="24"/>
          <w:lang w:val="sr-Cyrl-RS"/>
        </w:rPr>
      </w:pPr>
    </w:p>
    <w:p w14:paraId="6451A6D8" w14:textId="77777777" w:rsidR="00444492" w:rsidRPr="00B3123E" w:rsidRDefault="00444492" w:rsidP="006D71D7">
      <w:pPr>
        <w:tabs>
          <w:tab w:val="left" w:pos="1440"/>
        </w:tabs>
        <w:spacing w:before="225" w:after="225"/>
        <w:rPr>
          <w:rFonts w:ascii="Times New Roman" w:hAnsi="Times New Roman" w:cs="Times New Roman"/>
          <w:szCs w:val="24"/>
          <w:lang w:val="sr-Cyrl-RS"/>
        </w:rPr>
      </w:pPr>
    </w:p>
    <w:p w14:paraId="2B7AA315" w14:textId="77777777" w:rsidR="00444492" w:rsidRPr="00B3123E" w:rsidRDefault="00444492" w:rsidP="006D71D7">
      <w:pPr>
        <w:tabs>
          <w:tab w:val="left" w:pos="1440"/>
        </w:tabs>
        <w:spacing w:before="225" w:after="225"/>
        <w:rPr>
          <w:rFonts w:ascii="Times New Roman" w:hAnsi="Times New Roman" w:cs="Times New Roman"/>
          <w:szCs w:val="24"/>
          <w:lang w:val="sr-Cyrl-RS"/>
        </w:rPr>
      </w:pPr>
    </w:p>
    <w:p w14:paraId="1ACF24B6" w14:textId="77777777" w:rsidR="00444492" w:rsidRPr="00B3123E" w:rsidRDefault="00444492" w:rsidP="006D71D7">
      <w:pPr>
        <w:tabs>
          <w:tab w:val="left" w:pos="1440"/>
        </w:tabs>
        <w:spacing w:before="225" w:after="225"/>
        <w:rPr>
          <w:rFonts w:ascii="Times New Roman" w:hAnsi="Times New Roman" w:cs="Times New Roman"/>
          <w:szCs w:val="24"/>
          <w:lang w:val="sr-Cyrl-RS"/>
        </w:rPr>
      </w:pPr>
    </w:p>
    <w:p w14:paraId="17C029EB" w14:textId="30BD07FC" w:rsidR="00444492" w:rsidRPr="00B3123E" w:rsidRDefault="00444492" w:rsidP="00444492">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16</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Просечна поштарина за пакет до 2 </w:t>
      </w:r>
      <w:r w:rsidR="00A622F1" w:rsidRPr="00B3123E">
        <w:rPr>
          <w:rFonts w:ascii="Times New Roman" w:eastAsiaTheme="minorHAnsi" w:hAnsi="Times New Roman" w:cs="Times New Roman"/>
          <w:b w:val="0"/>
          <w:color w:val="auto"/>
          <w:lang w:val="sr-Cyrl-RS"/>
        </w:rPr>
        <w:t>kg</w:t>
      </w:r>
      <w:r w:rsidRPr="00B3123E">
        <w:rPr>
          <w:rFonts w:ascii="Times New Roman" w:eastAsiaTheme="minorHAnsi" w:hAnsi="Times New Roman" w:cs="Times New Roman"/>
          <w:b w:val="0"/>
          <w:color w:val="auto"/>
          <w:lang w:val="sr-Cyrl-RS"/>
        </w:rPr>
        <w:t xml:space="preserve"> УПС у Европи у 2023.</w:t>
      </w:r>
      <w:r w:rsidR="006C7AD9">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г. (у</w:t>
      </w:r>
      <w:r w:rsidR="003B3DB5" w:rsidRPr="00B3123E">
        <w:rPr>
          <w:rFonts w:ascii="Times New Roman" w:eastAsiaTheme="minorHAnsi" w:hAnsi="Times New Roman" w:cs="Times New Roman"/>
          <w:b w:val="0"/>
          <w:color w:val="auto"/>
          <w:lang w:val="sr-Cyrl-RS"/>
        </w:rPr>
        <w:t xml:space="preserve"> </w:t>
      </w:r>
      <w:r w:rsidR="006C7AD9" w:rsidRPr="000B03CF">
        <w:rPr>
          <w:rFonts w:ascii="Times New Roman" w:hAnsi="Times New Roman" w:cs="Times New Roman"/>
          <w:b w:val="0"/>
          <w:bCs w:val="0"/>
          <w:szCs w:val="24"/>
          <w:lang w:val="sr-Cyrl-RS"/>
        </w:rPr>
        <w:t>евр</w:t>
      </w:r>
      <w:r w:rsidR="000B03CF" w:rsidRPr="000B03CF">
        <w:rPr>
          <w:rFonts w:ascii="Times New Roman" w:hAnsi="Times New Roman" w:cs="Times New Roman"/>
          <w:b w:val="0"/>
          <w:bCs w:val="0"/>
          <w:szCs w:val="24"/>
          <w:lang w:val="sr-Cyrl-RS"/>
        </w:rPr>
        <w:t>има</w:t>
      </w:r>
      <w:r w:rsidRPr="00B3123E">
        <w:rPr>
          <w:rFonts w:ascii="Times New Roman" w:eastAsiaTheme="minorHAnsi" w:hAnsi="Times New Roman" w:cs="Times New Roman"/>
          <w:b w:val="0"/>
          <w:color w:val="auto"/>
          <w:lang w:val="sr-Cyrl-RS"/>
        </w:rPr>
        <w:t xml:space="preserve">) </w:t>
      </w:r>
    </w:p>
    <w:p w14:paraId="4214E101" w14:textId="77777777" w:rsidR="00444492" w:rsidRPr="00B3123E" w:rsidRDefault="00444492" w:rsidP="00444492">
      <w:pPr>
        <w:pBdr>
          <w:top w:val="single" w:sz="8" w:space="1" w:color="0070C0"/>
        </w:pBdr>
        <w:spacing w:after="0"/>
        <w:jc w:val="center"/>
        <w:rPr>
          <w:rFonts w:ascii="Times New Roman" w:hAnsi="Times New Roman" w:cs="Times New Roman"/>
          <w:sz w:val="18"/>
          <w:szCs w:val="18"/>
          <w:lang w:val="sr-Cyrl-RS"/>
        </w:rPr>
      </w:pPr>
      <w:r w:rsidRPr="00B3123E">
        <w:rPr>
          <w:noProof/>
        </w:rPr>
        <w:drawing>
          <wp:inline distT="0" distB="0" distL="0" distR="0" wp14:anchorId="0804A4B3" wp14:editId="352F279E">
            <wp:extent cx="4596168" cy="6911562"/>
            <wp:effectExtent l="0" t="0" r="0" b="3810"/>
            <wp:docPr id="4" name="Chart 4">
              <a:extLst xmlns:a="http://schemas.openxmlformats.org/drawingml/2006/main">
                <a:ext uri="{FF2B5EF4-FFF2-40B4-BE49-F238E27FC236}">
                  <a16:creationId xmlns:a16="http://schemas.microsoft.com/office/drawing/2014/main" id="{00000000-0008-0000-06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608CBE4" w14:textId="177E1D42" w:rsidR="00444492" w:rsidRPr="00B3123E" w:rsidRDefault="00444492" w:rsidP="00444492">
      <w:pPr>
        <w:pBdr>
          <w:top w:val="single" w:sz="8" w:space="1" w:color="0070C0"/>
          <w:left w:val="single" w:sz="4" w:space="4" w:color="auto"/>
        </w:pBdr>
        <w:spacing w:after="0"/>
        <w:jc w:val="left"/>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9B46E9" w:rsidRPr="00B3123E">
        <w:rPr>
          <w:rFonts w:ascii="Times New Roman" w:hAnsi="Times New Roman" w:cs="Times New Roman"/>
          <w:sz w:val="18"/>
          <w:szCs w:val="18"/>
          <w:lang w:val="sr-Cyrl-RS"/>
        </w:rPr>
        <w:t xml:space="preserve">ERGP </w:t>
      </w:r>
      <w:r w:rsidR="00144C3B" w:rsidRPr="00B3123E">
        <w:rPr>
          <w:rFonts w:ascii="Times New Roman" w:hAnsi="Times New Roman" w:cs="Times New Roman"/>
          <w:sz w:val="18"/>
          <w:szCs w:val="18"/>
          <w:lang w:val="sr-Cyrl-RS"/>
        </w:rPr>
        <w:t>(24) 8 - Report on postal core indicators for monitoring the European postal market</w:t>
      </w:r>
    </w:p>
    <w:p w14:paraId="0683DE63" w14:textId="77777777" w:rsidR="004B2269" w:rsidRPr="00B3123E" w:rsidRDefault="004B2269" w:rsidP="004B2269">
      <w:pPr>
        <w:pStyle w:val="Heading3"/>
        <w:jc w:val="left"/>
        <w:rPr>
          <w:rFonts w:ascii="Times New Roman" w:hAnsi="Times New Roman" w:cs="Times New Roman"/>
          <w:b w:val="0"/>
          <w:i w:val="0"/>
          <w:sz w:val="12"/>
          <w:szCs w:val="12"/>
          <w:lang w:val="sr-Cyrl-RS"/>
        </w:rPr>
      </w:pPr>
      <w:bookmarkStart w:id="24" w:name="_Toc211545972"/>
    </w:p>
    <w:p w14:paraId="52159145" w14:textId="48873833" w:rsidR="00711C86" w:rsidRPr="00B3123E" w:rsidRDefault="00711C86" w:rsidP="004B2269">
      <w:pPr>
        <w:pStyle w:val="Heading3"/>
        <w:jc w:val="left"/>
        <w:rPr>
          <w:rFonts w:ascii="Times New Roman" w:hAnsi="Times New Roman" w:cs="Times New Roman"/>
          <w:b w:val="0"/>
          <w:i w:val="0"/>
          <w:u w:val="single"/>
          <w:lang w:val="sr-Cyrl-RS"/>
        </w:rPr>
      </w:pPr>
      <w:r w:rsidRPr="00B3123E">
        <w:rPr>
          <w:rFonts w:ascii="Times New Roman" w:hAnsi="Times New Roman" w:cs="Times New Roman"/>
          <w:b w:val="0"/>
          <w:i w:val="0"/>
          <w:u w:val="single"/>
          <w:lang w:val="sr-Cyrl-RS"/>
        </w:rPr>
        <w:t>Структура тржишта</w:t>
      </w:r>
      <w:bookmarkEnd w:id="24"/>
    </w:p>
    <w:p w14:paraId="2072F55C" w14:textId="77777777" w:rsidR="00061165" w:rsidRPr="00B3123E" w:rsidRDefault="00061165" w:rsidP="00061165">
      <w:pPr>
        <w:rPr>
          <w:sz w:val="12"/>
          <w:szCs w:val="12"/>
          <w:lang w:val="sr-Cyrl-RS"/>
        </w:rPr>
      </w:pPr>
    </w:p>
    <w:p w14:paraId="753B9679" w14:textId="5AA6E3F3" w:rsidR="00D02445" w:rsidRPr="00B3123E" w:rsidRDefault="00D02445" w:rsidP="0020572D">
      <w:pPr>
        <w:tabs>
          <w:tab w:val="left" w:pos="709"/>
        </w:tabs>
        <w:ind w:firstLine="709"/>
        <w:rPr>
          <w:rFonts w:ascii="Times New Roman" w:hAnsi="Times New Roman" w:cs="Times New Roman"/>
          <w:szCs w:val="24"/>
          <w:lang w:val="sr-Cyrl-RS"/>
        </w:rPr>
      </w:pPr>
      <w:r w:rsidRPr="00B3123E">
        <w:rPr>
          <w:rFonts w:ascii="Times New Roman" w:hAnsi="Times New Roman" w:cs="Times New Roman"/>
          <w:szCs w:val="24"/>
          <w:lang w:val="sr-Cyrl-RS"/>
        </w:rPr>
        <w:tab/>
      </w:r>
      <w:r w:rsidR="009B19F9" w:rsidRPr="00B3123E">
        <w:rPr>
          <w:rFonts w:ascii="Times New Roman" w:hAnsi="Times New Roman" w:cs="Times New Roman"/>
          <w:szCs w:val="24"/>
          <w:lang w:val="sr-Cyrl-RS"/>
        </w:rPr>
        <w:t>На основу података Р</w:t>
      </w:r>
      <w:r w:rsidR="00F73DC0" w:rsidRPr="00B3123E">
        <w:rPr>
          <w:rFonts w:ascii="Times New Roman" w:hAnsi="Times New Roman" w:cs="Times New Roman"/>
          <w:szCs w:val="24"/>
          <w:lang w:val="sr-Cyrl-RS"/>
        </w:rPr>
        <w:t>егулатора</w:t>
      </w:r>
      <w:r w:rsidR="009B19F9" w:rsidRPr="00B3123E">
        <w:rPr>
          <w:rFonts w:ascii="Times New Roman" w:hAnsi="Times New Roman" w:cs="Times New Roman"/>
          <w:szCs w:val="24"/>
          <w:lang w:val="sr-Cyrl-RS"/>
        </w:rPr>
        <w:t xml:space="preserve"> из Регистра издатих и одузетих дозвола поштанским операторима, на крају 2024. године, 62 поштанска оператора имала су активан статус, док су </w:t>
      </w:r>
      <w:r w:rsidR="00633C54" w:rsidRPr="00B3123E">
        <w:rPr>
          <w:rFonts w:ascii="Times New Roman" w:hAnsi="Times New Roman" w:cs="Times New Roman"/>
          <w:szCs w:val="24"/>
          <w:lang w:val="sr-Cyrl-RS"/>
        </w:rPr>
        <w:t>два</w:t>
      </w:r>
      <w:r w:rsidR="009B19F9" w:rsidRPr="00B3123E">
        <w:rPr>
          <w:rFonts w:ascii="Times New Roman" w:hAnsi="Times New Roman" w:cs="Times New Roman"/>
          <w:szCs w:val="24"/>
          <w:lang w:val="sr-Cyrl-RS"/>
        </w:rPr>
        <w:t xml:space="preserve"> поштанска оператора у том тренутку била у привременом </w:t>
      </w:r>
      <w:r w:rsidR="009B19F9" w:rsidRPr="00B3123E">
        <w:rPr>
          <w:rFonts w:ascii="Times New Roman" w:hAnsi="Times New Roman" w:cs="Times New Roman"/>
          <w:szCs w:val="24"/>
          <w:lang w:val="sr-Cyrl-RS"/>
        </w:rPr>
        <w:lastRenderedPageBreak/>
        <w:t xml:space="preserve">прекиду обављања поштанске делатности. </w:t>
      </w:r>
      <w:r w:rsidR="00277D61" w:rsidRPr="00B3123E">
        <w:rPr>
          <w:rFonts w:ascii="Times New Roman" w:hAnsi="Times New Roman" w:cs="Times New Roman"/>
          <w:szCs w:val="24"/>
          <w:lang w:val="sr-Cyrl-RS"/>
        </w:rPr>
        <w:t>Поштанске услуге у Републици Србији</w:t>
      </w:r>
      <w:r w:rsidR="00F73DC0"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током 2024. године обављала су 43 поштанска оператора</w:t>
      </w:r>
      <w:r w:rsidR="00633C5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 то:</w:t>
      </w:r>
      <w:r w:rsidRPr="00B3123E">
        <w:rPr>
          <w:vertAlign w:val="superscript"/>
          <w:lang w:val="sr-Cyrl-RS"/>
        </w:rPr>
        <w:footnoteReference w:id="9"/>
      </w:r>
    </w:p>
    <w:p w14:paraId="0A0887D0" w14:textId="7611CE97" w:rsidR="00D02445" w:rsidRPr="00B3123E" w:rsidRDefault="000D25E9" w:rsidP="0020572D">
      <w:pPr>
        <w:pStyle w:val="ListParagraph"/>
        <w:numPr>
          <w:ilvl w:val="0"/>
          <w:numId w:val="22"/>
        </w:numPr>
        <w:tabs>
          <w:tab w:val="left" w:pos="851"/>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ЈПО</w:t>
      </w:r>
      <w:r w:rsidR="00373654" w:rsidRPr="00B3123E">
        <w:rPr>
          <w:rFonts w:ascii="Times New Roman" w:hAnsi="Times New Roman" w:cs="Times New Roman"/>
          <w:szCs w:val="24"/>
          <w:lang w:val="sr-Cyrl-RS"/>
        </w:rPr>
        <w:t xml:space="preserve"> </w:t>
      </w:r>
      <w:r w:rsidR="00D02445" w:rsidRPr="00B3123E">
        <w:rPr>
          <w:rFonts w:ascii="Times New Roman" w:hAnsi="Times New Roman" w:cs="Times New Roman"/>
          <w:szCs w:val="24"/>
          <w:lang w:val="sr-Cyrl-RS"/>
        </w:rPr>
        <w:t xml:space="preserve">поседује посебну лиценцу за пружање </w:t>
      </w:r>
      <w:r w:rsidR="0066597F" w:rsidRPr="00B3123E">
        <w:rPr>
          <w:rFonts w:ascii="Times New Roman" w:hAnsi="Times New Roman" w:cs="Times New Roman"/>
          <w:szCs w:val="24"/>
          <w:lang w:val="sr-Cyrl-RS"/>
        </w:rPr>
        <w:t>УПУ</w:t>
      </w:r>
      <w:r w:rsidR="00D02445" w:rsidRPr="00B3123E">
        <w:rPr>
          <w:rFonts w:ascii="Times New Roman" w:hAnsi="Times New Roman" w:cs="Times New Roman"/>
          <w:szCs w:val="24"/>
          <w:lang w:val="sr-Cyrl-RS"/>
        </w:rPr>
        <w:t xml:space="preserve">, уз право обављања резервисаних поштанских услуга. </w:t>
      </w:r>
      <w:r w:rsidRPr="00B3123E">
        <w:rPr>
          <w:rFonts w:ascii="Times New Roman" w:hAnsi="Times New Roman" w:cs="Times New Roman"/>
          <w:szCs w:val="24"/>
          <w:lang w:val="sr-Cyrl-RS"/>
        </w:rPr>
        <w:t xml:space="preserve">ЈПО </w:t>
      </w:r>
      <w:r w:rsidR="00D02445" w:rsidRPr="00B3123E">
        <w:rPr>
          <w:rFonts w:ascii="Times New Roman" w:hAnsi="Times New Roman" w:cs="Times New Roman"/>
          <w:szCs w:val="24"/>
          <w:lang w:val="sr-Cyrl-RS"/>
        </w:rPr>
        <w:t>је и оператор поштанских</w:t>
      </w:r>
      <w:r w:rsidR="0027179F" w:rsidRPr="00B3123E">
        <w:rPr>
          <w:rFonts w:ascii="Times New Roman" w:hAnsi="Times New Roman" w:cs="Times New Roman"/>
          <w:szCs w:val="24"/>
          <w:lang w:val="sr-Cyrl-RS"/>
        </w:rPr>
        <w:t xml:space="preserve"> </w:t>
      </w:r>
      <w:r w:rsidR="00D02445" w:rsidRPr="00B3123E">
        <w:rPr>
          <w:rFonts w:ascii="Times New Roman" w:hAnsi="Times New Roman" w:cs="Times New Roman"/>
          <w:szCs w:val="24"/>
          <w:lang w:val="sr-Cyrl-RS"/>
        </w:rPr>
        <w:t xml:space="preserve">услуга изван опсега </w:t>
      </w:r>
      <w:r w:rsidR="0066597F" w:rsidRPr="00B3123E">
        <w:rPr>
          <w:rFonts w:ascii="Times New Roman" w:hAnsi="Times New Roman" w:cs="Times New Roman"/>
          <w:szCs w:val="24"/>
          <w:lang w:val="sr-Cyrl-RS"/>
        </w:rPr>
        <w:t>УПУ</w:t>
      </w:r>
      <w:r w:rsidR="0020572D" w:rsidRPr="00B3123E">
        <w:rPr>
          <w:rFonts w:ascii="Times New Roman" w:hAnsi="Times New Roman" w:cs="Times New Roman"/>
          <w:szCs w:val="24"/>
          <w:lang w:val="sr-Cyrl-RS"/>
        </w:rPr>
        <w:t>;</w:t>
      </w:r>
    </w:p>
    <w:p w14:paraId="044EE0C0" w14:textId="77777777" w:rsidR="00D02445" w:rsidRPr="00B3123E" w:rsidRDefault="00D02445" w:rsidP="0020572D">
      <w:pPr>
        <w:pStyle w:val="ListParagraph"/>
        <w:numPr>
          <w:ilvl w:val="0"/>
          <w:numId w:val="22"/>
        </w:numPr>
        <w:tabs>
          <w:tab w:val="left" w:pos="851"/>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Поштански оператори који поседују одобрења за обављање поштанских услуга.</w:t>
      </w:r>
    </w:p>
    <w:p w14:paraId="6110E357" w14:textId="56CF85F8" w:rsidR="002561D3" w:rsidRPr="00B3123E" w:rsidRDefault="002561D3"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Сви поштански оператори се, на основу услуга и територије на којој пружају услуге могу сврстати у неколико група</w:t>
      </w:r>
      <w:r w:rsidR="00BC088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(Табела 1.)</w:t>
      </w:r>
      <w:r w:rsidR="00BC088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Поред наведеног броја активних оператора, постоје још </w:t>
      </w:r>
      <w:r w:rsidR="00633C54" w:rsidRPr="00B3123E">
        <w:rPr>
          <w:rFonts w:ascii="Times New Roman" w:hAnsi="Times New Roman" w:cs="Times New Roman"/>
          <w:szCs w:val="24"/>
          <w:lang w:val="sr-Cyrl-RS"/>
        </w:rPr>
        <w:t>два</w:t>
      </w:r>
      <w:r w:rsidRPr="00B3123E">
        <w:rPr>
          <w:rFonts w:ascii="Times New Roman" w:hAnsi="Times New Roman" w:cs="Times New Roman"/>
          <w:szCs w:val="24"/>
          <w:lang w:val="sr-Cyrl-RS"/>
        </w:rPr>
        <w:t xml:space="preserve"> оператора који имају дозволу али су у статусу прекида обављања делатности.</w:t>
      </w:r>
    </w:p>
    <w:p w14:paraId="5FEE6648"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57D6C4A7" w14:textId="58912F11" w:rsidR="00D02445" w:rsidRPr="00B3123E" w:rsidRDefault="00D02445" w:rsidP="00D02445">
      <w:pPr>
        <w:pStyle w:val="Caption"/>
        <w:spacing w:before="240" w:after="0"/>
        <w:rPr>
          <w:rFonts w:ascii="Times New Roman" w:hAnsi="Times New Roman" w:cs="Times New Roman"/>
          <w:b w:val="0"/>
          <w:color w:val="auto"/>
          <w:lang w:val="sr-Cyrl-RS"/>
        </w:rPr>
      </w:pPr>
      <w:r w:rsidRPr="00B3123E">
        <w:rPr>
          <w:rFonts w:ascii="Times New Roman" w:hAnsi="Times New Roman" w:cs="Times New Roman"/>
          <w:color w:val="auto"/>
          <w:lang w:val="sr-Cyrl-RS"/>
        </w:rPr>
        <w:t xml:space="preserve">Табела </w:t>
      </w:r>
      <w:r w:rsidR="004210E1" w:rsidRPr="00B3123E">
        <w:rPr>
          <w:rFonts w:ascii="Times New Roman" w:hAnsi="Times New Roman" w:cs="Times New Roman"/>
          <w:color w:val="auto"/>
          <w:lang w:val="sr-Cyrl-RS"/>
        </w:rPr>
        <w:fldChar w:fldCharType="begin"/>
      </w:r>
      <w:r w:rsidRPr="00B3123E">
        <w:rPr>
          <w:rFonts w:ascii="Times New Roman" w:hAnsi="Times New Roman" w:cs="Times New Roman"/>
          <w:color w:val="auto"/>
          <w:lang w:val="sr-Cyrl-RS"/>
        </w:rPr>
        <w:instrText xml:space="preserve"> SEQ Табела \* ARABIC \s 1 </w:instrText>
      </w:r>
      <w:r w:rsidR="004210E1" w:rsidRPr="00B3123E">
        <w:rPr>
          <w:rFonts w:ascii="Times New Roman" w:hAnsi="Times New Roman" w:cs="Times New Roman"/>
          <w:color w:val="auto"/>
          <w:lang w:val="sr-Cyrl-RS"/>
        </w:rPr>
        <w:fldChar w:fldCharType="separate"/>
      </w:r>
      <w:r w:rsidR="00E52AA0" w:rsidRPr="00B3123E">
        <w:rPr>
          <w:rFonts w:ascii="Times New Roman" w:hAnsi="Times New Roman" w:cs="Times New Roman"/>
          <w:noProof/>
          <w:color w:val="auto"/>
          <w:lang w:val="sr-Cyrl-RS"/>
        </w:rPr>
        <w:t>1</w:t>
      </w:r>
      <w:r w:rsidR="004210E1" w:rsidRPr="00B3123E">
        <w:rPr>
          <w:rFonts w:ascii="Times New Roman" w:hAnsi="Times New Roman" w:cs="Times New Roman"/>
          <w:color w:val="auto"/>
          <w:lang w:val="sr-Cyrl-RS"/>
        </w:rPr>
        <w:fldChar w:fldCharType="end"/>
      </w:r>
      <w:r w:rsidRPr="00B3123E">
        <w:rPr>
          <w:rFonts w:ascii="Times New Roman" w:hAnsi="Times New Roman" w:cs="Times New Roman"/>
          <w:color w:val="auto"/>
          <w:lang w:val="sr-Cyrl-RS"/>
        </w:rPr>
        <w:t>.</w:t>
      </w:r>
      <w:r w:rsidR="00144C3B"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Преглед броја поштанских оператора у Републици Србији према</w:t>
      </w:r>
      <w:r w:rsidR="009B19F9" w:rsidRPr="00B3123E">
        <w:rPr>
          <w:rFonts w:ascii="Times New Roman" w:hAnsi="Times New Roman" w:cs="Times New Roman"/>
          <w:b w:val="0"/>
          <w:color w:val="auto"/>
          <w:lang w:val="sr-Cyrl-RS"/>
        </w:rPr>
        <w:t xml:space="preserve"> територији и </w:t>
      </w:r>
      <w:r w:rsidRPr="00B3123E">
        <w:rPr>
          <w:rFonts w:ascii="Times New Roman" w:hAnsi="Times New Roman" w:cs="Times New Roman"/>
          <w:b w:val="0"/>
          <w:color w:val="auto"/>
          <w:lang w:val="sr-Cyrl-RS"/>
        </w:rPr>
        <w:t>врстама услуга</w:t>
      </w:r>
    </w:p>
    <w:tbl>
      <w:tblPr>
        <w:tblStyle w:val="TableGrid"/>
        <w:tblW w:w="9214" w:type="dxa"/>
        <w:tblBorders>
          <w:top w:val="single" w:sz="6" w:space="0" w:color="C00000"/>
          <w:left w:val="none" w:sz="0" w:space="0" w:color="auto"/>
          <w:bottom w:val="single" w:sz="6" w:space="0" w:color="C00000"/>
          <w:right w:val="none" w:sz="0" w:space="0" w:color="auto"/>
          <w:insideH w:val="none" w:sz="0" w:space="0" w:color="auto"/>
        </w:tblBorders>
        <w:tblLook w:val="04A0" w:firstRow="1" w:lastRow="0" w:firstColumn="1" w:lastColumn="0" w:noHBand="0" w:noVBand="1"/>
      </w:tblPr>
      <w:tblGrid>
        <w:gridCol w:w="5245"/>
        <w:gridCol w:w="3969"/>
      </w:tblGrid>
      <w:tr w:rsidR="005A2589" w:rsidRPr="00B3123E" w14:paraId="26D4F012" w14:textId="77777777" w:rsidTr="00577746">
        <w:trPr>
          <w:trHeight w:val="318"/>
        </w:trPr>
        <w:tc>
          <w:tcPr>
            <w:tcW w:w="5245" w:type="dxa"/>
            <w:tcBorders>
              <w:top w:val="single" w:sz="6" w:space="0" w:color="C00000"/>
              <w:bottom w:val="single" w:sz="6" w:space="0" w:color="C00000"/>
              <w:right w:val="nil"/>
            </w:tcBorders>
            <w:shd w:val="clear" w:color="auto" w:fill="44546A" w:themeFill="text2"/>
            <w:vAlign w:val="center"/>
          </w:tcPr>
          <w:p w14:paraId="6543151B" w14:textId="77777777" w:rsidR="00D02445" w:rsidRPr="00B3123E" w:rsidRDefault="00D02445" w:rsidP="00F972B3">
            <w:pPr>
              <w:rPr>
                <w:rFonts w:asciiTheme="minorHAnsi" w:hAnsiTheme="minorHAnsi" w:cstheme="minorHAnsi"/>
                <w:b/>
                <w:color w:val="FFFFFF" w:themeColor="background1"/>
                <w:sz w:val="20"/>
                <w:szCs w:val="20"/>
                <w:lang w:val="sr-Cyrl-RS"/>
              </w:rPr>
            </w:pPr>
            <w:r w:rsidRPr="00B3123E">
              <w:rPr>
                <w:rFonts w:asciiTheme="minorHAnsi" w:hAnsiTheme="minorHAnsi" w:cstheme="minorHAnsi"/>
                <w:b/>
                <w:color w:val="FFFFFF" w:themeColor="background1"/>
                <w:sz w:val="20"/>
                <w:szCs w:val="20"/>
                <w:lang w:val="sr-Cyrl-RS"/>
              </w:rPr>
              <w:t>Врста услуге</w:t>
            </w:r>
          </w:p>
        </w:tc>
        <w:tc>
          <w:tcPr>
            <w:tcW w:w="3969" w:type="dxa"/>
            <w:tcBorders>
              <w:top w:val="single" w:sz="6" w:space="0" w:color="C00000"/>
              <w:left w:val="nil"/>
              <w:bottom w:val="single" w:sz="6" w:space="0" w:color="C00000"/>
            </w:tcBorders>
            <w:shd w:val="clear" w:color="auto" w:fill="44546A" w:themeFill="text2"/>
            <w:vAlign w:val="center"/>
          </w:tcPr>
          <w:p w14:paraId="598D8FDD" w14:textId="77777777" w:rsidR="00D02445" w:rsidRPr="00B3123E" w:rsidRDefault="00D02445" w:rsidP="00F972B3">
            <w:pPr>
              <w:rPr>
                <w:rFonts w:asciiTheme="minorHAnsi" w:hAnsiTheme="minorHAnsi" w:cstheme="minorHAnsi"/>
                <w:b/>
                <w:color w:val="FFFFFF" w:themeColor="background1"/>
                <w:sz w:val="20"/>
                <w:szCs w:val="20"/>
                <w:lang w:val="sr-Cyrl-RS"/>
              </w:rPr>
            </w:pPr>
            <w:r w:rsidRPr="00B3123E">
              <w:rPr>
                <w:rFonts w:asciiTheme="minorHAnsi" w:hAnsiTheme="minorHAnsi" w:cstheme="minorHAnsi"/>
                <w:b/>
                <w:color w:val="FFFFFF" w:themeColor="background1"/>
                <w:sz w:val="20"/>
                <w:szCs w:val="20"/>
                <w:lang w:val="sr-Cyrl-RS"/>
              </w:rPr>
              <w:t>Број оператора који пружају услугу</w:t>
            </w:r>
          </w:p>
        </w:tc>
      </w:tr>
      <w:tr w:rsidR="005A2589" w:rsidRPr="00B3123E" w14:paraId="1513809C" w14:textId="77777777" w:rsidTr="00577746">
        <w:trPr>
          <w:trHeight w:val="329"/>
        </w:trPr>
        <w:tc>
          <w:tcPr>
            <w:tcW w:w="5245" w:type="dxa"/>
            <w:tcBorders>
              <w:top w:val="single" w:sz="6" w:space="0" w:color="C00000"/>
              <w:bottom w:val="dotted" w:sz="4" w:space="0" w:color="auto"/>
              <w:right w:val="nil"/>
            </w:tcBorders>
            <w:vAlign w:val="center"/>
          </w:tcPr>
          <w:p w14:paraId="520AB3C3" w14:textId="77777777" w:rsidR="00D02445" w:rsidRPr="00B3123E" w:rsidRDefault="00D02445" w:rsidP="00577746">
            <w:pPr>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Универзална поштанска услуга</w:t>
            </w:r>
          </w:p>
        </w:tc>
        <w:tc>
          <w:tcPr>
            <w:tcW w:w="3969" w:type="dxa"/>
            <w:tcBorders>
              <w:top w:val="single" w:sz="6" w:space="0" w:color="C00000"/>
              <w:left w:val="nil"/>
              <w:bottom w:val="dotted" w:sz="4" w:space="0" w:color="auto"/>
            </w:tcBorders>
            <w:vAlign w:val="center"/>
          </w:tcPr>
          <w:p w14:paraId="7F9F15C7" w14:textId="77777777" w:rsidR="00D02445" w:rsidRPr="00B3123E" w:rsidRDefault="00D02445" w:rsidP="00577746">
            <w:pPr>
              <w:ind w:left="741"/>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1 оператор</w:t>
            </w:r>
          </w:p>
        </w:tc>
      </w:tr>
      <w:tr w:rsidR="005A2589" w:rsidRPr="00B3123E" w14:paraId="352E5C59" w14:textId="77777777" w:rsidTr="00577746">
        <w:trPr>
          <w:trHeight w:val="329"/>
        </w:trPr>
        <w:tc>
          <w:tcPr>
            <w:tcW w:w="5245" w:type="dxa"/>
            <w:tcBorders>
              <w:top w:val="dotted" w:sz="4" w:space="0" w:color="auto"/>
              <w:bottom w:val="nil"/>
              <w:right w:val="nil"/>
            </w:tcBorders>
            <w:shd w:val="clear" w:color="auto" w:fill="D5DCE4" w:themeFill="text2" w:themeFillTint="33"/>
            <w:vAlign w:val="center"/>
          </w:tcPr>
          <w:p w14:paraId="2839AA54" w14:textId="77777777" w:rsidR="00D02445" w:rsidRPr="00B3123E" w:rsidRDefault="00D02445" w:rsidP="00577746">
            <w:pPr>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Поштанске услуге у унутрашњем поштанском саобраћају</w:t>
            </w:r>
          </w:p>
        </w:tc>
        <w:tc>
          <w:tcPr>
            <w:tcW w:w="3969" w:type="dxa"/>
            <w:tcBorders>
              <w:top w:val="nil"/>
              <w:left w:val="nil"/>
              <w:bottom w:val="dotted" w:sz="4" w:space="0" w:color="auto"/>
            </w:tcBorders>
            <w:shd w:val="clear" w:color="auto" w:fill="D5DCE4" w:themeFill="text2" w:themeFillTint="33"/>
            <w:vAlign w:val="center"/>
          </w:tcPr>
          <w:p w14:paraId="47482132" w14:textId="77777777" w:rsidR="00D02445" w:rsidRPr="00B3123E" w:rsidRDefault="00D02445" w:rsidP="00577746">
            <w:pPr>
              <w:ind w:left="741"/>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19 оператора</w:t>
            </w:r>
          </w:p>
        </w:tc>
      </w:tr>
      <w:tr w:rsidR="005A2589" w:rsidRPr="00B3123E" w14:paraId="7187607D" w14:textId="77777777" w:rsidTr="00577746">
        <w:trPr>
          <w:trHeight w:val="329"/>
        </w:trPr>
        <w:tc>
          <w:tcPr>
            <w:tcW w:w="5245" w:type="dxa"/>
            <w:tcBorders>
              <w:top w:val="dotted" w:sz="4" w:space="0" w:color="auto"/>
              <w:bottom w:val="dotted" w:sz="4" w:space="0" w:color="auto"/>
              <w:right w:val="nil"/>
            </w:tcBorders>
            <w:vAlign w:val="center"/>
          </w:tcPr>
          <w:p w14:paraId="4E998C5C" w14:textId="77777777" w:rsidR="00D02445" w:rsidRPr="00B3123E" w:rsidRDefault="00D02445" w:rsidP="00577746">
            <w:pPr>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Поштанске услуге у међународном поштанском саобраћају</w:t>
            </w:r>
          </w:p>
        </w:tc>
        <w:tc>
          <w:tcPr>
            <w:tcW w:w="3969" w:type="dxa"/>
            <w:tcBorders>
              <w:top w:val="dotted" w:sz="4" w:space="0" w:color="auto"/>
              <w:left w:val="nil"/>
              <w:bottom w:val="dotted" w:sz="4" w:space="0" w:color="auto"/>
            </w:tcBorders>
            <w:vAlign w:val="center"/>
          </w:tcPr>
          <w:p w14:paraId="73AA90F1" w14:textId="0C1EA762" w:rsidR="00D02445" w:rsidRPr="00B3123E" w:rsidRDefault="00D02445" w:rsidP="00577746">
            <w:pPr>
              <w:ind w:left="741"/>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11 </w:t>
            </w:r>
            <w:r w:rsidR="001058D5" w:rsidRPr="00B3123E">
              <w:rPr>
                <w:rFonts w:asciiTheme="minorHAnsi" w:hAnsiTheme="minorHAnsi" w:cstheme="minorHAnsi"/>
                <w:sz w:val="20"/>
                <w:szCs w:val="20"/>
                <w:lang w:val="sr-Cyrl-RS"/>
              </w:rPr>
              <w:t>оператора</w:t>
            </w:r>
          </w:p>
        </w:tc>
      </w:tr>
      <w:tr w:rsidR="005A2589" w:rsidRPr="00B3123E" w14:paraId="72706834" w14:textId="77777777" w:rsidTr="00577746">
        <w:trPr>
          <w:trHeight w:val="329"/>
        </w:trPr>
        <w:tc>
          <w:tcPr>
            <w:tcW w:w="5245" w:type="dxa"/>
            <w:tcBorders>
              <w:top w:val="dotted" w:sz="4" w:space="0" w:color="auto"/>
              <w:bottom w:val="dotted" w:sz="4" w:space="0" w:color="auto"/>
              <w:right w:val="nil"/>
            </w:tcBorders>
            <w:shd w:val="clear" w:color="auto" w:fill="D5DCE4" w:themeFill="text2" w:themeFillTint="33"/>
            <w:vAlign w:val="center"/>
          </w:tcPr>
          <w:p w14:paraId="718D8DD3" w14:textId="77777777" w:rsidR="00D02445" w:rsidRPr="00B3123E" w:rsidRDefault="00D02445" w:rsidP="00577746">
            <w:pPr>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Курирске услуге</w:t>
            </w:r>
          </w:p>
        </w:tc>
        <w:tc>
          <w:tcPr>
            <w:tcW w:w="3969" w:type="dxa"/>
            <w:tcBorders>
              <w:top w:val="dotted" w:sz="4" w:space="0" w:color="auto"/>
              <w:left w:val="nil"/>
              <w:bottom w:val="dotted" w:sz="4" w:space="0" w:color="auto"/>
            </w:tcBorders>
            <w:shd w:val="clear" w:color="auto" w:fill="D5DCE4" w:themeFill="text2" w:themeFillTint="33"/>
            <w:vAlign w:val="center"/>
          </w:tcPr>
          <w:p w14:paraId="5E86BF94" w14:textId="77777777" w:rsidR="00D02445" w:rsidRPr="00B3123E" w:rsidRDefault="00D02445" w:rsidP="00577746">
            <w:pPr>
              <w:ind w:left="741"/>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21 оператор </w:t>
            </w:r>
          </w:p>
        </w:tc>
      </w:tr>
    </w:tbl>
    <w:p w14:paraId="5D5A921E" w14:textId="77777777" w:rsidR="00D02445" w:rsidRPr="00B3123E" w:rsidRDefault="00D02445" w:rsidP="00D02445">
      <w:pPr>
        <w:pBdr>
          <w:top w:val="single" w:sz="8" w:space="1" w:color="C00000"/>
        </w:pBdr>
        <w:spacing w:after="0"/>
        <w:rPr>
          <w:rFonts w:ascii="Times New Roman" w:hAnsi="Times New Roman" w:cs="Times New Roman"/>
          <w:sz w:val="22"/>
          <w:lang w:val="sr-Cyrl-RS"/>
        </w:rPr>
      </w:pPr>
      <w:r w:rsidRPr="00B3123E">
        <w:rPr>
          <w:rFonts w:ascii="Times New Roman" w:hAnsi="Times New Roman" w:cs="Times New Roman"/>
          <w:sz w:val="18"/>
          <w:szCs w:val="18"/>
          <w:lang w:val="sr-Cyrl-RS"/>
        </w:rPr>
        <w:t>Извор: РАТЕЛ: Преглед тржишта телекомуникација и поштанских услуга у Републици Србији у 2024. години</w:t>
      </w:r>
    </w:p>
    <w:p w14:paraId="76A47338"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1DE521E2" w14:textId="66BDB2F6" w:rsidR="00D02445" w:rsidRPr="00B3123E" w:rsidRDefault="00D02445"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 периоду од 2015. до 2024. године у Републици Србији дошло је до повећања броја активних поштанских оператора. Највећи број активних оператора (</w:t>
      </w:r>
      <w:r w:rsidR="00D07F2E" w:rsidRPr="00B3123E">
        <w:rPr>
          <w:rFonts w:ascii="Times New Roman" w:hAnsi="Times New Roman" w:cs="Times New Roman"/>
          <w:szCs w:val="24"/>
          <w:lang w:val="sr-Cyrl-RS"/>
        </w:rPr>
        <w:t>50</w:t>
      </w:r>
      <w:r w:rsidRPr="00B3123E">
        <w:rPr>
          <w:rFonts w:ascii="Times New Roman" w:hAnsi="Times New Roman" w:cs="Times New Roman"/>
          <w:szCs w:val="24"/>
          <w:lang w:val="sr-Cyrl-RS"/>
        </w:rPr>
        <w:t xml:space="preserve">) био је у периоду од 2017. до 2019. године (Слика 17.). Током 2020. године, након истека рока важења од 10 година, престале су да важе дозволе извесног броја поштанских оператора, од којих поједини нису поново поднели захтев за издавање нове дозволе, услед престанка обављања поштанске делатности. </w:t>
      </w:r>
      <w:r w:rsidR="00A51C8D" w:rsidRPr="00B3123E">
        <w:rPr>
          <w:rFonts w:ascii="Times New Roman" w:hAnsi="Times New Roman" w:cs="Times New Roman"/>
          <w:szCs w:val="24"/>
          <w:lang w:val="sr-Cyrl-RS"/>
        </w:rPr>
        <w:t>Такође, смањени број оператора</w:t>
      </w:r>
      <w:r w:rsidRPr="00B3123E">
        <w:rPr>
          <w:rFonts w:ascii="Times New Roman" w:hAnsi="Times New Roman" w:cs="Times New Roman"/>
          <w:szCs w:val="24"/>
          <w:lang w:val="sr-Cyrl-RS"/>
        </w:rPr>
        <w:t xml:space="preserve"> у највећој мери, је последица поремећаја на тржишту изазваних пандемијом </w:t>
      </w:r>
      <w:r w:rsidRPr="00B3123E">
        <w:rPr>
          <w:rFonts w:ascii="Times New Roman" w:hAnsi="Times New Roman" w:cs="Times New Roman"/>
          <w:iCs/>
          <w:szCs w:val="24"/>
          <w:lang w:val="sr-Cyrl-RS"/>
        </w:rPr>
        <w:t>COVID</w:t>
      </w:r>
      <w:r w:rsidRPr="00B3123E">
        <w:rPr>
          <w:rFonts w:ascii="Times New Roman" w:hAnsi="Times New Roman" w:cs="Times New Roman"/>
          <w:szCs w:val="24"/>
          <w:lang w:val="sr-Cyrl-RS"/>
        </w:rPr>
        <w:t xml:space="preserve">-19 на глобални поштански систем. У 2024. години број активних поштанских оператора у Републици Србији био је већи за </w:t>
      </w:r>
      <w:r w:rsidR="00A622F1" w:rsidRPr="00B3123E">
        <w:rPr>
          <w:rFonts w:ascii="Times New Roman" w:hAnsi="Times New Roman" w:cs="Times New Roman"/>
          <w:szCs w:val="24"/>
          <w:lang w:val="sr-Cyrl-RS"/>
        </w:rPr>
        <w:t>седам</w:t>
      </w:r>
      <w:r w:rsidRPr="00B3123E">
        <w:rPr>
          <w:rFonts w:ascii="Times New Roman" w:hAnsi="Times New Roman" w:cs="Times New Roman"/>
          <w:szCs w:val="24"/>
          <w:lang w:val="sr-Cyrl-RS"/>
        </w:rPr>
        <w:t xml:space="preserve"> (19%) у поређењу са 2015. годином.</w:t>
      </w:r>
    </w:p>
    <w:p w14:paraId="7A519C5C" w14:textId="77777777" w:rsidR="00D02445" w:rsidRPr="00B3123E" w:rsidRDefault="00D02445" w:rsidP="00D02445">
      <w:pPr>
        <w:rPr>
          <w:highlight w:val="cyan"/>
          <w:lang w:val="sr-Cyrl-RS"/>
        </w:rPr>
      </w:pPr>
    </w:p>
    <w:p w14:paraId="27E87DA5" w14:textId="77777777" w:rsidR="00D02445" w:rsidRPr="00B3123E" w:rsidRDefault="00D02445" w:rsidP="00D02445">
      <w:pPr>
        <w:rPr>
          <w:highlight w:val="cyan"/>
          <w:lang w:val="sr-Cyrl-RS"/>
        </w:rPr>
      </w:pPr>
    </w:p>
    <w:p w14:paraId="1D28DF1C" w14:textId="77777777" w:rsidR="00D02445" w:rsidRPr="00B3123E" w:rsidRDefault="00D02445" w:rsidP="00D02445">
      <w:pPr>
        <w:rPr>
          <w:highlight w:val="cyan"/>
          <w:lang w:val="sr-Cyrl-RS"/>
        </w:rPr>
      </w:pPr>
    </w:p>
    <w:p w14:paraId="69EEE133" w14:textId="3B951A22" w:rsidR="00D02445" w:rsidRPr="00B3123E" w:rsidRDefault="00D02445" w:rsidP="00334040">
      <w:pPr>
        <w:pStyle w:val="Caption"/>
        <w:keepNext/>
        <w:pBdr>
          <w:bottom w:val="single" w:sz="8" w:space="1" w:color="0070C0"/>
        </w:pBdr>
        <w:spacing w:after="0"/>
        <w:jc w:val="both"/>
        <w:rPr>
          <w:rFonts w:ascii="Times New Roman" w:eastAsiaTheme="minorHAnsi" w:hAnsi="Times New Roman" w:cs="Times New Roman"/>
          <w:b w:val="0"/>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17</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Број активних поштанских оператора у </w:t>
      </w:r>
      <w:r w:rsidR="00A622F1" w:rsidRPr="00B3123E">
        <w:rPr>
          <w:rFonts w:ascii="Times New Roman" w:eastAsiaTheme="minorHAnsi" w:hAnsi="Times New Roman" w:cs="Times New Roman"/>
          <w:b w:val="0"/>
          <w:color w:val="auto"/>
          <w:lang w:val="sr-Cyrl-RS"/>
        </w:rPr>
        <w:t>Републици Србији у периоду 2015</w:t>
      </w:r>
      <w:r w:rsidRPr="00B3123E">
        <w:rPr>
          <w:rFonts w:ascii="Times New Roman" w:eastAsiaTheme="minorHAnsi" w:hAnsi="Times New Roman" w:cs="Times New Roman"/>
          <w:b w:val="0"/>
          <w:color w:val="auto"/>
          <w:lang w:val="sr-Cyrl-RS"/>
        </w:rPr>
        <w:t>-2024.</w:t>
      </w:r>
      <w:r w:rsidR="00F6112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w:t>
      </w:r>
      <w:r w:rsidR="00F6112B">
        <w:rPr>
          <w:rFonts w:ascii="Times New Roman" w:eastAsiaTheme="minorHAnsi" w:hAnsi="Times New Roman" w:cs="Times New Roman"/>
          <w:b w:val="0"/>
          <w:color w:val="auto"/>
        </w:rPr>
        <w:t>.</w:t>
      </w:r>
      <w:r w:rsidRPr="00B3123E">
        <w:rPr>
          <w:rFonts w:ascii="Times New Roman" w:eastAsiaTheme="minorHAnsi" w:hAnsi="Times New Roman" w:cs="Times New Roman"/>
          <w:b w:val="0"/>
          <w:color w:val="auto"/>
          <w:lang w:val="sr-Cyrl-RS"/>
        </w:rPr>
        <w:t xml:space="preserve"> </w:t>
      </w:r>
    </w:p>
    <w:p w14:paraId="30C607B1" w14:textId="4902205B" w:rsidR="00334040" w:rsidRPr="00B3123E" w:rsidRDefault="00334040" w:rsidP="00334040">
      <w:pPr>
        <w:rPr>
          <w:lang w:val="sr-Cyrl-RS"/>
        </w:rPr>
      </w:pPr>
      <w:r w:rsidRPr="00B3123E">
        <w:rPr>
          <w:noProof/>
        </w:rPr>
        <w:drawing>
          <wp:inline distT="0" distB="0" distL="0" distR="0" wp14:anchorId="71A00D29" wp14:editId="3BF6EC6F">
            <wp:extent cx="5731510" cy="3007360"/>
            <wp:effectExtent l="0" t="0" r="2540" b="2540"/>
            <wp:docPr id="1297967568" name="Chart 1">
              <a:extLst xmlns:a="http://schemas.openxmlformats.org/drawingml/2006/main">
                <a:ext uri="{FF2B5EF4-FFF2-40B4-BE49-F238E27FC236}">
                  <a16:creationId xmlns:a16="http://schemas.microsoft.com/office/drawing/2014/main" id="{9D695D8C-9EAE-4A9D-AF8F-224FD10235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C425B37" w14:textId="77777777" w:rsidR="00D02445" w:rsidRPr="00B3123E" w:rsidRDefault="00D02445" w:rsidP="00D02445">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Извор: РАТЕЛ Прегледи тржишта телекомуникација и поштанских услуга у Републици Србији у 2015-2024. г.</w:t>
      </w:r>
    </w:p>
    <w:p w14:paraId="68B1FFDB" w14:textId="77777777" w:rsidR="00D02445" w:rsidRPr="00B3123E" w:rsidRDefault="00D02445" w:rsidP="00D02445">
      <w:pPr>
        <w:rPr>
          <w:highlight w:val="cyan"/>
          <w:lang w:val="sr-Cyrl-RS"/>
        </w:rPr>
      </w:pPr>
    </w:p>
    <w:p w14:paraId="0FB15B37" w14:textId="71339EA4" w:rsidR="00D02445" w:rsidRPr="00B3123E" w:rsidRDefault="00D02445"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Када је реч о конкуренцији на тржишту поштанских услуга у већини европских држава анализа сегмента писама показује да често постоји само један доминантни оператор (национални </w:t>
      </w:r>
      <w:r w:rsidR="00D75466"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xml:space="preserve">), па број оператора са учешћем већим од 1% углавном показује ниску конкуренцију. </w:t>
      </w:r>
    </w:p>
    <w:p w14:paraId="2204FA9D" w14:textId="48282BFA" w:rsidR="00D02445" w:rsidRPr="00B3123E" w:rsidRDefault="00D02445"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Када се посматра сектор писама у Европи (Табела 2.) могу се уочити варијације по </w:t>
      </w:r>
      <w:r w:rsidR="00213D0D" w:rsidRPr="00B3123E">
        <w:rPr>
          <w:rFonts w:ascii="Times New Roman" w:hAnsi="Times New Roman" w:cs="Times New Roman"/>
          <w:szCs w:val="24"/>
          <w:lang w:val="sr-Cyrl-RS"/>
        </w:rPr>
        <w:t>државама</w:t>
      </w:r>
      <w:r w:rsidRPr="00B3123E">
        <w:rPr>
          <w:rFonts w:ascii="Times New Roman" w:hAnsi="Times New Roman" w:cs="Times New Roman"/>
          <w:szCs w:val="24"/>
          <w:lang w:val="sr-Cyrl-RS"/>
        </w:rPr>
        <w:t xml:space="preserve"> (неке </w:t>
      </w:r>
      <w:r w:rsidR="001E3AFB"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бележе раст у броју оператора по обиму, неке по приходима, док се код одређеног броја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бележи пад). Генерални тренд је раст броја оператора са тржишним учешћем већим од 1% на основу обима. У 2019. години би</w:t>
      </w:r>
      <w:r w:rsidR="007000AF" w:rsidRPr="00B3123E">
        <w:rPr>
          <w:rFonts w:ascii="Times New Roman" w:hAnsi="Times New Roman" w:cs="Times New Roman"/>
          <w:szCs w:val="24"/>
          <w:lang w:val="sr-Cyrl-RS"/>
        </w:rPr>
        <w:t>о</w:t>
      </w:r>
      <w:r w:rsidRPr="00B3123E">
        <w:rPr>
          <w:rFonts w:ascii="Times New Roman" w:hAnsi="Times New Roman" w:cs="Times New Roman"/>
          <w:szCs w:val="24"/>
          <w:lang w:val="sr-Cyrl-RS"/>
        </w:rPr>
        <w:t xml:space="preserve"> је укупно 71 оператор, </w:t>
      </w:r>
      <w:r w:rsidR="007000AF" w:rsidRPr="00B3123E">
        <w:rPr>
          <w:rFonts w:ascii="Times New Roman" w:hAnsi="Times New Roman" w:cs="Times New Roman"/>
          <w:szCs w:val="24"/>
          <w:lang w:val="sr-Cyrl-RS"/>
        </w:rPr>
        <w:t xml:space="preserve">па је </w:t>
      </w:r>
      <w:r w:rsidRPr="00B3123E">
        <w:rPr>
          <w:rFonts w:ascii="Times New Roman" w:hAnsi="Times New Roman" w:cs="Times New Roman"/>
          <w:szCs w:val="24"/>
          <w:lang w:val="sr-Cyrl-RS"/>
        </w:rPr>
        <w:t>у 2022</w:t>
      </w:r>
      <w:r w:rsidR="00547D11"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години тај број је порастао на 85, да би се у 2023. години забележило благо смањење на 77 оператора. Република Србија</w:t>
      </w:r>
      <w:r w:rsidR="00165E46"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се у сектору писама (и на основу обима и на основу прихода) налази у групи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код којих је тржиште високо концентрисано, односно постоји један доминантан оператор. </w:t>
      </w:r>
    </w:p>
    <w:p w14:paraId="340F2444"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43EF0644"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43D03612"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25B72270"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7DB0EA9D"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072597A1"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2190F7C8" w14:textId="77777777" w:rsidR="00BB5147" w:rsidRPr="00B3123E" w:rsidRDefault="00BB5147" w:rsidP="00D02445">
      <w:pPr>
        <w:tabs>
          <w:tab w:val="left" w:pos="1440"/>
        </w:tabs>
        <w:ind w:firstLine="1276"/>
        <w:rPr>
          <w:rFonts w:ascii="Times New Roman" w:hAnsi="Times New Roman" w:cs="Times New Roman"/>
          <w:szCs w:val="24"/>
          <w:lang w:val="sr-Cyrl-RS"/>
        </w:rPr>
      </w:pPr>
    </w:p>
    <w:p w14:paraId="7E2F7C81" w14:textId="77777777" w:rsidR="00BB5147" w:rsidRPr="00B3123E" w:rsidRDefault="00BB5147" w:rsidP="00D02445">
      <w:pPr>
        <w:tabs>
          <w:tab w:val="left" w:pos="1440"/>
        </w:tabs>
        <w:ind w:firstLine="1276"/>
        <w:rPr>
          <w:rFonts w:ascii="Times New Roman" w:hAnsi="Times New Roman" w:cs="Times New Roman"/>
          <w:szCs w:val="24"/>
          <w:lang w:val="sr-Cyrl-RS"/>
        </w:rPr>
      </w:pPr>
    </w:p>
    <w:p w14:paraId="4836A214"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72F4A1A5" w14:textId="77777777" w:rsidR="00303C07" w:rsidRPr="00B3123E" w:rsidRDefault="00303C07" w:rsidP="00D02445">
      <w:pPr>
        <w:tabs>
          <w:tab w:val="left" w:pos="1440"/>
        </w:tabs>
        <w:ind w:firstLine="1276"/>
        <w:rPr>
          <w:rFonts w:ascii="Times New Roman" w:hAnsi="Times New Roman" w:cs="Times New Roman"/>
          <w:szCs w:val="24"/>
          <w:lang w:val="sr-Cyrl-RS"/>
        </w:rPr>
      </w:pPr>
    </w:p>
    <w:p w14:paraId="2DEA229D" w14:textId="77777777" w:rsidR="00303C07" w:rsidRPr="00B3123E" w:rsidRDefault="00303C07" w:rsidP="00D02445">
      <w:pPr>
        <w:tabs>
          <w:tab w:val="left" w:pos="1440"/>
        </w:tabs>
        <w:ind w:firstLine="1276"/>
        <w:rPr>
          <w:rFonts w:ascii="Times New Roman" w:hAnsi="Times New Roman" w:cs="Times New Roman"/>
          <w:szCs w:val="24"/>
          <w:lang w:val="sr-Cyrl-RS"/>
        </w:rPr>
      </w:pPr>
    </w:p>
    <w:p w14:paraId="0A3EBBA1" w14:textId="378A722C" w:rsidR="00D02445" w:rsidRPr="00B3123E" w:rsidRDefault="00D02445" w:rsidP="00D02445">
      <w:pPr>
        <w:pStyle w:val="Caption"/>
        <w:spacing w:before="240" w:after="0"/>
        <w:rPr>
          <w:rFonts w:ascii="Times New Roman" w:hAnsi="Times New Roman" w:cs="Times New Roman"/>
          <w:b w:val="0"/>
          <w:color w:val="auto"/>
          <w:lang w:val="sr-Cyrl-RS"/>
        </w:rPr>
      </w:pPr>
      <w:bookmarkStart w:id="25" w:name="_Hlk208519993"/>
      <w:r w:rsidRPr="00B3123E">
        <w:rPr>
          <w:rFonts w:ascii="Times New Roman" w:hAnsi="Times New Roman" w:cs="Times New Roman"/>
          <w:color w:val="auto"/>
          <w:lang w:val="sr-Cyrl-RS"/>
        </w:rPr>
        <w:t xml:space="preserve">Табела </w:t>
      </w:r>
      <w:r w:rsidR="004210E1" w:rsidRPr="00B3123E">
        <w:rPr>
          <w:rFonts w:ascii="Times New Roman" w:hAnsi="Times New Roman" w:cs="Times New Roman"/>
          <w:color w:val="auto"/>
          <w:lang w:val="sr-Cyrl-RS"/>
        </w:rPr>
        <w:fldChar w:fldCharType="begin"/>
      </w:r>
      <w:r w:rsidRPr="00B3123E">
        <w:rPr>
          <w:rFonts w:ascii="Times New Roman" w:hAnsi="Times New Roman" w:cs="Times New Roman"/>
          <w:color w:val="auto"/>
          <w:lang w:val="sr-Cyrl-RS"/>
        </w:rPr>
        <w:instrText xml:space="preserve"> SEQ Табела \* ARABIC \s 1 </w:instrText>
      </w:r>
      <w:r w:rsidR="004210E1" w:rsidRPr="00B3123E">
        <w:rPr>
          <w:rFonts w:ascii="Times New Roman" w:hAnsi="Times New Roman" w:cs="Times New Roman"/>
          <w:color w:val="auto"/>
          <w:lang w:val="sr-Cyrl-RS"/>
        </w:rPr>
        <w:fldChar w:fldCharType="separate"/>
      </w:r>
      <w:r w:rsidR="00E52AA0" w:rsidRPr="00B3123E">
        <w:rPr>
          <w:rFonts w:ascii="Times New Roman" w:hAnsi="Times New Roman" w:cs="Times New Roman"/>
          <w:noProof/>
          <w:color w:val="auto"/>
          <w:lang w:val="sr-Cyrl-RS"/>
        </w:rPr>
        <w:t>2</w:t>
      </w:r>
      <w:r w:rsidR="004210E1" w:rsidRPr="00B3123E">
        <w:rPr>
          <w:rFonts w:ascii="Times New Roman" w:hAnsi="Times New Roman" w:cs="Times New Roman"/>
          <w:color w:val="auto"/>
          <w:lang w:val="sr-Cyrl-RS"/>
        </w:rPr>
        <w:fldChar w:fldCharType="end"/>
      </w:r>
      <w:r w:rsidRPr="00B3123E">
        <w:rPr>
          <w:rFonts w:ascii="Times New Roman" w:hAnsi="Times New Roman" w:cs="Times New Roman"/>
          <w:color w:val="auto"/>
          <w:lang w:val="sr-Cyrl-RS"/>
        </w:rPr>
        <w:t>.</w:t>
      </w:r>
      <w:r w:rsidR="005A76ED">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Преглед броја поштанских</w:t>
      </w:r>
      <w:r w:rsidR="001C1A03" w:rsidRPr="00B3123E">
        <w:rPr>
          <w:rFonts w:ascii="Times New Roman" w:hAnsi="Times New Roman" w:cs="Times New Roman"/>
          <w:b w:val="0"/>
          <w:color w:val="auto"/>
          <w:lang w:val="sr-Cyrl-RS"/>
        </w:rPr>
        <w:t xml:space="preserve"> </w:t>
      </w:r>
      <w:r w:rsidRPr="00B3123E">
        <w:rPr>
          <w:rFonts w:ascii="Times New Roman" w:hAnsi="Times New Roman" w:cs="Times New Roman"/>
          <w:b w:val="0"/>
          <w:color w:val="auto"/>
          <w:lang w:val="sr-Cyrl-RS"/>
        </w:rPr>
        <w:t>оператора са учешћем већим од 1% у сегменту писама</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148"/>
        <w:gridCol w:w="615"/>
        <w:gridCol w:w="615"/>
        <w:gridCol w:w="616"/>
        <w:gridCol w:w="1046"/>
        <w:gridCol w:w="1046"/>
        <w:gridCol w:w="616"/>
        <w:gridCol w:w="616"/>
        <w:gridCol w:w="616"/>
        <w:gridCol w:w="1046"/>
        <w:gridCol w:w="1046"/>
      </w:tblGrid>
      <w:tr w:rsidR="005A2589" w:rsidRPr="00B3123E" w14:paraId="49036943" w14:textId="77777777" w:rsidTr="00F972B3">
        <w:tc>
          <w:tcPr>
            <w:tcW w:w="1149" w:type="dxa"/>
            <w:vMerge w:val="restart"/>
            <w:tcBorders>
              <w:right w:val="dotted" w:sz="4" w:space="0" w:color="BFBFBF" w:themeColor="background1" w:themeShade="BF"/>
            </w:tcBorders>
            <w:vAlign w:val="center"/>
          </w:tcPr>
          <w:p w14:paraId="23B0B3C1"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Држава</w:t>
            </w:r>
          </w:p>
        </w:tc>
        <w:tc>
          <w:tcPr>
            <w:tcW w:w="4106" w:type="dxa"/>
            <w:gridSpan w:val="5"/>
            <w:tcBorders>
              <w:left w:val="dotted" w:sz="4" w:space="0" w:color="BFBFBF" w:themeColor="background1" w:themeShade="BF"/>
              <w:bottom w:val="single" w:sz="4" w:space="0" w:color="auto"/>
              <w:right w:val="dotted" w:sz="4" w:space="0" w:color="BFBFBF" w:themeColor="background1" w:themeShade="BF"/>
            </w:tcBorders>
            <w:vAlign w:val="bottom"/>
          </w:tcPr>
          <w:p w14:paraId="4CECC9A8"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На основу обима</w:t>
            </w:r>
          </w:p>
        </w:tc>
        <w:tc>
          <w:tcPr>
            <w:tcW w:w="4105" w:type="dxa"/>
            <w:gridSpan w:val="5"/>
            <w:tcBorders>
              <w:left w:val="dotted" w:sz="4" w:space="0" w:color="BFBFBF" w:themeColor="background1" w:themeShade="BF"/>
              <w:bottom w:val="single" w:sz="4" w:space="0" w:color="auto"/>
            </w:tcBorders>
            <w:vAlign w:val="bottom"/>
          </w:tcPr>
          <w:p w14:paraId="33010401"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На основу прихода</w:t>
            </w:r>
          </w:p>
        </w:tc>
      </w:tr>
      <w:tr w:rsidR="005A2589" w:rsidRPr="00B3123E" w14:paraId="31F87577" w14:textId="77777777" w:rsidTr="00F972B3">
        <w:tc>
          <w:tcPr>
            <w:tcW w:w="1149" w:type="dxa"/>
            <w:vMerge/>
            <w:tcBorders>
              <w:bottom w:val="single" w:sz="4" w:space="0" w:color="auto"/>
              <w:right w:val="dotted" w:sz="4" w:space="0" w:color="BFBFBF" w:themeColor="background1" w:themeShade="BF"/>
            </w:tcBorders>
            <w:vAlign w:val="bottom"/>
          </w:tcPr>
          <w:p w14:paraId="22EA1372" w14:textId="77777777" w:rsidR="00D02445" w:rsidRPr="00B3123E" w:rsidRDefault="00D02445" w:rsidP="00F972B3">
            <w:pPr>
              <w:rPr>
                <w:rFonts w:asciiTheme="minorHAnsi" w:hAnsiTheme="minorHAnsi" w:cstheme="minorHAnsi"/>
                <w:sz w:val="18"/>
                <w:szCs w:val="18"/>
                <w:highlight w:val="cyan"/>
                <w:lang w:val="sr-Cyrl-RS"/>
              </w:rPr>
            </w:pPr>
          </w:p>
        </w:tc>
        <w:tc>
          <w:tcPr>
            <w:tcW w:w="672" w:type="dxa"/>
            <w:tcBorders>
              <w:left w:val="dotted" w:sz="4" w:space="0" w:color="BFBFBF" w:themeColor="background1" w:themeShade="BF"/>
              <w:bottom w:val="single" w:sz="4" w:space="0" w:color="auto"/>
              <w:right w:val="dotted" w:sz="4" w:space="0" w:color="BFBFBF" w:themeColor="background1" w:themeShade="BF"/>
            </w:tcBorders>
            <w:vAlign w:val="center"/>
          </w:tcPr>
          <w:p w14:paraId="08F8C9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2019</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4B5D630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2022</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58AC454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2023</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63EA90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2019-2023 (%)</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38C20AC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2022-2023 (%)</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072422E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2019</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105BAA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2022</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27AE54A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2023</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65F28D4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2019-2023 (%)</w:t>
            </w:r>
          </w:p>
        </w:tc>
        <w:tc>
          <w:tcPr>
            <w:tcW w:w="1046" w:type="dxa"/>
            <w:tcBorders>
              <w:left w:val="dotted" w:sz="4" w:space="0" w:color="BFBFBF" w:themeColor="background1" w:themeShade="BF"/>
              <w:bottom w:val="single" w:sz="4" w:space="0" w:color="auto"/>
            </w:tcBorders>
            <w:vAlign w:val="center"/>
          </w:tcPr>
          <w:p w14:paraId="25225A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2022-2023 (%)</w:t>
            </w:r>
          </w:p>
        </w:tc>
      </w:tr>
      <w:tr w:rsidR="005A2589" w:rsidRPr="00B3123E" w14:paraId="47630B36" w14:textId="77777777" w:rsidTr="00F972B3">
        <w:tc>
          <w:tcPr>
            <w:tcW w:w="1149" w:type="dxa"/>
            <w:tcBorders>
              <w:top w:val="single" w:sz="4" w:space="0" w:color="auto"/>
              <w:bottom w:val="dotted" w:sz="4" w:space="0" w:color="BFBFBF" w:themeColor="background1" w:themeShade="BF"/>
              <w:right w:val="dotted" w:sz="4" w:space="0" w:color="BFBFBF" w:themeColor="background1" w:themeShade="BF"/>
            </w:tcBorders>
            <w:vAlign w:val="bottom"/>
          </w:tcPr>
          <w:p w14:paraId="23BF3072"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Аустрија</w:t>
            </w:r>
          </w:p>
        </w:tc>
        <w:tc>
          <w:tcPr>
            <w:tcW w:w="672"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B2539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C3CA67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DCACD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82BC00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73AFE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3104F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99776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2A35A1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FC5166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single" w:sz="4" w:space="0" w:color="auto"/>
              <w:left w:val="dotted" w:sz="4" w:space="0" w:color="BFBFBF" w:themeColor="background1" w:themeShade="BF"/>
              <w:bottom w:val="dotted" w:sz="4" w:space="0" w:color="BFBFBF" w:themeColor="background1" w:themeShade="BF"/>
            </w:tcBorders>
            <w:vAlign w:val="bottom"/>
          </w:tcPr>
          <w:p w14:paraId="06FA322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17C7533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DB1F8EC"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Белгија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FA75B8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270776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FA0BC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47D81A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DE3F0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C8F7DD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7DB017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7D4D93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B9E3E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30C1D9A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461DA3FA"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4CFB79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Бугарска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FC259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DEC4D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D5707B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ECF911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BFE974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0FEF3F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FE1E4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05356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DEFB1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5753D4F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5223A860"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289A0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Кипар</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2A9706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9492CD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74A8B7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1D4ACF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6FC790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EBC51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98B649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39EA09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78483E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01C3DDE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5006EF1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CFF4817"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Чешка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87D635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D58B0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E88A0B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A8B12F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462FF9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4F3513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57F884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89B780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F57E6B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7A3B4D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r>
      <w:tr w:rsidR="005A2589" w:rsidRPr="00B3123E" w14:paraId="3BB2203D"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510293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Немачка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80907B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D7A5CF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4E17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0E4747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7545C3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63385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B74896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0C889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84D770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0EDC7C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3DA4145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B8B9336"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Данска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49B4A4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47E0A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26A347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F6C07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E66025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A75B04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FF895B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E948C5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3D8869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4AF8C3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r>
      <w:tr w:rsidR="005A2589" w:rsidRPr="00B3123E" w14:paraId="0F8B2E3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AAE3EED"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Естонија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9B0EFB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3E88B8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B3EA52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D525F1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C180A9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5A428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EB622E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C66FD0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6058C9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7DF0878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r>
      <w:tr w:rsidR="005A2589" w:rsidRPr="00B3123E" w14:paraId="6B8ABD25"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979B3FF"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Грчка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CFB35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C46E0E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62DBF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41F229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97E02E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241EC7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618C8C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FDB3B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87FF8D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5079CBC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80%</w:t>
            </w:r>
          </w:p>
        </w:tc>
      </w:tr>
      <w:tr w:rsidR="005A2589" w:rsidRPr="00B3123E" w14:paraId="19277A0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487355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Шпанија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2154E7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66F6C7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B9FFCA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3AC3EB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1EF37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40FDB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5537E4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F1F2C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9F6318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4D6A29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17759E7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A823BB6"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Финска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13979A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4FDC3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63E334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B4274C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100%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F87AAE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2B500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4DCE24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E2AC5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AFA75E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58AC35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r>
      <w:tr w:rsidR="005A2589" w:rsidRPr="00B3123E" w14:paraId="4281862A"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64C8F8D"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Француска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22BCBA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53148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EC46B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06194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A97F3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26123C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3A5C0E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E6990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1890E4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31F5EC9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385080F0"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E04CD06"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Хрватска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93A623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FD73F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FA962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035FA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1C8E3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2DD00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36AC19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191C0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F99B29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466553E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79389956"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36F3DA0"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Мађарска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D9BCCB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D0934B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537243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F7561D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5376BB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A2C39E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DB708E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DD243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BC22D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36A1F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r>
      <w:tr w:rsidR="005A2589" w:rsidRPr="00B3123E" w14:paraId="4D81259F"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B5F7779"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Италија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7720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D36A78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4C666F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6932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100%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0BE778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5FB2F4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050D4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805CC7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1828D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788CD2D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6FAA026C"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E8D227F"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Литванија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77144E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F6CC84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B4B2EE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E52D3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8499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BF2DC0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EF0DBE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93200F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E5B025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1475361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r>
      <w:tr w:rsidR="005A2589" w:rsidRPr="00B3123E" w14:paraId="20351DD2"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2BEE2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Луксембург</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5C575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99054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10CDB7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54D538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28A4B5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E784F9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8926D0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46CCA0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C905D3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955EB6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37DAE00D"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0C5D2BD"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Летонија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032612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7C5A3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40C348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348425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624C9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C412D2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B6EAEC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034C2C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320C06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2A8127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20ECBB42"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2D216E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Северна Македонија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C5A75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B24F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8A20FD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C457E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176E5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AF175A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C3C0E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02DF6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441C1B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09B286D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-42%</w:t>
            </w:r>
          </w:p>
        </w:tc>
      </w:tr>
      <w:tr w:rsidR="005A2589" w:rsidRPr="00B3123E" w14:paraId="3DEB731C"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4D886D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Молдавија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1B9412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B05D3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98C0D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CDCB40F" w14:textId="77777777" w:rsidR="00D02445" w:rsidRPr="00B3123E" w:rsidRDefault="00D02445" w:rsidP="00F972B3">
            <w:pPr>
              <w:jc w:val="center"/>
              <w:rPr>
                <w:rFonts w:asciiTheme="minorHAnsi" w:hAnsiTheme="minorHAnsi" w:cstheme="minorHAnsi"/>
                <w:sz w:val="18"/>
                <w:szCs w:val="18"/>
                <w:highlight w:val="cyan"/>
                <w:lang w:val="sr-Cyrl-RS"/>
              </w:rPr>
            </w:pP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9F4A094" w14:textId="77777777" w:rsidR="00D02445" w:rsidRPr="00B3123E" w:rsidRDefault="00D02445" w:rsidP="00F972B3">
            <w:pPr>
              <w:jc w:val="center"/>
              <w:rPr>
                <w:rFonts w:asciiTheme="minorHAnsi" w:hAnsiTheme="minorHAnsi" w:cstheme="minorHAnsi"/>
                <w:sz w:val="18"/>
                <w:szCs w:val="18"/>
                <w:highlight w:val="cyan"/>
                <w:lang w:val="sr-Cyrl-RS"/>
              </w:rPr>
            </w:pP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C134C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13203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3C7E1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61C3D5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3469122F" w14:textId="77777777" w:rsidR="00D02445" w:rsidRPr="00B3123E" w:rsidRDefault="00D02445" w:rsidP="00F972B3">
            <w:pPr>
              <w:jc w:val="center"/>
              <w:rPr>
                <w:rFonts w:asciiTheme="minorHAnsi" w:hAnsiTheme="minorHAnsi" w:cstheme="minorHAnsi"/>
                <w:sz w:val="18"/>
                <w:szCs w:val="18"/>
                <w:highlight w:val="cyan"/>
                <w:lang w:val="sr-Cyrl-RS"/>
              </w:rPr>
            </w:pPr>
          </w:p>
        </w:tc>
      </w:tr>
      <w:tr w:rsidR="005A2589" w:rsidRPr="00B3123E" w14:paraId="26FEC067"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CABD17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Малта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68E8E7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5FCC18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C991E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9301E6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60B05C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FE8504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E5D3A4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99127A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0AA3F0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4E40CCD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1D64B7B9"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627EBAA"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Холандија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4888DB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5B228E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D739C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1D11CD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E4BC31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B8712A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7E47D3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3A3B4C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5B8A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24CE677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19A8C14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BE8E61C"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Пољска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0D098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D88F89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AB4E5C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DF32D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5AD78F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B07151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9C100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C3847C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627770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30D8B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440E1D3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0AE39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Португалија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EC9A67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9040D4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B7D514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1A3E26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730E8C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A5DE01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6AEA7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6B1805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296654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0EB8011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2585609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C84266A"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Румунија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4C2A3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A025EE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7FEE91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94184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965D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09987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CF6912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A2C2D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BEBFC4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1739F55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20E5D798"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8D69EB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Србија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C9314D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1925C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705045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6842F3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13E78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A6401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AF5C3F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16ACB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91248C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4D7F1F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742F1D6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C8C95C5"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Шведска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85A7F3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2CEE98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6E1884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535FA6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2D385B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BD06C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9BA0F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201FF2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A6E91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5B47FF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r>
      <w:tr w:rsidR="005A2589" w:rsidRPr="00B3123E" w14:paraId="6199040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E87854E"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Словенија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011E47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9768EF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45826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4CF84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81FAB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1F7521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81412C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521CD9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CD7E2A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411F1C9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-29%</w:t>
            </w:r>
          </w:p>
        </w:tc>
      </w:tr>
      <w:tr w:rsidR="005A2589" w:rsidRPr="00B3123E" w14:paraId="0AAED5B1" w14:textId="77777777" w:rsidTr="00F972B3">
        <w:tc>
          <w:tcPr>
            <w:tcW w:w="1149" w:type="dxa"/>
            <w:tcBorders>
              <w:top w:val="dotted" w:sz="4" w:space="0" w:color="BFBFBF" w:themeColor="background1" w:themeShade="BF"/>
              <w:right w:val="dotted" w:sz="4" w:space="0" w:color="BFBFBF" w:themeColor="background1" w:themeShade="BF"/>
            </w:tcBorders>
            <w:vAlign w:val="bottom"/>
          </w:tcPr>
          <w:p w14:paraId="463D6B32"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Словачка</w:t>
            </w:r>
          </w:p>
        </w:tc>
        <w:tc>
          <w:tcPr>
            <w:tcW w:w="672"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3D463C6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4A87E9B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5B1E41C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32CEA53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3CA5301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28326E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31BA427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5194A1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4E15D57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tcBorders>
            <w:vAlign w:val="bottom"/>
          </w:tcPr>
          <w:p w14:paraId="36AC4A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-33%</w:t>
            </w:r>
          </w:p>
        </w:tc>
      </w:tr>
    </w:tbl>
    <w:p w14:paraId="7048A856" w14:textId="02A79F2F" w:rsidR="00D02445" w:rsidRPr="00B3123E" w:rsidRDefault="00D02445" w:rsidP="00D02445">
      <w:pPr>
        <w:rPr>
          <w:sz w:val="18"/>
          <w:szCs w:val="16"/>
          <w:highlight w:val="cyan"/>
          <w:lang w:val="sr-Cyrl-RS"/>
        </w:rPr>
      </w:pPr>
      <w:r w:rsidRPr="00B3123E">
        <w:rPr>
          <w:sz w:val="18"/>
          <w:szCs w:val="16"/>
          <w:lang w:val="sr-Cyrl-RS"/>
        </w:rPr>
        <w:t xml:space="preserve">Извор: </w:t>
      </w:r>
      <w:r w:rsidR="009B46E9" w:rsidRPr="00B3123E">
        <w:rPr>
          <w:sz w:val="18"/>
          <w:szCs w:val="16"/>
          <w:lang w:val="sr-Cyrl-RS"/>
        </w:rPr>
        <w:t xml:space="preserve">ERGP </w:t>
      </w:r>
      <w:r w:rsidR="00144C3B" w:rsidRPr="00B3123E">
        <w:rPr>
          <w:sz w:val="18"/>
          <w:szCs w:val="16"/>
          <w:lang w:val="sr-Cyrl-RS"/>
        </w:rPr>
        <w:t>(24) 8 - Report on postal core indicators for monitoring the European postal market</w:t>
      </w:r>
    </w:p>
    <w:bookmarkEnd w:id="25"/>
    <w:p w14:paraId="2E6EDE8F" w14:textId="77777777" w:rsidR="00D02445" w:rsidRPr="00B3123E" w:rsidRDefault="00D02445" w:rsidP="00D02445">
      <w:pPr>
        <w:rPr>
          <w:highlight w:val="cyan"/>
          <w:lang w:val="sr-Cyrl-RS"/>
        </w:rPr>
      </w:pPr>
    </w:p>
    <w:p w14:paraId="6E5CDC67" w14:textId="52A60C30" w:rsidR="00B64B14" w:rsidRPr="00B3123E" w:rsidRDefault="00B64B14"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Када се ради о сегменту пакета</w:t>
      </w:r>
      <w:r w:rsidR="00602541"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апсолутни број оператора са тржишним учешћем већим од 1% далеко је већи него у сегменту писама и стабилизован на високом нивоу од 227 оператора у 2022. години односно 226 у 2023. години на основу обима (Табела 3.). На основу прихода овај раст је још значајнији тако да је у 2023. години у апсолутан број оператора у Европи са тржишним учешћем у сегменту пакета већим од 15</w:t>
      </w:r>
      <w:r w:rsidR="00F41DF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на основу прихода био 232. Све ово указује на велику динамичност и тржишну фрагментацију у сегменту пакета, што је последица, пре свега, изузетног раста е-трговине последњих година. </w:t>
      </w:r>
    </w:p>
    <w:p w14:paraId="06EB3CA9" w14:textId="0960D99A" w:rsidR="00303C07" w:rsidRPr="00B3123E" w:rsidRDefault="00B64B14" w:rsidP="00633C5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 Републици Србији у 2023. години</w:t>
      </w:r>
      <w:r w:rsidR="009422F3" w:rsidRPr="00B3123E">
        <w:rPr>
          <w:rFonts w:ascii="Times New Roman" w:hAnsi="Times New Roman" w:cs="Times New Roman"/>
          <w:szCs w:val="24"/>
          <w:lang w:val="sr-Cyrl-RS"/>
        </w:rPr>
        <w:t>, у унутрашњем саобраћају, у сегменту експрес пакета</w:t>
      </w:r>
      <w:r w:rsidRPr="00B3123E">
        <w:rPr>
          <w:rFonts w:ascii="Times New Roman" w:hAnsi="Times New Roman" w:cs="Times New Roman"/>
          <w:szCs w:val="24"/>
          <w:lang w:val="sr-Cyrl-RS"/>
        </w:rPr>
        <w:t xml:space="preserve"> </w:t>
      </w:r>
      <w:bookmarkStart w:id="26" w:name="_Hlk214533387"/>
      <w:r w:rsidRPr="00B3123E">
        <w:rPr>
          <w:rFonts w:ascii="Times New Roman" w:hAnsi="Times New Roman" w:cs="Times New Roman"/>
          <w:szCs w:val="24"/>
          <w:lang w:val="sr-Cyrl-RS"/>
        </w:rPr>
        <w:t xml:space="preserve">било је </w:t>
      </w:r>
      <w:r w:rsidR="00A622F1" w:rsidRPr="00B3123E">
        <w:rPr>
          <w:rFonts w:ascii="Times New Roman" w:hAnsi="Times New Roman" w:cs="Times New Roman"/>
          <w:szCs w:val="24"/>
          <w:lang w:val="sr-Cyrl-RS"/>
        </w:rPr>
        <w:t>пет</w:t>
      </w:r>
      <w:r w:rsidRPr="00B3123E">
        <w:rPr>
          <w:rFonts w:ascii="Times New Roman" w:hAnsi="Times New Roman" w:cs="Times New Roman"/>
          <w:szCs w:val="24"/>
          <w:lang w:val="sr-Cyrl-RS"/>
        </w:rPr>
        <w:t xml:space="preserve"> поштанских оператора са тржишним учешћем већим од 1% на основу обима</w:t>
      </w:r>
      <w:r w:rsidR="009422F3" w:rsidRPr="00B3123E">
        <w:rPr>
          <w:rFonts w:ascii="Times New Roman" w:hAnsi="Times New Roman" w:cs="Times New Roman"/>
          <w:szCs w:val="24"/>
          <w:lang w:val="sr-Cyrl-RS"/>
        </w:rPr>
        <w:t>, а</w:t>
      </w:r>
      <w:r w:rsidRPr="00B3123E">
        <w:rPr>
          <w:rFonts w:ascii="Times New Roman" w:hAnsi="Times New Roman" w:cs="Times New Roman"/>
          <w:szCs w:val="24"/>
          <w:lang w:val="sr-Cyrl-RS"/>
        </w:rPr>
        <w:t xml:space="preserve"> </w:t>
      </w:r>
      <w:r w:rsidR="00A622F1" w:rsidRPr="00B3123E">
        <w:rPr>
          <w:rFonts w:ascii="Times New Roman" w:hAnsi="Times New Roman" w:cs="Times New Roman"/>
          <w:szCs w:val="24"/>
          <w:lang w:val="sr-Cyrl-RS"/>
        </w:rPr>
        <w:t>шест</w:t>
      </w:r>
      <w:r w:rsidRPr="00B3123E">
        <w:rPr>
          <w:rFonts w:ascii="Times New Roman" w:hAnsi="Times New Roman" w:cs="Times New Roman"/>
          <w:szCs w:val="24"/>
          <w:lang w:val="sr-Cyrl-RS"/>
        </w:rPr>
        <w:t xml:space="preserve"> поштанских оператора који су имали тржишно учешће веће од 1% на основу прихода,</w:t>
      </w:r>
      <w:bookmarkEnd w:id="26"/>
      <w:r w:rsidR="009422F3" w:rsidRPr="00B3123E">
        <w:rPr>
          <w:rFonts w:ascii="Times New Roman" w:hAnsi="Times New Roman" w:cs="Times New Roman"/>
          <w:szCs w:val="24"/>
          <w:lang w:val="sr-Cyrl-RS"/>
        </w:rPr>
        <w:t xml:space="preserve"> док је у 2024. години било </w:t>
      </w:r>
      <w:r w:rsidR="00AF33CB" w:rsidRPr="00B3123E">
        <w:rPr>
          <w:rFonts w:ascii="Times New Roman" w:hAnsi="Times New Roman" w:cs="Times New Roman"/>
          <w:szCs w:val="24"/>
          <w:lang w:val="sr-Cyrl-RS"/>
        </w:rPr>
        <w:t>пет</w:t>
      </w:r>
      <w:r w:rsidR="009422F3" w:rsidRPr="00B3123E">
        <w:rPr>
          <w:rFonts w:ascii="Times New Roman" w:hAnsi="Times New Roman" w:cs="Times New Roman"/>
          <w:szCs w:val="24"/>
          <w:lang w:val="sr-Cyrl-RS"/>
        </w:rPr>
        <w:t xml:space="preserve"> поштанских оператора са тржишним учешћем већим од 1% на основу обима, а </w:t>
      </w:r>
      <w:r w:rsidR="00AF33CB" w:rsidRPr="00B3123E">
        <w:rPr>
          <w:rFonts w:ascii="Times New Roman" w:hAnsi="Times New Roman" w:cs="Times New Roman"/>
          <w:szCs w:val="24"/>
          <w:lang w:val="sr-Cyrl-RS"/>
        </w:rPr>
        <w:t>седам</w:t>
      </w:r>
      <w:r w:rsidR="009422F3" w:rsidRPr="00B3123E">
        <w:rPr>
          <w:rFonts w:ascii="Times New Roman" w:hAnsi="Times New Roman" w:cs="Times New Roman"/>
          <w:szCs w:val="24"/>
          <w:lang w:val="sr-Cyrl-RS"/>
        </w:rPr>
        <w:t xml:space="preserve"> поштанских оператора који су имали тржишно учешће веће од 1% на основу прихода,</w:t>
      </w:r>
      <w:r w:rsidRPr="00B3123E">
        <w:rPr>
          <w:rFonts w:ascii="Times New Roman" w:hAnsi="Times New Roman" w:cs="Times New Roman"/>
          <w:szCs w:val="24"/>
          <w:lang w:val="sr-Cyrl-RS"/>
        </w:rPr>
        <w:t xml:space="preserve"> што указује на то да постоје оператори који имају релативно већи приход по једини</w:t>
      </w:r>
      <w:r w:rsidR="00E97BC7" w:rsidRPr="00B3123E">
        <w:rPr>
          <w:rFonts w:ascii="Times New Roman" w:hAnsi="Times New Roman" w:cs="Times New Roman"/>
          <w:szCs w:val="24"/>
          <w:lang w:val="sr-Cyrl-RS"/>
        </w:rPr>
        <w:t>ци (нпр. услуге са вишим ценама</w:t>
      </w:r>
      <w:r w:rsidRPr="00B3123E">
        <w:rPr>
          <w:rFonts w:ascii="Times New Roman" w:hAnsi="Times New Roman" w:cs="Times New Roman"/>
          <w:szCs w:val="24"/>
          <w:lang w:val="sr-Cyrl-RS"/>
        </w:rPr>
        <w:t>/B2B/експрес).</w:t>
      </w:r>
    </w:p>
    <w:p w14:paraId="0982D905" w14:textId="13B6B92E" w:rsidR="00D02445" w:rsidRPr="00B3123E" w:rsidRDefault="00D02445" w:rsidP="00D02445">
      <w:pPr>
        <w:pStyle w:val="Caption"/>
        <w:spacing w:before="240" w:after="0"/>
        <w:rPr>
          <w:rFonts w:ascii="Times New Roman" w:hAnsi="Times New Roman" w:cs="Times New Roman"/>
          <w:b w:val="0"/>
          <w:color w:val="auto"/>
          <w:lang w:val="sr-Cyrl-RS"/>
        </w:rPr>
      </w:pPr>
      <w:r w:rsidRPr="00B3123E">
        <w:rPr>
          <w:rFonts w:ascii="Times New Roman" w:hAnsi="Times New Roman" w:cs="Times New Roman"/>
          <w:color w:val="auto"/>
          <w:lang w:val="sr-Cyrl-RS"/>
        </w:rPr>
        <w:lastRenderedPageBreak/>
        <w:t xml:space="preserve">Табела </w:t>
      </w:r>
      <w:r w:rsidR="004210E1" w:rsidRPr="00B3123E">
        <w:rPr>
          <w:rFonts w:ascii="Times New Roman" w:hAnsi="Times New Roman" w:cs="Times New Roman"/>
          <w:color w:val="auto"/>
          <w:lang w:val="sr-Cyrl-RS"/>
        </w:rPr>
        <w:fldChar w:fldCharType="begin"/>
      </w:r>
      <w:r w:rsidRPr="00B3123E">
        <w:rPr>
          <w:rFonts w:ascii="Times New Roman" w:hAnsi="Times New Roman" w:cs="Times New Roman"/>
          <w:color w:val="auto"/>
          <w:lang w:val="sr-Cyrl-RS"/>
        </w:rPr>
        <w:instrText xml:space="preserve"> SEQ Табела \* ARABIC \s 1 </w:instrText>
      </w:r>
      <w:r w:rsidR="004210E1" w:rsidRPr="00B3123E">
        <w:rPr>
          <w:rFonts w:ascii="Times New Roman" w:hAnsi="Times New Roman" w:cs="Times New Roman"/>
          <w:color w:val="auto"/>
          <w:lang w:val="sr-Cyrl-RS"/>
        </w:rPr>
        <w:fldChar w:fldCharType="separate"/>
      </w:r>
      <w:r w:rsidR="00E52AA0" w:rsidRPr="00B3123E">
        <w:rPr>
          <w:rFonts w:ascii="Times New Roman" w:hAnsi="Times New Roman" w:cs="Times New Roman"/>
          <w:noProof/>
          <w:color w:val="auto"/>
          <w:lang w:val="sr-Cyrl-RS"/>
        </w:rPr>
        <w:t>3</w:t>
      </w:r>
      <w:r w:rsidR="004210E1" w:rsidRPr="00B3123E">
        <w:rPr>
          <w:rFonts w:ascii="Times New Roman" w:hAnsi="Times New Roman" w:cs="Times New Roman"/>
          <w:color w:val="auto"/>
          <w:lang w:val="sr-Cyrl-RS"/>
        </w:rPr>
        <w:fldChar w:fldCharType="end"/>
      </w:r>
      <w:r w:rsidRPr="00B3123E">
        <w:rPr>
          <w:rFonts w:ascii="Times New Roman" w:hAnsi="Times New Roman" w:cs="Times New Roman"/>
          <w:color w:val="auto"/>
          <w:lang w:val="sr-Cyrl-RS"/>
        </w:rPr>
        <w:t>.</w:t>
      </w:r>
      <w:r w:rsidR="00F73DC0"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 xml:space="preserve">Преглед броја </w:t>
      </w:r>
      <w:r w:rsidR="00F5191D" w:rsidRPr="00B3123E">
        <w:rPr>
          <w:rFonts w:ascii="Times New Roman" w:hAnsi="Times New Roman" w:cs="Times New Roman"/>
          <w:b w:val="0"/>
          <w:color w:val="auto"/>
          <w:lang w:val="sr-Cyrl-RS"/>
        </w:rPr>
        <w:t>поштанских оператора</w:t>
      </w:r>
      <w:r w:rsidRPr="00B3123E">
        <w:rPr>
          <w:rFonts w:ascii="Times New Roman" w:hAnsi="Times New Roman" w:cs="Times New Roman"/>
          <w:b w:val="0"/>
          <w:color w:val="auto"/>
          <w:lang w:val="sr-Cyrl-RS"/>
        </w:rPr>
        <w:t xml:space="preserve"> са учешћем већим од 1% у сегменту пакета</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148"/>
        <w:gridCol w:w="615"/>
        <w:gridCol w:w="615"/>
        <w:gridCol w:w="616"/>
        <w:gridCol w:w="1046"/>
        <w:gridCol w:w="1046"/>
        <w:gridCol w:w="616"/>
        <w:gridCol w:w="616"/>
        <w:gridCol w:w="616"/>
        <w:gridCol w:w="1046"/>
        <w:gridCol w:w="1046"/>
      </w:tblGrid>
      <w:tr w:rsidR="005A2589" w:rsidRPr="00B3123E" w14:paraId="59E20BE2" w14:textId="77777777" w:rsidTr="00F972B3">
        <w:tc>
          <w:tcPr>
            <w:tcW w:w="1149" w:type="dxa"/>
            <w:vMerge w:val="restart"/>
            <w:tcBorders>
              <w:right w:val="dotted" w:sz="4" w:space="0" w:color="BFBFBF" w:themeColor="background1" w:themeShade="BF"/>
            </w:tcBorders>
            <w:vAlign w:val="center"/>
          </w:tcPr>
          <w:p w14:paraId="7BCC3C13"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Држава</w:t>
            </w:r>
          </w:p>
        </w:tc>
        <w:tc>
          <w:tcPr>
            <w:tcW w:w="4106" w:type="dxa"/>
            <w:gridSpan w:val="5"/>
            <w:tcBorders>
              <w:left w:val="dotted" w:sz="4" w:space="0" w:color="BFBFBF" w:themeColor="background1" w:themeShade="BF"/>
              <w:bottom w:val="single" w:sz="4" w:space="0" w:color="auto"/>
              <w:right w:val="dotted" w:sz="4" w:space="0" w:color="BFBFBF" w:themeColor="background1" w:themeShade="BF"/>
            </w:tcBorders>
            <w:vAlign w:val="bottom"/>
          </w:tcPr>
          <w:p w14:paraId="6529ABFF"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На основу обима</w:t>
            </w:r>
          </w:p>
        </w:tc>
        <w:tc>
          <w:tcPr>
            <w:tcW w:w="4105" w:type="dxa"/>
            <w:gridSpan w:val="5"/>
            <w:tcBorders>
              <w:left w:val="dotted" w:sz="4" w:space="0" w:color="BFBFBF" w:themeColor="background1" w:themeShade="BF"/>
              <w:bottom w:val="single" w:sz="4" w:space="0" w:color="auto"/>
            </w:tcBorders>
            <w:vAlign w:val="bottom"/>
          </w:tcPr>
          <w:p w14:paraId="0AB842A9"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На основу прихода</w:t>
            </w:r>
          </w:p>
        </w:tc>
      </w:tr>
      <w:tr w:rsidR="005A2589" w:rsidRPr="00B3123E" w14:paraId="31586A64" w14:textId="77777777" w:rsidTr="00F972B3">
        <w:tc>
          <w:tcPr>
            <w:tcW w:w="1149" w:type="dxa"/>
            <w:vMerge/>
            <w:tcBorders>
              <w:bottom w:val="single" w:sz="4" w:space="0" w:color="auto"/>
              <w:right w:val="dotted" w:sz="4" w:space="0" w:color="BFBFBF" w:themeColor="background1" w:themeShade="BF"/>
            </w:tcBorders>
            <w:vAlign w:val="bottom"/>
          </w:tcPr>
          <w:p w14:paraId="4FEEC9AC" w14:textId="77777777" w:rsidR="00D02445" w:rsidRPr="00B3123E" w:rsidRDefault="00D02445" w:rsidP="00F972B3">
            <w:pPr>
              <w:rPr>
                <w:rFonts w:asciiTheme="minorHAnsi" w:hAnsiTheme="minorHAnsi" w:cstheme="minorHAnsi"/>
                <w:sz w:val="18"/>
                <w:szCs w:val="18"/>
                <w:highlight w:val="cyan"/>
                <w:lang w:val="sr-Cyrl-RS"/>
              </w:rPr>
            </w:pPr>
          </w:p>
        </w:tc>
        <w:tc>
          <w:tcPr>
            <w:tcW w:w="672" w:type="dxa"/>
            <w:tcBorders>
              <w:left w:val="dotted" w:sz="4" w:space="0" w:color="BFBFBF" w:themeColor="background1" w:themeShade="BF"/>
              <w:bottom w:val="single" w:sz="4" w:space="0" w:color="auto"/>
              <w:right w:val="dotted" w:sz="4" w:space="0" w:color="BFBFBF" w:themeColor="background1" w:themeShade="BF"/>
            </w:tcBorders>
            <w:vAlign w:val="center"/>
          </w:tcPr>
          <w:p w14:paraId="16BBACE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2019</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38E485C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2022</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31EC690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2023</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5584F2B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2019-2023 (%)</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685FA4B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2022-2023 (%)</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383F5C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2019</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71C86C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2022</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3108937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2023</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310D6F4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2019-2023 (%)</w:t>
            </w:r>
          </w:p>
        </w:tc>
        <w:tc>
          <w:tcPr>
            <w:tcW w:w="1046" w:type="dxa"/>
            <w:tcBorders>
              <w:left w:val="dotted" w:sz="4" w:space="0" w:color="BFBFBF" w:themeColor="background1" w:themeShade="BF"/>
              <w:bottom w:val="single" w:sz="4" w:space="0" w:color="auto"/>
            </w:tcBorders>
            <w:vAlign w:val="center"/>
          </w:tcPr>
          <w:p w14:paraId="6B72E21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2022-2023 (%)</w:t>
            </w:r>
          </w:p>
        </w:tc>
      </w:tr>
      <w:tr w:rsidR="005A2589" w:rsidRPr="00B3123E" w14:paraId="2B07BDA1" w14:textId="77777777" w:rsidTr="00F972B3">
        <w:tc>
          <w:tcPr>
            <w:tcW w:w="1149" w:type="dxa"/>
            <w:tcBorders>
              <w:top w:val="single" w:sz="4" w:space="0" w:color="auto"/>
              <w:bottom w:val="dotted" w:sz="4" w:space="0" w:color="BFBFBF" w:themeColor="background1" w:themeShade="BF"/>
              <w:right w:val="dotted" w:sz="4" w:space="0" w:color="BFBFBF" w:themeColor="background1" w:themeShade="BF"/>
            </w:tcBorders>
            <w:vAlign w:val="bottom"/>
          </w:tcPr>
          <w:p w14:paraId="27F656AC"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Аустрија</w:t>
            </w:r>
          </w:p>
        </w:tc>
        <w:tc>
          <w:tcPr>
            <w:tcW w:w="672"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67BDE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6EC3FD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05948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C3AC36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-14%</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567EEA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F3C9FB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3C912B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3DFD6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D3080F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single" w:sz="4" w:space="0" w:color="auto"/>
              <w:left w:val="dotted" w:sz="4" w:space="0" w:color="BFBFBF" w:themeColor="background1" w:themeShade="BF"/>
              <w:bottom w:val="dotted" w:sz="4" w:space="0" w:color="BFBFBF" w:themeColor="background1" w:themeShade="BF"/>
            </w:tcBorders>
            <w:vAlign w:val="center"/>
          </w:tcPr>
          <w:p w14:paraId="18D128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49E06CF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302848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Белгија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2A3345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A1BCCC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78B490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57E6D6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E3922D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0FBC64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5F1DE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B01AA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F2DA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4B188F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r>
      <w:tr w:rsidR="005A2589" w:rsidRPr="00B3123E" w14:paraId="29BADB02"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1C1BFB0"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Бугарска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0E388F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40B721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6255CF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26D0E0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CC024B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24C87B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CFE98F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E4046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2E4452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A3E792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42C6FCE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070AFA7"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Кипар</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E0F379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8D37B5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4305AF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E1E170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36595C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B3086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FA203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561A22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D9792D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0AE9B4B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60A28EA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6E08EF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Чешка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FD8A4C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35DE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AB724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24BDDD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40%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389747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B45D5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18473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70629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84213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4FBF2E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5C9277C6"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46F3AE"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Немачка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FF4CB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82E5DD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D31A1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E9D7AB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A79907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4A7810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90E40B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2D65FE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2A51E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394BFE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3E5ED567"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09E0FC"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Данска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8091FA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10F35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F859EA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423B33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89E793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29D8DC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54A7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7A6859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A5FB8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153C1E3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1409371C"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2DB29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Естонија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F28894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27DE8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91E56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1A3E8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ADE0EB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3E799D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057D4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8A42B7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D254F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3B6E5D9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r>
      <w:tr w:rsidR="005A2589" w:rsidRPr="00B3123E" w14:paraId="0D8C3B4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093EB10"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Грчка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5ADA00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0DFFC0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BD3DB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86709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59A0A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19397D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63409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5EBA1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E15DEC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0810F4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30%</w:t>
            </w:r>
          </w:p>
        </w:tc>
      </w:tr>
      <w:tr w:rsidR="005A2589" w:rsidRPr="00B3123E" w14:paraId="2B91996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CA243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Шпанија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0DB8E7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1F5788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11E5C5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4CA48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F4805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055CC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DC3FB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2822E1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72FB79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4CA330B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r>
      <w:tr w:rsidR="005A2589" w:rsidRPr="00B3123E" w14:paraId="2CD04CBF"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BB7D17A"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Финска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EBF7D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&gt;10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89071C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&gt;10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86A151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&gt;10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8B7205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4608A6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6AAD21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249633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46FFFA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7B0BA1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71DFABD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22D31930"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E1CF5C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Француска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80CDA0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164F5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2EE609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DFBA21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856EF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FFFA3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D2DDD3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38BDE9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7E74AC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4F2D95A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115CE039"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77A0109"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Хрватска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866B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D2D33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3FDB06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66668C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CEFEC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D0FDE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4E4EF2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DB8114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7B7D4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0182C8C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48102605"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312961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Мађарска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14DC3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A5102B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E2B2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3F7E72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86B729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D18309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40D2F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8DD89D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FF207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78DDAC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22%</w:t>
            </w:r>
          </w:p>
        </w:tc>
      </w:tr>
      <w:tr w:rsidR="005A2589" w:rsidRPr="00B3123E" w14:paraId="45E05869"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8F5A1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Ирска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C80211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A83199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278CD2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F64411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420FD7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0A8CBB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69B431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D6A3BB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F82FF8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F91C28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1B9DD95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AAC83CB"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Италија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48DF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BED29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A245F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C62333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54EC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AEF90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394B9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9E9B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BCA81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688728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712A0F1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1A8B375"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Литванија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FF94D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A2C361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D246D1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97A0FE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AC0F71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7D530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8BE592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96F12F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3894B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6ADB5F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r>
      <w:tr w:rsidR="005A2589" w:rsidRPr="00B3123E" w14:paraId="3C1B074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591705E"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Луксембург</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790BA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661501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E4ABC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41C36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60E44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22CB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2F5B27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6CC4CA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6A4AE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6CE1C2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r>
      <w:tr w:rsidR="005A2589" w:rsidRPr="00B3123E" w14:paraId="295CABFF"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3F39D2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Летонија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3E0403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D0BC15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705E8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8BAF64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787EB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46432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2E6AE4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6B905C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31E91C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6CB893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1F2E739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33F3060"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Северна Македонија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A2FAB7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1D0DC5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4A23B6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ECE3FB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96FA3D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AECCD2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987933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128298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CCD295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5B86CB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480ADB88"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415C8B7"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Молдавија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2C1F24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78EA9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ACD217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A898D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A17743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0D1A8F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64BB67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A2D50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ED474C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3790C60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40C5F147"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394BF1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Малта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C7357D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FFD39A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098B89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DEF6B2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4EE844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D55216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5EE90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C185E3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DE45A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C72878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5195534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4C6033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Холандија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B76275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CF8CE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B5CFCB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956E16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512E53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0F162D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76A0B2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A3BB03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E3F2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49EAD90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r>
      <w:tr w:rsidR="005A2589" w:rsidRPr="00B3123E" w14:paraId="2464DFE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A80A2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Пољска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9977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77E7F8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AEF00A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DF92A1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AD06DE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14FD9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50D5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14EB0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28A55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FF9FCD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50%</w:t>
            </w:r>
          </w:p>
        </w:tc>
      </w:tr>
      <w:tr w:rsidR="005A2589" w:rsidRPr="00B3123E" w14:paraId="2B6B67E2"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CEF668E"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Португалија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73E3F2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A09DF1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7C11F7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6E21B4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3E8D5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9C08B0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AA1AE4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7A6EE5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A12940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5C616F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49CF64E6"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27D096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Румунија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DE155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FE4DC6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E75D2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EDEB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752B0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7004D3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9DF34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38A66D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F976E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4F74AAF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r>
      <w:tr w:rsidR="005A2589" w:rsidRPr="00B3123E" w14:paraId="64966565"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45EBAF9"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Србија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137C01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2D21AB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5698F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237436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D22849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0446B9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BE073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CBD86B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DE617E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F3022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5EEC9F5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BCC162"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Шведска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C53C9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571D1C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A88C4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BF7ED4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56783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D4E8B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9387C7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0B8A7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0CAE72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331244F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475D7E8A" w14:textId="77777777" w:rsidTr="00F972B3">
        <w:tc>
          <w:tcPr>
            <w:tcW w:w="1149" w:type="dxa"/>
            <w:tcBorders>
              <w:top w:val="dotted" w:sz="4" w:space="0" w:color="BFBFBF" w:themeColor="background1" w:themeShade="BF"/>
              <w:right w:val="dotted" w:sz="4" w:space="0" w:color="BFBFBF" w:themeColor="background1" w:themeShade="BF"/>
            </w:tcBorders>
            <w:vAlign w:val="bottom"/>
          </w:tcPr>
          <w:p w14:paraId="36AA47EA"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Словенија</w:t>
            </w:r>
          </w:p>
        </w:tc>
        <w:tc>
          <w:tcPr>
            <w:tcW w:w="672"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3D95BE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34B5C8C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3CE3B0C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060207F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16F7FBE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4288763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082CAC0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34D1107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53708E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1046" w:type="dxa"/>
            <w:tcBorders>
              <w:top w:val="dotted" w:sz="4" w:space="0" w:color="BFBFBF" w:themeColor="background1" w:themeShade="BF"/>
              <w:left w:val="dotted" w:sz="4" w:space="0" w:color="BFBFBF" w:themeColor="background1" w:themeShade="BF"/>
            </w:tcBorders>
            <w:vAlign w:val="center"/>
          </w:tcPr>
          <w:p w14:paraId="202505D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r>
    </w:tbl>
    <w:p w14:paraId="68CC5CE1" w14:textId="4D08533C" w:rsidR="00D02445" w:rsidRPr="00B3123E" w:rsidRDefault="00D02445" w:rsidP="00D02445">
      <w:pPr>
        <w:rPr>
          <w:sz w:val="18"/>
          <w:szCs w:val="16"/>
          <w:highlight w:val="cyan"/>
          <w:lang w:val="sr-Cyrl-RS"/>
        </w:rPr>
      </w:pPr>
      <w:r w:rsidRPr="00B3123E">
        <w:rPr>
          <w:sz w:val="18"/>
          <w:szCs w:val="16"/>
          <w:lang w:val="sr-Cyrl-RS"/>
        </w:rPr>
        <w:t xml:space="preserve">Извор: </w:t>
      </w:r>
      <w:r w:rsidR="009B46E9" w:rsidRPr="00B3123E">
        <w:rPr>
          <w:sz w:val="18"/>
          <w:szCs w:val="16"/>
          <w:lang w:val="sr-Cyrl-RS"/>
        </w:rPr>
        <w:t xml:space="preserve">ERGP </w:t>
      </w:r>
      <w:r w:rsidR="00144C3B" w:rsidRPr="00B3123E">
        <w:rPr>
          <w:sz w:val="18"/>
          <w:szCs w:val="16"/>
          <w:lang w:val="sr-Cyrl-RS"/>
        </w:rPr>
        <w:t>(24) 8 - Report on postal core indicators for monitoring the European postal market</w:t>
      </w:r>
    </w:p>
    <w:p w14:paraId="03142166" w14:textId="77777777" w:rsidR="00D02445" w:rsidRPr="00B3123E" w:rsidRDefault="00D02445" w:rsidP="00D437CA">
      <w:pPr>
        <w:spacing w:after="0"/>
        <w:rPr>
          <w:lang w:val="sr-Cyrl-RS"/>
        </w:rPr>
      </w:pPr>
    </w:p>
    <w:p w14:paraId="3651EA9F" w14:textId="0BF737FC" w:rsidR="00711C86" w:rsidRPr="00B3123E" w:rsidRDefault="000D145D" w:rsidP="004B2269">
      <w:pPr>
        <w:pStyle w:val="Heading3"/>
        <w:jc w:val="left"/>
        <w:rPr>
          <w:rFonts w:ascii="Times New Roman" w:hAnsi="Times New Roman" w:cs="Times New Roman"/>
          <w:b w:val="0"/>
          <w:i w:val="0"/>
          <w:u w:val="single"/>
          <w:lang w:val="sr-Cyrl-RS"/>
        </w:rPr>
      </w:pPr>
      <w:bookmarkStart w:id="27" w:name="_Toc211545973"/>
      <w:r w:rsidRPr="00B3123E">
        <w:rPr>
          <w:rFonts w:ascii="Times New Roman" w:hAnsi="Times New Roman" w:cs="Times New Roman"/>
          <w:b w:val="0"/>
          <w:i w:val="0"/>
          <w:u w:val="single"/>
          <w:lang w:val="sr-Cyrl-RS"/>
        </w:rPr>
        <w:t>Доступност поштанских услуга</w:t>
      </w:r>
      <w:bookmarkEnd w:id="27"/>
    </w:p>
    <w:p w14:paraId="7FA2A1D0" w14:textId="77777777" w:rsidR="009D5671" w:rsidRPr="00B3123E" w:rsidRDefault="009D5671" w:rsidP="00D437CA">
      <w:pPr>
        <w:tabs>
          <w:tab w:val="left" w:pos="1440"/>
        </w:tabs>
        <w:spacing w:after="0"/>
        <w:ind w:firstLine="1276"/>
        <w:rPr>
          <w:rFonts w:ascii="Times New Roman" w:hAnsi="Times New Roman" w:cs="Times New Roman"/>
          <w:sz w:val="20"/>
          <w:szCs w:val="20"/>
          <w:lang w:val="sr-Cyrl-RS"/>
        </w:rPr>
      </w:pPr>
    </w:p>
    <w:p w14:paraId="1D26A76B" w14:textId="606BF1C8" w:rsidR="003440E5" w:rsidRPr="00B3123E" w:rsidRDefault="003440E5"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Доступност поштанских услуга у Републици Србији може се посматрати кроз број јединица поштанске мреже које пружају </w:t>
      </w:r>
      <w:r w:rsidR="00EF355B"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у односу на број становника, односно величину територије. Тако у Републици Србији на 10.000 становника постој</w:t>
      </w:r>
      <w:r w:rsidR="00243CB4"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2,7 јединица поштанске мреже, што је на нивоу европског просека који износи 2,6 јединица поштанске мреже на 10.000 становника.</w:t>
      </w:r>
      <w:r w:rsidRPr="00B3123E">
        <w:rPr>
          <w:rFonts w:ascii="Times New Roman" w:hAnsi="Times New Roman" w:cs="Times New Roman"/>
          <w:szCs w:val="24"/>
          <w:vertAlign w:val="superscript"/>
          <w:lang w:val="sr-Cyrl-RS"/>
        </w:rPr>
        <w:footnoteReference w:id="10"/>
      </w:r>
    </w:p>
    <w:p w14:paraId="6EF17B46" w14:textId="6C2B8981" w:rsidR="00DD34A7" w:rsidRPr="00B3123E" w:rsidRDefault="00DD34A7"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Када се ради о покривености територије у Републици Србији на 100 km² долази 2,3 јединиц</w:t>
      </w:r>
      <w:r w:rsidR="00243CB4"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поштанске мреже. Територијална покривеност у </w:t>
      </w:r>
      <w:r w:rsidR="00465F88"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Србији је мања у односу </w:t>
      </w:r>
      <w:r w:rsidR="00FE3C1E" w:rsidRPr="00B3123E">
        <w:rPr>
          <w:rFonts w:ascii="Times New Roman" w:hAnsi="Times New Roman" w:cs="Times New Roman"/>
          <w:szCs w:val="24"/>
          <w:lang w:val="sr-Cyrl-RS"/>
        </w:rPr>
        <w:t>на</w:t>
      </w:r>
      <w:r w:rsidRPr="00B3123E">
        <w:rPr>
          <w:rFonts w:ascii="Times New Roman" w:hAnsi="Times New Roman" w:cs="Times New Roman"/>
          <w:szCs w:val="24"/>
          <w:lang w:val="sr-Cyrl-RS"/>
        </w:rPr>
        <w:t xml:space="preserve"> европски просек (3,4 јединице поштанске мреже на 100 km²).</w:t>
      </w:r>
      <w:r w:rsidRPr="00B3123E">
        <w:rPr>
          <w:rFonts w:ascii="Times New Roman" w:hAnsi="Times New Roman" w:cs="Times New Roman"/>
          <w:szCs w:val="24"/>
          <w:vertAlign w:val="superscript"/>
          <w:lang w:val="sr-Cyrl-RS"/>
        </w:rPr>
        <w:footnoteReference w:id="11"/>
      </w:r>
      <w:r w:rsidRPr="00B3123E">
        <w:rPr>
          <w:rFonts w:ascii="Times New Roman" w:hAnsi="Times New Roman" w:cs="Times New Roman"/>
          <w:szCs w:val="24"/>
          <w:lang w:val="sr-Cyrl-RS"/>
        </w:rPr>
        <w:t xml:space="preserve"> Разлог за ово лежи у чињеници да је део територије Републике Србије руралан, планински, односно слабо насељен тако да поједине јединице поштанске мреже покривају велику територију са малим бројем становника. У наредном периоду посебну пажњу треба посветити овим јединицама поштанске мреже како би се осигурала доступност и одрживост </w:t>
      </w:r>
      <w:r w:rsidR="00EF355B"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w:t>
      </w:r>
    </w:p>
    <w:p w14:paraId="4113309A" w14:textId="53CD969D" w:rsidR="000D145D" w:rsidRPr="00B3123E" w:rsidRDefault="000D145D" w:rsidP="004B2269">
      <w:pPr>
        <w:pStyle w:val="Heading2"/>
        <w:jc w:val="left"/>
        <w:rPr>
          <w:rFonts w:ascii="Times New Roman" w:hAnsi="Times New Roman" w:cs="Times New Roman"/>
          <w:b w:val="0"/>
          <w:color w:val="auto"/>
          <w:u w:val="single"/>
          <w:lang w:val="sr-Cyrl-RS"/>
        </w:rPr>
      </w:pPr>
      <w:bookmarkStart w:id="29" w:name="_Toc211545974"/>
      <w:r w:rsidRPr="00B3123E">
        <w:rPr>
          <w:rFonts w:ascii="Times New Roman" w:hAnsi="Times New Roman" w:cs="Times New Roman"/>
          <w:b w:val="0"/>
          <w:color w:val="auto"/>
          <w:u w:val="single"/>
          <w:lang w:val="sr-Cyrl-RS"/>
        </w:rPr>
        <w:lastRenderedPageBreak/>
        <w:t xml:space="preserve">Развој поштанског сектора у </w:t>
      </w:r>
      <w:bookmarkEnd w:id="29"/>
      <w:r w:rsidR="00B879B9" w:rsidRPr="00B3123E">
        <w:rPr>
          <w:rFonts w:ascii="Times New Roman" w:hAnsi="Times New Roman" w:cs="Times New Roman"/>
          <w:b w:val="0"/>
          <w:color w:val="auto"/>
          <w:u w:val="single"/>
          <w:lang w:val="sr-Cyrl-RS"/>
        </w:rPr>
        <w:t>ЕУ</w:t>
      </w:r>
    </w:p>
    <w:p w14:paraId="183C6DAC" w14:textId="77777777" w:rsidR="00061165" w:rsidRPr="00B3123E" w:rsidRDefault="00061165" w:rsidP="00061165">
      <w:pPr>
        <w:tabs>
          <w:tab w:val="left" w:pos="1440"/>
        </w:tabs>
        <w:rPr>
          <w:rFonts w:ascii="Times New Roman" w:hAnsi="Times New Roman" w:cs="Times New Roman"/>
          <w:sz w:val="20"/>
          <w:szCs w:val="20"/>
          <w:lang w:val="sr-Cyrl-RS"/>
        </w:rPr>
      </w:pPr>
    </w:p>
    <w:p w14:paraId="274F27FE" w14:textId="0DAAFC36" w:rsidR="005E19A4"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Писмоносне пошиљке све више замењује електронска комуникација, посебно у контексту комуникације </w:t>
      </w:r>
      <w:r w:rsidR="001E3AFB"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и грађана (е</w:t>
      </w:r>
      <w:r w:rsidR="0022589F" w:rsidRPr="00B3123E">
        <w:rPr>
          <w:rFonts w:ascii="Times New Roman" w:hAnsi="Times New Roman" w:cs="Times New Roman"/>
          <w:szCs w:val="24"/>
          <w:lang w:val="sr-Cyrl-RS"/>
        </w:rPr>
        <w:t>У</w:t>
      </w:r>
      <w:r w:rsidRPr="00B3123E">
        <w:rPr>
          <w:rFonts w:ascii="Times New Roman" w:hAnsi="Times New Roman" w:cs="Times New Roman"/>
          <w:szCs w:val="24"/>
          <w:lang w:val="sr-Cyrl-RS"/>
        </w:rPr>
        <w:t>праве). Пошиљаоци масовне поште (нпр. банке, телекомуникационе компаније</w:t>
      </w:r>
      <w:r w:rsidR="00302CB5" w:rsidRPr="00B3123E">
        <w:rPr>
          <w:rFonts w:ascii="Times New Roman" w:hAnsi="Times New Roman" w:cs="Times New Roman"/>
          <w:szCs w:val="24"/>
          <w:lang w:val="sr-Cyrl-RS"/>
        </w:rPr>
        <w:t xml:space="preserve"> итд.</w:t>
      </w:r>
      <w:r w:rsidRPr="00B3123E">
        <w:rPr>
          <w:rFonts w:ascii="Times New Roman" w:hAnsi="Times New Roman" w:cs="Times New Roman"/>
          <w:szCs w:val="24"/>
          <w:lang w:val="sr-Cyrl-RS"/>
        </w:rPr>
        <w:t>) прешли су на решења за електронску комуникацију након финансијске кризе. У исто време, развој е-трговине је довео до знатног повећања обима услуга доставе пакета.</w:t>
      </w:r>
    </w:p>
    <w:p w14:paraId="26BE4583" w14:textId="558DADD5" w:rsidR="00104536"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Дигитализација и технолошки развој преобразили су потрошачке и пословне потребе, што је довело до стварања нових производа, услуга и пословних модела, глобално</w:t>
      </w:r>
      <w:r w:rsidR="0098598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на свим пољима па и у сектору поштанских услуга. Од финансијске кризе 2008.</w:t>
      </w:r>
      <w:r w:rsidR="00003663" w:rsidRPr="00B3123E">
        <w:rPr>
          <w:rFonts w:ascii="Times New Roman" w:hAnsi="Times New Roman" w:cs="Times New Roman"/>
          <w:szCs w:val="24"/>
          <w:lang w:val="sr-Cyrl-RS"/>
        </w:rPr>
        <w:t xml:space="preserve"> године</w:t>
      </w:r>
      <w:r w:rsidRPr="00B3123E">
        <w:rPr>
          <w:rFonts w:ascii="Times New Roman" w:hAnsi="Times New Roman" w:cs="Times New Roman"/>
          <w:szCs w:val="24"/>
          <w:lang w:val="sr-Cyrl-RS"/>
        </w:rPr>
        <w:t xml:space="preserve"> бележи се велик пад у количини писмоносних пошиљака и убрзава се електронска замена традиционалних поштанских услуга будући да владе, предузећа и потрошачи све више усвајају електронске поступке и комуникацију електронским путем у различитим доменима. Током пандемије </w:t>
      </w:r>
      <w:r w:rsidRPr="00B3123E">
        <w:rPr>
          <w:rFonts w:ascii="Times New Roman" w:hAnsi="Times New Roman" w:cs="Times New Roman"/>
          <w:iCs/>
          <w:szCs w:val="24"/>
          <w:lang w:val="sr-Cyrl-RS"/>
        </w:rPr>
        <w:t>COVID</w:t>
      </w:r>
      <w:r w:rsidRPr="00B3123E">
        <w:rPr>
          <w:rFonts w:ascii="Times New Roman" w:hAnsi="Times New Roman" w:cs="Times New Roman"/>
          <w:szCs w:val="24"/>
          <w:lang w:val="sr-Cyrl-RS"/>
        </w:rPr>
        <w:t xml:space="preserve">-19 пружаоци </w:t>
      </w:r>
      <w:r w:rsidR="009E66E2" w:rsidRPr="00B3123E">
        <w:rPr>
          <w:rFonts w:ascii="Times New Roman" w:hAnsi="Times New Roman" w:cs="Times New Roman"/>
          <w:szCs w:val="24"/>
          <w:lang w:val="sr-Cyrl-RS"/>
        </w:rPr>
        <w:t xml:space="preserve">УПУ </w:t>
      </w:r>
      <w:r w:rsidR="00633C54" w:rsidRPr="00B3123E">
        <w:rPr>
          <w:rFonts w:ascii="Times New Roman" w:hAnsi="Times New Roman" w:cs="Times New Roman"/>
          <w:szCs w:val="24"/>
          <w:lang w:val="sr-Cyrl-RS"/>
        </w:rPr>
        <w:t>у ЕУ</w:t>
      </w:r>
      <w:r w:rsidRPr="00B3123E">
        <w:rPr>
          <w:rFonts w:ascii="Times New Roman" w:hAnsi="Times New Roman" w:cs="Times New Roman"/>
          <w:szCs w:val="24"/>
          <w:lang w:val="sr-Cyrl-RS"/>
        </w:rPr>
        <w:t xml:space="preserve"> известили су да је дошло до пада у количинама писмоносних поши</w:t>
      </w:r>
      <w:r w:rsidR="00066A72" w:rsidRPr="00B3123E">
        <w:rPr>
          <w:rFonts w:ascii="Times New Roman" w:hAnsi="Times New Roman" w:cs="Times New Roman"/>
          <w:szCs w:val="24"/>
          <w:lang w:val="sr-Cyrl-RS"/>
        </w:rPr>
        <w:t>љака, а вредности се крећу од 4</w:t>
      </w:r>
      <w:r w:rsidRPr="00B3123E">
        <w:rPr>
          <w:rFonts w:ascii="Times New Roman" w:hAnsi="Times New Roman" w:cs="Times New Roman"/>
          <w:szCs w:val="24"/>
          <w:lang w:val="sr-Cyrl-RS"/>
        </w:rPr>
        <w:t xml:space="preserve">% у </w:t>
      </w:r>
      <w:r w:rsidR="008E1A23" w:rsidRPr="00B3123E">
        <w:rPr>
          <w:rFonts w:ascii="Times New Roman" w:hAnsi="Times New Roman" w:cs="Times New Roman"/>
          <w:szCs w:val="24"/>
          <w:lang w:val="sr-Cyrl-RS"/>
        </w:rPr>
        <w:t xml:space="preserve">Републици </w:t>
      </w:r>
      <w:r w:rsidR="00066A72" w:rsidRPr="00B3123E">
        <w:rPr>
          <w:rFonts w:ascii="Times New Roman" w:hAnsi="Times New Roman" w:cs="Times New Roman"/>
          <w:szCs w:val="24"/>
          <w:lang w:val="sr-Cyrl-RS"/>
        </w:rPr>
        <w:t>Ирској до 15</w:t>
      </w:r>
      <w:r w:rsidRPr="00B3123E">
        <w:rPr>
          <w:rFonts w:ascii="Times New Roman" w:hAnsi="Times New Roman" w:cs="Times New Roman"/>
          <w:szCs w:val="24"/>
          <w:lang w:val="sr-Cyrl-RS"/>
        </w:rPr>
        <w:t xml:space="preserve">% у </w:t>
      </w:r>
      <w:r w:rsidR="008E1A23"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Бугарској</w:t>
      </w:r>
      <w:r w:rsidR="00422EB0" w:rsidRPr="00B3123E">
        <w:rPr>
          <w:rStyle w:val="FootnoteReference"/>
          <w:rFonts w:ascii="Times New Roman" w:hAnsi="Times New Roman" w:cs="Times New Roman"/>
          <w:szCs w:val="24"/>
          <w:lang w:val="sr-Cyrl-RS"/>
        </w:rPr>
        <w:footnoteReference w:id="12"/>
      </w:r>
      <w:r w:rsidR="00003663" w:rsidRPr="00B3123E">
        <w:rPr>
          <w:rFonts w:ascii="Times New Roman" w:hAnsi="Times New Roman" w:cs="Times New Roman"/>
          <w:szCs w:val="24"/>
          <w:lang w:val="sr-Cyrl-RS"/>
        </w:rPr>
        <w:t>.</w:t>
      </w:r>
    </w:p>
    <w:p w14:paraId="6C7D8383" w14:textId="430C0BAA" w:rsidR="00104536"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w:t>
      </w:r>
      <w:r w:rsidR="00003663"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друге стране, раст у подручју услуга доставе пакета повећан је због великог пораста е-трговине. </w:t>
      </w:r>
      <w:r w:rsidR="00003663" w:rsidRPr="00B3123E">
        <w:rPr>
          <w:rFonts w:ascii="Times New Roman" w:hAnsi="Times New Roman" w:cs="Times New Roman"/>
          <w:szCs w:val="24"/>
          <w:lang w:val="sr-Cyrl-RS"/>
        </w:rPr>
        <w:t>П</w:t>
      </w:r>
      <w:r w:rsidRPr="00B3123E">
        <w:rPr>
          <w:rFonts w:ascii="Times New Roman" w:hAnsi="Times New Roman" w:cs="Times New Roman"/>
          <w:szCs w:val="24"/>
          <w:lang w:val="sr-Cyrl-RS"/>
        </w:rPr>
        <w:t xml:space="preserve">ре пандемије </w:t>
      </w:r>
      <w:r w:rsidRPr="00B3123E">
        <w:rPr>
          <w:rFonts w:ascii="Times New Roman" w:hAnsi="Times New Roman" w:cs="Times New Roman"/>
          <w:iCs/>
          <w:szCs w:val="24"/>
          <w:lang w:val="sr-Cyrl-RS"/>
        </w:rPr>
        <w:t>COVID</w:t>
      </w:r>
      <w:r w:rsidRPr="00B3123E">
        <w:rPr>
          <w:rFonts w:ascii="Times New Roman" w:hAnsi="Times New Roman" w:cs="Times New Roman"/>
          <w:szCs w:val="24"/>
          <w:lang w:val="sr-Cyrl-RS"/>
        </w:rPr>
        <w:t xml:space="preserve">-19 предвиђало се да ће се интернет продаја на глобалном нивоу удвостручити између 2019. и 2024. </w:t>
      </w:r>
      <w:r w:rsidR="00003663" w:rsidRPr="00B3123E">
        <w:rPr>
          <w:rFonts w:ascii="Times New Roman" w:hAnsi="Times New Roman" w:cs="Times New Roman"/>
          <w:szCs w:val="24"/>
          <w:lang w:val="sr-Cyrl-RS"/>
        </w:rPr>
        <w:t xml:space="preserve">године. </w:t>
      </w:r>
      <w:r w:rsidRPr="00B3123E">
        <w:rPr>
          <w:rFonts w:ascii="Times New Roman" w:hAnsi="Times New Roman" w:cs="Times New Roman"/>
          <w:szCs w:val="24"/>
          <w:lang w:val="sr-Cyrl-RS"/>
        </w:rPr>
        <w:t xml:space="preserve">Садашњи трендови упућују на то да ће се због пандемије тај временски оквир смањити. У </w:t>
      </w:r>
      <w:r w:rsidR="00003663" w:rsidRPr="00B3123E">
        <w:rPr>
          <w:rFonts w:ascii="Times New Roman" w:hAnsi="Times New Roman" w:cs="Times New Roman"/>
          <w:szCs w:val="24"/>
          <w:lang w:val="sr-Cyrl-RS"/>
        </w:rPr>
        <w:t>периоду</w:t>
      </w:r>
      <w:r w:rsidRPr="00B3123E">
        <w:rPr>
          <w:rFonts w:ascii="Times New Roman" w:hAnsi="Times New Roman" w:cs="Times New Roman"/>
          <w:szCs w:val="24"/>
          <w:lang w:val="sr-Cyrl-RS"/>
        </w:rPr>
        <w:t xml:space="preserve"> од 2019</w:t>
      </w:r>
      <w:r w:rsidR="007F6C81">
        <w:rPr>
          <w:rFonts w:ascii="Times New Roman" w:hAnsi="Times New Roman" w:cs="Times New Roman"/>
          <w:szCs w:val="24"/>
          <w:lang w:val="sr-Cyrl-RS"/>
        </w:rPr>
        <w:t xml:space="preserve">. до </w:t>
      </w:r>
      <w:r w:rsidRPr="00B3123E">
        <w:rPr>
          <w:rFonts w:ascii="Times New Roman" w:hAnsi="Times New Roman" w:cs="Times New Roman"/>
          <w:szCs w:val="24"/>
          <w:lang w:val="sr-Cyrl-RS"/>
        </w:rPr>
        <w:t>2022</w:t>
      </w:r>
      <w:r w:rsidR="00681985" w:rsidRPr="00B3123E">
        <w:rPr>
          <w:rFonts w:ascii="Times New Roman" w:hAnsi="Times New Roman" w:cs="Times New Roman"/>
          <w:szCs w:val="24"/>
          <w:lang w:val="sr-Cyrl-RS"/>
        </w:rPr>
        <w:t>.</w:t>
      </w:r>
      <w:r w:rsidR="00D45C7F" w:rsidRPr="00B3123E">
        <w:rPr>
          <w:rFonts w:ascii="Times New Roman" w:hAnsi="Times New Roman" w:cs="Times New Roman"/>
          <w:szCs w:val="24"/>
          <w:lang w:val="sr-Cyrl-RS"/>
        </w:rPr>
        <w:t xml:space="preserve"> г</w:t>
      </w:r>
      <w:r w:rsidR="00681985" w:rsidRPr="00B3123E">
        <w:rPr>
          <w:rFonts w:ascii="Times New Roman" w:hAnsi="Times New Roman" w:cs="Times New Roman"/>
          <w:szCs w:val="24"/>
          <w:lang w:val="sr-Cyrl-RS"/>
        </w:rPr>
        <w:t>одине</w:t>
      </w:r>
      <w:r w:rsidR="00D45C7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количине пакета су се повећале за 44%, а приход </w:t>
      </w:r>
      <w:r w:rsidR="00681985" w:rsidRPr="00B3123E">
        <w:rPr>
          <w:rFonts w:ascii="Times New Roman" w:hAnsi="Times New Roman" w:cs="Times New Roman"/>
          <w:szCs w:val="24"/>
          <w:lang w:val="sr-Cyrl-RS"/>
        </w:rPr>
        <w:t>се</w:t>
      </w:r>
      <w:r w:rsidRPr="00B3123E">
        <w:rPr>
          <w:rFonts w:ascii="Times New Roman" w:hAnsi="Times New Roman" w:cs="Times New Roman"/>
          <w:szCs w:val="24"/>
          <w:lang w:val="sr-Cyrl-RS"/>
        </w:rPr>
        <w:t xml:space="preserve"> у истом </w:t>
      </w:r>
      <w:r w:rsidR="00681985" w:rsidRPr="00B3123E">
        <w:rPr>
          <w:rFonts w:ascii="Times New Roman" w:hAnsi="Times New Roman" w:cs="Times New Roman"/>
          <w:szCs w:val="24"/>
          <w:lang w:val="sr-Cyrl-RS"/>
        </w:rPr>
        <w:t xml:space="preserve">периоду </w:t>
      </w:r>
      <w:r w:rsidRPr="00B3123E">
        <w:rPr>
          <w:rFonts w:ascii="Times New Roman" w:hAnsi="Times New Roman" w:cs="Times New Roman"/>
          <w:szCs w:val="24"/>
          <w:lang w:val="sr-Cyrl-RS"/>
        </w:rPr>
        <w:t>повећао за 45%</w:t>
      </w:r>
      <w:r w:rsidR="00EC0D9A" w:rsidRPr="00B3123E">
        <w:rPr>
          <w:rStyle w:val="FootnoteReference"/>
          <w:rFonts w:ascii="Times New Roman" w:hAnsi="Times New Roman" w:cs="Times New Roman"/>
          <w:szCs w:val="24"/>
          <w:lang w:val="sr-Cyrl-RS"/>
        </w:rPr>
        <w:footnoteReference w:id="13"/>
      </w:r>
      <w:r w:rsidRPr="00B3123E">
        <w:rPr>
          <w:rFonts w:ascii="Times New Roman" w:hAnsi="Times New Roman" w:cs="Times New Roman"/>
          <w:szCs w:val="24"/>
          <w:lang w:val="sr-Cyrl-RS"/>
        </w:rPr>
        <w:t xml:space="preserve">. </w:t>
      </w:r>
    </w:p>
    <w:p w14:paraId="262B1906" w14:textId="546BD1C4" w:rsidR="00104536"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Будући да пословни модел пружања поштанских услуга зависи од економије обима, због смањења количине писмоносних пошиљака (просечно 4,9 % сваке године од 2008. године)</w:t>
      </w:r>
      <w:r w:rsidR="00422EB0" w:rsidRPr="00B3123E">
        <w:rPr>
          <w:rStyle w:val="FootnoteReference"/>
          <w:rFonts w:ascii="Times New Roman" w:hAnsi="Times New Roman" w:cs="Times New Roman"/>
          <w:szCs w:val="24"/>
          <w:lang w:val="sr-Cyrl-RS"/>
        </w:rPr>
        <w:footnoteReference w:id="14"/>
      </w:r>
      <w:r w:rsidRPr="00B3123E">
        <w:rPr>
          <w:rFonts w:ascii="Times New Roman" w:hAnsi="Times New Roman" w:cs="Times New Roman"/>
          <w:szCs w:val="24"/>
          <w:lang w:val="sr-Cyrl-RS"/>
        </w:rPr>
        <w:t xml:space="preserve"> долази до повећања трошкова доставе по јединици. Како би отклонили учинак повећања трошкова, многи поштански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и у ЕУ мењају свој пословни модел. Пружаоци </w:t>
      </w:r>
      <w:r w:rsidR="00D00732"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су уз своје постојеће мреже и структуру високих фиксних трошкова истраживали начине повећања ефикасности, побољшања решења усмерених према купцу, дивер</w:t>
      </w:r>
      <w:r w:rsidR="00633C54" w:rsidRPr="00B3123E">
        <w:rPr>
          <w:rFonts w:ascii="Times New Roman" w:hAnsi="Times New Roman" w:cs="Times New Roman"/>
          <w:szCs w:val="24"/>
          <w:lang w:val="sr-Cyrl-RS"/>
        </w:rPr>
        <w:t>с</w:t>
      </w:r>
      <w:r w:rsidRPr="00B3123E">
        <w:rPr>
          <w:rFonts w:ascii="Times New Roman" w:hAnsi="Times New Roman" w:cs="Times New Roman"/>
          <w:szCs w:val="24"/>
          <w:lang w:val="sr-Cyrl-RS"/>
        </w:rPr>
        <w:t>ификације услуга и проналаска нових тржишта на којима могу имати раст пословања. Раст е-трговине</w:t>
      </w:r>
      <w:r w:rsidR="00D45C7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дао им је могућност развоја у подручју доставе пакета и многи се пружаоци </w:t>
      </w:r>
      <w:r w:rsidR="00415408"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сад интензивно надмећу с</w:t>
      </w:r>
      <w:r w:rsidR="007A657D"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другим пружаоцима услуга доставе пакета. </w:t>
      </w:r>
      <w:r w:rsidR="00425CB1" w:rsidRPr="00B3123E">
        <w:rPr>
          <w:rFonts w:ascii="Times New Roman" w:hAnsi="Times New Roman" w:cs="Times New Roman"/>
          <w:szCs w:val="24"/>
          <w:lang w:val="sr-Cyrl-RS"/>
        </w:rPr>
        <w:t>Т</w:t>
      </w:r>
      <w:r w:rsidRPr="00B3123E">
        <w:rPr>
          <w:rFonts w:ascii="Times New Roman" w:hAnsi="Times New Roman" w:cs="Times New Roman"/>
          <w:szCs w:val="24"/>
          <w:lang w:val="sr-Cyrl-RS"/>
        </w:rPr>
        <w:t xml:space="preserve">ржишни удео пружаоца </w:t>
      </w:r>
      <w:r w:rsidR="00415408"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у сегменту доставе пакета и даље</w:t>
      </w:r>
      <w:r w:rsidR="00BF2B5D" w:rsidRPr="00B3123E">
        <w:rPr>
          <w:rFonts w:ascii="Times New Roman" w:hAnsi="Times New Roman" w:cs="Times New Roman"/>
          <w:szCs w:val="24"/>
          <w:lang w:val="sr-Cyrl-RS"/>
        </w:rPr>
        <w:t xml:space="preserve"> није толико обима</w:t>
      </w:r>
      <w:r w:rsidR="00425CB1" w:rsidRPr="00B3123E">
        <w:rPr>
          <w:rFonts w:ascii="Times New Roman" w:hAnsi="Times New Roman" w:cs="Times New Roman"/>
          <w:szCs w:val="24"/>
          <w:lang w:val="sr-Cyrl-RS"/>
        </w:rPr>
        <w:t>н</w:t>
      </w:r>
      <w:r w:rsidRPr="00B3123E">
        <w:rPr>
          <w:rFonts w:ascii="Times New Roman" w:hAnsi="Times New Roman" w:cs="Times New Roman"/>
          <w:szCs w:val="24"/>
          <w:lang w:val="sr-Cyrl-RS"/>
        </w:rPr>
        <w:t xml:space="preserve"> у поређењу са сегментом писмоносних пошиљака, где одувек имају јако велики тржишни удео или су чак и даље једини релевантан тржишни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w:t>
      </w:r>
    </w:p>
    <w:p w14:paraId="5E6BCC53" w14:textId="25985A3C" w:rsidR="00104536"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Међутим, пораст обима е-трговине повећао је еколошки отисак поштанског сектора ЕУ између 2017. и 2021. године. Док су емисије </w:t>
      </w:r>
      <w:r w:rsidR="00FD2D90" w:rsidRPr="00B3123E">
        <w:rPr>
          <w:rFonts w:ascii="Times New Roman" w:hAnsi="Times New Roman" w:cs="Times New Roman"/>
          <w:szCs w:val="24"/>
          <w:lang w:val="sr-Cyrl-RS"/>
        </w:rPr>
        <w:t>CO₂</w:t>
      </w:r>
      <w:r w:rsidRPr="00B3123E">
        <w:rPr>
          <w:rFonts w:ascii="Times New Roman" w:hAnsi="Times New Roman" w:cs="Times New Roman"/>
          <w:szCs w:val="24"/>
          <w:lang w:val="sr-Cyrl-RS"/>
        </w:rPr>
        <w:t xml:space="preserve"> из унутрашњег промета писмоносних пошиљака и доставе пакета у ЕУ биле релативно константне између 2013. и 2016. године, од 2017. године укупне емисије порасле су у просеку за 12% годишње. </w:t>
      </w:r>
    </w:p>
    <w:p w14:paraId="2496837C" w14:textId="46606D3E" w:rsidR="00D437CA" w:rsidRPr="00B3123E" w:rsidRDefault="00104536" w:rsidP="009C2194">
      <w:pPr>
        <w:tabs>
          <w:tab w:val="left" w:pos="1440"/>
        </w:tabs>
        <w:ind w:firstLine="709"/>
        <w:rPr>
          <w:rFonts w:ascii="Times New Roman" w:hAnsi="Times New Roman" w:cs="Times New Roman"/>
          <w:szCs w:val="24"/>
          <w:lang w:val="sr-Cyrl-RS"/>
        </w:rPr>
      </w:pPr>
      <w:bookmarkStart w:id="31" w:name="_heading=h.35nkun2" w:colFirst="0" w:colLast="0"/>
      <w:bookmarkStart w:id="32" w:name="_heading=h.2jxsxqh" w:colFirst="0" w:colLast="0"/>
      <w:bookmarkEnd w:id="31"/>
      <w:bookmarkEnd w:id="32"/>
      <w:r w:rsidRPr="00B3123E">
        <w:rPr>
          <w:rFonts w:ascii="Times New Roman" w:hAnsi="Times New Roman" w:cs="Times New Roman"/>
          <w:szCs w:val="24"/>
          <w:lang w:val="sr-Cyrl-RS"/>
        </w:rPr>
        <w:lastRenderedPageBreak/>
        <w:t xml:space="preserve">Према истраживању </w:t>
      </w:r>
      <w:r w:rsidRPr="00B3123E">
        <w:rPr>
          <w:rFonts w:ascii="Times New Roman" w:hAnsi="Times New Roman" w:cs="Times New Roman"/>
          <w:i/>
          <w:iCs/>
          <w:szCs w:val="24"/>
          <w:lang w:val="sr-Cyrl-RS"/>
        </w:rPr>
        <w:t>Prospective</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study</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on</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the</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future</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of</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the</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postal</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sector</w:t>
      </w:r>
      <w:r w:rsidRPr="00B3123E">
        <w:rPr>
          <w:rFonts w:ascii="Times New Roman" w:hAnsi="Times New Roman" w:cs="Times New Roman"/>
          <w:szCs w:val="24"/>
          <w:lang w:val="sr-Cyrl-RS"/>
        </w:rPr>
        <w:t xml:space="preserve">, Европске комисије, предвиђања за будућност поштанског сектора сумирала су се као </w:t>
      </w:r>
      <w:r w:rsidR="00633C54" w:rsidRPr="00B3123E">
        <w:rPr>
          <w:rFonts w:ascii="Times New Roman" w:hAnsi="Times New Roman" w:cs="Times New Roman"/>
          <w:szCs w:val="24"/>
          <w:lang w:val="sr-Cyrl-RS"/>
        </w:rPr>
        <w:t>„</w:t>
      </w:r>
      <w:r w:rsidRPr="00B3123E">
        <w:rPr>
          <w:rFonts w:ascii="Times New Roman" w:hAnsi="Times New Roman" w:cs="Times New Roman"/>
          <w:szCs w:val="24"/>
          <w:lang w:val="sr-Cyrl-RS"/>
        </w:rPr>
        <w:t>ново нормално</w:t>
      </w:r>
      <w:r w:rsidR="00633C54" w:rsidRPr="00B3123E">
        <w:rPr>
          <w:rFonts w:ascii="Times New Roman" w:hAnsi="Times New Roman" w:cs="Times New Roman"/>
          <w:bCs/>
          <w:szCs w:val="24"/>
          <w:lang w:val="sr-Cyrl-RS"/>
        </w:rPr>
        <w:t>”</w:t>
      </w:r>
      <w:r w:rsidR="00FA7700"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(Табела 4.).</w:t>
      </w:r>
    </w:p>
    <w:p w14:paraId="3D3EF52D" w14:textId="25D1FE5A" w:rsidR="00300A4D" w:rsidRPr="00B3123E" w:rsidRDefault="00300A4D" w:rsidP="00300A4D">
      <w:pPr>
        <w:pStyle w:val="Caption"/>
        <w:spacing w:before="240" w:after="0"/>
        <w:rPr>
          <w:rFonts w:ascii="Times New Roman" w:hAnsi="Times New Roman" w:cs="Times New Roman"/>
          <w:b w:val="0"/>
          <w:color w:val="auto"/>
          <w:lang w:val="sr-Cyrl-RS"/>
        </w:rPr>
      </w:pPr>
      <w:bookmarkStart w:id="33" w:name="_Hlk213656190"/>
      <w:r w:rsidRPr="00B3123E">
        <w:rPr>
          <w:rFonts w:ascii="Times New Roman" w:hAnsi="Times New Roman" w:cs="Times New Roman"/>
          <w:color w:val="auto"/>
          <w:lang w:val="sr-Cyrl-RS"/>
        </w:rPr>
        <w:t xml:space="preserve">Табела </w:t>
      </w:r>
      <w:r w:rsidR="004210E1" w:rsidRPr="00B3123E">
        <w:rPr>
          <w:rFonts w:ascii="Times New Roman" w:hAnsi="Times New Roman" w:cs="Times New Roman"/>
          <w:color w:val="auto"/>
          <w:lang w:val="sr-Cyrl-RS"/>
        </w:rPr>
        <w:fldChar w:fldCharType="begin"/>
      </w:r>
      <w:r w:rsidRPr="00B3123E">
        <w:rPr>
          <w:rFonts w:ascii="Times New Roman" w:hAnsi="Times New Roman" w:cs="Times New Roman"/>
          <w:color w:val="auto"/>
          <w:lang w:val="sr-Cyrl-RS"/>
        </w:rPr>
        <w:instrText xml:space="preserve"> SEQ Табела \* ARABIC \s 1 </w:instrText>
      </w:r>
      <w:r w:rsidR="004210E1" w:rsidRPr="00B3123E">
        <w:rPr>
          <w:rFonts w:ascii="Times New Roman" w:hAnsi="Times New Roman" w:cs="Times New Roman"/>
          <w:color w:val="auto"/>
          <w:lang w:val="sr-Cyrl-RS"/>
        </w:rPr>
        <w:fldChar w:fldCharType="separate"/>
      </w:r>
      <w:r w:rsidR="00E52AA0" w:rsidRPr="00B3123E">
        <w:rPr>
          <w:rFonts w:ascii="Times New Roman" w:hAnsi="Times New Roman" w:cs="Times New Roman"/>
          <w:noProof/>
          <w:color w:val="auto"/>
          <w:lang w:val="sr-Cyrl-RS"/>
        </w:rPr>
        <w:t>4</w:t>
      </w:r>
      <w:r w:rsidR="004210E1" w:rsidRPr="00B3123E">
        <w:rPr>
          <w:rFonts w:ascii="Times New Roman" w:hAnsi="Times New Roman" w:cs="Times New Roman"/>
          <w:color w:val="auto"/>
          <w:lang w:val="sr-Cyrl-RS"/>
        </w:rPr>
        <w:fldChar w:fldCharType="end"/>
      </w:r>
      <w:r w:rsidRPr="00B3123E">
        <w:rPr>
          <w:rFonts w:ascii="Times New Roman" w:hAnsi="Times New Roman" w:cs="Times New Roman"/>
          <w:color w:val="auto"/>
          <w:lang w:val="sr-Cyrl-RS"/>
        </w:rPr>
        <w:t>.</w:t>
      </w:r>
      <w:r w:rsidR="00FA7700"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Предвиђања за будућност поштанског сектора у Европи до 2040. године</w:t>
      </w:r>
    </w:p>
    <w:tbl>
      <w:tblPr>
        <w:tblStyle w:val="GridTable5Dark-Accent11"/>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958"/>
        <w:gridCol w:w="2533"/>
        <w:gridCol w:w="2243"/>
        <w:gridCol w:w="2246"/>
      </w:tblGrid>
      <w:tr w:rsidR="005A2589" w:rsidRPr="00B3123E" w14:paraId="2BEAD6BD" w14:textId="77777777" w:rsidTr="00DE0A76">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1958" w:type="dxa"/>
            <w:shd w:val="clear" w:color="auto" w:fill="44546A" w:themeFill="text2"/>
            <w:vAlign w:val="center"/>
          </w:tcPr>
          <w:p w14:paraId="3350A3FA" w14:textId="77777777" w:rsidR="00300A4D" w:rsidRPr="00B3123E" w:rsidRDefault="00300A4D" w:rsidP="00F972B3">
            <w:pPr>
              <w:jc w:val="center"/>
              <w:rPr>
                <w:rFonts w:asciiTheme="minorHAnsi" w:hAnsiTheme="minorHAnsi" w:cstheme="minorHAnsi"/>
                <w:sz w:val="20"/>
                <w:szCs w:val="20"/>
                <w:lang w:val="sr-Cyrl-RS"/>
              </w:rPr>
            </w:pPr>
            <w:bookmarkStart w:id="34" w:name="_Hlk208820669"/>
            <w:bookmarkEnd w:id="33"/>
            <w:r w:rsidRPr="00B3123E">
              <w:rPr>
                <w:rFonts w:asciiTheme="minorHAnsi" w:hAnsiTheme="minorHAnsi" w:cstheme="minorHAnsi"/>
                <w:sz w:val="20"/>
                <w:szCs w:val="20"/>
                <w:lang w:val="sr-Cyrl-RS"/>
              </w:rPr>
              <w:t>Група индикатора</w:t>
            </w:r>
          </w:p>
        </w:tc>
        <w:tc>
          <w:tcPr>
            <w:tcW w:w="2533" w:type="dxa"/>
            <w:shd w:val="clear" w:color="auto" w:fill="44546A" w:themeFill="text2"/>
            <w:vAlign w:val="center"/>
          </w:tcPr>
          <w:p w14:paraId="37AF857D" w14:textId="77777777" w:rsidR="00300A4D" w:rsidRPr="00B3123E" w:rsidRDefault="00300A4D" w:rsidP="00F972B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Индикатор</w:t>
            </w:r>
          </w:p>
        </w:tc>
        <w:tc>
          <w:tcPr>
            <w:tcW w:w="4489" w:type="dxa"/>
            <w:gridSpan w:val="2"/>
            <w:shd w:val="clear" w:color="auto" w:fill="44546A" w:themeFill="text2"/>
            <w:vAlign w:val="center"/>
          </w:tcPr>
          <w:p w14:paraId="63A0D3D1" w14:textId="77777777" w:rsidR="00300A4D" w:rsidRPr="00B3123E" w:rsidRDefault="00300A4D" w:rsidP="00F972B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Потенцијални развој догађаја</w:t>
            </w:r>
          </w:p>
        </w:tc>
      </w:tr>
      <w:tr w:rsidR="005A2589" w:rsidRPr="00B3123E" w14:paraId="48C14F04"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6B3CD405" w14:textId="77777777" w:rsidR="00300A4D" w:rsidRPr="00B3123E" w:rsidRDefault="00300A4D" w:rsidP="00F972B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Потражња</w:t>
            </w:r>
          </w:p>
          <w:p w14:paraId="179EA8F9" w14:textId="77777777" w:rsidR="00300A4D" w:rsidRPr="00B3123E" w:rsidRDefault="00300A4D" w:rsidP="00F972B3">
            <w:pPr>
              <w:tabs>
                <w:tab w:val="left" w:pos="1440"/>
              </w:tabs>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3CC51453" w14:textId="77777777" w:rsidR="00300A4D" w:rsidRPr="00B3123E" w:rsidRDefault="00300A4D" w:rsidP="00F972B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Испоручена количина</w:t>
            </w:r>
          </w:p>
          <w:p w14:paraId="6FA99302" w14:textId="77777777" w:rsidR="00300A4D" w:rsidRPr="00B3123E" w:rsidRDefault="00300A4D" w:rsidP="00F972B3">
            <w:pPr>
              <w:tabs>
                <w:tab w:val="left" w:pos="144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p>
        </w:tc>
        <w:tc>
          <w:tcPr>
            <w:tcW w:w="2243" w:type="dxa"/>
            <w:shd w:val="clear" w:color="auto" w:fill="D5DCE4" w:themeFill="text2" w:themeFillTint="33"/>
          </w:tcPr>
          <w:p w14:paraId="5779B248" w14:textId="77777777" w:rsidR="00300A4D" w:rsidRPr="00B3123E" w:rsidRDefault="00300A4D" w:rsidP="00F972B3">
            <w:pPr>
              <w:tabs>
                <w:tab w:val="left" w:pos="144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Писма: Значајан пад, али извесна потражња остаје (премијум услуга малог обима и рањиви корисници). Писма слата потрошачима у маркетиншке сврхе у великим количинама су занемарљива.</w:t>
            </w:r>
          </w:p>
        </w:tc>
        <w:tc>
          <w:tcPr>
            <w:tcW w:w="2246" w:type="dxa"/>
            <w:shd w:val="clear" w:color="auto" w:fill="D5DCE4" w:themeFill="text2" w:themeFillTint="33"/>
          </w:tcPr>
          <w:p w14:paraId="72B9460D" w14:textId="34764845" w:rsidR="00300A4D" w:rsidRPr="00B3123E" w:rsidRDefault="00300A4D" w:rsidP="00F972B3">
            <w:pPr>
              <w:tabs>
                <w:tab w:val="left" w:pos="144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Пакети: Генерално јаки (јак</w:t>
            </w:r>
            <w:r w:rsidR="00E41AFF" w:rsidRPr="00B3123E">
              <w:rPr>
                <w:rFonts w:asciiTheme="minorHAnsi" w:hAnsiTheme="minorHAnsi" w:cstheme="minorHAnsi"/>
                <w:sz w:val="20"/>
                <w:szCs w:val="20"/>
                <w:lang w:val="sr-Cyrl-RS"/>
              </w:rPr>
              <w:t>e</w:t>
            </w:r>
            <w:r w:rsidRPr="00B3123E">
              <w:rPr>
                <w:rFonts w:asciiTheme="minorHAnsi" w:hAnsiTheme="minorHAnsi" w:cstheme="minorHAnsi"/>
                <w:sz w:val="20"/>
                <w:szCs w:val="20"/>
                <w:lang w:val="sr-Cyrl-RS"/>
              </w:rPr>
              <w:t xml:space="preserve"> B2C пошиљке унутар ЕУ, B2C пошиљке ван Европе су такође јак</w:t>
            </w:r>
            <w:r w:rsidR="00E41AFF" w:rsidRPr="00B3123E">
              <w:rPr>
                <w:rFonts w:asciiTheme="minorHAnsi" w:hAnsiTheme="minorHAnsi" w:cstheme="minorHAnsi"/>
                <w:sz w:val="20"/>
                <w:szCs w:val="20"/>
                <w:lang w:val="sr-Cyrl-RS"/>
              </w:rPr>
              <w:t>e</w:t>
            </w:r>
            <w:r w:rsidRPr="00B3123E">
              <w:rPr>
                <w:rFonts w:asciiTheme="minorHAnsi" w:hAnsiTheme="minorHAnsi" w:cstheme="minorHAnsi"/>
                <w:sz w:val="20"/>
                <w:szCs w:val="20"/>
                <w:lang w:val="sr-Cyrl-RS"/>
              </w:rPr>
              <w:t>, B2B пошиљке стабилне)</w:t>
            </w:r>
          </w:p>
        </w:tc>
      </w:tr>
      <w:tr w:rsidR="005A2589" w:rsidRPr="00B3123E" w14:paraId="1180C8F3"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285DC1F2"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Запослење</w:t>
            </w:r>
          </w:p>
        </w:tc>
        <w:tc>
          <w:tcPr>
            <w:tcW w:w="2533" w:type="dxa"/>
            <w:shd w:val="clear" w:color="auto" w:fill="D5DCE4" w:themeFill="text2" w:themeFillTint="33"/>
          </w:tcPr>
          <w:p w14:paraId="2FE634AF"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Број запослених</w:t>
            </w:r>
          </w:p>
        </w:tc>
        <w:tc>
          <w:tcPr>
            <w:tcW w:w="2243" w:type="dxa"/>
            <w:shd w:val="clear" w:color="auto" w:fill="D5DCE4" w:themeFill="text2" w:themeFillTint="33"/>
          </w:tcPr>
          <w:p w14:paraId="2D7FFA43" w14:textId="290982FA" w:rsidR="00D01673" w:rsidRPr="00B3123E" w:rsidRDefault="0010600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Давалац УПУ: </w:t>
            </w:r>
            <w:r w:rsidR="00D01673" w:rsidRPr="00B3123E">
              <w:rPr>
                <w:rFonts w:asciiTheme="minorHAnsi" w:hAnsiTheme="minorHAnsi" w:cstheme="minorHAnsi"/>
                <w:sz w:val="20"/>
                <w:szCs w:val="20"/>
                <w:lang w:val="sr-Cyrl-RS"/>
              </w:rPr>
              <w:t xml:space="preserve">Укупан пад броја. У малој мери, притисци су смањени преузимањем секундарних јавних функција од стране неких </w:t>
            </w:r>
            <w:r w:rsidRPr="00B3123E">
              <w:rPr>
                <w:rFonts w:asciiTheme="minorHAnsi" w:hAnsiTheme="minorHAnsi" w:cstheme="minorHAnsi"/>
                <w:sz w:val="20"/>
                <w:szCs w:val="20"/>
                <w:lang w:val="sr-Cyrl-RS"/>
              </w:rPr>
              <w:t>даваоца УПУ.</w:t>
            </w:r>
          </w:p>
        </w:tc>
        <w:tc>
          <w:tcPr>
            <w:tcW w:w="2246" w:type="dxa"/>
            <w:shd w:val="clear" w:color="auto" w:fill="D5DCE4" w:themeFill="text2" w:themeFillTint="33"/>
          </w:tcPr>
          <w:p w14:paraId="21B0AA44" w14:textId="4A2D4B8B" w:rsidR="00D01673" w:rsidRPr="00B3123E" w:rsidRDefault="0010600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Ван УПУ:</w:t>
            </w:r>
            <w:r w:rsidR="00D01673" w:rsidRPr="00B3123E">
              <w:rPr>
                <w:rFonts w:asciiTheme="minorHAnsi" w:hAnsiTheme="minorHAnsi" w:cstheme="minorHAnsi"/>
                <w:sz w:val="20"/>
                <w:szCs w:val="20"/>
                <w:lang w:val="sr-Cyrl-RS"/>
              </w:rPr>
              <w:t xml:space="preserve"> Запосленост остаје јака. Постоји извесна могућност пребацивања запослености са</w:t>
            </w:r>
            <w:r w:rsidR="00F104B2" w:rsidRPr="00B3123E">
              <w:rPr>
                <w:rFonts w:asciiTheme="minorHAnsi" w:hAnsiTheme="minorHAnsi" w:cstheme="minorHAnsi"/>
                <w:sz w:val="20"/>
                <w:szCs w:val="20"/>
                <w:lang w:val="sr-Cyrl-RS"/>
              </w:rPr>
              <w:t xml:space="preserve"> давалаца УПУ на друге операторе који не дају УПУ</w:t>
            </w:r>
            <w:r w:rsidR="00D01673" w:rsidRPr="00B3123E">
              <w:rPr>
                <w:rFonts w:asciiTheme="minorHAnsi" w:hAnsiTheme="minorHAnsi" w:cstheme="minorHAnsi"/>
                <w:sz w:val="20"/>
                <w:szCs w:val="20"/>
                <w:lang w:val="sr-Cyrl-RS"/>
              </w:rPr>
              <w:t>.</w:t>
            </w:r>
          </w:p>
        </w:tc>
      </w:tr>
      <w:tr w:rsidR="005A2589" w:rsidRPr="00B3123E" w14:paraId="5D7ED777"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14A9C861"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5078EA42"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Arial" w:eastAsia="Arial" w:hAnsi="Arial"/>
                <w:sz w:val="16"/>
                <w:szCs w:val="16"/>
                <w:lang w:val="sr-Cyrl-RS"/>
              </w:rPr>
              <w:t>Квалитет запослења/радни услови</w:t>
            </w:r>
          </w:p>
        </w:tc>
        <w:tc>
          <w:tcPr>
            <w:tcW w:w="4489" w:type="dxa"/>
            <w:gridSpan w:val="2"/>
            <w:shd w:val="clear" w:color="auto" w:fill="D5DCE4" w:themeFill="text2" w:themeFillTint="33"/>
          </w:tcPr>
          <w:p w14:paraId="49BFC895" w14:textId="7EF4774A"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Квалитет запо</w:t>
            </w:r>
            <w:r w:rsidR="00942D87" w:rsidRPr="00B3123E">
              <w:rPr>
                <w:rFonts w:asciiTheme="minorHAnsi" w:hAnsiTheme="minorHAnsi" w:cstheme="minorHAnsi"/>
                <w:sz w:val="20"/>
                <w:szCs w:val="20"/>
                <w:lang w:val="sr-Cyrl-RS"/>
              </w:rPr>
              <w:t>шљавања</w:t>
            </w:r>
            <w:r w:rsidRPr="00B3123E">
              <w:rPr>
                <w:rFonts w:asciiTheme="minorHAnsi" w:hAnsiTheme="minorHAnsi" w:cstheme="minorHAnsi"/>
                <w:sz w:val="20"/>
                <w:szCs w:val="20"/>
                <w:lang w:val="sr-Cyrl-RS"/>
              </w:rPr>
              <w:t xml:space="preserve"> постепено опада. Нови модели запошљавања где пружаоци јединствених јавних услуга пружају низ јавних услуга.</w:t>
            </w:r>
          </w:p>
        </w:tc>
      </w:tr>
      <w:tr w:rsidR="005A2589" w:rsidRPr="00B3123E" w14:paraId="7C88998B"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661CDA2D"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Покривеност и приступ услугама</w:t>
            </w:r>
          </w:p>
        </w:tc>
        <w:tc>
          <w:tcPr>
            <w:tcW w:w="2533" w:type="dxa"/>
            <w:shd w:val="clear" w:color="auto" w:fill="D5DCE4" w:themeFill="text2" w:themeFillTint="33"/>
          </w:tcPr>
          <w:p w14:paraId="7BEAEA67" w14:textId="0850C02C"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Обим и карактеристике У</w:t>
            </w:r>
            <w:r w:rsidR="00E41AFF" w:rsidRPr="00B3123E">
              <w:rPr>
                <w:rFonts w:asciiTheme="minorHAnsi" w:hAnsiTheme="minorHAnsi" w:cstheme="minorHAnsi"/>
                <w:sz w:val="20"/>
                <w:szCs w:val="20"/>
                <w:lang w:val="sr-Cyrl-RS"/>
              </w:rPr>
              <w:t>ПУ</w:t>
            </w:r>
            <w:r w:rsidRPr="00B3123E">
              <w:rPr>
                <w:rFonts w:asciiTheme="minorHAnsi" w:hAnsiTheme="minorHAnsi" w:cstheme="minorHAnsi"/>
                <w:sz w:val="20"/>
                <w:szCs w:val="20"/>
                <w:lang w:val="sr-Cyrl-RS"/>
              </w:rPr>
              <w:t xml:space="preserve"> у државама чланицам</w:t>
            </w:r>
            <w:r w:rsidR="003760AA" w:rsidRPr="00B3123E">
              <w:rPr>
                <w:rFonts w:asciiTheme="minorHAnsi" w:hAnsiTheme="minorHAnsi" w:cstheme="minorHAnsi"/>
                <w:sz w:val="20"/>
                <w:szCs w:val="20"/>
                <w:lang w:val="sr-Cyrl-RS"/>
              </w:rPr>
              <w:t>а</w:t>
            </w:r>
          </w:p>
        </w:tc>
        <w:tc>
          <w:tcPr>
            <w:tcW w:w="4489" w:type="dxa"/>
            <w:gridSpan w:val="2"/>
            <w:shd w:val="clear" w:color="auto" w:fill="D5DCE4" w:themeFill="text2" w:themeFillTint="33"/>
          </w:tcPr>
          <w:p w14:paraId="7E2F6D7F" w14:textId="3D2BA1A9"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Смањење обима и карактеристика У</w:t>
            </w:r>
            <w:r w:rsidR="00E41AFF" w:rsidRPr="00B3123E">
              <w:rPr>
                <w:rFonts w:asciiTheme="minorHAnsi" w:hAnsiTheme="minorHAnsi" w:cstheme="minorHAnsi"/>
                <w:sz w:val="20"/>
                <w:szCs w:val="20"/>
                <w:lang w:val="sr-Cyrl-RS"/>
              </w:rPr>
              <w:t>ПУ</w:t>
            </w:r>
            <w:r w:rsidRPr="00B3123E">
              <w:rPr>
                <w:rFonts w:asciiTheme="minorHAnsi" w:hAnsiTheme="minorHAnsi" w:cstheme="minorHAnsi"/>
                <w:sz w:val="20"/>
                <w:szCs w:val="20"/>
                <w:lang w:val="sr-Cyrl-RS"/>
              </w:rPr>
              <w:t xml:space="preserve"> кроз све </w:t>
            </w:r>
            <w:r w:rsidR="003760AA" w:rsidRPr="00B3123E">
              <w:rPr>
                <w:rFonts w:asciiTheme="minorHAnsi" w:hAnsiTheme="minorHAnsi" w:cstheme="minorHAnsi"/>
                <w:sz w:val="20"/>
                <w:szCs w:val="20"/>
                <w:lang w:val="sr-Cyrl-RS"/>
              </w:rPr>
              <w:t>већа</w:t>
            </w:r>
            <w:r w:rsidRPr="00B3123E">
              <w:rPr>
                <w:rFonts w:asciiTheme="minorHAnsi" w:hAnsiTheme="minorHAnsi" w:cstheme="minorHAnsi"/>
                <w:sz w:val="20"/>
                <w:szCs w:val="20"/>
                <w:lang w:val="sr-Cyrl-RS"/>
              </w:rPr>
              <w:t xml:space="preserve"> одступања на нивоу држава чланица</w:t>
            </w:r>
          </w:p>
        </w:tc>
      </w:tr>
      <w:tr w:rsidR="005A2589" w:rsidRPr="00B3123E" w14:paraId="03654372"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1F7765CE"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42895080"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Приступ за потрошаче</w:t>
            </w:r>
          </w:p>
        </w:tc>
        <w:tc>
          <w:tcPr>
            <w:tcW w:w="4489" w:type="dxa"/>
            <w:gridSpan w:val="2"/>
            <w:shd w:val="clear" w:color="auto" w:fill="D5DCE4" w:themeFill="text2" w:themeFillTint="33"/>
          </w:tcPr>
          <w:p w14:paraId="28E20EFA"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Радно време поште се постепено смањује, али нови пословни модели стварају додатна места за испоруку и преузимање п</w:t>
            </w:r>
            <w:r w:rsidR="003760AA" w:rsidRPr="00B3123E">
              <w:rPr>
                <w:rFonts w:asciiTheme="minorHAnsi" w:hAnsiTheme="minorHAnsi" w:cstheme="minorHAnsi"/>
                <w:sz w:val="20"/>
                <w:szCs w:val="20"/>
                <w:lang w:val="sr-Cyrl-RS"/>
              </w:rPr>
              <w:t>ошиљака</w:t>
            </w:r>
            <w:r w:rsidRPr="00B3123E">
              <w:rPr>
                <w:rFonts w:asciiTheme="minorHAnsi" w:hAnsiTheme="minorHAnsi" w:cstheme="minorHAnsi"/>
                <w:sz w:val="20"/>
                <w:szCs w:val="20"/>
                <w:lang w:val="sr-Cyrl-RS"/>
              </w:rPr>
              <w:t xml:space="preserve"> са флексибилнијим приступом</w:t>
            </w:r>
          </w:p>
        </w:tc>
      </w:tr>
      <w:tr w:rsidR="005A2589" w:rsidRPr="00B3123E" w14:paraId="08BFB63F"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5ED92FD9"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4D0D83F4"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Приступ за предузећа</w:t>
            </w:r>
          </w:p>
        </w:tc>
        <w:tc>
          <w:tcPr>
            <w:tcW w:w="4489" w:type="dxa"/>
            <w:gridSpan w:val="2"/>
            <w:shd w:val="clear" w:color="auto" w:fill="D5DCE4" w:themeFill="text2" w:themeFillTint="33"/>
          </w:tcPr>
          <w:p w14:paraId="1A8C059A"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Остаје слично, проток B2B пакета остаје стабилан</w:t>
            </w:r>
          </w:p>
        </w:tc>
      </w:tr>
      <w:tr w:rsidR="005A2589" w:rsidRPr="00B3123E" w14:paraId="3F15257F"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3DBF456F"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Квалитет услуге</w:t>
            </w:r>
          </w:p>
        </w:tc>
        <w:tc>
          <w:tcPr>
            <w:tcW w:w="2533" w:type="dxa"/>
            <w:shd w:val="clear" w:color="auto" w:fill="D5DCE4" w:themeFill="text2" w:themeFillTint="33"/>
          </w:tcPr>
          <w:p w14:paraId="6DD79627"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Квалитет услуге (укључујући учесталост и брзину испоруке)</w:t>
            </w:r>
          </w:p>
        </w:tc>
        <w:tc>
          <w:tcPr>
            <w:tcW w:w="2243" w:type="dxa"/>
            <w:shd w:val="clear" w:color="auto" w:fill="D5DCE4" w:themeFill="text2" w:themeFillTint="33"/>
          </w:tcPr>
          <w:p w14:paraId="02A8466A"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Писма: Брзина доставе смањена због пада потражње. Смањена учесталост доставе на врата.</w:t>
            </w:r>
          </w:p>
        </w:tc>
        <w:tc>
          <w:tcPr>
            <w:tcW w:w="2246" w:type="dxa"/>
            <w:shd w:val="clear" w:color="auto" w:fill="D5DCE4" w:themeFill="text2" w:themeFillTint="33"/>
          </w:tcPr>
          <w:p w14:paraId="0CA207E2"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Пакети: Брзина и учесталост испоруке остају високе, понекад преко нових места за испоруку и преузимање</w:t>
            </w:r>
          </w:p>
        </w:tc>
      </w:tr>
      <w:tr w:rsidR="005A2589" w:rsidRPr="00B3123E" w14:paraId="0DDC80EA"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294C530B"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701A9659"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Решавање жалби (број жалби)</w:t>
            </w:r>
          </w:p>
        </w:tc>
        <w:tc>
          <w:tcPr>
            <w:tcW w:w="2243" w:type="dxa"/>
            <w:shd w:val="clear" w:color="auto" w:fill="D5DCE4" w:themeFill="text2" w:themeFillTint="33"/>
          </w:tcPr>
          <w:p w14:paraId="4706CDDE"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Писма: Нема промена у односу на претходне трендове</w:t>
            </w:r>
          </w:p>
        </w:tc>
        <w:tc>
          <w:tcPr>
            <w:tcW w:w="2246" w:type="dxa"/>
            <w:shd w:val="clear" w:color="auto" w:fill="D5DCE4" w:themeFill="text2" w:themeFillTint="33"/>
          </w:tcPr>
          <w:p w14:paraId="6B148919"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Пакети: Без промена у односу на претходне трендове</w:t>
            </w:r>
          </w:p>
        </w:tc>
      </w:tr>
      <w:tr w:rsidR="005A2589" w:rsidRPr="00B3123E" w14:paraId="698DF488"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5F4A5C29"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Приступачност</w:t>
            </w:r>
          </w:p>
        </w:tc>
        <w:tc>
          <w:tcPr>
            <w:tcW w:w="2533" w:type="dxa"/>
            <w:shd w:val="clear" w:color="auto" w:fill="D5DCE4" w:themeFill="text2" w:themeFillTint="33"/>
          </w:tcPr>
          <w:p w14:paraId="42BE71DA"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Цене</w:t>
            </w:r>
          </w:p>
        </w:tc>
        <w:tc>
          <w:tcPr>
            <w:tcW w:w="2243" w:type="dxa"/>
            <w:shd w:val="clear" w:color="auto" w:fill="D5DCE4" w:themeFill="text2" w:themeFillTint="33"/>
          </w:tcPr>
          <w:p w14:paraId="1F2293AF"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Писма: Цене ће вероватно порасти због повећаних јединичних трошкова, смањених економија обима и општих притисака на трошкове</w:t>
            </w:r>
          </w:p>
        </w:tc>
        <w:tc>
          <w:tcPr>
            <w:tcW w:w="2246" w:type="dxa"/>
            <w:shd w:val="clear" w:color="auto" w:fill="D5DCE4" w:themeFill="text2" w:themeFillTint="33"/>
          </w:tcPr>
          <w:p w14:paraId="0C88721A" w14:textId="5D8AF25C"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Пакети: Развој цена </w:t>
            </w:r>
            <w:r w:rsidR="002641E8" w:rsidRPr="00B3123E">
              <w:rPr>
                <w:rFonts w:asciiTheme="minorHAnsi" w:hAnsiTheme="minorHAnsi" w:cstheme="minorHAnsi"/>
                <w:sz w:val="20"/>
                <w:szCs w:val="20"/>
                <w:lang w:val="sr-Cyrl-RS"/>
              </w:rPr>
              <w:t>тренутно није</w:t>
            </w:r>
            <w:r w:rsidRPr="00B3123E">
              <w:rPr>
                <w:rFonts w:asciiTheme="minorHAnsi" w:hAnsiTheme="minorHAnsi" w:cstheme="minorHAnsi"/>
                <w:sz w:val="20"/>
                <w:szCs w:val="20"/>
                <w:lang w:val="sr-Cyrl-RS"/>
              </w:rPr>
              <w:t xml:space="preserve"> </w:t>
            </w:r>
            <w:r w:rsidR="002641E8" w:rsidRPr="00B3123E">
              <w:rPr>
                <w:rFonts w:asciiTheme="minorHAnsi" w:hAnsiTheme="minorHAnsi" w:cstheme="minorHAnsi"/>
                <w:sz w:val="20"/>
                <w:szCs w:val="20"/>
                <w:lang w:val="sr-Cyrl-RS"/>
              </w:rPr>
              <w:t>могуће идентификовати</w:t>
            </w:r>
            <w:r w:rsidRPr="00B3123E">
              <w:rPr>
                <w:rFonts w:asciiTheme="minorHAnsi" w:hAnsiTheme="minorHAnsi" w:cstheme="minorHAnsi"/>
                <w:sz w:val="20"/>
                <w:szCs w:val="20"/>
                <w:lang w:val="sr-Cyrl-RS"/>
              </w:rPr>
              <w:t>, али иновативни модели дељења инфраструктуре могу смањити цене</w:t>
            </w:r>
          </w:p>
        </w:tc>
      </w:tr>
      <w:tr w:rsidR="005A2589" w:rsidRPr="00B3123E" w14:paraId="4BC14D58"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05EB023E"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Потребе корисника</w:t>
            </w:r>
          </w:p>
        </w:tc>
        <w:tc>
          <w:tcPr>
            <w:tcW w:w="2533" w:type="dxa"/>
            <w:shd w:val="clear" w:color="auto" w:fill="D5DCE4" w:themeFill="text2" w:themeFillTint="33"/>
          </w:tcPr>
          <w:p w14:paraId="23C1A92A"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Да ли су задовољене потребе корисника?</w:t>
            </w:r>
          </w:p>
        </w:tc>
        <w:tc>
          <w:tcPr>
            <w:tcW w:w="2243" w:type="dxa"/>
            <w:shd w:val="clear" w:color="auto" w:fill="D5DCE4" w:themeFill="text2" w:themeFillTint="33"/>
          </w:tcPr>
          <w:p w14:paraId="57838347" w14:textId="312B7E71"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Корисници: Очекује се да ће се потребе </w:t>
            </w:r>
            <w:r w:rsidRPr="00B3123E">
              <w:rPr>
                <w:rFonts w:asciiTheme="minorHAnsi" w:hAnsiTheme="minorHAnsi" w:cstheme="minorHAnsi"/>
                <w:sz w:val="20"/>
                <w:szCs w:val="20"/>
                <w:lang w:val="sr-Cyrl-RS"/>
              </w:rPr>
              <w:lastRenderedPageBreak/>
              <w:t xml:space="preserve">корисника променити, јер ће писма постати </w:t>
            </w:r>
            <w:r w:rsidR="00F035D4" w:rsidRPr="00B3123E">
              <w:rPr>
                <w:rFonts w:asciiTheme="minorHAnsi" w:hAnsiTheme="minorHAnsi" w:cstheme="minorHAnsi"/>
                <w:sz w:val="20"/>
                <w:szCs w:val="20"/>
                <w:lang w:val="sr-Cyrl-RS"/>
              </w:rPr>
              <w:t>мање значајна</w:t>
            </w:r>
            <w:r w:rsidRPr="00B3123E">
              <w:rPr>
                <w:rFonts w:asciiTheme="minorHAnsi" w:hAnsiTheme="minorHAnsi" w:cstheme="minorHAnsi"/>
                <w:sz w:val="20"/>
                <w:szCs w:val="20"/>
                <w:lang w:val="sr-Cyrl-RS"/>
              </w:rPr>
              <w:t xml:space="preserve"> услуга, али ће потребе рањивих корисника вероватно остати. Потражња за пакетима ће вероватно остати.</w:t>
            </w:r>
          </w:p>
        </w:tc>
        <w:tc>
          <w:tcPr>
            <w:tcW w:w="2246" w:type="dxa"/>
            <w:shd w:val="clear" w:color="auto" w:fill="D5DCE4" w:themeFill="text2" w:themeFillTint="33"/>
          </w:tcPr>
          <w:p w14:paraId="6B501E85" w14:textId="77777777" w:rsidR="003760AA"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lastRenderedPageBreak/>
              <w:t xml:space="preserve">Предузећа: </w:t>
            </w:r>
          </w:p>
          <w:p w14:paraId="7BAFCB73" w14:textId="77777777" w:rsidR="003760AA"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lastRenderedPageBreak/>
              <w:t xml:space="preserve">Писма: смањена потреба. </w:t>
            </w:r>
          </w:p>
          <w:p w14:paraId="221CF3CA"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Пакети: Конзумеризам ће вероватно превладати.</w:t>
            </w:r>
          </w:p>
        </w:tc>
      </w:tr>
      <w:tr w:rsidR="005A2589" w:rsidRPr="00B3123E" w14:paraId="6C6263B9"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51C11550"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775B90ED"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Рањиви корисници</w:t>
            </w:r>
          </w:p>
        </w:tc>
        <w:tc>
          <w:tcPr>
            <w:tcW w:w="4489" w:type="dxa"/>
            <w:gridSpan w:val="2"/>
            <w:shd w:val="clear" w:color="auto" w:fill="D5DCE4" w:themeFill="text2" w:themeFillTint="33"/>
          </w:tcPr>
          <w:p w14:paraId="0ED3BF66" w14:textId="5C2532BB"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Број рањивих корисника расте због старења становништва </w:t>
            </w:r>
            <w:r w:rsidR="002641E8" w:rsidRPr="00B3123E">
              <w:rPr>
                <w:rFonts w:asciiTheme="minorHAnsi" w:hAnsiTheme="minorHAnsi" w:cstheme="minorHAnsi"/>
                <w:sz w:val="20"/>
                <w:szCs w:val="20"/>
                <w:lang w:val="sr-Cyrl-RS"/>
              </w:rPr>
              <w:t>и здравствених проблема</w:t>
            </w:r>
          </w:p>
        </w:tc>
      </w:tr>
      <w:tr w:rsidR="005A2589" w:rsidRPr="00B3123E" w14:paraId="75CFF52C" w14:textId="77777777" w:rsidTr="00DE0A76">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1598AED7"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Трошкови</w:t>
            </w:r>
          </w:p>
        </w:tc>
        <w:tc>
          <w:tcPr>
            <w:tcW w:w="2533" w:type="dxa"/>
            <w:shd w:val="clear" w:color="auto" w:fill="D5DCE4" w:themeFill="text2" w:themeFillTint="33"/>
          </w:tcPr>
          <w:p w14:paraId="1D7820AF" w14:textId="46C6E848"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Нето трошкови </w:t>
            </w:r>
            <w:r w:rsidR="00DE56DF" w:rsidRPr="00B3123E">
              <w:rPr>
                <w:rFonts w:asciiTheme="minorHAnsi" w:hAnsiTheme="minorHAnsi" w:cstheme="minorHAnsi"/>
                <w:sz w:val="20"/>
                <w:szCs w:val="20"/>
                <w:lang w:val="sr-Cyrl-RS"/>
              </w:rPr>
              <w:t>УП</w:t>
            </w:r>
            <w:r w:rsidR="00397FFC" w:rsidRPr="00B3123E">
              <w:rPr>
                <w:rFonts w:asciiTheme="minorHAnsi" w:hAnsiTheme="minorHAnsi" w:cstheme="minorHAnsi"/>
                <w:sz w:val="20"/>
                <w:szCs w:val="20"/>
                <w:lang w:val="sr-Cyrl-RS"/>
              </w:rPr>
              <w:t>У</w:t>
            </w:r>
            <w:r w:rsidRPr="00B3123E">
              <w:rPr>
                <w:rFonts w:asciiTheme="minorHAnsi" w:hAnsiTheme="minorHAnsi" w:cstheme="minorHAnsi"/>
                <w:sz w:val="20"/>
                <w:szCs w:val="20"/>
                <w:lang w:val="sr-Cyrl-RS"/>
              </w:rPr>
              <w:t xml:space="preserve"> и ње</w:t>
            </w:r>
            <w:r w:rsidR="00DE56DF" w:rsidRPr="00B3123E">
              <w:rPr>
                <w:rFonts w:asciiTheme="minorHAnsi" w:hAnsiTheme="minorHAnsi" w:cstheme="minorHAnsi"/>
                <w:sz w:val="20"/>
                <w:szCs w:val="20"/>
                <w:lang w:val="sr-Cyrl-RS"/>
              </w:rPr>
              <w:t>на</w:t>
            </w:r>
            <w:r w:rsidRPr="00B3123E">
              <w:rPr>
                <w:rFonts w:asciiTheme="minorHAnsi" w:hAnsiTheme="minorHAnsi" w:cstheme="minorHAnsi"/>
                <w:sz w:val="20"/>
                <w:szCs w:val="20"/>
                <w:lang w:val="sr-Cyrl-RS"/>
              </w:rPr>
              <w:t xml:space="preserve"> одрживост</w:t>
            </w:r>
          </w:p>
        </w:tc>
        <w:tc>
          <w:tcPr>
            <w:tcW w:w="4489" w:type="dxa"/>
            <w:gridSpan w:val="2"/>
            <w:shd w:val="clear" w:color="auto" w:fill="D5DCE4" w:themeFill="text2" w:themeFillTint="33"/>
          </w:tcPr>
          <w:p w14:paraId="248AA45B" w14:textId="3FF08AB1"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Нето трошкови </w:t>
            </w:r>
            <w:r w:rsidR="00DE56DF" w:rsidRPr="00B3123E">
              <w:rPr>
                <w:rFonts w:asciiTheme="minorHAnsi" w:hAnsiTheme="minorHAnsi" w:cstheme="minorHAnsi"/>
                <w:sz w:val="20"/>
                <w:szCs w:val="20"/>
                <w:lang w:val="sr-Cyrl-RS"/>
              </w:rPr>
              <w:t>УПУ</w:t>
            </w:r>
            <w:r w:rsidRPr="00B3123E">
              <w:rPr>
                <w:rFonts w:asciiTheme="minorHAnsi" w:hAnsiTheme="minorHAnsi" w:cstheme="minorHAnsi"/>
                <w:sz w:val="20"/>
                <w:szCs w:val="20"/>
                <w:lang w:val="sr-Cyrl-RS"/>
              </w:rPr>
              <w:t xml:space="preserve"> ће вероватно порасти због повећаних јединичних трошкова, посебно за писма, иако ће мањи број писама и смањени обим У</w:t>
            </w:r>
            <w:r w:rsidR="00DE56DF" w:rsidRPr="00B3123E">
              <w:rPr>
                <w:rFonts w:asciiTheme="minorHAnsi" w:hAnsiTheme="minorHAnsi" w:cstheme="minorHAnsi"/>
                <w:sz w:val="20"/>
                <w:szCs w:val="20"/>
                <w:lang w:val="sr-Cyrl-RS"/>
              </w:rPr>
              <w:t>ПУ</w:t>
            </w:r>
            <w:r w:rsidRPr="00B3123E">
              <w:rPr>
                <w:rFonts w:asciiTheme="minorHAnsi" w:hAnsiTheme="minorHAnsi" w:cstheme="minorHAnsi"/>
                <w:sz w:val="20"/>
                <w:szCs w:val="20"/>
                <w:lang w:val="sr-Cyrl-RS"/>
              </w:rPr>
              <w:t xml:space="preserve"> вероватно донекле надокнадити овај развој догађаја.</w:t>
            </w:r>
          </w:p>
        </w:tc>
      </w:tr>
      <w:tr w:rsidR="005A2589" w:rsidRPr="00B3123E" w14:paraId="11475DF2"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45FD8914" w14:textId="77777777" w:rsidR="00577746" w:rsidRPr="00B3123E" w:rsidRDefault="00577746"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Тржишна конкуренција</w:t>
            </w:r>
          </w:p>
        </w:tc>
        <w:tc>
          <w:tcPr>
            <w:tcW w:w="2533" w:type="dxa"/>
            <w:shd w:val="clear" w:color="auto" w:fill="D5DCE4" w:themeFill="text2" w:themeFillTint="33"/>
          </w:tcPr>
          <w:p w14:paraId="2A8093EB" w14:textId="77777777" w:rsidR="00577746" w:rsidRPr="00B3123E" w:rsidRDefault="00577746"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Дељена инфраструктура</w:t>
            </w:r>
          </w:p>
        </w:tc>
        <w:tc>
          <w:tcPr>
            <w:tcW w:w="4489" w:type="dxa"/>
            <w:gridSpan w:val="2"/>
            <w:shd w:val="clear" w:color="auto" w:fill="D5DCE4" w:themeFill="text2" w:themeFillTint="33"/>
          </w:tcPr>
          <w:p w14:paraId="21B75512" w14:textId="1A182280" w:rsidR="00577746" w:rsidRPr="00B3123E" w:rsidRDefault="00577746"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Кооперација: широко дељење инфраструктуре (складишта, транспорт, </w:t>
            </w:r>
            <w:r w:rsidR="00F035D4" w:rsidRPr="00B3123E">
              <w:rPr>
                <w:rFonts w:asciiTheme="minorHAnsi" w:hAnsiTheme="minorHAnsi" w:cstheme="minorHAnsi"/>
                <w:sz w:val="20"/>
                <w:szCs w:val="20"/>
                <w:lang w:val="sr-Cyrl-RS"/>
              </w:rPr>
              <w:t>пакетомати</w:t>
            </w:r>
            <w:r w:rsidRPr="00B3123E">
              <w:rPr>
                <w:rFonts w:asciiTheme="minorHAnsi" w:hAnsiTheme="minorHAnsi" w:cstheme="minorHAnsi"/>
                <w:sz w:val="20"/>
                <w:szCs w:val="20"/>
                <w:lang w:val="sr-Cyrl-RS"/>
              </w:rPr>
              <w:t xml:space="preserve">), паметни поштански сандучићи </w:t>
            </w:r>
          </w:p>
        </w:tc>
      </w:tr>
      <w:tr w:rsidR="005A2589" w:rsidRPr="00B3123E" w14:paraId="2910C693"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79EBCE8C" w14:textId="77777777" w:rsidR="00577746" w:rsidRPr="00B3123E" w:rsidRDefault="00577746"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665FD58E" w14:textId="77777777"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Концентрација тржишта</w:t>
            </w:r>
          </w:p>
        </w:tc>
        <w:tc>
          <w:tcPr>
            <w:tcW w:w="2243" w:type="dxa"/>
            <w:shd w:val="clear" w:color="auto" w:fill="D5DCE4" w:themeFill="text2" w:themeFillTint="33"/>
          </w:tcPr>
          <w:p w14:paraId="05909CCE" w14:textId="77777777"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Писма: </w:t>
            </w:r>
          </w:p>
          <w:p w14:paraId="17DC33C0" w14:textId="468EE64D"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Консолидација, укључујући и на регионалном нивоу, писма и даље првенствено достављају пружаоци </w:t>
            </w:r>
            <w:r w:rsidR="00C5783F" w:rsidRPr="00B3123E">
              <w:rPr>
                <w:rFonts w:asciiTheme="minorHAnsi" w:hAnsiTheme="minorHAnsi" w:cstheme="minorHAnsi"/>
                <w:sz w:val="20"/>
                <w:szCs w:val="20"/>
                <w:lang w:val="sr-Cyrl-RS"/>
              </w:rPr>
              <w:t>УПУ</w:t>
            </w:r>
            <w:r w:rsidRPr="00B3123E">
              <w:rPr>
                <w:rFonts w:asciiTheme="minorHAnsi" w:hAnsiTheme="minorHAnsi" w:cstheme="minorHAnsi"/>
                <w:sz w:val="20"/>
                <w:szCs w:val="20"/>
                <w:lang w:val="sr-Cyrl-RS"/>
              </w:rPr>
              <w:t>.</w:t>
            </w:r>
          </w:p>
        </w:tc>
        <w:tc>
          <w:tcPr>
            <w:tcW w:w="2246" w:type="dxa"/>
            <w:shd w:val="clear" w:color="auto" w:fill="D5DCE4" w:themeFill="text2" w:themeFillTint="33"/>
          </w:tcPr>
          <w:p w14:paraId="75BA06F7" w14:textId="77777777"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Пакети: </w:t>
            </w:r>
          </w:p>
          <w:p w14:paraId="7CAA3719" w14:textId="77777777"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Консолидација на регионалном или европском нивоу, мањи тржишни удео за традиционалне добављаче, док компаније у суседним секторима (нпр. електронска трговина) освајају тржишни удео.</w:t>
            </w:r>
          </w:p>
        </w:tc>
      </w:tr>
      <w:tr w:rsidR="005A2589" w:rsidRPr="00B3123E" w14:paraId="69E60C16"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039EBF10"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Инвестиције</w:t>
            </w:r>
          </w:p>
        </w:tc>
        <w:tc>
          <w:tcPr>
            <w:tcW w:w="2533" w:type="dxa"/>
            <w:shd w:val="clear" w:color="auto" w:fill="D5DCE4" w:themeFill="text2" w:themeFillTint="33"/>
          </w:tcPr>
          <w:p w14:paraId="7C146B20"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Инвестиције</w:t>
            </w:r>
          </w:p>
        </w:tc>
        <w:tc>
          <w:tcPr>
            <w:tcW w:w="4489" w:type="dxa"/>
            <w:gridSpan w:val="2"/>
            <w:shd w:val="clear" w:color="auto" w:fill="D5DCE4" w:themeFill="text2" w:themeFillTint="33"/>
          </w:tcPr>
          <w:p w14:paraId="365EB22C" w14:textId="13159D74"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Мањим </w:t>
            </w:r>
            <w:r w:rsidR="00180E66" w:rsidRPr="00B3123E">
              <w:rPr>
                <w:rFonts w:asciiTheme="minorHAnsi" w:hAnsiTheme="minorHAnsi" w:cstheme="minorHAnsi"/>
                <w:sz w:val="20"/>
                <w:szCs w:val="20"/>
                <w:lang w:val="sr-Cyrl-RS"/>
              </w:rPr>
              <w:t>оператор</w:t>
            </w:r>
            <w:r w:rsidRPr="00B3123E">
              <w:rPr>
                <w:rFonts w:asciiTheme="minorHAnsi" w:hAnsiTheme="minorHAnsi" w:cstheme="minorHAnsi"/>
                <w:sz w:val="20"/>
                <w:szCs w:val="20"/>
                <w:lang w:val="sr-Cyrl-RS"/>
              </w:rPr>
              <w:t>има су потребна улагања како би се прилагодили променљивим околностима. Нека улагања ће бити подељена због повећаног ослањања на заједничку инфраструктуру.</w:t>
            </w:r>
          </w:p>
        </w:tc>
      </w:tr>
      <w:tr w:rsidR="005A2589" w:rsidRPr="00B3123E" w14:paraId="66523F78" w14:textId="77777777" w:rsidTr="00DE0A76">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396A9A7C" w14:textId="74218362"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Дивер</w:t>
            </w:r>
            <w:r w:rsidR="007F5DD9" w:rsidRPr="00B3123E">
              <w:rPr>
                <w:rFonts w:asciiTheme="minorHAnsi" w:hAnsiTheme="minorHAnsi" w:cstheme="minorHAnsi"/>
                <w:color w:val="auto"/>
                <w:sz w:val="20"/>
                <w:szCs w:val="20"/>
                <w:lang w:val="sr-Cyrl-RS"/>
              </w:rPr>
              <w:t>с</w:t>
            </w:r>
            <w:r w:rsidRPr="00B3123E">
              <w:rPr>
                <w:rFonts w:asciiTheme="minorHAnsi" w:hAnsiTheme="minorHAnsi" w:cstheme="minorHAnsi"/>
                <w:color w:val="auto"/>
                <w:sz w:val="20"/>
                <w:szCs w:val="20"/>
                <w:lang w:val="sr-Cyrl-RS"/>
              </w:rPr>
              <w:t>ификација</w:t>
            </w:r>
          </w:p>
        </w:tc>
        <w:tc>
          <w:tcPr>
            <w:tcW w:w="2533" w:type="dxa"/>
            <w:shd w:val="clear" w:color="auto" w:fill="D5DCE4" w:themeFill="text2" w:themeFillTint="33"/>
          </w:tcPr>
          <w:p w14:paraId="49B54F81" w14:textId="0A5E66AE" w:rsidR="00D01673" w:rsidRPr="00B3123E" w:rsidRDefault="00AF6378"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Дивер</w:t>
            </w:r>
            <w:r w:rsidR="007F5DD9" w:rsidRPr="00B3123E">
              <w:rPr>
                <w:rFonts w:asciiTheme="minorHAnsi" w:hAnsiTheme="minorHAnsi" w:cstheme="minorHAnsi"/>
                <w:sz w:val="20"/>
                <w:szCs w:val="20"/>
                <w:lang w:val="sr-Cyrl-RS"/>
              </w:rPr>
              <w:t>с</w:t>
            </w:r>
            <w:r w:rsidRPr="00B3123E">
              <w:rPr>
                <w:rFonts w:asciiTheme="minorHAnsi" w:hAnsiTheme="minorHAnsi" w:cstheme="minorHAnsi"/>
                <w:sz w:val="20"/>
                <w:szCs w:val="20"/>
                <w:lang w:val="sr-Cyrl-RS"/>
              </w:rPr>
              <w:t xml:space="preserve">ификација и вертикална интеграција </w:t>
            </w:r>
            <w:r w:rsidR="00E042BD" w:rsidRPr="00B3123E">
              <w:rPr>
                <w:rFonts w:asciiTheme="minorHAnsi" w:hAnsiTheme="minorHAnsi" w:cstheme="minorHAnsi"/>
                <w:sz w:val="20"/>
                <w:szCs w:val="20"/>
                <w:lang w:val="sr-Cyrl-RS"/>
              </w:rPr>
              <w:t>даваоца УПУ</w:t>
            </w:r>
          </w:p>
        </w:tc>
        <w:tc>
          <w:tcPr>
            <w:tcW w:w="4489" w:type="dxa"/>
            <w:gridSpan w:val="2"/>
            <w:shd w:val="clear" w:color="auto" w:fill="D5DCE4" w:themeFill="text2" w:themeFillTint="33"/>
          </w:tcPr>
          <w:p w14:paraId="4BB7D424" w14:textId="53089180" w:rsidR="00D01673" w:rsidRPr="00B3123E" w:rsidRDefault="00E042BD"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Даваоци УПУ услед диверсификације даваће и друге јавне непоштанске услуге</w:t>
            </w:r>
          </w:p>
        </w:tc>
      </w:tr>
      <w:tr w:rsidR="000F5C47" w:rsidRPr="00B3123E" w14:paraId="1348E0C3"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65D8C2C7" w14:textId="77777777" w:rsidR="000F5C47" w:rsidRPr="00B3123E" w:rsidRDefault="000F5C47" w:rsidP="000F5C47">
            <w:pPr>
              <w:jc w:val="left"/>
              <w:rPr>
                <w:color w:val="auto"/>
                <w:lang w:val="sr-Cyrl-RS"/>
              </w:rPr>
            </w:pPr>
            <w:r w:rsidRPr="00B3123E">
              <w:rPr>
                <w:rFonts w:asciiTheme="minorHAnsi" w:hAnsiTheme="minorHAnsi" w:cstheme="minorHAnsi"/>
                <w:color w:val="auto"/>
                <w:sz w:val="20"/>
                <w:szCs w:val="20"/>
                <w:lang w:val="sr-Cyrl-RS"/>
              </w:rPr>
              <w:t>Окружење</w:t>
            </w:r>
          </w:p>
          <w:p w14:paraId="7C59C8FD" w14:textId="687183C3" w:rsidR="000F5C47" w:rsidRPr="00B3123E" w:rsidRDefault="000F5C47" w:rsidP="000F5C47">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1B808F6B" w14:textId="6E956DE1" w:rsidR="000F5C47" w:rsidRPr="00B3123E" w:rsidRDefault="000F5C47" w:rsidP="000F5C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Емисије </w:t>
            </w:r>
            <w:r w:rsidR="0067166F" w:rsidRPr="00B3123E">
              <w:rPr>
                <w:rFonts w:asciiTheme="minorHAnsi" w:hAnsiTheme="minorHAnsi" w:cstheme="minorHAnsi"/>
                <w:sz w:val="20"/>
                <w:szCs w:val="20"/>
                <w:lang w:val="sr-Cyrl-RS"/>
              </w:rPr>
              <w:t>штетних гасова</w:t>
            </w:r>
          </w:p>
        </w:tc>
        <w:tc>
          <w:tcPr>
            <w:tcW w:w="2243" w:type="dxa"/>
            <w:shd w:val="clear" w:color="auto" w:fill="D5DCE4" w:themeFill="text2" w:themeFillTint="33"/>
          </w:tcPr>
          <w:p w14:paraId="2E0AB8F0" w14:textId="4DBA5FAE" w:rsidR="000F5C47" w:rsidRPr="00B3123E" w:rsidRDefault="000F5C47" w:rsidP="000F5C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Значајно смањење писама, електронска супституција, а самим тим и смањење штетних гасова</w:t>
            </w:r>
          </w:p>
        </w:tc>
        <w:tc>
          <w:tcPr>
            <w:tcW w:w="2246" w:type="dxa"/>
            <w:shd w:val="clear" w:color="auto" w:fill="D5DCE4" w:themeFill="text2" w:themeFillTint="33"/>
          </w:tcPr>
          <w:p w14:paraId="6C65AA73" w14:textId="379C531B" w:rsidR="000F5C47" w:rsidRPr="00B3123E" w:rsidRDefault="000F5C47" w:rsidP="000F5C47">
            <w:pPr>
              <w:jc w:val="left"/>
              <w:cnfStyle w:val="000000100000" w:firstRow="0" w:lastRow="0" w:firstColumn="0" w:lastColumn="0" w:oddVBand="0" w:evenVBand="0" w:oddHBand="1" w:evenHBand="0" w:firstRowFirstColumn="0" w:firstRowLastColumn="0" w:lastRowFirstColumn="0" w:lastRowLastColumn="0"/>
              <w:rPr>
                <w:sz w:val="20"/>
                <w:szCs w:val="20"/>
                <w:lang w:val="sr-Cyrl-RS"/>
              </w:rPr>
            </w:pPr>
            <w:r w:rsidRPr="00B3123E">
              <w:rPr>
                <w:sz w:val="20"/>
                <w:szCs w:val="20"/>
                <w:lang w:val="sr-Cyrl-RS"/>
              </w:rPr>
              <w:t>Повећање обима пакета и емисије штетних гасова</w:t>
            </w:r>
          </w:p>
        </w:tc>
      </w:tr>
      <w:tr w:rsidR="005A2589" w:rsidRPr="00B3123E" w14:paraId="6C3FDBE8" w14:textId="77777777" w:rsidTr="00DE0A76">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6DE34A5D"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Хармонизација</w:t>
            </w:r>
          </w:p>
        </w:tc>
        <w:tc>
          <w:tcPr>
            <w:tcW w:w="2533" w:type="dxa"/>
            <w:shd w:val="clear" w:color="auto" w:fill="D5DCE4" w:themeFill="text2" w:themeFillTint="33"/>
          </w:tcPr>
          <w:p w14:paraId="43A8D476"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Хармонизоване регулаторне одредбе и стандарди</w:t>
            </w:r>
          </w:p>
        </w:tc>
        <w:tc>
          <w:tcPr>
            <w:tcW w:w="4489" w:type="dxa"/>
            <w:gridSpan w:val="2"/>
            <w:shd w:val="clear" w:color="auto" w:fill="D5DCE4" w:themeFill="text2" w:themeFillTint="33"/>
          </w:tcPr>
          <w:p w14:paraId="3EEB8451" w14:textId="4AC90F14" w:rsidR="00D01673" w:rsidRPr="00B3123E" w:rsidRDefault="00D01673" w:rsidP="00633C5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Генерално, дивер</w:t>
            </w:r>
            <w:r w:rsidR="00633C54" w:rsidRPr="00B3123E">
              <w:rPr>
                <w:rFonts w:asciiTheme="minorHAnsi" w:hAnsiTheme="minorHAnsi" w:cstheme="minorHAnsi"/>
                <w:sz w:val="20"/>
                <w:szCs w:val="20"/>
                <w:lang w:val="sr-Cyrl-RS"/>
              </w:rPr>
              <w:t>с</w:t>
            </w:r>
            <w:r w:rsidRPr="00B3123E">
              <w:rPr>
                <w:rFonts w:asciiTheme="minorHAnsi" w:hAnsiTheme="minorHAnsi" w:cstheme="minorHAnsi"/>
                <w:sz w:val="20"/>
                <w:szCs w:val="20"/>
                <w:lang w:val="sr-Cyrl-RS"/>
              </w:rPr>
              <w:t>ификација приступа између држава чланица, али извесна хармонизација у неким регионалним блоковима</w:t>
            </w:r>
          </w:p>
        </w:tc>
      </w:tr>
    </w:tbl>
    <w:bookmarkEnd w:id="34"/>
    <w:p w14:paraId="68E4543B" w14:textId="43E395EB" w:rsidR="00A86052" w:rsidRPr="00B3123E" w:rsidRDefault="00A86052" w:rsidP="00A86052">
      <w:pPr>
        <w:rPr>
          <w:sz w:val="18"/>
          <w:szCs w:val="16"/>
          <w:highlight w:val="cyan"/>
          <w:lang w:val="sr-Cyrl-RS"/>
        </w:rPr>
      </w:pPr>
      <w:r w:rsidRPr="00B3123E">
        <w:rPr>
          <w:sz w:val="18"/>
          <w:szCs w:val="16"/>
          <w:lang w:val="sr-Cyrl-RS"/>
        </w:rPr>
        <w:t>Извор: EUROPEAN COMMISSION:</w:t>
      </w:r>
      <w:r w:rsidR="00D45C7F" w:rsidRPr="00B3123E">
        <w:rPr>
          <w:sz w:val="18"/>
          <w:szCs w:val="16"/>
          <w:lang w:val="sr-Cyrl-RS"/>
        </w:rPr>
        <w:t xml:space="preserve"> </w:t>
      </w:r>
      <w:r w:rsidRPr="00B3123E">
        <w:rPr>
          <w:sz w:val="18"/>
          <w:szCs w:val="16"/>
          <w:lang w:val="sr-Cyrl-RS"/>
        </w:rPr>
        <w:t>Prospective</w:t>
      </w:r>
      <w:r w:rsidR="00D45C7F" w:rsidRPr="00B3123E">
        <w:rPr>
          <w:sz w:val="18"/>
          <w:szCs w:val="16"/>
          <w:lang w:val="sr-Cyrl-RS"/>
        </w:rPr>
        <w:t xml:space="preserve"> </w:t>
      </w:r>
      <w:r w:rsidRPr="00B3123E">
        <w:rPr>
          <w:sz w:val="18"/>
          <w:szCs w:val="16"/>
          <w:lang w:val="sr-Cyrl-RS"/>
        </w:rPr>
        <w:t>study</w:t>
      </w:r>
      <w:r w:rsidR="00D45C7F" w:rsidRPr="00B3123E">
        <w:rPr>
          <w:sz w:val="18"/>
          <w:szCs w:val="16"/>
          <w:lang w:val="sr-Cyrl-RS"/>
        </w:rPr>
        <w:t xml:space="preserve"> </w:t>
      </w:r>
      <w:r w:rsidRPr="00B3123E">
        <w:rPr>
          <w:sz w:val="18"/>
          <w:szCs w:val="16"/>
          <w:lang w:val="sr-Cyrl-RS"/>
        </w:rPr>
        <w:t>on</w:t>
      </w:r>
      <w:r w:rsidR="00D45C7F" w:rsidRPr="00B3123E">
        <w:rPr>
          <w:sz w:val="18"/>
          <w:szCs w:val="16"/>
          <w:lang w:val="sr-Cyrl-RS"/>
        </w:rPr>
        <w:t xml:space="preserve"> </w:t>
      </w:r>
      <w:r w:rsidRPr="00B3123E">
        <w:rPr>
          <w:sz w:val="18"/>
          <w:szCs w:val="16"/>
          <w:lang w:val="sr-Cyrl-RS"/>
        </w:rPr>
        <w:t>the</w:t>
      </w:r>
      <w:r w:rsidR="00D45C7F" w:rsidRPr="00B3123E">
        <w:rPr>
          <w:sz w:val="18"/>
          <w:szCs w:val="16"/>
          <w:lang w:val="sr-Cyrl-RS"/>
        </w:rPr>
        <w:t xml:space="preserve"> </w:t>
      </w:r>
      <w:r w:rsidRPr="00B3123E">
        <w:rPr>
          <w:sz w:val="18"/>
          <w:szCs w:val="16"/>
          <w:lang w:val="sr-Cyrl-RS"/>
        </w:rPr>
        <w:t>future</w:t>
      </w:r>
      <w:r w:rsidR="00D45C7F" w:rsidRPr="00B3123E">
        <w:rPr>
          <w:sz w:val="18"/>
          <w:szCs w:val="16"/>
          <w:lang w:val="sr-Cyrl-RS"/>
        </w:rPr>
        <w:t xml:space="preserve"> </w:t>
      </w:r>
      <w:r w:rsidRPr="00B3123E">
        <w:rPr>
          <w:sz w:val="18"/>
          <w:szCs w:val="16"/>
          <w:lang w:val="sr-Cyrl-RS"/>
        </w:rPr>
        <w:t>of</w:t>
      </w:r>
      <w:r w:rsidR="00D45C7F" w:rsidRPr="00B3123E">
        <w:rPr>
          <w:sz w:val="18"/>
          <w:szCs w:val="16"/>
          <w:lang w:val="sr-Cyrl-RS"/>
        </w:rPr>
        <w:t xml:space="preserve"> </w:t>
      </w:r>
      <w:r w:rsidRPr="00B3123E">
        <w:rPr>
          <w:sz w:val="18"/>
          <w:szCs w:val="16"/>
          <w:lang w:val="sr-Cyrl-RS"/>
        </w:rPr>
        <w:t>the</w:t>
      </w:r>
      <w:r w:rsidR="00D45C7F" w:rsidRPr="00B3123E">
        <w:rPr>
          <w:sz w:val="18"/>
          <w:szCs w:val="16"/>
          <w:lang w:val="sr-Cyrl-RS"/>
        </w:rPr>
        <w:t xml:space="preserve"> </w:t>
      </w:r>
      <w:r w:rsidRPr="00B3123E">
        <w:rPr>
          <w:sz w:val="18"/>
          <w:szCs w:val="16"/>
          <w:lang w:val="sr-Cyrl-RS"/>
        </w:rPr>
        <w:t>postal</w:t>
      </w:r>
      <w:r w:rsidR="00D45C7F" w:rsidRPr="00B3123E">
        <w:rPr>
          <w:sz w:val="18"/>
          <w:szCs w:val="16"/>
          <w:lang w:val="sr-Cyrl-RS"/>
        </w:rPr>
        <w:t xml:space="preserve"> </w:t>
      </w:r>
      <w:r w:rsidRPr="00B3123E">
        <w:rPr>
          <w:sz w:val="18"/>
          <w:szCs w:val="16"/>
          <w:lang w:val="sr-Cyrl-RS"/>
        </w:rPr>
        <w:t>sector</w:t>
      </w:r>
    </w:p>
    <w:p w14:paraId="1A804C81" w14:textId="77777777" w:rsidR="00994106" w:rsidRPr="00B3123E" w:rsidRDefault="00994106" w:rsidP="00A86052">
      <w:pPr>
        <w:rPr>
          <w:rFonts w:cstheme="minorHAnsi"/>
          <w:szCs w:val="24"/>
          <w:lang w:val="sr-Cyrl-RS"/>
        </w:rPr>
      </w:pPr>
    </w:p>
    <w:p w14:paraId="4703A803" w14:textId="71A730BA" w:rsidR="00B71E1F" w:rsidRPr="00B3123E" w:rsidRDefault="0015745B" w:rsidP="00056B73">
      <w:pPr>
        <w:tabs>
          <w:tab w:val="left" w:pos="1440"/>
        </w:tabs>
        <w:spacing w:after="0"/>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Један </w:t>
      </w:r>
      <w:r w:rsidR="00B71E1F" w:rsidRPr="00B3123E">
        <w:rPr>
          <w:rFonts w:ascii="Times New Roman" w:hAnsi="Times New Roman" w:cs="Times New Roman"/>
          <w:szCs w:val="24"/>
          <w:lang w:val="sr-Cyrl-RS"/>
        </w:rPr>
        <w:t xml:space="preserve">од модела доставе поштанских пошиљака на којем се интензивно ради последњих година у </w:t>
      </w:r>
      <w:r w:rsidR="00696122" w:rsidRPr="00B3123E">
        <w:rPr>
          <w:rFonts w:ascii="Times New Roman" w:hAnsi="Times New Roman" w:cs="Times New Roman"/>
          <w:szCs w:val="24"/>
          <w:lang w:val="sr-Cyrl-RS"/>
        </w:rPr>
        <w:t xml:space="preserve">ЕУ </w:t>
      </w:r>
      <w:r w:rsidR="00B71E1F" w:rsidRPr="00B3123E">
        <w:rPr>
          <w:rFonts w:ascii="Times New Roman" w:hAnsi="Times New Roman" w:cs="Times New Roman"/>
          <w:szCs w:val="24"/>
          <w:lang w:val="sr-Cyrl-RS"/>
        </w:rPr>
        <w:t>је тзв.</w:t>
      </w:r>
      <w:r w:rsidR="0031756E" w:rsidRPr="00B3123E">
        <w:rPr>
          <w:rFonts w:ascii="Times New Roman" w:hAnsi="Times New Roman" w:cs="Times New Roman"/>
          <w:szCs w:val="24"/>
          <w:lang w:val="sr-Cyrl-RS"/>
        </w:rPr>
        <w:t xml:space="preserve"> </w:t>
      </w:r>
      <w:r w:rsidR="00633C54" w:rsidRPr="00B3123E">
        <w:rPr>
          <w:rFonts w:ascii="Times New Roman" w:hAnsi="Times New Roman" w:cs="Times New Roman"/>
          <w:szCs w:val="24"/>
          <w:lang w:val="sr-Cyrl-RS"/>
        </w:rPr>
        <w:t>„</w:t>
      </w:r>
      <w:r w:rsidR="00B71E1F" w:rsidRPr="00B3123E">
        <w:rPr>
          <w:rFonts w:ascii="Times New Roman" w:hAnsi="Times New Roman" w:cs="Times New Roman"/>
          <w:szCs w:val="24"/>
          <w:lang w:val="sr-Cyrl-RS"/>
        </w:rPr>
        <w:t>Екосистем доставе</w:t>
      </w:r>
      <w:r w:rsidR="00633C54" w:rsidRPr="00B3123E">
        <w:rPr>
          <w:rFonts w:ascii="Times New Roman" w:hAnsi="Times New Roman" w:cs="Times New Roman"/>
          <w:bCs/>
          <w:szCs w:val="24"/>
          <w:lang w:val="sr-Cyrl-RS"/>
        </w:rPr>
        <w:t>”</w:t>
      </w:r>
      <w:r w:rsidR="00B71E1F" w:rsidRPr="00B3123E">
        <w:rPr>
          <w:rFonts w:ascii="Times New Roman" w:hAnsi="Times New Roman" w:cs="Times New Roman"/>
          <w:szCs w:val="24"/>
          <w:lang w:val="sr-Cyrl-RS"/>
        </w:rPr>
        <w:t>. Екосистем доставе</w:t>
      </w:r>
      <w:r w:rsidR="000719B0" w:rsidRPr="00B3123E">
        <w:rPr>
          <w:rStyle w:val="FootnoteReference"/>
          <w:rFonts w:ascii="Times New Roman" w:hAnsi="Times New Roman" w:cs="Times New Roman"/>
          <w:szCs w:val="24"/>
          <w:lang w:val="sr-Cyrl-RS"/>
        </w:rPr>
        <w:footnoteReference w:id="15"/>
      </w:r>
      <w:r w:rsidR="00B71E1F" w:rsidRPr="00B3123E">
        <w:rPr>
          <w:rFonts w:ascii="Times New Roman" w:hAnsi="Times New Roman" w:cs="Times New Roman"/>
          <w:szCs w:val="24"/>
          <w:lang w:val="sr-Cyrl-RS"/>
        </w:rPr>
        <w:t xml:space="preserve"> представља окружење са више услуга, више мрежа и више тржишта у којем заинтересоване стране </w:t>
      </w:r>
      <w:r w:rsidR="00B71E1F" w:rsidRPr="00B3123E">
        <w:rPr>
          <w:rFonts w:ascii="Times New Roman" w:hAnsi="Times New Roman" w:cs="Times New Roman"/>
          <w:szCs w:val="24"/>
          <w:lang w:val="sr-Cyrl-RS"/>
        </w:rPr>
        <w:lastRenderedPageBreak/>
        <w:t>пружају различите услуге, ослањајући се на разноврсну инфраструктуру и активно се такмичећи на више тржишта. Систем има карактеристике вишедимензионалности кроз сложене и вишеслојне ланце вредности, унутар којих се развијају интензивни и међусобно повезани економски односи. Наведено је последица развоја дигиталне економије и електронске трговине, у систем су укључени следећи елементи:</w:t>
      </w:r>
    </w:p>
    <w:p w14:paraId="2E66F96D" w14:textId="77777777" w:rsidR="00056B73" w:rsidRPr="00B3123E" w:rsidRDefault="00056B73" w:rsidP="00056B73">
      <w:pPr>
        <w:tabs>
          <w:tab w:val="left" w:pos="1440"/>
        </w:tabs>
        <w:spacing w:after="0"/>
        <w:ind w:firstLine="709"/>
        <w:rPr>
          <w:rFonts w:ascii="Times New Roman" w:hAnsi="Times New Roman" w:cs="Times New Roman"/>
          <w:szCs w:val="24"/>
          <w:lang w:val="sr-Cyrl-RS"/>
        </w:rPr>
      </w:pPr>
    </w:p>
    <w:p w14:paraId="725148F0" w14:textId="6FA411E5" w:rsidR="00B71E1F" w:rsidRPr="00B3123E" w:rsidRDefault="00243CB4" w:rsidP="00056B73">
      <w:pPr>
        <w:pStyle w:val="ListParagraph"/>
        <w:numPr>
          <w:ilvl w:val="0"/>
          <w:numId w:val="23"/>
        </w:numPr>
        <w:tabs>
          <w:tab w:val="left" w:pos="1560"/>
        </w:tabs>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 xml:space="preserve">заинтересоване </w:t>
      </w:r>
      <w:r w:rsidR="00B71E1F" w:rsidRPr="00B3123E">
        <w:rPr>
          <w:rFonts w:ascii="Times New Roman" w:hAnsi="Times New Roman" w:cs="Times New Roman"/>
          <w:szCs w:val="24"/>
          <w:lang w:val="sr-Cyrl-RS"/>
        </w:rPr>
        <w:t>стране</w:t>
      </w:r>
      <w:r w:rsidR="00633C54" w:rsidRPr="00B3123E">
        <w:rPr>
          <w:rFonts w:ascii="Times New Roman" w:hAnsi="Times New Roman" w:cs="Times New Roman"/>
          <w:szCs w:val="24"/>
          <w:lang w:val="sr-Cyrl-RS"/>
        </w:rPr>
        <w:t>;</w:t>
      </w:r>
    </w:p>
    <w:p w14:paraId="336814D3" w14:textId="0DCA0C7D" w:rsidR="00B71E1F" w:rsidRPr="00B3123E" w:rsidRDefault="00243CB4" w:rsidP="00056B73">
      <w:pPr>
        <w:pStyle w:val="ListParagraph"/>
        <w:numPr>
          <w:ilvl w:val="0"/>
          <w:numId w:val="2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услуге </w:t>
      </w:r>
      <w:r w:rsidR="00B71E1F" w:rsidRPr="00B3123E">
        <w:rPr>
          <w:rFonts w:ascii="Times New Roman" w:hAnsi="Times New Roman" w:cs="Times New Roman"/>
          <w:szCs w:val="24"/>
          <w:lang w:val="sr-Cyrl-RS"/>
        </w:rPr>
        <w:t xml:space="preserve">(традиционалне услуге слања писама и пакета, услуге испоруке </w:t>
      </w:r>
      <w:r w:rsidR="00633C54" w:rsidRPr="00B3123E">
        <w:rPr>
          <w:rFonts w:ascii="Times New Roman" w:hAnsi="Times New Roman" w:cs="Times New Roman"/>
          <w:szCs w:val="24"/>
          <w:lang w:val="sr-Cyrl-RS"/>
        </w:rPr>
        <w:t>„</w:t>
      </w:r>
      <w:r w:rsidR="00B71E1F" w:rsidRPr="00B3123E">
        <w:rPr>
          <w:rFonts w:ascii="Times New Roman" w:hAnsi="Times New Roman" w:cs="Times New Roman"/>
          <w:szCs w:val="24"/>
          <w:lang w:val="sr-Cyrl-RS"/>
        </w:rPr>
        <w:t>последње миље</w:t>
      </w:r>
      <w:r w:rsidR="00633C54" w:rsidRPr="00B3123E">
        <w:rPr>
          <w:rFonts w:ascii="Times New Roman" w:hAnsi="Times New Roman" w:cs="Times New Roman"/>
          <w:bCs/>
          <w:szCs w:val="24"/>
          <w:lang w:val="sr-Cyrl-RS"/>
        </w:rPr>
        <w:t>”</w:t>
      </w:r>
      <w:r w:rsidR="00B71E1F" w:rsidRPr="00B3123E">
        <w:rPr>
          <w:rFonts w:ascii="Times New Roman" w:hAnsi="Times New Roman" w:cs="Times New Roman"/>
          <w:szCs w:val="24"/>
          <w:lang w:val="sr-Cyrl-RS"/>
        </w:rPr>
        <w:t>,</w:t>
      </w:r>
      <w:r w:rsidR="00091255" w:rsidRPr="00B3123E">
        <w:rPr>
          <w:rFonts w:ascii="Times New Roman" w:hAnsi="Times New Roman" w:cs="Times New Roman"/>
          <w:szCs w:val="24"/>
          <w:lang w:val="sr-Cyrl-RS"/>
        </w:rPr>
        <w:t xml:space="preserve"> </w:t>
      </w:r>
      <w:r w:rsidR="00B71E1F" w:rsidRPr="00B3123E">
        <w:rPr>
          <w:rFonts w:ascii="Times New Roman" w:hAnsi="Times New Roman" w:cs="Times New Roman"/>
          <w:szCs w:val="24"/>
          <w:lang w:val="sr-Cyrl-RS"/>
        </w:rPr>
        <w:t>експресна достава, услуге испоруке повезане са интернет економијом)</w:t>
      </w:r>
      <w:r w:rsidR="00633C54" w:rsidRPr="00B3123E">
        <w:rPr>
          <w:rFonts w:ascii="Times New Roman" w:hAnsi="Times New Roman" w:cs="Times New Roman"/>
          <w:szCs w:val="24"/>
          <w:lang w:val="sr-Cyrl-RS"/>
        </w:rPr>
        <w:t>;</w:t>
      </w:r>
    </w:p>
    <w:p w14:paraId="3AF3C363" w14:textId="4CF8C831" w:rsidR="00B71E1F" w:rsidRPr="00B3123E" w:rsidRDefault="00243CB4" w:rsidP="00056B73">
      <w:pPr>
        <w:pStyle w:val="ListParagraph"/>
        <w:numPr>
          <w:ilvl w:val="0"/>
          <w:numId w:val="23"/>
        </w:numPr>
        <w:tabs>
          <w:tab w:val="left" w:pos="1560"/>
        </w:tabs>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 xml:space="preserve">мрежа </w:t>
      </w:r>
      <w:r w:rsidR="00B71E1F" w:rsidRPr="00B3123E">
        <w:rPr>
          <w:rFonts w:ascii="Times New Roman" w:hAnsi="Times New Roman" w:cs="Times New Roman"/>
          <w:szCs w:val="24"/>
          <w:lang w:val="sr-Cyrl-RS"/>
        </w:rPr>
        <w:t>(инфраструктура, технологија) која омогућава услуге испоруке</w:t>
      </w:r>
      <w:r w:rsidR="00091255" w:rsidRPr="00B3123E">
        <w:rPr>
          <w:rFonts w:ascii="Times New Roman" w:hAnsi="Times New Roman" w:cs="Times New Roman"/>
          <w:szCs w:val="24"/>
          <w:lang w:val="sr-Cyrl-RS"/>
        </w:rPr>
        <w:t>.</w:t>
      </w:r>
    </w:p>
    <w:p w14:paraId="349B738C" w14:textId="19701A62" w:rsidR="00B71E1F" w:rsidRPr="00B3123E" w:rsidRDefault="00B71E1F" w:rsidP="00056B73">
      <w:pPr>
        <w:tabs>
          <w:tab w:val="left" w:pos="1440"/>
        </w:tabs>
        <w:spacing w:after="0"/>
        <w:ind w:firstLine="709"/>
        <w:rPr>
          <w:rFonts w:ascii="Times New Roman" w:hAnsi="Times New Roman" w:cs="Times New Roman"/>
          <w:szCs w:val="24"/>
          <w:lang w:val="sr-Cyrl-RS"/>
        </w:rPr>
      </w:pPr>
      <w:r w:rsidRPr="00B3123E">
        <w:rPr>
          <w:rFonts w:ascii="Times New Roman" w:hAnsi="Times New Roman" w:cs="Times New Roman"/>
          <w:szCs w:val="24"/>
          <w:lang w:val="sr-Cyrl-RS"/>
        </w:rPr>
        <w:t>Управљање пословањем заснива се на максимизирању</w:t>
      </w:r>
      <w:r w:rsidR="0031756E" w:rsidRPr="00B3123E">
        <w:rPr>
          <w:rFonts w:ascii="Times New Roman" w:hAnsi="Times New Roman" w:cs="Times New Roman"/>
          <w:color w:val="EE0000"/>
          <w:szCs w:val="24"/>
          <w:lang w:val="sr-Cyrl-RS"/>
        </w:rPr>
        <w:t xml:space="preserve"> </w:t>
      </w:r>
      <w:r w:rsidRPr="00B3123E">
        <w:rPr>
          <w:rFonts w:ascii="Times New Roman" w:hAnsi="Times New Roman" w:cs="Times New Roman"/>
          <w:szCs w:val="24"/>
          <w:lang w:val="sr-Cyrl-RS"/>
        </w:rPr>
        <w:t>вредности постојећих ресурса, при чему компаније користе различите, често комплементарне стратегије. Ове стратегије произилазе из специфичних економских околности, као што су промене у структури потражње и еволуција потреба и очекивања потрошача. Кључни ресурси који омогућавају конкурентску предност укључују:</w:t>
      </w:r>
    </w:p>
    <w:p w14:paraId="2A6AE143" w14:textId="77777777" w:rsidR="00E57E58" w:rsidRPr="00B3123E" w:rsidRDefault="00E57E58" w:rsidP="00056B73">
      <w:pPr>
        <w:tabs>
          <w:tab w:val="left" w:pos="1440"/>
        </w:tabs>
        <w:spacing w:after="0"/>
        <w:ind w:firstLine="709"/>
        <w:rPr>
          <w:rFonts w:ascii="Times New Roman" w:hAnsi="Times New Roman" w:cs="Times New Roman"/>
          <w:szCs w:val="24"/>
          <w:lang w:val="sr-Cyrl-RS"/>
        </w:rPr>
      </w:pPr>
    </w:p>
    <w:p w14:paraId="4AAC9FBF" w14:textId="334781B2" w:rsidR="00B71E1F" w:rsidRPr="00B3123E" w:rsidRDefault="00B71E1F" w:rsidP="00E57E58">
      <w:pPr>
        <w:pStyle w:val="ListParagraph"/>
        <w:numPr>
          <w:ilvl w:val="0"/>
          <w:numId w:val="24"/>
        </w:numPr>
        <w:tabs>
          <w:tab w:val="left" w:pos="1134"/>
          <w:tab w:val="left" w:pos="1560"/>
        </w:tabs>
        <w:ind w:left="2127" w:hanging="1418"/>
        <w:rPr>
          <w:rFonts w:ascii="Times New Roman" w:hAnsi="Times New Roman" w:cs="Times New Roman"/>
          <w:szCs w:val="24"/>
          <w:lang w:val="sr-Cyrl-RS"/>
        </w:rPr>
      </w:pPr>
      <w:r w:rsidRPr="00B3123E">
        <w:rPr>
          <w:rFonts w:ascii="Times New Roman" w:hAnsi="Times New Roman" w:cs="Times New Roman"/>
          <w:szCs w:val="24"/>
          <w:lang w:val="sr-Cyrl-RS"/>
        </w:rPr>
        <w:t>велике малопродајне мреже</w:t>
      </w:r>
      <w:r w:rsidR="00091255" w:rsidRPr="00B3123E">
        <w:rPr>
          <w:rFonts w:ascii="Times New Roman" w:hAnsi="Times New Roman" w:cs="Times New Roman"/>
          <w:szCs w:val="24"/>
          <w:lang w:val="sr-Cyrl-RS"/>
        </w:rPr>
        <w:t>;</w:t>
      </w:r>
    </w:p>
    <w:p w14:paraId="5B792CB7" w14:textId="1F2C3DCC" w:rsidR="00B71E1F" w:rsidRPr="00B3123E" w:rsidRDefault="00B71E1F" w:rsidP="00E57E58">
      <w:pPr>
        <w:pStyle w:val="ListParagraph"/>
        <w:numPr>
          <w:ilvl w:val="0"/>
          <w:numId w:val="24"/>
        </w:numPr>
        <w:tabs>
          <w:tab w:val="left" w:pos="1134"/>
          <w:tab w:val="left" w:pos="1560"/>
        </w:tabs>
        <w:ind w:left="2127" w:hanging="1418"/>
        <w:rPr>
          <w:rFonts w:ascii="Times New Roman" w:hAnsi="Times New Roman" w:cs="Times New Roman"/>
          <w:szCs w:val="24"/>
          <w:lang w:val="sr-Cyrl-RS"/>
        </w:rPr>
      </w:pPr>
      <w:r w:rsidRPr="00B3123E">
        <w:rPr>
          <w:rFonts w:ascii="Times New Roman" w:hAnsi="Times New Roman" w:cs="Times New Roman"/>
          <w:szCs w:val="24"/>
          <w:lang w:val="sr-Cyrl-RS"/>
        </w:rPr>
        <w:t>широку базу купаца</w:t>
      </w:r>
      <w:r w:rsidR="00091255" w:rsidRPr="00B3123E">
        <w:rPr>
          <w:rFonts w:ascii="Times New Roman" w:hAnsi="Times New Roman" w:cs="Times New Roman"/>
          <w:szCs w:val="24"/>
          <w:lang w:val="sr-Cyrl-RS"/>
        </w:rPr>
        <w:t>;</w:t>
      </w:r>
    </w:p>
    <w:p w14:paraId="52B54983" w14:textId="0BFB00E0" w:rsidR="00B71E1F" w:rsidRPr="00B3123E" w:rsidRDefault="006F3BE7" w:rsidP="00E57E58">
      <w:pPr>
        <w:pStyle w:val="ListParagraph"/>
        <w:numPr>
          <w:ilvl w:val="0"/>
          <w:numId w:val="24"/>
        </w:numPr>
        <w:tabs>
          <w:tab w:val="left" w:pos="1134"/>
          <w:tab w:val="left" w:pos="1560"/>
        </w:tabs>
        <w:ind w:left="2127" w:hanging="1418"/>
        <w:rPr>
          <w:rFonts w:ascii="Times New Roman" w:hAnsi="Times New Roman" w:cs="Times New Roman"/>
          <w:szCs w:val="24"/>
          <w:lang w:val="sr-Cyrl-RS"/>
        </w:rPr>
      </w:pPr>
      <w:r w:rsidRPr="00B3123E">
        <w:rPr>
          <w:rFonts w:ascii="Times New Roman" w:hAnsi="Times New Roman" w:cs="Times New Roman"/>
          <w:szCs w:val="24"/>
          <w:lang w:val="sr-Cyrl-RS"/>
        </w:rPr>
        <w:t>високо вредну</w:t>
      </w:r>
      <w:r w:rsidR="00B71E1F" w:rsidRPr="00B3123E">
        <w:rPr>
          <w:rFonts w:ascii="Times New Roman" w:hAnsi="Times New Roman" w:cs="Times New Roman"/>
          <w:szCs w:val="24"/>
          <w:lang w:val="sr-Cyrl-RS"/>
        </w:rPr>
        <w:t xml:space="preserve"> технолошку опрему</w:t>
      </w:r>
      <w:r w:rsidR="00091255" w:rsidRPr="00B3123E">
        <w:rPr>
          <w:rFonts w:ascii="Times New Roman" w:hAnsi="Times New Roman" w:cs="Times New Roman"/>
          <w:szCs w:val="24"/>
          <w:lang w:val="sr-Cyrl-RS"/>
        </w:rPr>
        <w:t>;</w:t>
      </w:r>
    </w:p>
    <w:p w14:paraId="0FD2090D" w14:textId="77777777" w:rsidR="00B71E1F" w:rsidRPr="00B3123E" w:rsidRDefault="00B71E1F" w:rsidP="00E57E58">
      <w:pPr>
        <w:pStyle w:val="ListParagraph"/>
        <w:numPr>
          <w:ilvl w:val="0"/>
          <w:numId w:val="24"/>
        </w:numPr>
        <w:tabs>
          <w:tab w:val="left" w:pos="1134"/>
          <w:tab w:val="left" w:pos="1560"/>
        </w:tabs>
        <w:ind w:left="2127" w:hanging="1418"/>
        <w:rPr>
          <w:rFonts w:ascii="Times New Roman" w:hAnsi="Times New Roman" w:cs="Times New Roman"/>
          <w:szCs w:val="24"/>
          <w:lang w:val="sr-Cyrl-RS"/>
        </w:rPr>
      </w:pPr>
      <w:r w:rsidRPr="00B3123E">
        <w:rPr>
          <w:rFonts w:ascii="Times New Roman" w:hAnsi="Times New Roman" w:cs="Times New Roman"/>
          <w:szCs w:val="24"/>
          <w:lang w:val="sr-Cyrl-RS"/>
        </w:rPr>
        <w:t>нематеријална средства као што су репутација, знање и људски капитал.</w:t>
      </w:r>
    </w:p>
    <w:p w14:paraId="07B1DEC4" w14:textId="194526F9"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Екосистем доставе, поред традиционалних поштанских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а, обухвата различите заинтересоване стране: интеграторе, платформе за електронску трговину/онлајн, трговце на мало, </w:t>
      </w:r>
      <w:r w:rsidR="00633C54" w:rsidRPr="00B3123E">
        <w:rPr>
          <w:rFonts w:ascii="Times New Roman" w:hAnsi="Times New Roman" w:cs="Times New Roman"/>
          <w:szCs w:val="24"/>
          <w:lang w:val="sr-Cyrl-RS"/>
        </w:rPr>
        <w:t>„</w:t>
      </w:r>
      <w:r w:rsidR="00087F36" w:rsidRPr="00B3123E">
        <w:rPr>
          <w:rFonts w:ascii="Times New Roman" w:hAnsi="Times New Roman" w:cs="Times New Roman"/>
          <w:szCs w:val="24"/>
          <w:lang w:val="sr-Cyrl-RS"/>
        </w:rPr>
        <w:t>out of home</w:t>
      </w:r>
      <w:r w:rsidR="00633C54" w:rsidRPr="00B3123E">
        <w:rPr>
          <w:rFonts w:ascii="Times New Roman" w:hAnsi="Times New Roman" w:cs="Times New Roman"/>
          <w:bCs/>
          <w:szCs w:val="24"/>
          <w:lang w:val="sr-Cyrl-RS"/>
        </w:rPr>
        <w:t>”</w:t>
      </w:r>
      <w:r w:rsidR="00D46020" w:rsidRPr="00B3123E">
        <w:rPr>
          <w:rFonts w:ascii="Times New Roman" w:hAnsi="Times New Roman" w:cs="Times New Roman"/>
          <w:szCs w:val="24"/>
          <w:lang w:val="sr-Cyrl-RS"/>
        </w:rPr>
        <w:t xml:space="preserve">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е</w:t>
      </w:r>
      <w:r w:rsidR="00087F36" w:rsidRPr="00B3123E">
        <w:rPr>
          <w:rFonts w:ascii="Times New Roman" w:hAnsi="Times New Roman" w:cs="Times New Roman"/>
          <w:szCs w:val="24"/>
          <w:lang w:val="sr-Cyrl-RS"/>
        </w:rPr>
        <w:t xml:space="preserve"> (OOH)</w:t>
      </w:r>
      <w:r w:rsidRPr="00B3123E">
        <w:rPr>
          <w:rFonts w:ascii="Times New Roman" w:hAnsi="Times New Roman" w:cs="Times New Roman"/>
          <w:szCs w:val="24"/>
          <w:lang w:val="sr-Cyrl-RS"/>
        </w:rPr>
        <w:t xml:space="preserve">, логистичке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на захтев,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пакета, технолошке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претпоштанске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консолидаторе, </w:t>
      </w:r>
      <w:r w:rsidRPr="00B3123E">
        <w:rPr>
          <w:rFonts w:ascii="Times New Roman" w:hAnsi="Times New Roman" w:cs="Times New Roman"/>
          <w:i/>
          <w:iCs/>
          <w:szCs w:val="24"/>
          <w:lang w:val="sr-Cyrl-RS"/>
        </w:rPr>
        <w:t>crowdsourcing</w:t>
      </w:r>
      <w:r w:rsidR="0026415D" w:rsidRPr="00B3123E">
        <w:rPr>
          <w:rFonts w:ascii="Times New Roman" w:hAnsi="Times New Roman" w:cs="Times New Roman"/>
          <w:i/>
          <w:iCs/>
          <w:szCs w:val="24"/>
          <w:lang w:val="sr-Cyrl-RS"/>
        </w:rPr>
        <w:t xml:space="preserve"> </w:t>
      </w:r>
      <w:r w:rsidRPr="00B3123E">
        <w:rPr>
          <w:rFonts w:ascii="Times New Roman" w:hAnsi="Times New Roman" w:cs="Times New Roman"/>
          <w:szCs w:val="24"/>
          <w:lang w:val="sr-Cyrl-RS"/>
        </w:rPr>
        <w:t>платформе, стартапове и градска складишта.</w:t>
      </w:r>
    </w:p>
    <w:p w14:paraId="338F3511" w14:textId="3627466F"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Добављачи технологије и софтвера креирају дигитална решења за логистику и доставу. То укључује оптимизацију рута</w:t>
      </w:r>
      <w:r w:rsidR="000719B0" w:rsidRPr="00B3123E">
        <w:rPr>
          <w:rStyle w:val="FootnoteReference"/>
          <w:rFonts w:ascii="Times New Roman" w:hAnsi="Times New Roman" w:cs="Times New Roman"/>
          <w:szCs w:val="24"/>
          <w:lang w:val="sr-Cyrl-RS"/>
        </w:rPr>
        <w:footnoteReference w:id="16"/>
      </w:r>
      <w:r w:rsidRPr="00B3123E">
        <w:rPr>
          <w:rFonts w:ascii="Times New Roman" w:hAnsi="Times New Roman" w:cs="Times New Roman"/>
          <w:szCs w:val="24"/>
          <w:lang w:val="sr-Cyrl-RS"/>
        </w:rPr>
        <w:t>, системе за управљање возним парком и испоруком, технологије праћења у реалном времену и алате за поређење цена који помажу корисницима да процене и резервишу услуге доставе.</w:t>
      </w:r>
      <w:r w:rsidR="0026415D" w:rsidRPr="00B3123E">
        <w:rPr>
          <w:rFonts w:ascii="Times New Roman" w:hAnsi="Times New Roman" w:cs="Times New Roman"/>
          <w:szCs w:val="24"/>
          <w:lang w:val="sr-Cyrl-RS"/>
        </w:rPr>
        <w:t xml:space="preserve"> </w:t>
      </w:r>
      <w:r w:rsidR="0031756E" w:rsidRPr="00B3123E">
        <w:rPr>
          <w:rFonts w:ascii="Times New Roman" w:hAnsi="Times New Roman" w:cs="Times New Roman"/>
          <w:szCs w:val="24"/>
          <w:lang w:val="sr-Cyrl-RS"/>
        </w:rPr>
        <w:t>С тим у вези, нпр. н</w:t>
      </w:r>
      <w:r w:rsidRPr="00B3123E">
        <w:rPr>
          <w:rFonts w:ascii="Times New Roman" w:hAnsi="Times New Roman" w:cs="Times New Roman"/>
          <w:szCs w:val="24"/>
          <w:lang w:val="sr-Cyrl-RS"/>
        </w:rPr>
        <w:t xml:space="preserve">аграда за најбољи логистички пројекат у 2025. години додељена је Пошти </w:t>
      </w:r>
      <w:r w:rsidR="008E1A23" w:rsidRPr="00B3123E">
        <w:rPr>
          <w:rFonts w:ascii="Times New Roman" w:hAnsi="Times New Roman" w:cs="Times New Roman"/>
          <w:szCs w:val="24"/>
          <w:lang w:val="sr-Cyrl-RS"/>
        </w:rPr>
        <w:t xml:space="preserve"> Републике </w:t>
      </w:r>
      <w:r w:rsidRPr="00B3123E">
        <w:rPr>
          <w:rFonts w:ascii="Times New Roman" w:hAnsi="Times New Roman" w:cs="Times New Roman"/>
          <w:szCs w:val="24"/>
          <w:lang w:val="sr-Cyrl-RS"/>
        </w:rPr>
        <w:t xml:space="preserve">Словеније и </w:t>
      </w:r>
      <w:r w:rsidRPr="00B3123E">
        <w:rPr>
          <w:rFonts w:ascii="Times New Roman" w:hAnsi="Times New Roman" w:cs="Times New Roman"/>
          <w:i/>
          <w:iCs/>
          <w:szCs w:val="24"/>
          <w:lang w:val="sr-Cyrl-RS"/>
        </w:rPr>
        <w:t>Solvesall</w:t>
      </w:r>
      <w:r w:rsidRPr="00B3123E">
        <w:rPr>
          <w:rFonts w:ascii="Times New Roman" w:hAnsi="Times New Roman" w:cs="Times New Roman"/>
          <w:szCs w:val="24"/>
          <w:lang w:val="sr-Cyrl-RS"/>
        </w:rPr>
        <w:t xml:space="preserve">-у за пројекат </w:t>
      </w:r>
      <w:r w:rsidR="00633C54" w:rsidRPr="00B3123E">
        <w:rPr>
          <w:rFonts w:ascii="Times New Roman" w:hAnsi="Times New Roman" w:cs="Times New Roman"/>
          <w:szCs w:val="24"/>
          <w:lang w:val="sr-Cyrl-RS"/>
        </w:rPr>
        <w:t>„</w:t>
      </w:r>
      <w:r w:rsidRPr="00B3123E">
        <w:rPr>
          <w:rFonts w:ascii="Times New Roman" w:hAnsi="Times New Roman" w:cs="Times New Roman"/>
          <w:szCs w:val="24"/>
          <w:lang w:val="sr-Cyrl-RS"/>
        </w:rPr>
        <w:t>Оптимизација места испоруке</w:t>
      </w:r>
      <w:r w:rsidR="00633C54" w:rsidRPr="00B3123E">
        <w:rPr>
          <w:rFonts w:ascii="Times New Roman" w:hAnsi="Times New Roman" w:cs="Times New Roman"/>
          <w:bCs/>
          <w:szCs w:val="24"/>
          <w:lang w:val="sr-Cyrl-RS"/>
        </w:rPr>
        <w:t>”</w:t>
      </w:r>
      <w:r w:rsidR="00CB548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r w:rsidR="00CB5484" w:rsidRPr="00B3123E">
        <w:rPr>
          <w:rFonts w:ascii="Times New Roman" w:hAnsi="Times New Roman" w:cs="Times New Roman"/>
          <w:szCs w:val="24"/>
          <w:lang w:val="sr-Cyrl-RS"/>
        </w:rPr>
        <w:t>који</w:t>
      </w:r>
      <w:r w:rsidRPr="00B3123E">
        <w:rPr>
          <w:rFonts w:ascii="Times New Roman" w:hAnsi="Times New Roman" w:cs="Times New Roman"/>
          <w:szCs w:val="24"/>
          <w:lang w:val="sr-Cyrl-RS"/>
        </w:rPr>
        <w:t xml:space="preserve"> представља развој и имплементацију система за</w:t>
      </w:r>
      <w:r w:rsidR="00E57E5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визуелизацију, оптимизацију и навигацију рутама испоруке, имплементирајући дигиталну трансформацију процеса испоруке у </w:t>
      </w:r>
      <w:r w:rsidR="00CB5484" w:rsidRPr="00B3123E">
        <w:rPr>
          <w:rFonts w:ascii="Times New Roman" w:hAnsi="Times New Roman" w:cs="Times New Roman"/>
          <w:szCs w:val="24"/>
          <w:lang w:val="sr-Cyrl-RS"/>
        </w:rPr>
        <w:t xml:space="preserve">овој </w:t>
      </w:r>
      <w:r w:rsidRPr="00B3123E">
        <w:rPr>
          <w:rFonts w:ascii="Times New Roman" w:hAnsi="Times New Roman" w:cs="Times New Roman"/>
          <w:szCs w:val="24"/>
          <w:lang w:val="sr-Cyrl-RS"/>
        </w:rPr>
        <w:t>пошти. Очекује се да ће</w:t>
      </w:r>
      <w:r w:rsidR="00CB5484" w:rsidRPr="00B3123E">
        <w:rPr>
          <w:rFonts w:ascii="Times New Roman" w:hAnsi="Times New Roman" w:cs="Times New Roman"/>
          <w:szCs w:val="24"/>
          <w:lang w:val="sr-Cyrl-RS"/>
        </w:rPr>
        <w:t xml:space="preserve"> пројекат</w:t>
      </w:r>
      <w:r w:rsidRPr="00B3123E">
        <w:rPr>
          <w:rFonts w:ascii="Times New Roman" w:hAnsi="Times New Roman" w:cs="Times New Roman"/>
          <w:szCs w:val="24"/>
          <w:lang w:val="sr-Cyrl-RS"/>
        </w:rPr>
        <w:t xml:space="preserve"> побољшати брзину и предвидљивост испоруке,</w:t>
      </w:r>
      <w:r w:rsidR="00CB548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смањити грешке и повећати поузданост услуге. Оптимизоване руте омогућавају ниже трошкове са мање пређених километара, мањом потрошњом горива и мањим бројем неуспелих испорука, што додатно доприноси смањењу емисије</w:t>
      </w:r>
      <w:r w:rsidR="0026415D" w:rsidRPr="00B3123E">
        <w:rPr>
          <w:rFonts w:ascii="Times New Roman" w:hAnsi="Times New Roman" w:cs="Times New Roman"/>
          <w:szCs w:val="24"/>
          <w:lang w:val="sr-Cyrl-RS"/>
        </w:rPr>
        <w:t xml:space="preserve"> штетних гасова</w:t>
      </w:r>
      <w:r w:rsidRPr="00B3123E">
        <w:rPr>
          <w:rFonts w:ascii="Times New Roman" w:hAnsi="Times New Roman" w:cs="Times New Roman"/>
          <w:szCs w:val="24"/>
          <w:lang w:val="sr-Cyrl-RS"/>
        </w:rPr>
        <w:t xml:space="preserve"> и омогућава ефикасно коришћење </w:t>
      </w:r>
      <w:r w:rsidR="009871CF" w:rsidRPr="00B3123E">
        <w:rPr>
          <w:rFonts w:ascii="Times New Roman" w:hAnsi="Times New Roman" w:cs="Times New Roman"/>
          <w:szCs w:val="24"/>
          <w:lang w:val="sr-Cyrl-RS"/>
        </w:rPr>
        <w:t>различитих доставних</w:t>
      </w:r>
      <w:r w:rsidRPr="00B3123E">
        <w:rPr>
          <w:rFonts w:ascii="Times New Roman" w:hAnsi="Times New Roman" w:cs="Times New Roman"/>
          <w:szCs w:val="24"/>
          <w:lang w:val="sr-Cyrl-RS"/>
        </w:rPr>
        <w:t xml:space="preserve"> средстава. Поред тога, дигитални алати такође омогућавају већу транспарентност у заказивању послова. Овај пример дигитализације мреже за доставу доказује да је могуће истовремено смањити трошкове, побољшати корисничко искуство и смањити утицај на животну средину, чиме се ствара дугорочна конкурентска предност за поштанског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а.</w:t>
      </w:r>
    </w:p>
    <w:p w14:paraId="17F3A9F1" w14:textId="07A651BC"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Алати</w:t>
      </w:r>
      <w:r w:rsidR="000719B0" w:rsidRPr="00B3123E">
        <w:rPr>
          <w:rFonts w:ascii="Times New Roman" w:hAnsi="Times New Roman" w:cs="Times New Roman"/>
          <w:szCs w:val="24"/>
          <w:lang w:val="sr-Cyrl-RS"/>
        </w:rPr>
        <w:t xml:space="preserve">, односно </w:t>
      </w:r>
      <w:r w:rsidRPr="00B3123E">
        <w:rPr>
          <w:rFonts w:ascii="Times New Roman" w:hAnsi="Times New Roman" w:cs="Times New Roman"/>
          <w:szCs w:val="24"/>
          <w:lang w:val="sr-Cyrl-RS"/>
        </w:rPr>
        <w:t>платформе за поређење цена омогућавају корисницима</w:t>
      </w:r>
      <w:r w:rsidR="00633C5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да упореде различите опције/канале доставе и одговарајуће цене на основу величине пакета, тежине и одредишта. Алати делују као посредници између потрошача и служби за доставу за домаћу и међународну доставу.</w:t>
      </w:r>
    </w:p>
    <w:p w14:paraId="79CB3114" w14:textId="77777777"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Услуге у екосистему доставе обухватају широк спектар традиционалних и модерних услуга у зависности од потреба потрошача. Могу се класификовати у: традиционалне услуге писама и пакета, услуге електронске трговине, услуге доставе на захтев и онлајн услуге (апликације), логистичке и услуге подршке.</w:t>
      </w:r>
    </w:p>
    <w:p w14:paraId="0326C4C1" w14:textId="77777777"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Мрежна инфраструктура и примењена технологија омогућавају имплементацију услуге доставе. Инфраструктура и технологије обухватају: превозна средства (нпр. комбији, мотоцикли), објекте (нпр. центри за сортирање, филијале), технологије (нпр. машине за сортирање, софтверска подршка).</w:t>
      </w:r>
    </w:p>
    <w:p w14:paraId="0156D697" w14:textId="77777777" w:rsidR="00B71E1F" w:rsidRPr="00B3123E" w:rsidRDefault="00B71E1F" w:rsidP="00E57E58">
      <w:pPr>
        <w:tabs>
          <w:tab w:val="left" w:pos="1440"/>
        </w:tabs>
        <w:spacing w:after="0"/>
        <w:ind w:firstLine="709"/>
        <w:rPr>
          <w:rFonts w:ascii="Times New Roman" w:hAnsi="Times New Roman" w:cs="Times New Roman"/>
          <w:szCs w:val="24"/>
          <w:lang w:val="sr-Cyrl-RS"/>
        </w:rPr>
      </w:pPr>
      <w:r w:rsidRPr="00B3123E">
        <w:rPr>
          <w:rFonts w:ascii="Times New Roman" w:hAnsi="Times New Roman" w:cs="Times New Roman"/>
          <w:szCs w:val="24"/>
          <w:lang w:val="sr-Cyrl-RS"/>
        </w:rPr>
        <w:t>У протеклом периоду, видљив је напредак у брзини обраде и преноса података, као и напредак у развоју и примени технологије. Следеће технологије су истакнуте у екосистему испоруке:</w:t>
      </w:r>
    </w:p>
    <w:p w14:paraId="0CF650A4" w14:textId="77777777" w:rsidR="00E57E58" w:rsidRPr="00B3123E" w:rsidRDefault="00E57E58" w:rsidP="00E57E58">
      <w:pPr>
        <w:tabs>
          <w:tab w:val="left" w:pos="1440"/>
        </w:tabs>
        <w:spacing w:after="0"/>
        <w:ind w:firstLine="709"/>
        <w:rPr>
          <w:rFonts w:ascii="Times New Roman" w:hAnsi="Times New Roman" w:cs="Times New Roman"/>
          <w:szCs w:val="24"/>
          <w:lang w:val="sr-Cyrl-RS"/>
        </w:rPr>
      </w:pPr>
    </w:p>
    <w:p w14:paraId="7B73145A" w14:textId="0A9FFE62"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Вештачка интелигенција</w:t>
      </w:r>
      <w:r w:rsidR="00237055" w:rsidRPr="00B3123E">
        <w:rPr>
          <w:rFonts w:ascii="Times New Roman" w:hAnsi="Times New Roman" w:cs="Times New Roman"/>
          <w:szCs w:val="24"/>
          <w:lang w:val="sr-Cyrl-RS"/>
        </w:rPr>
        <w:t>;</w:t>
      </w:r>
    </w:p>
    <w:p w14:paraId="08E0CC0F" w14:textId="7F4EB99D"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Интернет ствари (</w:t>
      </w:r>
      <w:r w:rsidR="00960E70" w:rsidRPr="00B3123E">
        <w:rPr>
          <w:rFonts w:ascii="Times New Roman" w:hAnsi="Times New Roman" w:cs="Times New Roman"/>
          <w:szCs w:val="24"/>
          <w:lang w:val="sr-Cyrl-RS"/>
        </w:rPr>
        <w:t>Internet of Things-</w:t>
      </w:r>
      <w:r w:rsidRPr="00B3123E">
        <w:rPr>
          <w:rFonts w:ascii="Times New Roman" w:hAnsi="Times New Roman" w:cs="Times New Roman"/>
          <w:szCs w:val="24"/>
          <w:lang w:val="sr-Cyrl-RS"/>
        </w:rPr>
        <w:t>IoT)</w:t>
      </w:r>
      <w:r w:rsidR="00237055" w:rsidRPr="00B3123E">
        <w:rPr>
          <w:rFonts w:ascii="Times New Roman" w:hAnsi="Times New Roman" w:cs="Times New Roman"/>
          <w:szCs w:val="24"/>
          <w:lang w:val="sr-Cyrl-RS"/>
        </w:rPr>
        <w:t>;</w:t>
      </w:r>
    </w:p>
    <w:p w14:paraId="33011C90" w14:textId="7AB2C565"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Блокчејн у управљању ланцем снабдевања и логистици</w:t>
      </w:r>
      <w:r w:rsidR="00237055" w:rsidRPr="00B3123E">
        <w:rPr>
          <w:rFonts w:ascii="Times New Roman" w:hAnsi="Times New Roman" w:cs="Times New Roman"/>
          <w:szCs w:val="24"/>
          <w:lang w:val="sr-Cyrl-RS"/>
        </w:rPr>
        <w:t>;</w:t>
      </w:r>
    </w:p>
    <w:p w14:paraId="4CB1943B" w14:textId="6B8C692E"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Обрада података (машинско учење)</w:t>
      </w:r>
      <w:r w:rsidR="00237055" w:rsidRPr="00B3123E">
        <w:rPr>
          <w:rFonts w:ascii="Times New Roman" w:hAnsi="Times New Roman" w:cs="Times New Roman"/>
          <w:szCs w:val="24"/>
          <w:lang w:val="sr-Cyrl-RS"/>
        </w:rPr>
        <w:t>;</w:t>
      </w:r>
    </w:p>
    <w:p w14:paraId="5390860E" w14:textId="52A6FA23"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Роботика и аутоматизација процеса у процесима сортирања и испоруке</w:t>
      </w:r>
      <w:r w:rsidR="00237055" w:rsidRPr="00B3123E">
        <w:rPr>
          <w:rFonts w:ascii="Times New Roman" w:hAnsi="Times New Roman" w:cs="Times New Roman"/>
          <w:szCs w:val="24"/>
          <w:lang w:val="sr-Cyrl-RS"/>
        </w:rPr>
        <w:t>;</w:t>
      </w:r>
    </w:p>
    <w:p w14:paraId="6A73B321" w14:textId="52BD3213"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Клауд рачунарство (клауд услуге)</w:t>
      </w:r>
      <w:r w:rsidR="00237055" w:rsidRPr="00B3123E">
        <w:rPr>
          <w:rFonts w:ascii="Times New Roman" w:hAnsi="Times New Roman" w:cs="Times New Roman"/>
          <w:szCs w:val="24"/>
          <w:lang w:val="sr-Cyrl-RS"/>
        </w:rPr>
        <w:t>;</w:t>
      </w:r>
    </w:p>
    <w:p w14:paraId="73ABF657" w14:textId="38D5DEA4" w:rsidR="00B71E1F" w:rsidRPr="00B3123E" w:rsidRDefault="000719B0" w:rsidP="00E57E58">
      <w:pPr>
        <w:pStyle w:val="ListParagraph"/>
        <w:numPr>
          <w:ilvl w:val="0"/>
          <w:numId w:val="25"/>
        </w:numPr>
        <w:tabs>
          <w:tab w:val="left" w:pos="1560"/>
        </w:tabs>
        <w:ind w:left="1134" w:hanging="425"/>
        <w:jc w:val="left"/>
        <w:rPr>
          <w:lang w:val="sr-Cyrl-RS"/>
        </w:rPr>
      </w:pPr>
      <w:r w:rsidRPr="00B3123E">
        <w:rPr>
          <w:rFonts w:ascii="Times New Roman" w:hAnsi="Times New Roman" w:cs="Times New Roman"/>
          <w:szCs w:val="24"/>
          <w:lang w:val="sr-Cyrl-RS"/>
        </w:rPr>
        <w:t xml:space="preserve">Технологије </w:t>
      </w:r>
      <w:r w:rsidR="00B71E1F" w:rsidRPr="00B3123E">
        <w:rPr>
          <w:rFonts w:ascii="Times New Roman" w:hAnsi="Times New Roman" w:cs="Times New Roman"/>
          <w:szCs w:val="24"/>
          <w:lang w:val="sr-Cyrl-RS"/>
        </w:rPr>
        <w:t>паметног означавања у процесима сортирања, испоруке и враћања</w:t>
      </w:r>
      <w:r w:rsidR="00237055" w:rsidRPr="00B3123E">
        <w:rPr>
          <w:rFonts w:ascii="Times New Roman" w:hAnsi="Times New Roman" w:cs="Times New Roman"/>
          <w:szCs w:val="24"/>
          <w:lang w:val="sr-Cyrl-RS"/>
        </w:rPr>
        <w:t>;</w:t>
      </w:r>
    </w:p>
    <w:p w14:paraId="27166364" w14:textId="2CC04107" w:rsidR="00B71E1F" w:rsidRPr="00B3123E" w:rsidRDefault="0058606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RFID</w:t>
      </w:r>
      <w:r w:rsidR="00B71E1F" w:rsidRPr="00B3123E">
        <w:rPr>
          <w:rFonts w:ascii="Times New Roman" w:hAnsi="Times New Roman" w:cs="Times New Roman"/>
          <w:szCs w:val="24"/>
          <w:lang w:val="sr-Cyrl-RS"/>
        </w:rPr>
        <w:t xml:space="preserve">, QR код, </w:t>
      </w:r>
      <w:r w:rsidRPr="00B3123E">
        <w:rPr>
          <w:rFonts w:ascii="Times New Roman" w:hAnsi="Times New Roman" w:cs="Times New Roman"/>
          <w:szCs w:val="24"/>
          <w:lang w:val="sr-Cyrl-RS"/>
        </w:rPr>
        <w:t>SMS</w:t>
      </w:r>
      <w:r w:rsidR="00B71E1F" w:rsidRPr="00B3123E">
        <w:rPr>
          <w:rFonts w:ascii="Times New Roman" w:hAnsi="Times New Roman" w:cs="Times New Roman"/>
          <w:szCs w:val="24"/>
          <w:lang w:val="sr-Cyrl-RS"/>
        </w:rPr>
        <w:t>/е-</w:t>
      </w:r>
      <w:r w:rsidR="00B71E1F" w:rsidRPr="00B3123E">
        <w:rPr>
          <w:rFonts w:ascii="Times New Roman" w:hAnsi="Times New Roman" w:cs="Times New Roman"/>
          <w:i/>
          <w:iCs/>
          <w:szCs w:val="24"/>
          <w:lang w:val="sr-Cyrl-RS"/>
        </w:rPr>
        <w:t xml:space="preserve">mail </w:t>
      </w:r>
      <w:r w:rsidR="00B71E1F" w:rsidRPr="00B3123E">
        <w:rPr>
          <w:rFonts w:ascii="Times New Roman" w:hAnsi="Times New Roman" w:cs="Times New Roman"/>
          <w:szCs w:val="24"/>
          <w:lang w:val="sr-Cyrl-RS"/>
        </w:rPr>
        <w:t>технологије у процесима испоруке и враћања</w:t>
      </w:r>
      <w:r w:rsidR="00237055" w:rsidRPr="00B3123E">
        <w:rPr>
          <w:rFonts w:ascii="Times New Roman" w:hAnsi="Times New Roman" w:cs="Times New Roman"/>
          <w:szCs w:val="24"/>
          <w:lang w:val="sr-Cyrl-RS"/>
        </w:rPr>
        <w:t>;</w:t>
      </w:r>
    </w:p>
    <w:p w14:paraId="20EFA981" w14:textId="0EB8353F" w:rsidR="00B71E1F" w:rsidRPr="00B3123E" w:rsidRDefault="000719B0"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Алгоритми </w:t>
      </w:r>
      <w:r w:rsidR="00B71E1F" w:rsidRPr="00B3123E">
        <w:rPr>
          <w:rFonts w:ascii="Times New Roman" w:hAnsi="Times New Roman" w:cs="Times New Roman"/>
          <w:szCs w:val="24"/>
          <w:lang w:val="sr-Cyrl-RS"/>
        </w:rPr>
        <w:t>за оптимизацију руте</w:t>
      </w:r>
      <w:r w:rsidR="00237055" w:rsidRPr="00B3123E">
        <w:rPr>
          <w:rFonts w:ascii="Times New Roman" w:hAnsi="Times New Roman" w:cs="Times New Roman"/>
          <w:szCs w:val="24"/>
          <w:lang w:val="sr-Cyrl-RS"/>
        </w:rPr>
        <w:t>;</w:t>
      </w:r>
    </w:p>
    <w:p w14:paraId="254679DB" w14:textId="3C3ADAEC" w:rsidR="00B71E1F" w:rsidRPr="00B3123E" w:rsidRDefault="000719B0"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Технологије </w:t>
      </w:r>
      <w:r w:rsidR="00B71E1F" w:rsidRPr="00B3123E">
        <w:rPr>
          <w:rFonts w:ascii="Times New Roman" w:hAnsi="Times New Roman" w:cs="Times New Roman"/>
          <w:szCs w:val="24"/>
          <w:lang w:val="sr-Cyrl-RS"/>
        </w:rPr>
        <w:t>дронова и робота за испоруку (аутономна возила)</w:t>
      </w:r>
      <w:r w:rsidR="008B2E05" w:rsidRPr="00B3123E">
        <w:rPr>
          <w:rFonts w:ascii="Times New Roman" w:hAnsi="Times New Roman" w:cs="Times New Roman"/>
          <w:szCs w:val="24"/>
          <w:lang w:val="sr-Cyrl-RS"/>
        </w:rPr>
        <w:t>.</w:t>
      </w:r>
    </w:p>
    <w:p w14:paraId="1BBD7EAF" w14:textId="77777777"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екосистему </w:t>
      </w:r>
      <w:r w:rsidR="000719B0" w:rsidRPr="00B3123E">
        <w:rPr>
          <w:rFonts w:ascii="Times New Roman" w:hAnsi="Times New Roman" w:cs="Times New Roman"/>
          <w:szCs w:val="24"/>
          <w:lang w:val="sr-Cyrl-RS"/>
        </w:rPr>
        <w:t>доставе</w:t>
      </w:r>
      <w:r w:rsidRPr="00B3123E">
        <w:rPr>
          <w:rFonts w:ascii="Times New Roman" w:hAnsi="Times New Roman" w:cs="Times New Roman"/>
          <w:szCs w:val="24"/>
          <w:lang w:val="sr-Cyrl-RS"/>
        </w:rPr>
        <w:t>, компаније примењују/обликују пословне моделе са циљем повећања прихода (нпр. додавањем комплементарних услуга понуди или променом политике цена) и/или смањења трошкова (нпр. модернизацијом инфраструктуре и технологије). Пословни модели се могу класификовати према њиховим карактеристикама:</w:t>
      </w:r>
    </w:p>
    <w:p w14:paraId="4FB1B4EC" w14:textId="56F298EE" w:rsidR="00B71E1F" w:rsidRPr="00B3123E" w:rsidRDefault="00243CB4" w:rsidP="00E57E58">
      <w:pPr>
        <w:pStyle w:val="ListParagraph"/>
        <w:numPr>
          <w:ilvl w:val="0"/>
          <w:numId w:val="26"/>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специјализација </w:t>
      </w:r>
      <w:r w:rsidR="00B71E1F" w:rsidRPr="00B3123E">
        <w:rPr>
          <w:rFonts w:ascii="Times New Roman" w:hAnsi="Times New Roman" w:cs="Times New Roman"/>
          <w:szCs w:val="24"/>
          <w:lang w:val="sr-Cyrl-RS"/>
        </w:rPr>
        <w:t>или интернационализација, у зависности од фокуса пословања</w:t>
      </w:r>
      <w:r w:rsidR="00633C54" w:rsidRPr="00B3123E">
        <w:rPr>
          <w:rFonts w:ascii="Times New Roman" w:hAnsi="Times New Roman" w:cs="Times New Roman"/>
          <w:szCs w:val="24"/>
          <w:lang w:val="sr-Cyrl-RS"/>
        </w:rPr>
        <w:t>;</w:t>
      </w:r>
    </w:p>
    <w:p w14:paraId="6F76A829" w14:textId="609C4980" w:rsidR="00B71E1F" w:rsidRPr="00B3123E" w:rsidRDefault="00243CB4" w:rsidP="00E57E58">
      <w:pPr>
        <w:pStyle w:val="ListParagraph"/>
        <w:numPr>
          <w:ilvl w:val="0"/>
          <w:numId w:val="26"/>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хоризонтална </w:t>
      </w:r>
      <w:r w:rsidR="00B71E1F" w:rsidRPr="00B3123E">
        <w:rPr>
          <w:rFonts w:ascii="Times New Roman" w:hAnsi="Times New Roman" w:cs="Times New Roman"/>
          <w:szCs w:val="24"/>
          <w:lang w:val="sr-Cyrl-RS"/>
        </w:rPr>
        <w:t>интеграција, која проширује обим понуде повезивањем различитих услуга</w:t>
      </w:r>
      <w:r w:rsidR="00633C54" w:rsidRPr="00B3123E">
        <w:rPr>
          <w:rFonts w:ascii="Times New Roman" w:hAnsi="Times New Roman" w:cs="Times New Roman"/>
          <w:szCs w:val="24"/>
          <w:lang w:val="sr-Cyrl-RS"/>
        </w:rPr>
        <w:t>;</w:t>
      </w:r>
    </w:p>
    <w:p w14:paraId="430878DB" w14:textId="7365D985" w:rsidR="00C64503" w:rsidRPr="00B3123E" w:rsidRDefault="00243CB4" w:rsidP="00E57E58">
      <w:pPr>
        <w:pStyle w:val="ListParagraph"/>
        <w:numPr>
          <w:ilvl w:val="0"/>
          <w:numId w:val="26"/>
        </w:numPr>
        <w:tabs>
          <w:tab w:val="left" w:pos="1560"/>
        </w:tabs>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 xml:space="preserve">вертикална </w:t>
      </w:r>
      <w:r w:rsidR="00B71E1F" w:rsidRPr="00B3123E">
        <w:rPr>
          <w:rFonts w:ascii="Times New Roman" w:hAnsi="Times New Roman" w:cs="Times New Roman"/>
          <w:szCs w:val="24"/>
          <w:lang w:val="sr-Cyrl-RS"/>
        </w:rPr>
        <w:t>интеграција, где се компаниј</w:t>
      </w:r>
      <w:r w:rsidR="002C691E" w:rsidRPr="00B3123E">
        <w:rPr>
          <w:rFonts w:ascii="Times New Roman" w:hAnsi="Times New Roman" w:cs="Times New Roman"/>
          <w:szCs w:val="24"/>
          <w:lang w:val="sr-Cyrl-RS"/>
        </w:rPr>
        <w:t>e удружују.</w:t>
      </w:r>
      <w:r w:rsidR="006F1D87" w:rsidRPr="00B3123E">
        <w:rPr>
          <w:rFonts w:ascii="Times New Roman" w:hAnsi="Times New Roman" w:cs="Times New Roman"/>
          <w:szCs w:val="24"/>
          <w:lang w:val="sr-Cyrl-RS"/>
        </w:rPr>
        <w:t xml:space="preserve"> </w:t>
      </w:r>
    </w:p>
    <w:p w14:paraId="37115229" w14:textId="77777777" w:rsidR="00F94D0C" w:rsidRPr="00B3123E" w:rsidRDefault="00F94D0C" w:rsidP="0016204B">
      <w:pPr>
        <w:pStyle w:val="Heading2"/>
        <w:jc w:val="left"/>
        <w:rPr>
          <w:rFonts w:ascii="Times New Roman" w:hAnsi="Times New Roman" w:cs="Times New Roman"/>
          <w:b w:val="0"/>
          <w:color w:val="auto"/>
          <w:u w:val="single"/>
          <w:lang w:val="sr-Cyrl-RS"/>
        </w:rPr>
      </w:pPr>
      <w:bookmarkStart w:id="35" w:name="_Toc211545975"/>
      <w:r w:rsidRPr="00B3123E">
        <w:rPr>
          <w:rFonts w:ascii="Times New Roman" w:hAnsi="Times New Roman" w:cs="Times New Roman"/>
          <w:b w:val="0"/>
          <w:color w:val="auto"/>
          <w:u w:val="single"/>
          <w:lang w:val="sr-Cyrl-RS"/>
        </w:rPr>
        <w:t xml:space="preserve">Стратешки правци деловања Светског </w:t>
      </w:r>
      <w:r w:rsidR="00F7288F" w:rsidRPr="00B3123E">
        <w:rPr>
          <w:rFonts w:ascii="Times New Roman" w:hAnsi="Times New Roman" w:cs="Times New Roman"/>
          <w:b w:val="0"/>
          <w:color w:val="auto"/>
          <w:u w:val="single"/>
          <w:lang w:val="sr-Cyrl-RS"/>
        </w:rPr>
        <w:t>п</w:t>
      </w:r>
      <w:r w:rsidRPr="00B3123E">
        <w:rPr>
          <w:rFonts w:ascii="Times New Roman" w:hAnsi="Times New Roman" w:cs="Times New Roman"/>
          <w:b w:val="0"/>
          <w:color w:val="auto"/>
          <w:u w:val="single"/>
          <w:lang w:val="sr-Cyrl-RS"/>
        </w:rPr>
        <w:t xml:space="preserve">оштанског </w:t>
      </w:r>
      <w:r w:rsidR="00F7288F" w:rsidRPr="00B3123E">
        <w:rPr>
          <w:rFonts w:ascii="Times New Roman" w:hAnsi="Times New Roman" w:cs="Times New Roman"/>
          <w:b w:val="0"/>
          <w:color w:val="auto"/>
          <w:u w:val="single"/>
          <w:lang w:val="sr-Cyrl-RS"/>
        </w:rPr>
        <w:t>с</w:t>
      </w:r>
      <w:r w:rsidRPr="00B3123E">
        <w:rPr>
          <w:rFonts w:ascii="Times New Roman" w:hAnsi="Times New Roman" w:cs="Times New Roman"/>
          <w:b w:val="0"/>
          <w:color w:val="auto"/>
          <w:u w:val="single"/>
          <w:lang w:val="sr-Cyrl-RS"/>
        </w:rPr>
        <w:t>авеза</w:t>
      </w:r>
      <w:bookmarkEnd w:id="35"/>
    </w:p>
    <w:p w14:paraId="2E89B840" w14:textId="77777777" w:rsidR="00622055" w:rsidRPr="00B3123E" w:rsidRDefault="00622055" w:rsidP="00994106">
      <w:pPr>
        <w:rPr>
          <w:lang w:val="sr-Cyrl-RS"/>
        </w:rPr>
      </w:pPr>
    </w:p>
    <w:p w14:paraId="746E426B" w14:textId="0B4D5467" w:rsidR="00AA1332" w:rsidRPr="00B3123E" w:rsidRDefault="00AA1332" w:rsidP="006642C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Према истраживању</w:t>
      </w:r>
      <w:r w:rsidR="004A3B77" w:rsidRPr="00B3123E">
        <w:rPr>
          <w:rFonts w:ascii="Times New Roman" w:hAnsi="Times New Roman" w:cs="Times New Roman"/>
          <w:szCs w:val="24"/>
          <w:lang w:val="sr-Cyrl-RS"/>
        </w:rPr>
        <w:t xml:space="preserve"> </w:t>
      </w:r>
      <w:r w:rsidR="00FA2510" w:rsidRPr="00B3123E">
        <w:rPr>
          <w:rFonts w:ascii="Times New Roman" w:hAnsi="Times New Roman" w:cs="Times New Roman"/>
          <w:szCs w:val="24"/>
          <w:lang w:val="sr-Cyrl-RS"/>
        </w:rPr>
        <w:t>Светског поштанског савеза</w:t>
      </w:r>
      <w:r w:rsidR="004C24B6" w:rsidRPr="00B3123E">
        <w:rPr>
          <w:rFonts w:ascii="Times New Roman" w:hAnsi="Times New Roman" w:cs="Times New Roman"/>
          <w:szCs w:val="24"/>
          <w:vertAlign w:val="superscript"/>
          <w:lang w:val="sr-Cyrl-RS"/>
        </w:rPr>
        <w:footnoteReference w:id="17"/>
      </w:r>
      <w:r w:rsidR="004D735E"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глобални бруто домаћи производ (БДП) порастао </w:t>
      </w:r>
      <w:r w:rsidR="00650A4F" w:rsidRPr="00B3123E">
        <w:rPr>
          <w:rFonts w:ascii="Times New Roman" w:hAnsi="Times New Roman" w:cs="Times New Roman"/>
          <w:szCs w:val="24"/>
          <w:lang w:val="sr-Cyrl-RS"/>
        </w:rPr>
        <w:t xml:space="preserve">је </w:t>
      </w:r>
      <w:r w:rsidRPr="00B3123E">
        <w:rPr>
          <w:rFonts w:ascii="Times New Roman" w:hAnsi="Times New Roman" w:cs="Times New Roman"/>
          <w:szCs w:val="24"/>
          <w:lang w:val="sr-Cyrl-RS"/>
        </w:rPr>
        <w:t xml:space="preserve">за 75% између 2006. и 2023. године, </w:t>
      </w:r>
      <w:r w:rsidR="00650A4F" w:rsidRPr="00B3123E">
        <w:rPr>
          <w:rFonts w:ascii="Times New Roman" w:hAnsi="Times New Roman" w:cs="Times New Roman"/>
          <w:szCs w:val="24"/>
          <w:lang w:val="sr-Cyrl-RS"/>
        </w:rPr>
        <w:t xml:space="preserve">а </w:t>
      </w:r>
      <w:r w:rsidRPr="00B3123E">
        <w:rPr>
          <w:rFonts w:ascii="Times New Roman" w:hAnsi="Times New Roman" w:cs="Times New Roman"/>
          <w:szCs w:val="24"/>
          <w:lang w:val="sr-Cyrl-RS"/>
        </w:rPr>
        <w:t>поштански приходи су порасли само за 4%</w:t>
      </w:r>
      <w:r w:rsidR="00650A4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стварајући </w:t>
      </w:r>
      <w:r w:rsidR="00AC679A" w:rsidRPr="00B3123E">
        <w:rPr>
          <w:rFonts w:ascii="Times New Roman" w:hAnsi="Times New Roman" w:cs="Times New Roman"/>
          <w:szCs w:val="24"/>
          <w:lang w:val="sr-Cyrl-RS"/>
        </w:rPr>
        <w:t>значајан</w:t>
      </w:r>
      <w:r w:rsidRPr="00B3123E">
        <w:rPr>
          <w:rFonts w:ascii="Times New Roman" w:hAnsi="Times New Roman" w:cs="Times New Roman"/>
          <w:szCs w:val="24"/>
          <w:lang w:val="sr-Cyrl-RS"/>
        </w:rPr>
        <w:t xml:space="preserve"> размак у перформансама од 71%. Ов</w:t>
      </w:r>
      <w:r w:rsidR="00650A4F" w:rsidRPr="00B3123E">
        <w:rPr>
          <w:rFonts w:ascii="Times New Roman" w:hAnsi="Times New Roman" w:cs="Times New Roman"/>
          <w:szCs w:val="24"/>
          <w:lang w:val="sr-Cyrl-RS"/>
        </w:rPr>
        <w:t>о, по студији, представља</w:t>
      </w:r>
      <w:r w:rsidRPr="00B3123E">
        <w:rPr>
          <w:rFonts w:ascii="Times New Roman" w:hAnsi="Times New Roman" w:cs="Times New Roman"/>
          <w:szCs w:val="24"/>
          <w:lang w:val="sr-Cyrl-RS"/>
        </w:rPr>
        <w:t xml:space="preserve"> прет</w:t>
      </w:r>
      <w:r w:rsidR="00650A4F" w:rsidRPr="00B3123E">
        <w:rPr>
          <w:rFonts w:ascii="Times New Roman" w:hAnsi="Times New Roman" w:cs="Times New Roman"/>
          <w:szCs w:val="24"/>
          <w:lang w:val="sr-Cyrl-RS"/>
        </w:rPr>
        <w:t>њу</w:t>
      </w:r>
      <w:r w:rsidRPr="00B3123E">
        <w:rPr>
          <w:rFonts w:ascii="Times New Roman" w:hAnsi="Times New Roman" w:cs="Times New Roman"/>
          <w:szCs w:val="24"/>
          <w:lang w:val="sr-Cyrl-RS"/>
        </w:rPr>
        <w:t xml:space="preserve"> одрживости </w:t>
      </w:r>
      <w:r w:rsidR="00C91F64"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на светском нивоу. Наиме, анализом се </w:t>
      </w:r>
      <w:r w:rsidRPr="00B3123E">
        <w:rPr>
          <w:rFonts w:ascii="Times New Roman" w:hAnsi="Times New Roman" w:cs="Times New Roman"/>
          <w:szCs w:val="24"/>
          <w:lang w:val="sr-Cyrl-RS"/>
        </w:rPr>
        <w:lastRenderedPageBreak/>
        <w:t>дошло до закључка како свако смањење зависности од пис</w:t>
      </w:r>
      <w:r w:rsidR="00E92812" w:rsidRPr="00B3123E">
        <w:rPr>
          <w:rFonts w:ascii="Times New Roman" w:hAnsi="Times New Roman" w:cs="Times New Roman"/>
          <w:szCs w:val="24"/>
          <w:lang w:val="sr-Cyrl-RS"/>
        </w:rPr>
        <w:t>моносних пошиљака</w:t>
      </w:r>
      <w:r w:rsidRPr="00B3123E">
        <w:rPr>
          <w:rFonts w:ascii="Times New Roman" w:hAnsi="Times New Roman" w:cs="Times New Roman"/>
          <w:szCs w:val="24"/>
          <w:lang w:val="sr-Cyrl-RS"/>
        </w:rPr>
        <w:t xml:space="preserve"> за 10%</w:t>
      </w:r>
      <w:r w:rsidR="00312B8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побољшава</w:t>
      </w:r>
      <w:r w:rsidR="00E92812" w:rsidRPr="00B3123E">
        <w:rPr>
          <w:rFonts w:ascii="Times New Roman" w:hAnsi="Times New Roman" w:cs="Times New Roman"/>
          <w:szCs w:val="24"/>
          <w:lang w:val="sr-Cyrl-RS"/>
        </w:rPr>
        <w:t xml:space="preserve"> учинак</w:t>
      </w:r>
      <w:r w:rsidRPr="00B3123E">
        <w:rPr>
          <w:rFonts w:ascii="Times New Roman" w:hAnsi="Times New Roman" w:cs="Times New Roman"/>
          <w:szCs w:val="24"/>
          <w:lang w:val="sr-Cyrl-RS"/>
        </w:rPr>
        <w:t xml:space="preserve"> за 0,5% годишње, док консолидација мреже кроз затварање поштанских јединица заправо погоршава р</w:t>
      </w:r>
      <w:r w:rsidR="00E92812" w:rsidRPr="00B3123E">
        <w:rPr>
          <w:rFonts w:ascii="Times New Roman" w:hAnsi="Times New Roman" w:cs="Times New Roman"/>
          <w:szCs w:val="24"/>
          <w:lang w:val="sr-Cyrl-RS"/>
        </w:rPr>
        <w:t>езултате</w:t>
      </w:r>
      <w:r w:rsidRPr="00B3123E">
        <w:rPr>
          <w:rFonts w:ascii="Times New Roman" w:hAnsi="Times New Roman" w:cs="Times New Roman"/>
          <w:szCs w:val="24"/>
          <w:lang w:val="sr-Cyrl-RS"/>
        </w:rPr>
        <w:t xml:space="preserve"> за 1,7%</w:t>
      </w:r>
      <w:r w:rsidR="00E9281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Успех захтева и диверсификацију прихода и одржавање физичке присутности –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и који следе само једну стратегију доследно подбацују</w:t>
      </w:r>
      <w:r w:rsidR="00E92812" w:rsidRPr="00B3123E">
        <w:rPr>
          <w:rFonts w:ascii="Times New Roman" w:hAnsi="Times New Roman" w:cs="Times New Roman"/>
          <w:szCs w:val="24"/>
          <w:lang w:val="sr-Cyrl-RS"/>
        </w:rPr>
        <w:t xml:space="preserve"> тј. имају лошије резултате.</w:t>
      </w:r>
    </w:p>
    <w:p w14:paraId="064170ED" w14:textId="41F308CF" w:rsidR="00CA3B2D" w:rsidRPr="00B3123E" w:rsidRDefault="00A452D7" w:rsidP="006642CE">
      <w:pPr>
        <w:tabs>
          <w:tab w:val="left" w:pos="1440"/>
        </w:tabs>
        <w:ind w:firstLine="709"/>
        <w:rPr>
          <w:rFonts w:ascii="Times New Roman" w:hAnsi="Times New Roman" w:cs="Times New Roman"/>
          <w:color w:val="000000" w:themeColor="text1"/>
          <w:szCs w:val="24"/>
          <w:lang w:val="sr-Cyrl-RS"/>
        </w:rPr>
      </w:pPr>
      <w:r w:rsidRPr="00B3123E">
        <w:rPr>
          <w:rFonts w:ascii="Times New Roman" w:hAnsi="Times New Roman" w:cs="Times New Roman"/>
          <w:color w:val="000000" w:themeColor="text1"/>
          <w:szCs w:val="24"/>
          <w:lang w:val="sr-Cyrl-RS"/>
        </w:rPr>
        <w:t>Закључак спроведене студије</w:t>
      </w:r>
      <w:r w:rsidR="004A3B77" w:rsidRPr="00B3123E">
        <w:rPr>
          <w:rFonts w:ascii="Times New Roman" w:hAnsi="Times New Roman" w:cs="Times New Roman"/>
          <w:color w:val="000000" w:themeColor="text1"/>
          <w:szCs w:val="24"/>
          <w:lang w:val="sr-Cyrl-RS"/>
        </w:rPr>
        <w:t xml:space="preserve"> </w:t>
      </w:r>
      <w:r w:rsidR="00B225DA" w:rsidRPr="00B3123E">
        <w:rPr>
          <w:rFonts w:ascii="Times New Roman" w:hAnsi="Times New Roman" w:cs="Times New Roman"/>
          <w:color w:val="000000" w:themeColor="text1"/>
          <w:szCs w:val="24"/>
          <w:lang w:val="sr-Cyrl-RS"/>
        </w:rPr>
        <w:t>Светског поштанског савеза</w:t>
      </w:r>
      <w:r w:rsidRPr="00B3123E">
        <w:rPr>
          <w:rFonts w:ascii="Times New Roman" w:hAnsi="Times New Roman" w:cs="Times New Roman"/>
          <w:color w:val="000000" w:themeColor="text1"/>
          <w:szCs w:val="24"/>
          <w:lang w:val="sr-Cyrl-RS"/>
        </w:rPr>
        <w:t xml:space="preserve"> је како комбинација физичке присутности и дигиталне повезаности поштанског саобраћаја </w:t>
      </w:r>
      <w:r w:rsidR="005818D1" w:rsidRPr="00B3123E">
        <w:rPr>
          <w:rFonts w:ascii="Times New Roman" w:hAnsi="Times New Roman" w:cs="Times New Roman"/>
          <w:color w:val="000000" w:themeColor="text1"/>
          <w:szCs w:val="24"/>
          <w:lang w:val="sr-Cyrl-RS"/>
        </w:rPr>
        <w:t xml:space="preserve">га </w:t>
      </w:r>
      <w:r w:rsidRPr="00B3123E">
        <w:rPr>
          <w:rFonts w:ascii="Times New Roman" w:hAnsi="Times New Roman" w:cs="Times New Roman"/>
          <w:color w:val="000000" w:themeColor="text1"/>
          <w:szCs w:val="24"/>
          <w:lang w:val="sr-Cyrl-RS"/>
        </w:rPr>
        <w:t>позиционира</w:t>
      </w:r>
      <w:r w:rsidR="005818D1"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као кључног партнера раста – али само ако успешно управља транзицијама које су нужне (диверсификација</w:t>
      </w:r>
      <w:r w:rsidR="009B4168"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пословања</w:t>
      </w:r>
      <w:r w:rsidR="004A3B77" w:rsidRPr="00B3123E">
        <w:rPr>
          <w:rFonts w:ascii="Times New Roman" w:hAnsi="Times New Roman" w:cs="Times New Roman"/>
          <w:color w:val="000000" w:themeColor="text1"/>
          <w:szCs w:val="24"/>
          <w:lang w:val="sr-Cyrl-RS"/>
        </w:rPr>
        <w:t>,</w:t>
      </w:r>
      <w:r w:rsidRPr="00B3123E">
        <w:rPr>
          <w:rFonts w:ascii="Times New Roman" w:hAnsi="Times New Roman" w:cs="Times New Roman"/>
          <w:color w:val="000000" w:themeColor="text1"/>
          <w:szCs w:val="24"/>
          <w:lang w:val="sr-Cyrl-RS"/>
        </w:rPr>
        <w:t xml:space="preserve"> као и инвестиције у развој). </w:t>
      </w:r>
    </w:p>
    <w:p w14:paraId="44F6F48A" w14:textId="1D7B6B2C" w:rsidR="00A452D7" w:rsidRPr="00B3123E" w:rsidRDefault="00A452D7" w:rsidP="006642CE">
      <w:pPr>
        <w:tabs>
          <w:tab w:val="left" w:pos="1440"/>
        </w:tabs>
        <w:ind w:firstLine="709"/>
        <w:rPr>
          <w:rFonts w:ascii="Times New Roman" w:hAnsi="Times New Roman" w:cs="Times New Roman"/>
          <w:color w:val="000000" w:themeColor="text1"/>
          <w:szCs w:val="24"/>
          <w:lang w:val="sr-Cyrl-RS"/>
        </w:rPr>
      </w:pPr>
      <w:r w:rsidRPr="00B3123E">
        <w:rPr>
          <w:rFonts w:ascii="Times New Roman" w:hAnsi="Times New Roman" w:cs="Times New Roman"/>
          <w:color w:val="000000" w:themeColor="text1"/>
          <w:szCs w:val="24"/>
          <w:lang w:val="sr-Cyrl-RS"/>
        </w:rPr>
        <w:t xml:space="preserve">У свету се предвиђа да ће е-трговина достићи </w:t>
      </w:r>
      <w:r w:rsidR="002C1410" w:rsidRPr="00B3123E">
        <w:rPr>
          <w:rFonts w:ascii="Times New Roman" w:hAnsi="Times New Roman" w:cs="Times New Roman"/>
          <w:color w:val="000000" w:themeColor="text1"/>
          <w:szCs w:val="24"/>
          <w:lang w:val="sr-Cyrl-RS"/>
        </w:rPr>
        <w:t xml:space="preserve">обим од </w:t>
      </w:r>
      <w:r w:rsidRPr="00B3123E">
        <w:rPr>
          <w:rFonts w:ascii="Times New Roman" w:hAnsi="Times New Roman" w:cs="Times New Roman"/>
          <w:color w:val="000000" w:themeColor="text1"/>
          <w:szCs w:val="24"/>
          <w:lang w:val="sr-Cyrl-RS"/>
        </w:rPr>
        <w:t xml:space="preserve">8.000 милијарди </w:t>
      </w:r>
      <w:r w:rsidR="00076DA2" w:rsidRPr="00B3123E">
        <w:rPr>
          <w:rFonts w:ascii="Times New Roman" w:hAnsi="Times New Roman" w:cs="Times New Roman"/>
          <w:color w:val="000000" w:themeColor="text1"/>
          <w:szCs w:val="24"/>
          <w:lang w:val="sr-Cyrl-RS"/>
        </w:rPr>
        <w:t>америчких долара</w:t>
      </w:r>
      <w:r w:rsidRPr="00B3123E">
        <w:rPr>
          <w:rFonts w:ascii="Times New Roman" w:hAnsi="Times New Roman" w:cs="Times New Roman"/>
          <w:color w:val="000000" w:themeColor="text1"/>
          <w:szCs w:val="24"/>
          <w:lang w:val="sr-Cyrl-RS"/>
        </w:rPr>
        <w:t xml:space="preserve"> до 2030. године,</w:t>
      </w:r>
      <w:r w:rsidR="002C1410" w:rsidRPr="00B3123E">
        <w:rPr>
          <w:rFonts w:ascii="Times New Roman" w:hAnsi="Times New Roman" w:cs="Times New Roman"/>
          <w:color w:val="000000" w:themeColor="text1"/>
          <w:szCs w:val="24"/>
          <w:lang w:val="sr-Cyrl-RS"/>
        </w:rPr>
        <w:t xml:space="preserve"> док</w:t>
      </w:r>
      <w:r w:rsidR="00F94259"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1</w:t>
      </w:r>
      <w:r w:rsidR="00302CB5" w:rsidRPr="00B3123E">
        <w:rPr>
          <w:rFonts w:ascii="Times New Roman" w:hAnsi="Times New Roman" w:cs="Times New Roman"/>
          <w:color w:val="000000" w:themeColor="text1"/>
          <w:szCs w:val="24"/>
          <w:lang w:val="sr-Cyrl-RS"/>
        </w:rPr>
        <w:t>,</w:t>
      </w:r>
      <w:r w:rsidRPr="00B3123E">
        <w:rPr>
          <w:rFonts w:ascii="Times New Roman" w:hAnsi="Times New Roman" w:cs="Times New Roman"/>
          <w:color w:val="000000" w:themeColor="text1"/>
          <w:szCs w:val="24"/>
          <w:lang w:val="sr-Cyrl-RS"/>
        </w:rPr>
        <w:t>7 милијарди</w:t>
      </w:r>
      <w:r w:rsidR="002C1410" w:rsidRPr="00B3123E">
        <w:rPr>
          <w:rFonts w:ascii="Times New Roman" w:hAnsi="Times New Roman" w:cs="Times New Roman"/>
          <w:color w:val="000000" w:themeColor="text1"/>
          <w:szCs w:val="24"/>
          <w:lang w:val="sr-Cyrl-RS"/>
        </w:rPr>
        <w:t xml:space="preserve"> одраслог становништва још увек нема банковни рачун</w:t>
      </w:r>
      <w:r w:rsidRPr="00B3123E">
        <w:rPr>
          <w:rFonts w:ascii="Times New Roman" w:hAnsi="Times New Roman" w:cs="Times New Roman"/>
          <w:color w:val="000000" w:themeColor="text1"/>
          <w:szCs w:val="24"/>
          <w:lang w:val="sr-Cyrl-RS"/>
        </w:rPr>
        <w:t xml:space="preserve">, </w:t>
      </w:r>
      <w:r w:rsidR="002C1410" w:rsidRPr="00B3123E">
        <w:rPr>
          <w:rFonts w:ascii="Times New Roman" w:hAnsi="Times New Roman" w:cs="Times New Roman"/>
          <w:color w:val="000000" w:themeColor="text1"/>
          <w:szCs w:val="24"/>
          <w:lang w:val="sr-Cyrl-RS"/>
        </w:rPr>
        <w:t>а</w:t>
      </w:r>
      <w:r w:rsidRPr="00B3123E">
        <w:rPr>
          <w:rFonts w:ascii="Times New Roman" w:hAnsi="Times New Roman" w:cs="Times New Roman"/>
          <w:color w:val="000000" w:themeColor="text1"/>
          <w:szCs w:val="24"/>
          <w:lang w:val="sr-Cyrl-RS"/>
        </w:rPr>
        <w:t xml:space="preserve"> </w:t>
      </w:r>
      <w:r w:rsidR="00664B59" w:rsidRPr="00B3123E">
        <w:rPr>
          <w:rFonts w:ascii="Times New Roman" w:hAnsi="Times New Roman" w:cs="Times New Roman"/>
          <w:color w:val="000000" w:themeColor="text1"/>
          <w:szCs w:val="24"/>
          <w:lang w:val="sr-Cyrl-RS"/>
        </w:rPr>
        <w:t>да</w:t>
      </w:r>
      <w:r w:rsidR="004A3B77"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ће будуће пандемије или климатски шокови</w:t>
      </w:r>
      <w:r w:rsidR="00664B59"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тестирати отпорност ланца снабдевања</w:t>
      </w:r>
      <w:r w:rsidR="002C1410" w:rsidRPr="00B3123E">
        <w:rPr>
          <w:rFonts w:ascii="Times New Roman" w:hAnsi="Times New Roman" w:cs="Times New Roman"/>
          <w:color w:val="000000" w:themeColor="text1"/>
          <w:szCs w:val="24"/>
          <w:lang w:val="sr-Cyrl-RS"/>
        </w:rPr>
        <w:t xml:space="preserve"> односно доставе</w:t>
      </w:r>
      <w:r w:rsidRPr="00B3123E">
        <w:rPr>
          <w:rFonts w:ascii="Times New Roman" w:hAnsi="Times New Roman" w:cs="Times New Roman"/>
          <w:color w:val="000000" w:themeColor="text1"/>
          <w:szCs w:val="24"/>
          <w:lang w:val="sr-Cyrl-RS"/>
        </w:rPr>
        <w:t xml:space="preserve">, </w:t>
      </w:r>
      <w:r w:rsidR="00072FE9">
        <w:rPr>
          <w:rFonts w:ascii="Times New Roman" w:hAnsi="Times New Roman" w:cs="Times New Roman"/>
          <w:color w:val="000000" w:themeColor="text1"/>
          <w:szCs w:val="24"/>
          <w:lang w:val="sr-Cyrl-RS"/>
        </w:rPr>
        <w:t>што</w:t>
      </w:r>
      <w:r w:rsidR="00422509" w:rsidRPr="00B3123E">
        <w:rPr>
          <w:rFonts w:ascii="Times New Roman" w:hAnsi="Times New Roman" w:cs="Times New Roman"/>
          <w:color w:val="000000" w:themeColor="text1"/>
          <w:szCs w:val="24"/>
          <w:lang w:val="sr-Cyrl-RS"/>
        </w:rPr>
        <w:t xml:space="preserve"> </w:t>
      </w:r>
      <w:r w:rsidR="002C1410" w:rsidRPr="00B3123E">
        <w:rPr>
          <w:rFonts w:ascii="Times New Roman" w:hAnsi="Times New Roman" w:cs="Times New Roman"/>
          <w:color w:val="000000" w:themeColor="text1"/>
          <w:szCs w:val="24"/>
          <w:lang w:val="sr-Cyrl-RS"/>
        </w:rPr>
        <w:t>пружа поштама</w:t>
      </w:r>
      <w:r w:rsidR="00650A4F" w:rsidRPr="00B3123E">
        <w:rPr>
          <w:rFonts w:ascii="Times New Roman" w:hAnsi="Times New Roman" w:cs="Times New Roman"/>
          <w:color w:val="000000" w:themeColor="text1"/>
          <w:szCs w:val="24"/>
          <w:lang w:val="sr-Cyrl-RS"/>
        </w:rPr>
        <w:t xml:space="preserve"> велике могућности</w:t>
      </w:r>
      <w:r w:rsidR="002C1410" w:rsidRPr="00B3123E">
        <w:rPr>
          <w:rFonts w:ascii="Times New Roman" w:hAnsi="Times New Roman" w:cs="Times New Roman"/>
          <w:color w:val="000000" w:themeColor="text1"/>
          <w:szCs w:val="24"/>
          <w:lang w:val="sr-Cyrl-RS"/>
        </w:rPr>
        <w:t xml:space="preserve"> за рад и развој</w:t>
      </w:r>
      <w:r w:rsidR="00650A4F" w:rsidRPr="00B3123E">
        <w:rPr>
          <w:rFonts w:ascii="Times New Roman" w:hAnsi="Times New Roman" w:cs="Times New Roman"/>
          <w:color w:val="000000" w:themeColor="text1"/>
          <w:szCs w:val="24"/>
          <w:lang w:val="sr-Cyrl-RS"/>
        </w:rPr>
        <w:t>. Наиме,</w:t>
      </w:r>
      <w:r w:rsidRPr="00B3123E">
        <w:rPr>
          <w:rFonts w:ascii="Times New Roman" w:hAnsi="Times New Roman" w:cs="Times New Roman"/>
          <w:color w:val="000000" w:themeColor="text1"/>
          <w:szCs w:val="24"/>
          <w:lang w:val="sr-Cyrl-RS"/>
        </w:rPr>
        <w:t xml:space="preserve"> </w:t>
      </w:r>
      <w:r w:rsidR="005D6CE8" w:rsidRPr="00B3123E">
        <w:rPr>
          <w:rFonts w:ascii="Times New Roman" w:hAnsi="Times New Roman" w:cs="Times New Roman"/>
          <w:color w:val="000000" w:themeColor="text1"/>
          <w:szCs w:val="24"/>
          <w:lang w:val="sr-Cyrl-RS"/>
        </w:rPr>
        <w:t>глобално</w:t>
      </w:r>
      <w:r w:rsidR="00422509"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679</w:t>
      </w:r>
      <w:r w:rsidR="00E03C58" w:rsidRPr="00B3123E">
        <w:rPr>
          <w:rFonts w:ascii="Times New Roman" w:hAnsi="Times New Roman" w:cs="Times New Roman"/>
          <w:color w:val="000000" w:themeColor="text1"/>
          <w:szCs w:val="24"/>
          <w:lang w:val="sr-Cyrl-RS"/>
        </w:rPr>
        <w:t>.</w:t>
      </w:r>
      <w:r w:rsidRPr="00B3123E">
        <w:rPr>
          <w:rFonts w:ascii="Times New Roman" w:hAnsi="Times New Roman" w:cs="Times New Roman"/>
          <w:color w:val="000000" w:themeColor="text1"/>
          <w:szCs w:val="24"/>
          <w:lang w:val="sr-Cyrl-RS"/>
        </w:rPr>
        <w:t>000 поштанских јединица чини највећу малопродајну мрежу на свету</w:t>
      </w:r>
      <w:r w:rsidR="00E03C58"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њихових 4</w:t>
      </w:r>
      <w:r w:rsidR="00302CB5" w:rsidRPr="00B3123E">
        <w:rPr>
          <w:rFonts w:ascii="Times New Roman" w:hAnsi="Times New Roman" w:cs="Times New Roman"/>
          <w:color w:val="000000" w:themeColor="text1"/>
          <w:szCs w:val="24"/>
          <w:lang w:val="sr-Cyrl-RS"/>
        </w:rPr>
        <w:t>,</w:t>
      </w:r>
      <w:r w:rsidRPr="00B3123E">
        <w:rPr>
          <w:rFonts w:ascii="Times New Roman" w:hAnsi="Times New Roman" w:cs="Times New Roman"/>
          <w:color w:val="000000" w:themeColor="text1"/>
          <w:szCs w:val="24"/>
          <w:lang w:val="sr-Cyrl-RS"/>
        </w:rPr>
        <w:t xml:space="preserve">6 милиона запослених поседује неупоредиву стручност у </w:t>
      </w:r>
      <w:r w:rsidR="00664B59" w:rsidRPr="00B3123E">
        <w:rPr>
          <w:rFonts w:ascii="Times New Roman" w:hAnsi="Times New Roman" w:cs="Times New Roman"/>
          <w:color w:val="000000" w:themeColor="text1"/>
          <w:szCs w:val="24"/>
          <w:lang w:val="sr-Cyrl-RS"/>
        </w:rPr>
        <w:t xml:space="preserve">последњој </w:t>
      </w:r>
      <w:r w:rsidRPr="00B3123E">
        <w:rPr>
          <w:rFonts w:ascii="Times New Roman" w:hAnsi="Times New Roman" w:cs="Times New Roman"/>
          <w:color w:val="000000" w:themeColor="text1"/>
          <w:szCs w:val="24"/>
          <w:lang w:val="sr-Cyrl-RS"/>
        </w:rPr>
        <w:t>миљи; њихова свакодневна интеракција с</w:t>
      </w:r>
      <w:r w:rsidR="00E03C58" w:rsidRPr="00B3123E">
        <w:rPr>
          <w:rFonts w:ascii="Times New Roman" w:hAnsi="Times New Roman" w:cs="Times New Roman"/>
          <w:color w:val="000000" w:themeColor="text1"/>
          <w:szCs w:val="24"/>
          <w:lang w:val="sr-Cyrl-RS"/>
        </w:rPr>
        <w:t>а</w:t>
      </w:r>
      <w:r w:rsidRPr="00B3123E">
        <w:rPr>
          <w:rFonts w:ascii="Times New Roman" w:hAnsi="Times New Roman" w:cs="Times New Roman"/>
          <w:color w:val="000000" w:themeColor="text1"/>
          <w:szCs w:val="24"/>
          <w:lang w:val="sr-Cyrl-RS"/>
        </w:rPr>
        <w:t xml:space="preserve"> грађанима ствара поверење које</w:t>
      </w:r>
      <w:r w:rsidR="00650A4F" w:rsidRPr="00B3123E">
        <w:rPr>
          <w:rFonts w:ascii="Times New Roman" w:hAnsi="Times New Roman" w:cs="Times New Roman"/>
          <w:color w:val="000000" w:themeColor="text1"/>
          <w:szCs w:val="24"/>
          <w:lang w:val="sr-Cyrl-RS"/>
        </w:rPr>
        <w:t xml:space="preserve"> </w:t>
      </w:r>
      <w:r w:rsidR="00664B59" w:rsidRPr="00B3123E">
        <w:rPr>
          <w:rFonts w:ascii="Times New Roman" w:hAnsi="Times New Roman" w:cs="Times New Roman"/>
          <w:color w:val="000000" w:themeColor="text1"/>
          <w:szCs w:val="24"/>
          <w:lang w:val="sr-Cyrl-RS"/>
        </w:rPr>
        <w:t xml:space="preserve">чак и </w:t>
      </w:r>
      <w:r w:rsidR="00E03C58" w:rsidRPr="00B3123E">
        <w:rPr>
          <w:rFonts w:ascii="Times New Roman" w:hAnsi="Times New Roman" w:cs="Times New Roman"/>
          <w:color w:val="000000" w:themeColor="text1"/>
          <w:szCs w:val="24"/>
          <w:lang w:val="sr-Cyrl-RS"/>
        </w:rPr>
        <w:t>искључиво</w:t>
      </w:r>
      <w:r w:rsidRPr="00B3123E">
        <w:rPr>
          <w:rFonts w:ascii="Times New Roman" w:hAnsi="Times New Roman" w:cs="Times New Roman"/>
          <w:color w:val="000000" w:themeColor="text1"/>
          <w:szCs w:val="24"/>
          <w:lang w:val="sr-Cyrl-RS"/>
        </w:rPr>
        <w:t xml:space="preserve"> дигиталне платформе једва успевају </w:t>
      </w:r>
      <w:r w:rsidR="00664B59" w:rsidRPr="00B3123E">
        <w:rPr>
          <w:rFonts w:ascii="Times New Roman" w:hAnsi="Times New Roman" w:cs="Times New Roman"/>
          <w:color w:val="000000" w:themeColor="text1"/>
          <w:szCs w:val="24"/>
          <w:lang w:val="sr-Cyrl-RS"/>
        </w:rPr>
        <w:t>да остваре</w:t>
      </w:r>
      <w:r w:rsidRPr="00B3123E">
        <w:rPr>
          <w:rFonts w:ascii="Times New Roman" w:hAnsi="Times New Roman" w:cs="Times New Roman"/>
          <w:color w:val="000000" w:themeColor="text1"/>
          <w:szCs w:val="24"/>
          <w:lang w:val="sr-Cyrl-RS"/>
        </w:rPr>
        <w:t>. Студија упућуј</w:t>
      </w:r>
      <w:r w:rsidR="00C963DB" w:rsidRPr="00B3123E">
        <w:rPr>
          <w:rFonts w:ascii="Times New Roman" w:hAnsi="Times New Roman" w:cs="Times New Roman"/>
          <w:color w:val="000000" w:themeColor="text1"/>
          <w:szCs w:val="24"/>
          <w:lang w:val="sr-Cyrl-RS"/>
        </w:rPr>
        <w:t>е</w:t>
      </w:r>
      <w:r w:rsidRPr="00B3123E">
        <w:rPr>
          <w:rFonts w:ascii="Times New Roman" w:hAnsi="Times New Roman" w:cs="Times New Roman"/>
          <w:color w:val="000000" w:themeColor="text1"/>
          <w:szCs w:val="24"/>
          <w:lang w:val="sr-Cyrl-RS"/>
        </w:rPr>
        <w:t xml:space="preserve"> на афирмативну визију развоја поштанског саобраћаја кроз поштанске услуге као вишенаменске платформе које смањују трансакцијске трошкове, проширују приступ тржишту и јачају социјалну кохезију. Остварење ове визије захтева координиране акције </w:t>
      </w:r>
      <w:r w:rsidR="00074E55" w:rsidRPr="00B3123E">
        <w:rPr>
          <w:rFonts w:ascii="Times New Roman" w:hAnsi="Times New Roman" w:cs="Times New Roman"/>
          <w:color w:val="000000" w:themeColor="text1"/>
          <w:szCs w:val="24"/>
          <w:lang w:val="sr-Cyrl-RS"/>
        </w:rPr>
        <w:t>оператора</w:t>
      </w:r>
      <w:r w:rsidRPr="00B3123E">
        <w:rPr>
          <w:rFonts w:ascii="Times New Roman" w:hAnsi="Times New Roman" w:cs="Times New Roman"/>
          <w:color w:val="000000" w:themeColor="text1"/>
          <w:szCs w:val="24"/>
          <w:lang w:val="sr-Cyrl-RS"/>
        </w:rPr>
        <w:t>, регулатор</w:t>
      </w:r>
      <w:r w:rsidR="00C963DB" w:rsidRPr="00B3123E">
        <w:rPr>
          <w:rFonts w:ascii="Times New Roman" w:hAnsi="Times New Roman" w:cs="Times New Roman"/>
          <w:color w:val="000000" w:themeColor="text1"/>
          <w:szCs w:val="24"/>
          <w:lang w:val="sr-Cyrl-RS"/>
        </w:rPr>
        <w:t>а</w:t>
      </w:r>
      <w:r w:rsidRPr="00B3123E">
        <w:rPr>
          <w:rFonts w:ascii="Times New Roman" w:hAnsi="Times New Roman" w:cs="Times New Roman"/>
          <w:color w:val="000000" w:themeColor="text1"/>
          <w:szCs w:val="24"/>
          <w:lang w:val="sr-Cyrl-RS"/>
        </w:rPr>
        <w:t xml:space="preserve"> и међународних организација.</w:t>
      </w:r>
    </w:p>
    <w:p w14:paraId="51101ABD" w14:textId="0690C232" w:rsidR="00D737E4" w:rsidRPr="00B3123E" w:rsidRDefault="00B225DA" w:rsidP="006642C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Светски поштански савез </w:t>
      </w:r>
      <w:r w:rsidR="00D737E4" w:rsidRPr="00B3123E">
        <w:rPr>
          <w:rFonts w:ascii="Times New Roman" w:hAnsi="Times New Roman" w:cs="Times New Roman"/>
          <w:szCs w:val="24"/>
          <w:lang w:val="sr-Cyrl-RS"/>
        </w:rPr>
        <w:t xml:space="preserve">је на 28. </w:t>
      </w:r>
      <w:r w:rsidR="00842D4B" w:rsidRPr="00B3123E">
        <w:rPr>
          <w:rFonts w:ascii="Times New Roman" w:hAnsi="Times New Roman" w:cs="Times New Roman"/>
          <w:szCs w:val="24"/>
          <w:lang w:val="sr-Cyrl-RS"/>
        </w:rPr>
        <w:t>К</w:t>
      </w:r>
      <w:r w:rsidR="00D737E4" w:rsidRPr="00B3123E">
        <w:rPr>
          <w:rFonts w:ascii="Times New Roman" w:hAnsi="Times New Roman" w:cs="Times New Roman"/>
          <w:szCs w:val="24"/>
          <w:lang w:val="sr-Cyrl-RS"/>
        </w:rPr>
        <w:t>онгрес</w:t>
      </w:r>
      <w:r w:rsidR="00842D4B" w:rsidRPr="00B3123E">
        <w:rPr>
          <w:rFonts w:ascii="Times New Roman" w:hAnsi="Times New Roman" w:cs="Times New Roman"/>
          <w:szCs w:val="24"/>
          <w:lang w:val="sr-Cyrl-RS"/>
        </w:rPr>
        <w:t>у</w:t>
      </w:r>
      <w:r w:rsidR="00D737E4" w:rsidRPr="00B3123E">
        <w:rPr>
          <w:rFonts w:ascii="Times New Roman" w:hAnsi="Times New Roman" w:cs="Times New Roman"/>
          <w:szCs w:val="24"/>
          <w:lang w:val="sr-Cyrl-RS"/>
        </w:rPr>
        <w:t xml:space="preserve"> у Дубаију,</w:t>
      </w:r>
      <w:r w:rsidR="00633C54" w:rsidRPr="00B3123E">
        <w:rPr>
          <w:rFonts w:ascii="Times New Roman" w:hAnsi="Times New Roman" w:cs="Times New Roman"/>
          <w:szCs w:val="24"/>
          <w:lang w:val="sr-Cyrl-RS"/>
        </w:rPr>
        <w:t xml:space="preserve"> </w:t>
      </w:r>
      <w:r w:rsidR="00633C54" w:rsidRPr="00B3123E">
        <w:rPr>
          <w:rFonts w:ascii="Times New Roman" w:hAnsi="Times New Roman" w:cs="Times New Roman"/>
          <w:bCs/>
          <w:color w:val="000000"/>
          <w:szCs w:val="24"/>
          <w:lang w:val="sr-Cyrl-RS"/>
        </w:rPr>
        <w:t>Уједињени Арапски Емирати</w:t>
      </w:r>
      <w:r w:rsidR="00633C54" w:rsidRPr="00B3123E">
        <w:rPr>
          <w:rFonts w:ascii="Times New Roman" w:hAnsi="Times New Roman" w:cs="Times New Roman"/>
          <w:szCs w:val="24"/>
          <w:lang w:val="sr-Cyrl-RS"/>
        </w:rPr>
        <w:t>,</w:t>
      </w:r>
      <w:r w:rsidR="00D737E4" w:rsidRPr="00B3123E">
        <w:rPr>
          <w:rFonts w:ascii="Times New Roman" w:hAnsi="Times New Roman" w:cs="Times New Roman"/>
          <w:szCs w:val="24"/>
          <w:lang w:val="sr-Cyrl-RS"/>
        </w:rPr>
        <w:t xml:space="preserve"> донео и нову стратегију за период 2026</w:t>
      </w:r>
      <w:r w:rsidR="00066A72" w:rsidRPr="00B3123E">
        <w:rPr>
          <w:rFonts w:ascii="Times New Roman" w:hAnsi="Times New Roman" w:cs="Times New Roman"/>
          <w:szCs w:val="24"/>
          <w:lang w:val="sr-Cyrl-RS"/>
        </w:rPr>
        <w:t xml:space="preserve"> – </w:t>
      </w:r>
      <w:r w:rsidR="00D737E4" w:rsidRPr="00B3123E">
        <w:rPr>
          <w:rFonts w:ascii="Times New Roman" w:hAnsi="Times New Roman" w:cs="Times New Roman"/>
          <w:szCs w:val="24"/>
          <w:lang w:val="sr-Cyrl-RS"/>
        </w:rPr>
        <w:t xml:space="preserve">2030. </w:t>
      </w:r>
      <w:r w:rsidR="00842D4B" w:rsidRPr="00B3123E">
        <w:rPr>
          <w:rFonts w:ascii="Times New Roman" w:hAnsi="Times New Roman" w:cs="Times New Roman"/>
          <w:szCs w:val="24"/>
          <w:lang w:val="sr-Cyrl-RS"/>
        </w:rPr>
        <w:t>годин</w:t>
      </w:r>
      <w:r w:rsidR="00066A72" w:rsidRPr="00B3123E">
        <w:rPr>
          <w:rFonts w:ascii="Times New Roman" w:hAnsi="Times New Roman" w:cs="Times New Roman"/>
          <w:szCs w:val="24"/>
          <w:lang w:val="sr-Cyrl-RS"/>
        </w:rPr>
        <w:t>у</w:t>
      </w:r>
      <w:r w:rsidR="00842D4B" w:rsidRPr="00B3123E">
        <w:rPr>
          <w:rFonts w:ascii="Times New Roman" w:hAnsi="Times New Roman" w:cs="Times New Roman"/>
          <w:szCs w:val="24"/>
          <w:lang w:val="sr-Cyrl-RS"/>
        </w:rPr>
        <w:t xml:space="preserve"> </w:t>
      </w:r>
      <w:r w:rsidR="00D737E4" w:rsidRPr="00B3123E">
        <w:rPr>
          <w:rFonts w:ascii="Times New Roman" w:hAnsi="Times New Roman" w:cs="Times New Roman"/>
          <w:szCs w:val="24"/>
          <w:lang w:val="sr-Cyrl-RS"/>
        </w:rPr>
        <w:t xml:space="preserve">која је усклађена са кључним трендовима на тржишту поштанских услуга у свету. Како је то </w:t>
      </w:r>
      <w:bookmarkStart w:id="36" w:name="_Hlk213924092"/>
      <w:r w:rsidR="0019113F" w:rsidRPr="00B3123E">
        <w:rPr>
          <w:rFonts w:ascii="Times New Roman" w:hAnsi="Times New Roman" w:cs="Times New Roman"/>
          <w:szCs w:val="24"/>
          <w:lang w:val="sr-Cyrl-RS"/>
        </w:rPr>
        <w:t xml:space="preserve">Светски поштански савез </w:t>
      </w:r>
      <w:bookmarkEnd w:id="36"/>
      <w:r w:rsidR="00D737E4" w:rsidRPr="00B3123E">
        <w:rPr>
          <w:rFonts w:ascii="Times New Roman" w:hAnsi="Times New Roman" w:cs="Times New Roman"/>
          <w:szCs w:val="24"/>
          <w:lang w:val="sr-Cyrl-RS"/>
        </w:rPr>
        <w:t>утврдио</w:t>
      </w:r>
      <w:r w:rsidR="00842D4B" w:rsidRPr="00B3123E">
        <w:rPr>
          <w:rFonts w:ascii="Times New Roman" w:hAnsi="Times New Roman" w:cs="Times New Roman"/>
          <w:szCs w:val="24"/>
          <w:lang w:val="sr-Cyrl-RS"/>
        </w:rPr>
        <w:t>,</w:t>
      </w:r>
      <w:r w:rsidR="00D737E4" w:rsidRPr="00B3123E">
        <w:rPr>
          <w:rFonts w:ascii="Times New Roman" w:hAnsi="Times New Roman" w:cs="Times New Roman"/>
          <w:szCs w:val="24"/>
          <w:lang w:val="sr-Cyrl-RS"/>
        </w:rPr>
        <w:t xml:space="preserve"> дошло је до ширења разлике између глобалног економског раста и раста поштанских прихода што је резултирало смањењем профитабилности поштанских услуга, посебно јер дигиталне алтернативе за комуникацију и алтернативни логистички модели надмашују традиционалне поштанске </w:t>
      </w:r>
      <w:r w:rsidR="00842D4B" w:rsidRPr="00B3123E">
        <w:rPr>
          <w:rFonts w:ascii="Times New Roman" w:hAnsi="Times New Roman" w:cs="Times New Roman"/>
          <w:szCs w:val="24"/>
          <w:lang w:val="sr-Cyrl-RS"/>
        </w:rPr>
        <w:t>системе</w:t>
      </w:r>
      <w:r w:rsidR="00D737E4" w:rsidRPr="00B3123E">
        <w:rPr>
          <w:rFonts w:ascii="Times New Roman" w:hAnsi="Times New Roman" w:cs="Times New Roman"/>
          <w:szCs w:val="24"/>
          <w:lang w:val="sr-Cyrl-RS"/>
        </w:rPr>
        <w:t xml:space="preserve">. Међународни </w:t>
      </w:r>
      <w:r w:rsidR="00842D4B" w:rsidRPr="00B3123E">
        <w:rPr>
          <w:rFonts w:ascii="Times New Roman" w:hAnsi="Times New Roman" w:cs="Times New Roman"/>
          <w:szCs w:val="24"/>
          <w:lang w:val="sr-Cyrl-RS"/>
        </w:rPr>
        <w:t>обим</w:t>
      </w:r>
      <w:r w:rsidR="00D737E4" w:rsidRPr="00B3123E">
        <w:rPr>
          <w:rFonts w:ascii="Times New Roman" w:hAnsi="Times New Roman" w:cs="Times New Roman"/>
          <w:szCs w:val="24"/>
          <w:lang w:val="sr-Cyrl-RS"/>
        </w:rPr>
        <w:t xml:space="preserve"> писама националних оператора (укључујући мале пакете кориш</w:t>
      </w:r>
      <w:r w:rsidR="00842D4B" w:rsidRPr="00B3123E">
        <w:rPr>
          <w:rFonts w:ascii="Times New Roman" w:hAnsi="Times New Roman" w:cs="Times New Roman"/>
          <w:szCs w:val="24"/>
          <w:lang w:val="sr-Cyrl-RS"/>
        </w:rPr>
        <w:t>ћ</w:t>
      </w:r>
      <w:r w:rsidR="00D737E4" w:rsidRPr="00B3123E">
        <w:rPr>
          <w:rFonts w:ascii="Times New Roman" w:hAnsi="Times New Roman" w:cs="Times New Roman"/>
          <w:szCs w:val="24"/>
          <w:lang w:val="sr-Cyrl-RS"/>
        </w:rPr>
        <w:t>ене за е-трговину) на глобално</w:t>
      </w:r>
      <w:r w:rsidR="00842D4B" w:rsidRPr="00B3123E">
        <w:rPr>
          <w:rFonts w:ascii="Times New Roman" w:hAnsi="Times New Roman" w:cs="Times New Roman"/>
          <w:szCs w:val="24"/>
          <w:lang w:val="sr-Cyrl-RS"/>
        </w:rPr>
        <w:t>м</w:t>
      </w:r>
      <w:r w:rsidR="005350E0" w:rsidRPr="00B3123E">
        <w:rPr>
          <w:rFonts w:ascii="Times New Roman" w:hAnsi="Times New Roman" w:cs="Times New Roman"/>
          <w:szCs w:val="24"/>
          <w:lang w:val="sr-Cyrl-RS"/>
        </w:rPr>
        <w:t xml:space="preserve"> </w:t>
      </w:r>
      <w:r w:rsidR="00842D4B" w:rsidRPr="00B3123E">
        <w:rPr>
          <w:rFonts w:ascii="Times New Roman" w:hAnsi="Times New Roman" w:cs="Times New Roman"/>
          <w:szCs w:val="24"/>
          <w:lang w:val="sr-Cyrl-RS"/>
        </w:rPr>
        <w:t>нивоу</w:t>
      </w:r>
      <w:r w:rsidR="00D737E4" w:rsidRPr="00B3123E">
        <w:rPr>
          <w:rFonts w:ascii="Times New Roman" w:hAnsi="Times New Roman" w:cs="Times New Roman"/>
          <w:szCs w:val="24"/>
          <w:lang w:val="sr-Cyrl-RS"/>
        </w:rPr>
        <w:t xml:space="preserve"> пао је за готово 67%</w:t>
      </w:r>
      <w:r w:rsidR="00076DA2" w:rsidRPr="00B3123E">
        <w:rPr>
          <w:rFonts w:ascii="Times New Roman" w:hAnsi="Times New Roman" w:cs="Times New Roman"/>
          <w:szCs w:val="24"/>
          <w:lang w:val="sr-Cyrl-RS"/>
        </w:rPr>
        <w:t xml:space="preserve"> </w:t>
      </w:r>
      <w:r w:rsidR="00D737E4" w:rsidRPr="00B3123E">
        <w:rPr>
          <w:rFonts w:ascii="Times New Roman" w:hAnsi="Times New Roman" w:cs="Times New Roman"/>
          <w:szCs w:val="24"/>
          <w:lang w:val="sr-Cyrl-RS"/>
        </w:rPr>
        <w:t xml:space="preserve">између 2019. и 2024. године. Овај пад долази </w:t>
      </w:r>
      <w:r w:rsidR="00842D4B" w:rsidRPr="00B3123E">
        <w:rPr>
          <w:rFonts w:ascii="Times New Roman" w:hAnsi="Times New Roman" w:cs="Times New Roman"/>
          <w:szCs w:val="24"/>
          <w:lang w:val="sr-Cyrl-RS"/>
        </w:rPr>
        <w:t>упркос</w:t>
      </w:r>
      <w:r w:rsidR="00D737E4" w:rsidRPr="00B3123E">
        <w:rPr>
          <w:rFonts w:ascii="Times New Roman" w:hAnsi="Times New Roman" w:cs="Times New Roman"/>
          <w:szCs w:val="24"/>
          <w:lang w:val="sr-Cyrl-RS"/>
        </w:rPr>
        <w:t xml:space="preserve"> растућој потражњи за услугама прекограничне е-трговине, што показује да национални поштански </w:t>
      </w:r>
      <w:r w:rsidR="00180E66" w:rsidRPr="00B3123E">
        <w:rPr>
          <w:rFonts w:ascii="Times New Roman" w:hAnsi="Times New Roman" w:cs="Times New Roman"/>
          <w:szCs w:val="24"/>
          <w:lang w:val="sr-Cyrl-RS"/>
        </w:rPr>
        <w:t>оператор</w:t>
      </w:r>
      <w:r w:rsidR="00D737E4" w:rsidRPr="00B3123E">
        <w:rPr>
          <w:rFonts w:ascii="Times New Roman" w:hAnsi="Times New Roman" w:cs="Times New Roman"/>
          <w:szCs w:val="24"/>
          <w:lang w:val="sr-Cyrl-RS"/>
        </w:rPr>
        <w:t>и губе удео на тржишту у односу на друге поштанске операторе. Додатни негативни тренд у пословању, осим пада прихода</w:t>
      </w:r>
      <w:r w:rsidR="005350E0" w:rsidRPr="00B3123E">
        <w:rPr>
          <w:rFonts w:ascii="Times New Roman" w:hAnsi="Times New Roman" w:cs="Times New Roman"/>
          <w:szCs w:val="24"/>
          <w:lang w:val="sr-Cyrl-RS"/>
        </w:rPr>
        <w:t>,</w:t>
      </w:r>
      <w:r w:rsidR="00D737E4" w:rsidRPr="00B3123E">
        <w:rPr>
          <w:rFonts w:ascii="Times New Roman" w:hAnsi="Times New Roman" w:cs="Times New Roman"/>
          <w:szCs w:val="24"/>
          <w:lang w:val="sr-Cyrl-RS"/>
        </w:rPr>
        <w:t xml:space="preserve"> чини и повећање оперативних трошкова највећим делом у сегменту финансирања </w:t>
      </w:r>
      <w:r w:rsidR="00213DCD" w:rsidRPr="00B3123E">
        <w:rPr>
          <w:rFonts w:ascii="Times New Roman" w:hAnsi="Times New Roman" w:cs="Times New Roman"/>
          <w:szCs w:val="24"/>
          <w:lang w:val="sr-Cyrl-RS"/>
        </w:rPr>
        <w:t>УПУ</w:t>
      </w:r>
      <w:r w:rsidR="00D737E4" w:rsidRPr="00B3123E">
        <w:rPr>
          <w:rFonts w:ascii="Times New Roman" w:hAnsi="Times New Roman" w:cs="Times New Roman"/>
          <w:szCs w:val="24"/>
          <w:lang w:val="sr-Cyrl-RS"/>
        </w:rPr>
        <w:t>.</w:t>
      </w:r>
      <w:r w:rsidR="00E72D54" w:rsidRPr="00B3123E">
        <w:rPr>
          <w:rFonts w:ascii="Times New Roman" w:hAnsi="Times New Roman" w:cs="Times New Roman"/>
          <w:szCs w:val="24"/>
          <w:lang w:val="sr-Cyrl-RS"/>
        </w:rPr>
        <w:t xml:space="preserve"> </w:t>
      </w:r>
      <w:r w:rsidR="00BF691C" w:rsidRPr="00B3123E">
        <w:rPr>
          <w:rFonts w:ascii="Times New Roman" w:hAnsi="Times New Roman" w:cs="Times New Roman"/>
          <w:szCs w:val="24"/>
          <w:lang w:val="sr-Cyrl-RS"/>
        </w:rPr>
        <w:t>Светски поштански савез</w:t>
      </w:r>
      <w:r w:rsidR="00D737E4" w:rsidRPr="00B3123E">
        <w:rPr>
          <w:rFonts w:ascii="Times New Roman" w:hAnsi="Times New Roman" w:cs="Times New Roman"/>
          <w:szCs w:val="24"/>
          <w:lang w:val="sr-Cyrl-RS"/>
        </w:rPr>
        <w:t xml:space="preserve"> прогнозира, уколико национални поштански </w:t>
      </w:r>
      <w:r w:rsidR="00180E66" w:rsidRPr="00B3123E">
        <w:rPr>
          <w:rFonts w:ascii="Times New Roman" w:hAnsi="Times New Roman" w:cs="Times New Roman"/>
          <w:szCs w:val="24"/>
          <w:lang w:val="sr-Cyrl-RS"/>
        </w:rPr>
        <w:t>оператор</w:t>
      </w:r>
      <w:r w:rsidR="00D737E4" w:rsidRPr="00B3123E">
        <w:rPr>
          <w:rFonts w:ascii="Times New Roman" w:hAnsi="Times New Roman" w:cs="Times New Roman"/>
          <w:szCs w:val="24"/>
          <w:lang w:val="sr-Cyrl-RS"/>
        </w:rPr>
        <w:t>и пружају основ</w:t>
      </w:r>
      <w:r w:rsidR="00D27EA0" w:rsidRPr="00B3123E">
        <w:rPr>
          <w:rFonts w:ascii="Times New Roman" w:hAnsi="Times New Roman" w:cs="Times New Roman"/>
          <w:szCs w:val="24"/>
          <w:lang w:val="sr-Cyrl-RS"/>
        </w:rPr>
        <w:t>н</w:t>
      </w:r>
      <w:r w:rsidR="00D737E4" w:rsidRPr="00B3123E">
        <w:rPr>
          <w:rFonts w:ascii="Times New Roman" w:hAnsi="Times New Roman" w:cs="Times New Roman"/>
          <w:szCs w:val="24"/>
          <w:lang w:val="sr-Cyrl-RS"/>
        </w:rPr>
        <w:t>е поштанске услуге, њихове цене и квалитет услуга, могу постати преферирани канал за е-трговину, Стога</w:t>
      </w:r>
      <w:r w:rsidR="00E72D54" w:rsidRPr="00B3123E">
        <w:rPr>
          <w:rFonts w:ascii="Times New Roman" w:hAnsi="Times New Roman" w:cs="Times New Roman"/>
          <w:szCs w:val="24"/>
          <w:lang w:val="sr-Cyrl-RS"/>
        </w:rPr>
        <w:t xml:space="preserve"> </w:t>
      </w:r>
      <w:r w:rsidR="00BF691C" w:rsidRPr="00B3123E">
        <w:rPr>
          <w:rFonts w:ascii="Times New Roman" w:hAnsi="Times New Roman" w:cs="Times New Roman"/>
          <w:szCs w:val="24"/>
          <w:lang w:val="sr-Cyrl-RS"/>
        </w:rPr>
        <w:t>Светски поштански савез</w:t>
      </w:r>
      <w:r w:rsidR="00D737E4" w:rsidRPr="00B3123E">
        <w:rPr>
          <w:rFonts w:ascii="Times New Roman" w:hAnsi="Times New Roman" w:cs="Times New Roman"/>
          <w:szCs w:val="24"/>
          <w:lang w:val="sr-Cyrl-RS"/>
        </w:rPr>
        <w:t xml:space="preserve"> својим стратегијом дефинише три кључна циља деловања за </w:t>
      </w:r>
      <w:r w:rsidR="00D27EA0" w:rsidRPr="00B3123E">
        <w:rPr>
          <w:rFonts w:ascii="Times New Roman" w:hAnsi="Times New Roman" w:cs="Times New Roman"/>
          <w:szCs w:val="24"/>
          <w:lang w:val="sr-Cyrl-RS"/>
        </w:rPr>
        <w:t>наредне</w:t>
      </w:r>
      <w:r w:rsidR="00D737E4" w:rsidRPr="00B3123E">
        <w:rPr>
          <w:rFonts w:ascii="Times New Roman" w:hAnsi="Times New Roman" w:cs="Times New Roman"/>
          <w:szCs w:val="24"/>
          <w:lang w:val="sr-Cyrl-RS"/>
        </w:rPr>
        <w:t xml:space="preserve"> </w:t>
      </w:r>
      <w:r w:rsidR="00066A72" w:rsidRPr="00B3123E">
        <w:rPr>
          <w:rFonts w:ascii="Times New Roman" w:hAnsi="Times New Roman" w:cs="Times New Roman"/>
          <w:szCs w:val="24"/>
          <w:lang w:val="sr-Cyrl-RS"/>
        </w:rPr>
        <w:t>четири</w:t>
      </w:r>
      <w:r w:rsidR="00D737E4" w:rsidRPr="00B3123E">
        <w:rPr>
          <w:rFonts w:ascii="Times New Roman" w:hAnsi="Times New Roman" w:cs="Times New Roman"/>
          <w:szCs w:val="24"/>
          <w:lang w:val="sr-Cyrl-RS"/>
        </w:rPr>
        <w:t xml:space="preserve"> године:</w:t>
      </w:r>
    </w:p>
    <w:p w14:paraId="71DE9EDF" w14:textId="0CA39D72" w:rsidR="00D737E4" w:rsidRPr="00B3123E" w:rsidRDefault="00AC2C1B" w:rsidP="005E593B">
      <w:pPr>
        <w:pStyle w:val="ListParagraph"/>
        <w:numPr>
          <w:ilvl w:val="0"/>
          <w:numId w:val="27"/>
        </w:numPr>
        <w:tabs>
          <w:tab w:val="left" w:pos="709"/>
        </w:tabs>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искористити </w:t>
      </w:r>
      <w:r w:rsidR="00D737E4" w:rsidRPr="00B3123E">
        <w:rPr>
          <w:rFonts w:ascii="Times New Roman" w:hAnsi="Times New Roman" w:cs="Times New Roman"/>
          <w:szCs w:val="24"/>
          <w:lang w:val="sr-Cyrl-RS"/>
        </w:rPr>
        <w:t xml:space="preserve">јединствену поштанску територију кроз ефикасан систем </w:t>
      </w:r>
      <w:r w:rsidR="00D27EA0" w:rsidRPr="00B3123E">
        <w:rPr>
          <w:rFonts w:ascii="Times New Roman" w:hAnsi="Times New Roman" w:cs="Times New Roman"/>
          <w:szCs w:val="24"/>
          <w:lang w:val="sr-Cyrl-RS"/>
        </w:rPr>
        <w:t>заснован</w:t>
      </w:r>
      <w:r w:rsidR="00D737E4" w:rsidRPr="00B3123E">
        <w:rPr>
          <w:rFonts w:ascii="Times New Roman" w:hAnsi="Times New Roman" w:cs="Times New Roman"/>
          <w:szCs w:val="24"/>
          <w:lang w:val="sr-Cyrl-RS"/>
        </w:rPr>
        <w:t xml:space="preserve"> на унапред утврђеним правилима</w:t>
      </w:r>
      <w:r w:rsidR="00D27EA0" w:rsidRPr="00B3123E">
        <w:rPr>
          <w:rFonts w:ascii="Times New Roman" w:hAnsi="Times New Roman" w:cs="Times New Roman"/>
          <w:szCs w:val="24"/>
          <w:lang w:val="sr-Cyrl-RS"/>
        </w:rPr>
        <w:t>;</w:t>
      </w:r>
    </w:p>
    <w:p w14:paraId="0481C587" w14:textId="34501DB6" w:rsidR="00D737E4" w:rsidRPr="00B3123E" w:rsidRDefault="00AC2C1B" w:rsidP="005E593B">
      <w:pPr>
        <w:pStyle w:val="ListParagraph"/>
        <w:numPr>
          <w:ilvl w:val="0"/>
          <w:numId w:val="27"/>
        </w:numPr>
        <w:tabs>
          <w:tab w:val="left" w:pos="709"/>
        </w:tabs>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ојачати </w:t>
      </w:r>
      <w:r w:rsidR="00D737E4" w:rsidRPr="00B3123E">
        <w:rPr>
          <w:rFonts w:ascii="Times New Roman" w:hAnsi="Times New Roman" w:cs="Times New Roman"/>
          <w:szCs w:val="24"/>
          <w:lang w:val="sr-Cyrl-RS"/>
        </w:rPr>
        <w:t>глобални поштански екосистем кроз иновације за олакшавање комуникације и трговине</w:t>
      </w:r>
      <w:r w:rsidR="00633C54" w:rsidRPr="00B3123E">
        <w:rPr>
          <w:rFonts w:ascii="Times New Roman" w:hAnsi="Times New Roman" w:cs="Times New Roman"/>
          <w:szCs w:val="24"/>
          <w:lang w:val="sr-Cyrl-RS"/>
        </w:rPr>
        <w:t>;</w:t>
      </w:r>
      <w:r w:rsidR="00D27EA0" w:rsidRPr="00B3123E">
        <w:rPr>
          <w:rFonts w:ascii="Times New Roman" w:hAnsi="Times New Roman" w:cs="Times New Roman"/>
          <w:szCs w:val="24"/>
          <w:lang w:val="sr-Cyrl-RS"/>
        </w:rPr>
        <w:t xml:space="preserve"> </w:t>
      </w:r>
    </w:p>
    <w:p w14:paraId="4843D3EF" w14:textId="56E53C6D" w:rsidR="00061165" w:rsidRPr="00B3123E" w:rsidRDefault="00AC2C1B" w:rsidP="006642CE">
      <w:pPr>
        <w:pStyle w:val="ListParagraph"/>
        <w:numPr>
          <w:ilvl w:val="0"/>
          <w:numId w:val="27"/>
        </w:num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 xml:space="preserve">омогућити </w:t>
      </w:r>
      <w:r w:rsidR="00D737E4" w:rsidRPr="00B3123E">
        <w:rPr>
          <w:rFonts w:ascii="Times New Roman" w:hAnsi="Times New Roman" w:cs="Times New Roman"/>
          <w:szCs w:val="24"/>
          <w:lang w:val="sr-Cyrl-RS"/>
        </w:rPr>
        <w:t>поштански развој кроз појачану с</w:t>
      </w:r>
      <w:r w:rsidR="00D27EA0" w:rsidRPr="00B3123E">
        <w:rPr>
          <w:rFonts w:ascii="Times New Roman" w:hAnsi="Times New Roman" w:cs="Times New Roman"/>
          <w:szCs w:val="24"/>
          <w:lang w:val="sr-Cyrl-RS"/>
        </w:rPr>
        <w:t>а</w:t>
      </w:r>
      <w:r w:rsidR="00D737E4" w:rsidRPr="00B3123E">
        <w:rPr>
          <w:rFonts w:ascii="Times New Roman" w:hAnsi="Times New Roman" w:cs="Times New Roman"/>
          <w:szCs w:val="24"/>
          <w:lang w:val="sr-Cyrl-RS"/>
        </w:rPr>
        <w:t>радњу и регионализацију</w:t>
      </w:r>
      <w:r w:rsidR="00D27EA0" w:rsidRPr="00B3123E">
        <w:rPr>
          <w:rFonts w:ascii="Times New Roman" w:hAnsi="Times New Roman" w:cs="Times New Roman"/>
          <w:szCs w:val="24"/>
          <w:lang w:val="sr-Cyrl-RS"/>
        </w:rPr>
        <w:t>.</w:t>
      </w:r>
    </w:p>
    <w:p w14:paraId="3309859F" w14:textId="68013C6D" w:rsidR="00EC412C" w:rsidRPr="00B3123E" w:rsidRDefault="00EC412C" w:rsidP="00EC412C">
      <w:pPr>
        <w:pStyle w:val="ListParagraph"/>
        <w:tabs>
          <w:tab w:val="left" w:pos="1440"/>
        </w:tabs>
        <w:ind w:left="284"/>
        <w:rPr>
          <w:rFonts w:ascii="Times New Roman" w:hAnsi="Times New Roman" w:cs="Times New Roman"/>
          <w:szCs w:val="24"/>
          <w:lang w:val="sr-Cyrl-RS"/>
        </w:rPr>
      </w:pPr>
    </w:p>
    <w:p w14:paraId="12780A47" w14:textId="3779264F" w:rsidR="00E97BC7" w:rsidRPr="00B3123E" w:rsidRDefault="00E97BC7" w:rsidP="00EC412C">
      <w:pPr>
        <w:pStyle w:val="ListParagraph"/>
        <w:tabs>
          <w:tab w:val="left" w:pos="1440"/>
        </w:tabs>
        <w:ind w:left="284"/>
        <w:rPr>
          <w:rFonts w:ascii="Times New Roman" w:hAnsi="Times New Roman" w:cs="Times New Roman"/>
          <w:szCs w:val="24"/>
          <w:lang w:val="sr-Cyrl-RS"/>
        </w:rPr>
      </w:pPr>
    </w:p>
    <w:p w14:paraId="3DBF6D15" w14:textId="77777777" w:rsidR="00E97BC7" w:rsidRPr="00B3123E" w:rsidRDefault="00E97BC7" w:rsidP="00EC412C">
      <w:pPr>
        <w:pStyle w:val="ListParagraph"/>
        <w:tabs>
          <w:tab w:val="left" w:pos="1440"/>
        </w:tabs>
        <w:ind w:left="284"/>
        <w:rPr>
          <w:rFonts w:ascii="Times New Roman" w:hAnsi="Times New Roman" w:cs="Times New Roman"/>
          <w:szCs w:val="24"/>
          <w:lang w:val="sr-Cyrl-RS"/>
        </w:rPr>
      </w:pPr>
    </w:p>
    <w:p w14:paraId="6D265BBD" w14:textId="2933AD3B" w:rsidR="009D5671" w:rsidRPr="00B3123E" w:rsidRDefault="0016204B" w:rsidP="002A4FB9">
      <w:pPr>
        <w:pStyle w:val="Heading2"/>
        <w:numPr>
          <w:ilvl w:val="1"/>
          <w:numId w:val="15"/>
        </w:numPr>
        <w:jc w:val="left"/>
        <w:rPr>
          <w:rFonts w:ascii="Times New Roman" w:hAnsi="Times New Roman" w:cs="Times New Roman"/>
          <w:b w:val="0"/>
          <w:color w:val="auto"/>
          <w:lang w:val="sr-Cyrl-RS"/>
        </w:rPr>
      </w:pPr>
      <w:bookmarkStart w:id="37" w:name="_Toc211545976"/>
      <w:r w:rsidRPr="00B3123E">
        <w:rPr>
          <w:rFonts w:ascii="Times New Roman" w:hAnsi="Times New Roman" w:cs="Times New Roman"/>
          <w:b w:val="0"/>
          <w:color w:val="auto"/>
          <w:szCs w:val="24"/>
          <w:u w:val="single"/>
          <w:lang w:val="sr-Cyrl-RS"/>
        </w:rPr>
        <w:lastRenderedPageBreak/>
        <w:t xml:space="preserve"> </w:t>
      </w:r>
      <w:r w:rsidR="009D5671" w:rsidRPr="00B3123E">
        <w:rPr>
          <w:rFonts w:ascii="Times New Roman" w:hAnsi="Times New Roman" w:cs="Times New Roman"/>
          <w:b w:val="0"/>
          <w:color w:val="auto"/>
          <w:szCs w:val="24"/>
          <w:u w:val="single"/>
          <w:lang w:val="sr-Cyrl-RS"/>
        </w:rPr>
        <w:t xml:space="preserve">Оквир за дефинисање </w:t>
      </w:r>
      <w:r w:rsidR="00EF2907" w:rsidRPr="00B3123E">
        <w:rPr>
          <w:rFonts w:ascii="Times New Roman" w:hAnsi="Times New Roman" w:cs="Times New Roman"/>
          <w:b w:val="0"/>
          <w:color w:val="auto"/>
          <w:szCs w:val="24"/>
          <w:u w:val="single"/>
          <w:lang w:val="sr-Cyrl-RS"/>
        </w:rPr>
        <w:t>Програма</w:t>
      </w:r>
      <w:r w:rsidR="009D5671" w:rsidRPr="00B3123E">
        <w:rPr>
          <w:rFonts w:ascii="Times New Roman" w:hAnsi="Times New Roman" w:cs="Times New Roman"/>
          <w:b w:val="0"/>
          <w:color w:val="auto"/>
          <w:szCs w:val="24"/>
          <w:u w:val="single"/>
          <w:lang w:val="sr-Cyrl-RS"/>
        </w:rPr>
        <w:t xml:space="preserve"> развоја поштанских услуга у Републици Србији</w:t>
      </w:r>
      <w:bookmarkEnd w:id="37"/>
    </w:p>
    <w:p w14:paraId="739A56FF" w14:textId="77777777" w:rsidR="000719B0" w:rsidRPr="00B3123E" w:rsidRDefault="000719B0" w:rsidP="00F94D0C">
      <w:pPr>
        <w:tabs>
          <w:tab w:val="left" w:pos="1440"/>
        </w:tabs>
        <w:ind w:firstLine="1276"/>
        <w:rPr>
          <w:rFonts w:ascii="Times New Roman" w:hAnsi="Times New Roman" w:cs="Times New Roman"/>
          <w:szCs w:val="24"/>
          <w:lang w:val="sr-Cyrl-RS"/>
        </w:rPr>
      </w:pPr>
    </w:p>
    <w:p w14:paraId="03085FDD" w14:textId="4D0702C8" w:rsidR="009D5671" w:rsidRPr="00B3123E" w:rsidRDefault="000719B0"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Ради дефинисања Програма у наредном периоду идентификовани су трендови и кретања у поштанском сектору који се могу уочити у средњорочној и дугорочној будућности и који утичу или ће вероватно значајније утицати на функционисање и еволуциј</w:t>
      </w:r>
      <w:r w:rsidR="004D735E"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поштанског тржишта. Такође, потребно је разматрати како ови трендови и кретања могу утицати на тржиште поштански услуга, како са аспекта тражње, тако и са стране понуде.</w:t>
      </w:r>
    </w:p>
    <w:p w14:paraId="73525210" w14:textId="77777777" w:rsidR="000719B0" w:rsidRPr="00B3123E" w:rsidRDefault="000719B0" w:rsidP="00F94D0C">
      <w:pPr>
        <w:tabs>
          <w:tab w:val="left" w:pos="1440"/>
        </w:tabs>
        <w:ind w:firstLine="1276"/>
        <w:rPr>
          <w:rFonts w:ascii="Times New Roman" w:hAnsi="Times New Roman" w:cs="Times New Roman"/>
          <w:szCs w:val="24"/>
          <w:lang w:val="sr-Cyrl-RS"/>
        </w:rPr>
      </w:pPr>
    </w:p>
    <w:p w14:paraId="3823132C" w14:textId="3A73F53C" w:rsidR="003E59CA" w:rsidRPr="00B3123E" w:rsidRDefault="003E59CA" w:rsidP="003E59CA">
      <w:pPr>
        <w:pStyle w:val="Heading3"/>
        <w:jc w:val="left"/>
        <w:rPr>
          <w:rFonts w:ascii="Times New Roman" w:hAnsi="Times New Roman" w:cs="Times New Roman"/>
          <w:b w:val="0"/>
          <w:i w:val="0"/>
          <w:u w:val="single"/>
          <w:lang w:val="sr-Cyrl-RS"/>
        </w:rPr>
      </w:pPr>
      <w:bookmarkStart w:id="38" w:name="_Toc211545977"/>
      <w:r w:rsidRPr="00B3123E">
        <w:rPr>
          <w:rFonts w:ascii="Times New Roman" w:hAnsi="Times New Roman" w:cs="Times New Roman"/>
          <w:b w:val="0"/>
          <w:i w:val="0"/>
          <w:u w:val="single"/>
          <w:lang w:val="sr-Cyrl-RS"/>
        </w:rPr>
        <w:t>Пројекције обима поштанских услуга у Републици Србији до 2030. године</w:t>
      </w:r>
      <w:bookmarkEnd w:id="38"/>
    </w:p>
    <w:p w14:paraId="34A343FF" w14:textId="77777777" w:rsidR="003E59CA" w:rsidRPr="00B3123E" w:rsidRDefault="003E59CA" w:rsidP="00F94D0C">
      <w:pPr>
        <w:tabs>
          <w:tab w:val="left" w:pos="1440"/>
        </w:tabs>
        <w:ind w:firstLine="1276"/>
        <w:rPr>
          <w:rFonts w:ascii="Times New Roman" w:hAnsi="Times New Roman" w:cs="Times New Roman"/>
          <w:szCs w:val="24"/>
          <w:lang w:val="sr-Cyrl-RS"/>
        </w:rPr>
      </w:pPr>
    </w:p>
    <w:p w14:paraId="76744C46" w14:textId="1A6772C7" w:rsidR="003E59CA" w:rsidRPr="00B3123E" w:rsidRDefault="003E59CA"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Током последње деценије, тржиште писмоносних услуга у Републици Србији бележи континуирани пад обима пренетих писама. Од 2015. године, када је забележен обим од 286 милиона писама, овај сегмент тржишта опада по просечној стопи од око 3</w:t>
      </w:r>
      <w:r w:rsidR="00066A7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066A7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4</w:t>
      </w:r>
      <w:r w:rsidR="008438F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годишње, достигавши 209 милиона писама у 2024. години. Овај тренд одражава глобалне процесе дигитализације, раст електронске комуникације и све ширу употребу е</w:t>
      </w:r>
      <w:r w:rsidR="008438F7" w:rsidRPr="00B3123E">
        <w:rPr>
          <w:rFonts w:ascii="Times New Roman" w:hAnsi="Times New Roman" w:cs="Times New Roman"/>
          <w:szCs w:val="24"/>
          <w:lang w:val="sr-Cyrl-RS"/>
        </w:rPr>
        <w:t>У</w:t>
      </w:r>
      <w:r w:rsidRPr="00B3123E">
        <w:rPr>
          <w:rFonts w:ascii="Times New Roman" w:hAnsi="Times New Roman" w:cs="Times New Roman"/>
          <w:szCs w:val="24"/>
          <w:lang w:val="sr-Cyrl-RS"/>
        </w:rPr>
        <w:t>праве и дигиталних платформи за рачуноводствене и административне услуге</w:t>
      </w:r>
      <w:r w:rsidR="00D56065" w:rsidRPr="00B3123E">
        <w:rPr>
          <w:rFonts w:ascii="Times New Roman" w:hAnsi="Times New Roman" w:cs="Times New Roman"/>
          <w:szCs w:val="24"/>
          <w:lang w:val="sr-Cyrl-RS"/>
        </w:rPr>
        <w:t>, која је умањила значај традиционалне писане кореспонденције у корист брже и ефикасније електронске размене информација.</w:t>
      </w:r>
    </w:p>
    <w:p w14:paraId="669F13EF" w14:textId="77777777" w:rsidR="00D56065" w:rsidRPr="00B3123E" w:rsidRDefault="00D56065"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Према пројекцијама заснованим на анализи историјских података, очекује се да ће обим писмоносних услуга наставити да опада у наредним годинама, али уз могућност различитог интензитета у зависности од темпа дигиталне трансформације и прилагођавања поштанског сектора (Слика18.).</w:t>
      </w:r>
    </w:p>
    <w:p w14:paraId="7FCCB76C" w14:textId="77777777" w:rsidR="00D42985" w:rsidRPr="00B3123E" w:rsidRDefault="00D42985" w:rsidP="00F94D0C">
      <w:pPr>
        <w:tabs>
          <w:tab w:val="left" w:pos="1440"/>
        </w:tabs>
        <w:ind w:firstLine="1276"/>
        <w:rPr>
          <w:rFonts w:ascii="Times New Roman" w:hAnsi="Times New Roman" w:cs="Times New Roman"/>
          <w:szCs w:val="24"/>
          <w:lang w:val="sr-Cyrl-RS"/>
        </w:rPr>
      </w:pPr>
    </w:p>
    <w:p w14:paraId="6BA5B73F" w14:textId="21D82154" w:rsidR="00D56065" w:rsidRPr="00B3123E" w:rsidRDefault="00D56065" w:rsidP="00E4794A">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18</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Пројекција обима писмоносних пошиљака у Републици Србији до 2030. г. (у милионима) </w:t>
      </w:r>
    </w:p>
    <w:p w14:paraId="2C5A89EF" w14:textId="43BD2BC7" w:rsidR="00D56065" w:rsidRPr="00B3123E" w:rsidRDefault="009443F2" w:rsidP="00E97BC7">
      <w:pPr>
        <w:pBdr>
          <w:top w:val="single" w:sz="8" w:space="1" w:color="0070C0"/>
          <w:bottom w:val="single" w:sz="8" w:space="1" w:color="0070C0"/>
        </w:pBdr>
        <w:tabs>
          <w:tab w:val="left" w:pos="1440"/>
        </w:tabs>
        <w:rPr>
          <w:rFonts w:ascii="Times New Roman" w:hAnsi="Times New Roman" w:cs="Times New Roman"/>
          <w:szCs w:val="24"/>
          <w:lang w:val="sr-Cyrl-RS"/>
        </w:rPr>
      </w:pPr>
      <w:r w:rsidRPr="00B3123E">
        <w:rPr>
          <w:noProof/>
        </w:rPr>
        <w:drawing>
          <wp:inline distT="0" distB="0" distL="0" distR="0" wp14:anchorId="7183D9DB" wp14:editId="6A4999A5">
            <wp:extent cx="5760000" cy="3600000"/>
            <wp:effectExtent l="0" t="0" r="0" b="635"/>
            <wp:docPr id="5" name="Chart 5">
              <a:extLst xmlns:a="http://schemas.openxmlformats.org/drawingml/2006/main">
                <a:ext uri="{FF2B5EF4-FFF2-40B4-BE49-F238E27FC236}">
                  <a16:creationId xmlns:a16="http://schemas.microsoft.com/office/drawing/2014/main" id="{7201DCBC-1946-41FF-B3C7-F038454947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86A561D" w14:textId="5D98A315" w:rsidR="00D42985" w:rsidRPr="00B3123E" w:rsidRDefault="00D42985"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У реалном сценарију, предвиђа се да ће обим писмоносних пошиљака у 2025. години износити око 215 милиона, док се до 2030. године очекује да ће пасти на око 174 милиона. У песимистичком сценарију, обим би могао да падне испод 170 милиона писама годишње, док би у оптимистичком случају уз увођење иновативних и хибридних поштанских решења тржиште могло да стабилизује обим на око 183 милиона писмоносних пошиљака до краја деценије.</w:t>
      </w:r>
    </w:p>
    <w:p w14:paraId="12766A88" w14:textId="292B1860" w:rsidR="00D42985" w:rsidRPr="00B3123E" w:rsidRDefault="00D42985"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Ови подаци указују на потребу за стратешким прилагођавањем поштанских оператора, посебно у домену развоја нових дигиталних услуга, интеграције е-доставе, као и примене AI и аналитичких алата за праћење тржишних кретања. Истовремено, задржавање квалитета и поузданости </w:t>
      </w:r>
      <w:r w:rsidR="00EF22DE"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остаје кључни приоритет, како би се обезбедио равноправан приступ свим грађанима, посебно у руралним подручјима.</w:t>
      </w:r>
    </w:p>
    <w:p w14:paraId="63E1AEA2" w14:textId="0D9E57F7" w:rsidR="00D42985" w:rsidRPr="00B3123E" w:rsidRDefault="00582D67"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Сегмент пакет</w:t>
      </w:r>
      <w:r w:rsidR="00E4794A" w:rsidRPr="00B3123E">
        <w:rPr>
          <w:rFonts w:ascii="Times New Roman" w:hAnsi="Times New Roman" w:cs="Times New Roman"/>
          <w:szCs w:val="24"/>
          <w:lang w:val="sr-Cyrl-RS"/>
        </w:rPr>
        <w:t>ск</w:t>
      </w:r>
      <w:r w:rsidRPr="00B3123E">
        <w:rPr>
          <w:rFonts w:ascii="Times New Roman" w:hAnsi="Times New Roman" w:cs="Times New Roman"/>
          <w:szCs w:val="24"/>
          <w:lang w:val="sr-Cyrl-RS"/>
        </w:rPr>
        <w:t>их услуга у Републици Србији у протеклој деценији бележи снажан и континуиран раст. Према подацима о обиму обрађених пакета, број пошиљака је порастао са 385 хиљада у 2015. години на 2</w:t>
      </w:r>
      <w:r w:rsidR="00E4794A"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59 </w:t>
      </w:r>
      <w:r w:rsidR="00E4794A" w:rsidRPr="00B3123E">
        <w:rPr>
          <w:rFonts w:ascii="Times New Roman" w:hAnsi="Times New Roman" w:cs="Times New Roman"/>
          <w:szCs w:val="24"/>
          <w:lang w:val="sr-Cyrl-RS"/>
        </w:rPr>
        <w:t>милиона</w:t>
      </w:r>
      <w:r w:rsidRPr="00B3123E">
        <w:rPr>
          <w:rFonts w:ascii="Times New Roman" w:hAnsi="Times New Roman" w:cs="Times New Roman"/>
          <w:szCs w:val="24"/>
          <w:lang w:val="sr-Cyrl-RS"/>
        </w:rPr>
        <w:t xml:space="preserve"> у 2024. години, што представља повећање од преко 570</w:t>
      </w:r>
      <w:r w:rsidR="007E65B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Овај раст је пре свега резултат развоја електронске трговине, дигитализације пословних процеса, као и повећаног поверења корисника.</w:t>
      </w:r>
    </w:p>
    <w:p w14:paraId="63F564C6" w14:textId="77777777" w:rsidR="00582D67" w:rsidRPr="00B3123E" w:rsidRDefault="00582D67"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Према пројекцијама, тржиште пакет</w:t>
      </w:r>
      <w:r w:rsidR="00E4794A" w:rsidRPr="00B3123E">
        <w:rPr>
          <w:rFonts w:ascii="Times New Roman" w:hAnsi="Times New Roman" w:cs="Times New Roman"/>
          <w:szCs w:val="24"/>
          <w:lang w:val="sr-Cyrl-RS"/>
        </w:rPr>
        <w:t>ск</w:t>
      </w:r>
      <w:r w:rsidRPr="00B3123E">
        <w:rPr>
          <w:rFonts w:ascii="Times New Roman" w:hAnsi="Times New Roman" w:cs="Times New Roman"/>
          <w:szCs w:val="24"/>
          <w:lang w:val="sr-Cyrl-RS"/>
        </w:rPr>
        <w:t>их услуга ће наставити да расте, али различитом динамиком у зависности од економских и регулаторних услова (Слика 19.).</w:t>
      </w:r>
    </w:p>
    <w:p w14:paraId="5827FDA9" w14:textId="77777777" w:rsidR="00E4794A" w:rsidRPr="00B3123E" w:rsidRDefault="00E4794A" w:rsidP="00D42985">
      <w:pPr>
        <w:tabs>
          <w:tab w:val="left" w:pos="1440"/>
        </w:tabs>
        <w:ind w:firstLine="1276"/>
        <w:rPr>
          <w:rFonts w:ascii="Times New Roman" w:hAnsi="Times New Roman" w:cs="Times New Roman"/>
          <w:szCs w:val="24"/>
          <w:highlight w:val="yellow"/>
          <w:lang w:val="sr-Cyrl-RS"/>
        </w:rPr>
      </w:pPr>
    </w:p>
    <w:p w14:paraId="113B0E4B" w14:textId="1C13CC3E" w:rsidR="00E4794A" w:rsidRPr="00B3123E" w:rsidRDefault="00E4794A" w:rsidP="00E4794A">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19</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Пројекција обима пакетских пошиљака у Републици Србији до 2030. г. (у хиљадама) </w:t>
      </w:r>
    </w:p>
    <w:p w14:paraId="21A01B2E" w14:textId="77777777" w:rsidR="00E4794A" w:rsidRPr="00B3123E" w:rsidRDefault="00E4794A" w:rsidP="00E4794A">
      <w:pPr>
        <w:pBdr>
          <w:top w:val="single" w:sz="8" w:space="1" w:color="0070C0"/>
          <w:bottom w:val="single" w:sz="8" w:space="1" w:color="0070C0"/>
        </w:pBdr>
        <w:tabs>
          <w:tab w:val="left" w:pos="1440"/>
        </w:tabs>
        <w:rPr>
          <w:rFonts w:ascii="Times New Roman" w:hAnsi="Times New Roman" w:cs="Times New Roman"/>
          <w:szCs w:val="24"/>
          <w:highlight w:val="yellow"/>
          <w:lang w:val="sr-Cyrl-RS"/>
        </w:rPr>
      </w:pPr>
      <w:r w:rsidRPr="00B3123E">
        <w:rPr>
          <w:noProof/>
        </w:rPr>
        <w:drawing>
          <wp:inline distT="0" distB="0" distL="0" distR="0" wp14:anchorId="24984F25" wp14:editId="0221101E">
            <wp:extent cx="5760000" cy="3600000"/>
            <wp:effectExtent l="0" t="0" r="0" b="635"/>
            <wp:docPr id="6" name="Chart 6">
              <a:extLst xmlns:a="http://schemas.openxmlformats.org/drawingml/2006/main">
                <a:ext uri="{FF2B5EF4-FFF2-40B4-BE49-F238E27FC236}">
                  <a16:creationId xmlns:a16="http://schemas.microsoft.com/office/drawing/2014/main" id="{BE27A89B-A6F6-40B5-9043-661CF0D3B5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562CC91E" w14:textId="612186C2" w:rsidR="00633C54" w:rsidRPr="00B3123E" w:rsidRDefault="00E4794A" w:rsidP="00E97BC7">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 основном сценарију, тржиште ће наставити стабилан раст од око 6</w:t>
      </w:r>
      <w:r w:rsidR="00633C5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633C5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7</w:t>
      </w:r>
      <w:r w:rsidR="00700C2A"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годишње, што би довело до приближно 3,5 милиона пакета у 2030. години.</w:t>
      </w:r>
    </w:p>
    <w:p w14:paraId="1B8E5548" w14:textId="77777777" w:rsidR="0021295C" w:rsidRPr="00B3123E" w:rsidRDefault="00E4794A"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Оптимистички сценарио предвиђа убрзан раст захваљујући јачању е-трговине и логистичких капацитета, што би омогућило обим од преко 4,5 милиона пакета, док би </w:t>
      </w:r>
      <w:r w:rsidRPr="00B3123E">
        <w:rPr>
          <w:rFonts w:ascii="Times New Roman" w:hAnsi="Times New Roman" w:cs="Times New Roman"/>
          <w:szCs w:val="24"/>
          <w:lang w:val="sr-Cyrl-RS"/>
        </w:rPr>
        <w:lastRenderedPageBreak/>
        <w:t>песимистички сценарио подразумевао успоравање раста на око 2,7 милиона пакета до краја периода.</w:t>
      </w:r>
    </w:p>
    <w:p w14:paraId="3E6A6C92" w14:textId="77777777" w:rsidR="0021295C" w:rsidRPr="00B3123E" w:rsidRDefault="0021295C"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Да би се обезбедио одрживи раст овог сегмента поштанских услуга потребно је у наредном периоду: </w:t>
      </w:r>
    </w:p>
    <w:p w14:paraId="13D3E679" w14:textId="5750E073" w:rsidR="0021295C" w:rsidRPr="00B3123E" w:rsidRDefault="00AC2C1B" w:rsidP="00BD1524">
      <w:pPr>
        <w:pStyle w:val="ListParagraph"/>
        <w:numPr>
          <w:ilvl w:val="0"/>
          <w:numId w:val="28"/>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ојачати </w:t>
      </w:r>
      <w:r w:rsidR="0021295C" w:rsidRPr="00B3123E">
        <w:rPr>
          <w:rFonts w:ascii="Times New Roman" w:hAnsi="Times New Roman" w:cs="Times New Roman"/>
          <w:szCs w:val="24"/>
          <w:lang w:val="sr-Cyrl-RS"/>
        </w:rPr>
        <w:t>инфраструктуру и капацитете логистичких центара, посебно у регионалним центрима;</w:t>
      </w:r>
    </w:p>
    <w:p w14:paraId="433D63BC" w14:textId="0B2F78E8" w:rsidR="0021295C" w:rsidRPr="00B3123E" w:rsidRDefault="00AC2C1B" w:rsidP="00BD1524">
      <w:pPr>
        <w:pStyle w:val="ListParagraph"/>
        <w:numPr>
          <w:ilvl w:val="0"/>
          <w:numId w:val="28"/>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подстицати </w:t>
      </w:r>
      <w:r w:rsidR="0021295C" w:rsidRPr="00B3123E">
        <w:rPr>
          <w:rFonts w:ascii="Times New Roman" w:hAnsi="Times New Roman" w:cs="Times New Roman"/>
          <w:szCs w:val="24"/>
          <w:lang w:val="sr-Cyrl-RS"/>
        </w:rPr>
        <w:t>даљу дигитализацију и примену вештачке интелигенције у управљању пошиљкама и возним парком;</w:t>
      </w:r>
    </w:p>
    <w:p w14:paraId="2527EA7B" w14:textId="4C9C0E8A" w:rsidR="0021295C" w:rsidRPr="00B3123E" w:rsidRDefault="00AC2C1B" w:rsidP="00BD1524">
      <w:pPr>
        <w:pStyle w:val="ListParagraph"/>
        <w:numPr>
          <w:ilvl w:val="0"/>
          <w:numId w:val="28"/>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ускладити </w:t>
      </w:r>
      <w:r w:rsidR="0021295C" w:rsidRPr="00B3123E">
        <w:rPr>
          <w:rFonts w:ascii="Times New Roman" w:hAnsi="Times New Roman" w:cs="Times New Roman"/>
          <w:szCs w:val="24"/>
          <w:lang w:val="sr-Cyrl-RS"/>
        </w:rPr>
        <w:t>регулаторни оквир са директивама ЕУ које се односе на е-трговину и логистику;</w:t>
      </w:r>
    </w:p>
    <w:p w14:paraId="075B3998" w14:textId="0AFA1200" w:rsidR="00E4794A" w:rsidRPr="00B3123E" w:rsidRDefault="00AC2C1B" w:rsidP="00BD1524">
      <w:pPr>
        <w:pStyle w:val="ListParagraph"/>
        <w:numPr>
          <w:ilvl w:val="0"/>
          <w:numId w:val="28"/>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подржати </w:t>
      </w:r>
      <w:r w:rsidR="0021295C" w:rsidRPr="00B3123E">
        <w:rPr>
          <w:rFonts w:ascii="Times New Roman" w:hAnsi="Times New Roman" w:cs="Times New Roman"/>
          <w:szCs w:val="24"/>
          <w:lang w:val="sr-Cyrl-RS"/>
        </w:rPr>
        <w:t>сарадњу јавног и приватног сектора у циљу развоја иновативних поштанских решења.</w:t>
      </w:r>
    </w:p>
    <w:p w14:paraId="51BD2594" w14:textId="3D77A9C2" w:rsidR="00E4794A" w:rsidRPr="00B3123E" w:rsidRDefault="00BA67D2" w:rsidP="00761D8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 периоду од 2015. до 2024. године тржиште експрес поштанских услуга у Републици Србији показује изражен раст, уз повремене периоде стабилизације. Обим услуга у 2015. години износио је 23,2 милиона пошиљака, док је у 2024. години достигао ниво од 53,8 милиона, што представља више него двоструко повећање у посматраном периоду. Просечна годишња стопа раста износила је око 5,7%, што указује на континуирано ширење тржишта, под утицајем развоја е-трговине, дигитализације услуга и унапређења логистичке инфраструктуре. Иако је у периоду 2021</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2023.</w:t>
      </w:r>
      <w:r w:rsidR="0050594D" w:rsidRPr="00B3123E">
        <w:rPr>
          <w:rFonts w:ascii="Times New Roman" w:hAnsi="Times New Roman" w:cs="Times New Roman"/>
          <w:szCs w:val="24"/>
          <w:lang w:val="sr-Cyrl-RS"/>
        </w:rPr>
        <w:t xml:space="preserve"> године</w:t>
      </w:r>
      <w:r w:rsidRPr="00B3123E">
        <w:rPr>
          <w:rFonts w:ascii="Times New Roman" w:hAnsi="Times New Roman" w:cs="Times New Roman"/>
          <w:szCs w:val="24"/>
          <w:lang w:val="sr-Cyrl-RS"/>
        </w:rPr>
        <w:t xml:space="preserve"> забележено благо успоравање, тржиште је задржало позитиван смер кретања и показало отпорност на макроекономске и тржишне флуктуације.</w:t>
      </w:r>
    </w:p>
    <w:p w14:paraId="605782CB" w14:textId="77777777" w:rsidR="00BA67D2" w:rsidRPr="00B3123E" w:rsidRDefault="00BA67D2" w:rsidP="00761D8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На основу анализе историјских података, израђена је пројекција кретања обима експрес услуга до 2030. године (Слика 20.). Пројекција се заснива на три сценарија, дефинисана у складу са могућим тржишним и технолошким условима:</w:t>
      </w:r>
    </w:p>
    <w:p w14:paraId="18419265" w14:textId="029308FF" w:rsidR="00BA67D2" w:rsidRPr="00B3123E" w:rsidRDefault="00BA67D2" w:rsidP="00761D83">
      <w:pPr>
        <w:pStyle w:val="ListParagraph"/>
        <w:numPr>
          <w:ilvl w:val="0"/>
          <w:numId w:val="29"/>
        </w:numPr>
        <w:tabs>
          <w:tab w:val="left" w:pos="1134"/>
          <w:tab w:val="left" w:pos="269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Песимистички сценарио – под претпоставком умереног засићења тржишта и ограничених инвестиција, просечна годишња стопа раста износи 2%</w:t>
      </w:r>
      <w:r w:rsidR="00633C54" w:rsidRPr="00B3123E">
        <w:rPr>
          <w:rFonts w:ascii="Times New Roman" w:hAnsi="Times New Roman" w:cs="Times New Roman"/>
          <w:szCs w:val="24"/>
          <w:lang w:val="sr-Cyrl-RS"/>
        </w:rPr>
        <w:t>;</w:t>
      </w:r>
    </w:p>
    <w:p w14:paraId="2699EEB5" w14:textId="0C7590F5" w:rsidR="00BA67D2" w:rsidRPr="00B3123E" w:rsidRDefault="00BA67D2" w:rsidP="00761D83">
      <w:pPr>
        <w:pStyle w:val="ListParagraph"/>
        <w:numPr>
          <w:ilvl w:val="0"/>
          <w:numId w:val="29"/>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Основни сценарио – одржавање постојећег темпа развоја и стабилног тржишног окружења, са стопом раста од 5%</w:t>
      </w:r>
      <w:r w:rsidR="00633C54" w:rsidRPr="00B3123E">
        <w:rPr>
          <w:rFonts w:ascii="Times New Roman" w:hAnsi="Times New Roman" w:cs="Times New Roman"/>
          <w:szCs w:val="24"/>
          <w:lang w:val="sr-Cyrl-RS"/>
        </w:rPr>
        <w:t>;</w:t>
      </w:r>
    </w:p>
    <w:p w14:paraId="7A674A33" w14:textId="71443871" w:rsidR="00BA67D2" w:rsidRPr="00B3123E" w:rsidRDefault="00BA67D2" w:rsidP="00761D83">
      <w:pPr>
        <w:pStyle w:val="ListParagraph"/>
        <w:numPr>
          <w:ilvl w:val="0"/>
          <w:numId w:val="29"/>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Оптимистички сценарио – убрзан развој под утицајем експанзије е-трговине, дигитализације и ширења услуга приватних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а, уз стопу раста од 8%.</w:t>
      </w:r>
    </w:p>
    <w:p w14:paraId="67968C6C" w14:textId="012ED863" w:rsidR="00BA67D2" w:rsidRPr="00B3123E" w:rsidRDefault="00BA67D2" w:rsidP="00BA67D2">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20</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Пројекција обима </w:t>
      </w:r>
      <w:r w:rsidR="0003028B" w:rsidRPr="00B3123E">
        <w:rPr>
          <w:rFonts w:ascii="Times New Roman" w:eastAsiaTheme="minorHAnsi" w:hAnsi="Times New Roman" w:cs="Times New Roman"/>
          <w:b w:val="0"/>
          <w:color w:val="auto"/>
          <w:lang w:val="sr-Cyrl-RS"/>
        </w:rPr>
        <w:t>експрес</w:t>
      </w:r>
      <w:r w:rsidR="00270D8F" w:rsidRPr="00B3123E">
        <w:rPr>
          <w:rFonts w:ascii="Times New Roman" w:eastAsiaTheme="minorHAnsi" w:hAnsi="Times New Roman" w:cs="Times New Roman"/>
          <w:b w:val="0"/>
          <w:color w:val="auto"/>
          <w:lang w:val="sr-Cyrl-RS"/>
        </w:rPr>
        <w:t xml:space="preserve"> </w:t>
      </w:r>
      <w:r w:rsidR="0003028B" w:rsidRPr="00B3123E">
        <w:rPr>
          <w:rFonts w:ascii="Times New Roman" w:eastAsiaTheme="minorHAnsi" w:hAnsi="Times New Roman" w:cs="Times New Roman"/>
          <w:b w:val="0"/>
          <w:color w:val="auto"/>
          <w:lang w:val="sr-Cyrl-RS"/>
        </w:rPr>
        <w:t>услуга</w:t>
      </w:r>
      <w:r w:rsidRPr="00B3123E">
        <w:rPr>
          <w:rFonts w:ascii="Times New Roman" w:eastAsiaTheme="minorHAnsi" w:hAnsi="Times New Roman" w:cs="Times New Roman"/>
          <w:b w:val="0"/>
          <w:color w:val="auto"/>
          <w:lang w:val="sr-Cyrl-RS"/>
        </w:rPr>
        <w:t xml:space="preserve"> у Републици Србији до 2030. г. (у хиљадама) </w:t>
      </w:r>
    </w:p>
    <w:p w14:paraId="1595FBDB" w14:textId="77777777" w:rsidR="003E59CA" w:rsidRPr="00B3123E" w:rsidRDefault="00BA67D2" w:rsidP="00BA67D2">
      <w:pPr>
        <w:pBdr>
          <w:top w:val="single" w:sz="8" w:space="1" w:color="0070C0"/>
          <w:bottom w:val="single" w:sz="8" w:space="1" w:color="0070C0"/>
        </w:pBdr>
        <w:tabs>
          <w:tab w:val="left" w:pos="1440"/>
        </w:tabs>
        <w:rPr>
          <w:rFonts w:ascii="Times New Roman" w:hAnsi="Times New Roman" w:cs="Times New Roman"/>
          <w:szCs w:val="24"/>
          <w:lang w:val="sr-Cyrl-RS"/>
        </w:rPr>
      </w:pPr>
      <w:r w:rsidRPr="00B3123E">
        <w:rPr>
          <w:noProof/>
        </w:rPr>
        <w:drawing>
          <wp:inline distT="0" distB="0" distL="0" distR="0" wp14:anchorId="497401ED" wp14:editId="027AAF54">
            <wp:extent cx="5760000" cy="3600000"/>
            <wp:effectExtent l="0" t="0" r="0" b="635"/>
            <wp:docPr id="8" name="Chart 8">
              <a:extLst xmlns:a="http://schemas.openxmlformats.org/drawingml/2006/main">
                <a:ext uri="{FF2B5EF4-FFF2-40B4-BE49-F238E27FC236}">
                  <a16:creationId xmlns:a16="http://schemas.microsoft.com/office/drawing/2014/main" id="{C02E5302-F1EB-432A-A396-0AA4760E0C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5EBB443" w14:textId="77777777" w:rsidR="00BA67D2" w:rsidRPr="00B3123E" w:rsidRDefault="00BA67D2" w:rsidP="001B362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Према основном сценарију, очекује се континуирани раст експрес сегмента, са очекиваним обимом од приближно 72 милиона услуга до 2030. године. Овај раст одражава стабилан развој тржишта и постепено повећање удела електронске трговине у укупним поштанским токовима.</w:t>
      </w:r>
    </w:p>
    <w:p w14:paraId="2E6F2E8E" w14:textId="77777777" w:rsidR="00BA67D2" w:rsidRPr="00B3123E" w:rsidRDefault="00BA67D2" w:rsidP="001B362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Уколико се спроведу мере усмерене на дигитализацију процеса, унапређење логистичких капацитета и интеграцију нових технологија у поштански систем, могуће је достићи и оптимистички сценарио од око 85 милиона услуга, што би представљало значајан раст тржишта и додатну конкурентност сектора.</w:t>
      </w:r>
    </w:p>
    <w:p w14:paraId="7A59CA9C" w14:textId="77777777" w:rsidR="00BA67D2" w:rsidRPr="00B3123E" w:rsidRDefault="00BA67D2" w:rsidP="001B362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 друге стране, уколико изостану инвестиције и институционална подршка, тржиште би се могло стабилизовати на нивоу од око 60 милиона услуга (песимистички сценарио).</w:t>
      </w:r>
    </w:p>
    <w:p w14:paraId="6CB46F3A" w14:textId="77777777" w:rsidR="00BA67D2" w:rsidRPr="00B3123E" w:rsidRDefault="00BA67D2" w:rsidP="00BA67D2">
      <w:pPr>
        <w:tabs>
          <w:tab w:val="left" w:pos="1440"/>
        </w:tabs>
        <w:rPr>
          <w:rFonts w:ascii="Times New Roman" w:hAnsi="Times New Roman" w:cs="Times New Roman"/>
          <w:szCs w:val="24"/>
          <w:lang w:val="sr-Cyrl-RS"/>
        </w:rPr>
      </w:pPr>
    </w:p>
    <w:p w14:paraId="707D2A4B" w14:textId="727B0926" w:rsidR="008F3F0F" w:rsidRPr="00B3123E" w:rsidRDefault="0016204B" w:rsidP="0016204B">
      <w:pPr>
        <w:tabs>
          <w:tab w:val="left" w:pos="1440"/>
        </w:tabs>
        <w:jc w:val="left"/>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t>2.6. Анализа и идентификација проблема</w:t>
      </w:r>
    </w:p>
    <w:p w14:paraId="5B504FA1" w14:textId="77777777" w:rsidR="0016204B" w:rsidRPr="00B3123E" w:rsidRDefault="0016204B" w:rsidP="00715F10">
      <w:pPr>
        <w:pStyle w:val="Heading3"/>
        <w:jc w:val="left"/>
        <w:rPr>
          <w:rFonts w:ascii="Times New Roman" w:hAnsi="Times New Roman" w:cs="Times New Roman"/>
          <w:b w:val="0"/>
          <w:i w:val="0"/>
          <w:lang w:val="sr-Cyrl-RS"/>
        </w:rPr>
      </w:pPr>
      <w:bookmarkStart w:id="39" w:name="_Toc211545978"/>
    </w:p>
    <w:p w14:paraId="3C26556C" w14:textId="2675F950" w:rsidR="00715F10" w:rsidRPr="00B3123E" w:rsidRDefault="0016204B" w:rsidP="00715F10">
      <w:pPr>
        <w:pStyle w:val="Heading3"/>
        <w:jc w:val="left"/>
        <w:rPr>
          <w:rFonts w:ascii="Times New Roman" w:hAnsi="Times New Roman" w:cs="Times New Roman"/>
          <w:b w:val="0"/>
          <w:i w:val="0"/>
          <w:u w:val="single"/>
          <w:lang w:val="sr-Cyrl-RS"/>
        </w:rPr>
      </w:pPr>
      <w:r w:rsidRPr="00B3123E">
        <w:rPr>
          <w:rFonts w:ascii="Times New Roman" w:hAnsi="Times New Roman" w:cs="Times New Roman"/>
          <w:b w:val="0"/>
          <w:i w:val="0"/>
          <w:u w:val="single"/>
          <w:lang w:val="sr-Cyrl-RS"/>
        </w:rPr>
        <w:t xml:space="preserve">2.6.1. </w:t>
      </w:r>
      <w:r w:rsidR="00715F10" w:rsidRPr="00B3123E">
        <w:rPr>
          <w:rFonts w:ascii="Times New Roman" w:hAnsi="Times New Roman" w:cs="Times New Roman"/>
          <w:b w:val="0"/>
          <w:i w:val="0"/>
          <w:u w:val="single"/>
          <w:lang w:val="sr-Cyrl-RS"/>
        </w:rPr>
        <w:t>PESTLE анализа поштанских услуга у Републици Србији</w:t>
      </w:r>
      <w:bookmarkEnd w:id="39"/>
    </w:p>
    <w:p w14:paraId="25A7D3D2" w14:textId="77777777" w:rsidR="00715F10" w:rsidRPr="00B3123E" w:rsidRDefault="00715F10" w:rsidP="00715F10">
      <w:pPr>
        <w:rPr>
          <w:lang w:val="sr-Cyrl-RS"/>
        </w:rPr>
      </w:pPr>
    </w:p>
    <w:p w14:paraId="3275F2FC" w14:textId="58E2106C"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Политички фактори</w:t>
      </w:r>
      <w:r w:rsidR="00302CB5" w:rsidRPr="00B3123E">
        <w:rPr>
          <w:rFonts w:ascii="Times New Roman" w:hAnsi="Times New Roman" w:cs="Times New Roman"/>
          <w:b/>
          <w:bCs/>
          <w:lang w:val="sr-Cyrl-RS"/>
        </w:rPr>
        <w:t>:</w:t>
      </w:r>
    </w:p>
    <w:p w14:paraId="71F78343" w14:textId="59D156A0" w:rsidR="00715F10" w:rsidRPr="00B3123E" w:rsidRDefault="00715F10" w:rsidP="00D46A02">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Либерализација и регулатива ЕУ</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ЕУ се залагала за конкурентно тржиште поштанских услуга (нпр. Директива о поштанским услугама), захтевајући од држава чланица да отворе национална тржишта за конкуренцију, уз истовремено обезбеђивање обавезе УПУ;</w:t>
      </w:r>
    </w:p>
    <w:p w14:paraId="3F7399C0" w14:textId="7D5D10C6" w:rsidR="00715F10" w:rsidRPr="00B3123E" w:rsidRDefault="00715F10" w:rsidP="00D46A02">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Власништво и утицај влад</w:t>
      </w:r>
      <w:r w:rsidR="00066A72" w:rsidRPr="00B3123E">
        <w:rPr>
          <w:rFonts w:ascii="Times New Roman" w:hAnsi="Times New Roman" w:cs="Times New Roman"/>
          <w:szCs w:val="24"/>
          <w:lang w:val="sr-Cyrl-RS"/>
        </w:rPr>
        <w:t>а</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Неке поштанске услуге остају у државном власништву или су под јаком регулацијом (нпр. La Poste у </w:t>
      </w:r>
      <w:r w:rsidR="00AC2C1B"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Француској, Deutsche Post у </w:t>
      </w:r>
      <w:r w:rsidR="00BC2412" w:rsidRPr="00B3123E">
        <w:rPr>
          <w:rFonts w:ascii="Times New Roman" w:hAnsi="Times New Roman" w:cs="Times New Roman"/>
          <w:szCs w:val="24"/>
          <w:lang w:val="sr-Cyrl-RS"/>
        </w:rPr>
        <w:t xml:space="preserve">Савезној Републици </w:t>
      </w:r>
      <w:r w:rsidRPr="00B3123E">
        <w:rPr>
          <w:rFonts w:ascii="Times New Roman" w:hAnsi="Times New Roman" w:cs="Times New Roman"/>
          <w:szCs w:val="24"/>
          <w:lang w:val="sr-Cyrl-RS"/>
        </w:rPr>
        <w:t>Немачкој), што утиче на конкуренцију и иновације;</w:t>
      </w:r>
    </w:p>
    <w:p w14:paraId="50DE30B1" w14:textId="46382FAA" w:rsidR="00715F10" w:rsidRPr="00B3123E" w:rsidRDefault="00715F10" w:rsidP="00D46A02">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Геополитичке тензије</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Питања попут Брегзита и санкција против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попут Рус</w:t>
      </w:r>
      <w:r w:rsidR="009B1557" w:rsidRPr="00B3123E">
        <w:rPr>
          <w:rFonts w:ascii="Times New Roman" w:hAnsi="Times New Roman" w:cs="Times New Roman"/>
          <w:szCs w:val="24"/>
          <w:lang w:val="sr-Cyrl-RS"/>
        </w:rPr>
        <w:t>ке Федерације</w:t>
      </w:r>
      <w:r w:rsidRPr="00B3123E">
        <w:rPr>
          <w:rFonts w:ascii="Times New Roman" w:hAnsi="Times New Roman" w:cs="Times New Roman"/>
          <w:szCs w:val="24"/>
          <w:lang w:val="sr-Cyrl-RS"/>
        </w:rPr>
        <w:t xml:space="preserve">, Извршна наредба САД о укидању </w:t>
      </w:r>
      <w:r w:rsidRPr="00B3123E">
        <w:rPr>
          <w:rFonts w:ascii="Times New Roman" w:hAnsi="Times New Roman" w:cs="Times New Roman"/>
          <w:i/>
          <w:iCs/>
          <w:szCs w:val="24"/>
          <w:lang w:val="sr-Cyrl-RS"/>
        </w:rPr>
        <w:t xml:space="preserve">deminimis </w:t>
      </w:r>
      <w:r w:rsidRPr="00B3123E">
        <w:rPr>
          <w:rFonts w:ascii="Times New Roman" w:hAnsi="Times New Roman" w:cs="Times New Roman"/>
          <w:szCs w:val="24"/>
          <w:lang w:val="sr-Cyrl-RS"/>
        </w:rPr>
        <w:t>третмана за поштанске пошиљке и др. могу утицати на прекограничне поштанске активности, царину и логистику;</w:t>
      </w:r>
    </w:p>
    <w:p w14:paraId="76FEDD40" w14:textId="1D523718" w:rsidR="00715F10" w:rsidRPr="00B3123E" w:rsidRDefault="00715F10" w:rsidP="00D46A02">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Политике одрживости</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Политике ЕУ Зеленог плана подстичу поштанске услуге ка угљеничној неутралности, што утиче на инвестиције у возни парк и оперативне стандарде.</w:t>
      </w:r>
    </w:p>
    <w:p w14:paraId="2A7AD01F" w14:textId="5D785665"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Економски фактори</w:t>
      </w:r>
      <w:r w:rsidR="00302CB5" w:rsidRPr="00B3123E">
        <w:rPr>
          <w:rFonts w:ascii="Times New Roman" w:hAnsi="Times New Roman" w:cs="Times New Roman"/>
          <w:b/>
          <w:bCs/>
          <w:lang w:val="sr-Cyrl-RS"/>
        </w:rPr>
        <w:t>:</w:t>
      </w:r>
    </w:p>
    <w:p w14:paraId="448EF015" w14:textId="1C601651" w:rsidR="00715F10" w:rsidRPr="00B3123E" w:rsidRDefault="00715F10"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Бум електронске трговине</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Континуирани раст електронске трговине довео је до повећане потражње за испоруком пакета, иако у исто време покреће консолидацију и притиске на маржу;</w:t>
      </w:r>
    </w:p>
    <w:p w14:paraId="3A9D1FA9" w14:textId="2B764074" w:rsidR="00715F10" w:rsidRPr="00B3123E" w:rsidRDefault="00715F10"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Инфлација и трошкови</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Растући трошкови горива и рада утичу на профитабилност, посебно за услуге испоруке на последњој миљи;</w:t>
      </w:r>
    </w:p>
    <w:p w14:paraId="38D45B8E" w14:textId="1DE4FD7B" w:rsidR="00715F10" w:rsidRPr="00B3123E" w:rsidRDefault="00715F10"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Прекогранична трговина</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Хармонизована царинска и ПДВ правила (нпр. </w:t>
      </w:r>
      <w:r w:rsidR="00066A72" w:rsidRPr="00B3123E">
        <w:rPr>
          <w:rFonts w:ascii="Times New Roman" w:hAnsi="Times New Roman" w:cs="Times New Roman"/>
          <w:szCs w:val="24"/>
          <w:lang w:val="sr-Cyrl-RS"/>
        </w:rPr>
        <w:t xml:space="preserve">увоз </w:t>
      </w:r>
      <w:r w:rsidRPr="00B3123E">
        <w:rPr>
          <w:rFonts w:ascii="Times New Roman" w:hAnsi="Times New Roman" w:cs="Times New Roman"/>
          <w:szCs w:val="24"/>
          <w:lang w:val="sr-Cyrl-RS"/>
        </w:rPr>
        <w:t xml:space="preserve">на једном месту </w:t>
      </w:r>
      <w:r w:rsidR="00066A7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IOSS) утичу на логистику за пакете из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ван ЕУ;</w:t>
      </w:r>
    </w:p>
    <w:p w14:paraId="45C9232A" w14:textId="2C53F806" w:rsidR="00715F10" w:rsidRPr="00B3123E" w:rsidRDefault="00715F10"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Пад пријема пошиљака</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Обим традиционалних писама наставља да опада због дигиталне комуникације, што врши притисак на приходе.</w:t>
      </w:r>
    </w:p>
    <w:p w14:paraId="5056CE29" w14:textId="77777777" w:rsidR="00715F10" w:rsidRPr="00B3123E" w:rsidRDefault="00715F10" w:rsidP="009454B7">
      <w:pPr>
        <w:tabs>
          <w:tab w:val="left" w:pos="993"/>
        </w:tabs>
        <w:ind w:firstLine="709"/>
        <w:contextualSpacing/>
        <w:rPr>
          <w:rFonts w:ascii="Times New Roman" w:hAnsi="Times New Roman" w:cs="Times New Roman"/>
          <w:szCs w:val="24"/>
          <w:lang w:val="sr-Cyrl-RS"/>
        </w:rPr>
      </w:pPr>
    </w:p>
    <w:p w14:paraId="2D2FD4CF" w14:textId="6C973F06"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Друштвени фактори</w:t>
      </w:r>
      <w:r w:rsidR="00302CB5" w:rsidRPr="00B3123E">
        <w:rPr>
          <w:rFonts w:ascii="Times New Roman" w:hAnsi="Times New Roman" w:cs="Times New Roman"/>
          <w:b/>
          <w:bCs/>
          <w:lang w:val="sr-Cyrl-RS"/>
        </w:rPr>
        <w:t>:</w:t>
      </w:r>
    </w:p>
    <w:p w14:paraId="1F03E1D7" w14:textId="3B761BC7" w:rsidR="00715F10" w:rsidRPr="00B3123E" w:rsidRDefault="00AC2C1B"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Промена понашања потрошача –</w:t>
      </w:r>
      <w:r w:rsidR="00715F10" w:rsidRPr="00B3123E">
        <w:rPr>
          <w:rFonts w:ascii="Times New Roman" w:hAnsi="Times New Roman" w:cs="Times New Roman"/>
          <w:szCs w:val="24"/>
          <w:lang w:val="sr-Cyrl-RS"/>
        </w:rPr>
        <w:t xml:space="preserve"> Купци очекују брзу, поуздану и праћену </w:t>
      </w:r>
      <w:r w:rsidR="00A216BB" w:rsidRPr="00B3123E">
        <w:rPr>
          <w:rFonts w:ascii="Times New Roman" w:hAnsi="Times New Roman" w:cs="Times New Roman"/>
          <w:szCs w:val="24"/>
          <w:lang w:val="sr-Cyrl-RS"/>
        </w:rPr>
        <w:t>доставу</w:t>
      </w:r>
      <w:r w:rsidR="00715F10" w:rsidRPr="00B3123E">
        <w:rPr>
          <w:rFonts w:ascii="Times New Roman" w:hAnsi="Times New Roman" w:cs="Times New Roman"/>
          <w:szCs w:val="24"/>
          <w:lang w:val="sr-Cyrl-RS"/>
        </w:rPr>
        <w:t>;</w:t>
      </w:r>
    </w:p>
    <w:p w14:paraId="72FBCA5F" w14:textId="3341D630" w:rsidR="00715F10" w:rsidRPr="00B3123E" w:rsidRDefault="00AC2C1B"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Старење радне снаге –</w:t>
      </w:r>
      <w:r w:rsidR="00715F10" w:rsidRPr="00B3123E">
        <w:rPr>
          <w:rFonts w:ascii="Times New Roman" w:hAnsi="Times New Roman" w:cs="Times New Roman"/>
          <w:szCs w:val="24"/>
          <w:lang w:val="sr-Cyrl-RS"/>
        </w:rPr>
        <w:t xml:space="preserve"> Сектор се суочава са недостатком радне снаге, посебно у руралним подручјима, због старења становништва и физичке природе посла;</w:t>
      </w:r>
    </w:p>
    <w:p w14:paraId="408F937A" w14:textId="45274A0B" w:rsidR="00715F10" w:rsidRPr="00B3123E" w:rsidRDefault="00AC2C1B"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Урбанизација –</w:t>
      </w:r>
      <w:r w:rsidR="00715F10" w:rsidRPr="00B3123E">
        <w:rPr>
          <w:rFonts w:ascii="Times New Roman" w:hAnsi="Times New Roman" w:cs="Times New Roman"/>
          <w:szCs w:val="24"/>
          <w:lang w:val="sr-Cyrl-RS"/>
        </w:rPr>
        <w:t xml:space="preserve"> Раст градова утиче на логистику испоруке и промовише иновације попут пакетомата и паметних места за испоруку;</w:t>
      </w:r>
    </w:p>
    <w:p w14:paraId="5F1977A0" w14:textId="672CF443" w:rsidR="00715F10" w:rsidRPr="00B3123E" w:rsidRDefault="00AC2C1B"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Дигитална писменост –</w:t>
      </w:r>
      <w:r w:rsidR="00715F10" w:rsidRPr="00B3123E">
        <w:rPr>
          <w:rFonts w:ascii="Times New Roman" w:hAnsi="Times New Roman" w:cs="Times New Roman"/>
          <w:szCs w:val="24"/>
          <w:lang w:val="sr-Cyrl-RS"/>
        </w:rPr>
        <w:t xml:space="preserve"> Повећање дигиталног ангажовања подржава праћење, електронске етикете и мобилна обавештења, трансформишући начин на који се комуницира са корисницима.</w:t>
      </w:r>
    </w:p>
    <w:p w14:paraId="6F0F19D3" w14:textId="0159BD53"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Технолошки фактори</w:t>
      </w:r>
      <w:r w:rsidR="00302CB5" w:rsidRPr="00B3123E">
        <w:rPr>
          <w:rFonts w:ascii="Times New Roman" w:hAnsi="Times New Roman" w:cs="Times New Roman"/>
          <w:b/>
          <w:bCs/>
          <w:lang w:val="sr-Cyrl-RS"/>
        </w:rPr>
        <w:t>:</w:t>
      </w:r>
    </w:p>
    <w:p w14:paraId="315EB8A7" w14:textId="42D03B26" w:rsidR="00715F10" w:rsidRPr="00B3123E" w:rsidRDefault="00AC2C1B"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Аутоматизација и роботика –</w:t>
      </w:r>
      <w:r w:rsidR="00715F10" w:rsidRPr="00B3123E">
        <w:rPr>
          <w:rFonts w:ascii="Times New Roman" w:hAnsi="Times New Roman" w:cs="Times New Roman"/>
          <w:szCs w:val="24"/>
          <w:lang w:val="sr-Cyrl-RS"/>
        </w:rPr>
        <w:t xml:space="preserve"> Аутоматизација у центрима за сортирање и складиштима побољшава ефикасност, али захтева значајна капитална улагања;</w:t>
      </w:r>
    </w:p>
    <w:p w14:paraId="19DEA208" w14:textId="44E3FB49" w:rsidR="00715F10" w:rsidRPr="00B3123E" w:rsidRDefault="00715F10"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Вештачка инт</w:t>
      </w:r>
      <w:r w:rsidR="00AC2C1B" w:rsidRPr="00B3123E">
        <w:rPr>
          <w:rFonts w:ascii="Times New Roman" w:hAnsi="Times New Roman" w:cs="Times New Roman"/>
          <w:szCs w:val="24"/>
          <w:lang w:val="sr-Cyrl-RS"/>
        </w:rPr>
        <w:t>елигенција и аналитика података –</w:t>
      </w:r>
      <w:r w:rsidRPr="00B3123E">
        <w:rPr>
          <w:rFonts w:ascii="Times New Roman" w:hAnsi="Times New Roman" w:cs="Times New Roman"/>
          <w:szCs w:val="24"/>
          <w:lang w:val="sr-Cyrl-RS"/>
        </w:rPr>
        <w:t xml:space="preserve"> Побољшава оптимизацију руте, предвиђање потражње и корисничку подршку;</w:t>
      </w:r>
    </w:p>
    <w:p w14:paraId="0CFACBB3" w14:textId="405ADD8F" w:rsidR="00715F10" w:rsidRPr="00B3123E" w:rsidRDefault="00F0570E"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Еколошки прихватљиве</w:t>
      </w:r>
      <w:r w:rsidR="00715F10" w:rsidRPr="00B3123E">
        <w:rPr>
          <w:rFonts w:ascii="Times New Roman" w:hAnsi="Times New Roman" w:cs="Times New Roman"/>
          <w:szCs w:val="24"/>
          <w:lang w:val="sr-Cyrl-RS"/>
        </w:rPr>
        <w:t xml:space="preserve"> технологиј</w:t>
      </w:r>
      <w:r w:rsidRPr="00B3123E">
        <w:rPr>
          <w:rFonts w:ascii="Times New Roman" w:hAnsi="Times New Roman" w:cs="Times New Roman"/>
          <w:szCs w:val="24"/>
          <w:lang w:val="sr-Cyrl-RS"/>
        </w:rPr>
        <w:t>е</w:t>
      </w:r>
      <w:r w:rsidR="00AC2C1B" w:rsidRPr="00B3123E">
        <w:rPr>
          <w:rFonts w:ascii="Times New Roman" w:hAnsi="Times New Roman" w:cs="Times New Roman"/>
          <w:szCs w:val="24"/>
          <w:lang w:val="sr-Cyrl-RS"/>
        </w:rPr>
        <w:t xml:space="preserve"> –</w:t>
      </w:r>
      <w:r w:rsidR="00715F10" w:rsidRPr="00B3123E">
        <w:rPr>
          <w:rFonts w:ascii="Times New Roman" w:hAnsi="Times New Roman" w:cs="Times New Roman"/>
          <w:szCs w:val="24"/>
          <w:lang w:val="sr-Cyrl-RS"/>
        </w:rPr>
        <w:t xml:space="preserve"> </w:t>
      </w:r>
      <w:r w:rsidR="0093712B" w:rsidRPr="00B3123E">
        <w:rPr>
          <w:rFonts w:ascii="Times New Roman" w:hAnsi="Times New Roman" w:cs="Times New Roman"/>
          <w:szCs w:val="24"/>
          <w:lang w:val="sr-Cyrl-RS"/>
        </w:rPr>
        <w:t>Већа примена паметног рутирања и еколошки прих</w:t>
      </w:r>
      <w:r w:rsidR="00633C54" w:rsidRPr="00B3123E">
        <w:rPr>
          <w:rFonts w:ascii="Times New Roman" w:hAnsi="Times New Roman" w:cs="Times New Roman"/>
          <w:szCs w:val="24"/>
          <w:lang w:val="sr-Cyrl-RS"/>
        </w:rPr>
        <w:t>в</w:t>
      </w:r>
      <w:r w:rsidR="0093712B" w:rsidRPr="00B3123E">
        <w:rPr>
          <w:rFonts w:ascii="Times New Roman" w:hAnsi="Times New Roman" w:cs="Times New Roman"/>
          <w:szCs w:val="24"/>
          <w:lang w:val="sr-Cyrl-RS"/>
        </w:rPr>
        <w:t xml:space="preserve">атљивих доставних решења, као и укључивање дронова </w:t>
      </w:r>
      <w:r w:rsidR="00715F10" w:rsidRPr="00B3123E">
        <w:rPr>
          <w:rFonts w:ascii="Times New Roman" w:hAnsi="Times New Roman" w:cs="Times New Roman"/>
          <w:szCs w:val="24"/>
          <w:lang w:val="sr-Cyrl-RS"/>
        </w:rPr>
        <w:t>ради испуњавања циљева одрживости;</w:t>
      </w:r>
    </w:p>
    <w:p w14:paraId="0C654DC0" w14:textId="6EFEC4D3" w:rsidR="00715F10" w:rsidRPr="00B3123E" w:rsidRDefault="00AC2C1B"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Блокчејн и безбедност –</w:t>
      </w:r>
      <w:r w:rsidR="00715F10" w:rsidRPr="00B3123E">
        <w:rPr>
          <w:rFonts w:ascii="Times New Roman" w:hAnsi="Times New Roman" w:cs="Times New Roman"/>
          <w:szCs w:val="24"/>
          <w:lang w:val="sr-Cyrl-RS"/>
        </w:rPr>
        <w:t xml:space="preserve"> Нова употреба у праћењу логистике, мада још увек није широко распрострањена у поштанским операцијама.</w:t>
      </w:r>
    </w:p>
    <w:p w14:paraId="25646950" w14:textId="6AC0BB3E"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Правни фактори</w:t>
      </w:r>
      <w:r w:rsidR="00302CB5" w:rsidRPr="00B3123E">
        <w:rPr>
          <w:rFonts w:ascii="Times New Roman" w:hAnsi="Times New Roman" w:cs="Times New Roman"/>
          <w:b/>
          <w:bCs/>
          <w:lang w:val="sr-Cyrl-RS"/>
        </w:rPr>
        <w:t>:</w:t>
      </w:r>
    </w:p>
    <w:p w14:paraId="1828DC22" w14:textId="68F5C54C" w:rsidR="00715F10" w:rsidRPr="00B3123E" w:rsidRDefault="00AC2C1B"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Обавеза пружања УПУ –</w:t>
      </w:r>
      <w:r w:rsidR="00715F10" w:rsidRPr="00B3123E">
        <w:rPr>
          <w:rFonts w:ascii="Times New Roman" w:hAnsi="Times New Roman" w:cs="Times New Roman"/>
          <w:szCs w:val="24"/>
          <w:lang w:val="sr-Cyrl-RS"/>
        </w:rPr>
        <w:t xml:space="preserve"> Законски захтеви за одржавање услуга широм </w:t>
      </w:r>
      <w:r w:rsidR="001E3AFB" w:rsidRPr="00B3123E">
        <w:rPr>
          <w:rFonts w:ascii="Times New Roman" w:hAnsi="Times New Roman" w:cs="Times New Roman"/>
          <w:szCs w:val="24"/>
          <w:lang w:val="sr-Cyrl-RS"/>
        </w:rPr>
        <w:t>државе</w:t>
      </w:r>
      <w:r w:rsidR="00715F10" w:rsidRPr="00B3123E">
        <w:rPr>
          <w:rFonts w:ascii="Times New Roman" w:hAnsi="Times New Roman" w:cs="Times New Roman"/>
          <w:szCs w:val="24"/>
          <w:lang w:val="sr-Cyrl-RS"/>
        </w:rPr>
        <w:t xml:space="preserve"> по приступачним ценама могу ометати профитабилност;</w:t>
      </w:r>
    </w:p>
    <w:p w14:paraId="7291D56C" w14:textId="3209597C" w:rsidR="00715F10" w:rsidRPr="00B3123E" w:rsidRDefault="00715F10"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i/>
          <w:iCs/>
          <w:szCs w:val="24"/>
          <w:lang w:val="sr-Cyrl-RS"/>
        </w:rPr>
        <w:t>GDPR</w:t>
      </w:r>
      <w:r w:rsidRPr="00B3123E">
        <w:rPr>
          <w:rFonts w:ascii="Times New Roman" w:hAnsi="Times New Roman" w:cs="Times New Roman"/>
          <w:szCs w:val="24"/>
          <w:lang w:val="sr-Cyrl-RS"/>
        </w:rPr>
        <w:t xml:space="preserve"> и заштита података</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Поштанске компаније које обрађују податке купаца морају се придржавати строгих закона ЕУ о приватности;</w:t>
      </w:r>
    </w:p>
    <w:p w14:paraId="5FB57E9A" w14:textId="4491C8B3" w:rsidR="00715F10" w:rsidRPr="00B3123E" w:rsidRDefault="00715F10"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Закони о раду</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Различити национални закони о платама, синдикалном организовању и условима рада утичу на управљање радном снагом;</w:t>
      </w:r>
    </w:p>
    <w:p w14:paraId="50C6C937" w14:textId="521F123C" w:rsidR="00715F10" w:rsidRPr="00B3123E" w:rsidRDefault="00715F10" w:rsidP="009454B7">
      <w:pPr>
        <w:pStyle w:val="ListParagraph"/>
        <w:numPr>
          <w:ilvl w:val="0"/>
          <w:numId w:val="30"/>
        </w:numPr>
        <w:tabs>
          <w:tab w:val="left" w:pos="993"/>
        </w:tabs>
        <w:ind w:left="142" w:firstLine="556"/>
        <w:rPr>
          <w:rFonts w:ascii="Times New Roman" w:hAnsi="Times New Roman" w:cs="Times New Roman"/>
          <w:szCs w:val="24"/>
          <w:lang w:val="sr-Cyrl-RS"/>
        </w:rPr>
      </w:pPr>
      <w:r w:rsidRPr="00B3123E">
        <w:rPr>
          <w:rFonts w:ascii="Times New Roman" w:hAnsi="Times New Roman" w:cs="Times New Roman"/>
          <w:szCs w:val="24"/>
          <w:lang w:val="sr-Cyrl-RS"/>
        </w:rPr>
        <w:lastRenderedPageBreak/>
        <w:t>Пр</w:t>
      </w:r>
      <w:r w:rsidR="00AC2C1B" w:rsidRPr="00B3123E">
        <w:rPr>
          <w:rFonts w:ascii="Times New Roman" w:hAnsi="Times New Roman" w:cs="Times New Roman"/>
          <w:szCs w:val="24"/>
          <w:lang w:val="sr-Cyrl-RS"/>
        </w:rPr>
        <w:t>описи о заштити животне средине –</w:t>
      </w:r>
      <w:r w:rsidRPr="00B3123E">
        <w:rPr>
          <w:rFonts w:ascii="Times New Roman" w:hAnsi="Times New Roman" w:cs="Times New Roman"/>
          <w:szCs w:val="24"/>
          <w:lang w:val="sr-Cyrl-RS"/>
        </w:rPr>
        <w:t xml:space="preserve"> Пооштравање стандарда и прописи о одрживости захтевају од поштанских служби да се брзо прилагоде;</w:t>
      </w:r>
    </w:p>
    <w:p w14:paraId="752212B4" w14:textId="77777777" w:rsidR="00715F10" w:rsidRPr="00B3123E" w:rsidRDefault="00715F10" w:rsidP="009454B7">
      <w:pPr>
        <w:pStyle w:val="ListParagraph"/>
        <w:numPr>
          <w:ilvl w:val="0"/>
          <w:numId w:val="30"/>
        </w:numPr>
        <w:tabs>
          <w:tab w:val="left" w:pos="993"/>
        </w:tabs>
        <w:ind w:left="1276" w:hanging="578"/>
        <w:rPr>
          <w:rFonts w:ascii="Times New Roman" w:hAnsi="Times New Roman" w:cs="Times New Roman"/>
          <w:szCs w:val="24"/>
          <w:lang w:val="sr-Cyrl-RS"/>
        </w:rPr>
      </w:pPr>
      <w:r w:rsidRPr="00B3123E">
        <w:rPr>
          <w:rFonts w:ascii="Times New Roman" w:hAnsi="Times New Roman" w:cs="Times New Roman"/>
          <w:szCs w:val="24"/>
          <w:lang w:val="sr-Cyrl-RS"/>
        </w:rPr>
        <w:t>Промена правне форме јавних поштанских оператора.</w:t>
      </w:r>
    </w:p>
    <w:p w14:paraId="70706097" w14:textId="77777777" w:rsidR="00715F10" w:rsidRPr="00B3123E" w:rsidRDefault="00715F10" w:rsidP="00715F10">
      <w:pPr>
        <w:rPr>
          <w:lang w:val="sr-Cyrl-RS"/>
        </w:rPr>
      </w:pPr>
    </w:p>
    <w:p w14:paraId="22367033" w14:textId="77155A1D" w:rsidR="00715F10" w:rsidRPr="00B3123E" w:rsidRDefault="0016204B" w:rsidP="00715F10">
      <w:pPr>
        <w:pStyle w:val="Heading3"/>
        <w:jc w:val="left"/>
        <w:rPr>
          <w:rFonts w:ascii="Times New Roman" w:hAnsi="Times New Roman" w:cs="Times New Roman"/>
          <w:b w:val="0"/>
          <w:i w:val="0"/>
          <w:u w:val="single"/>
          <w:lang w:val="sr-Cyrl-RS"/>
        </w:rPr>
      </w:pPr>
      <w:bookmarkStart w:id="40" w:name="_Toc211545979"/>
      <w:r w:rsidRPr="00B3123E">
        <w:rPr>
          <w:rFonts w:ascii="Times New Roman" w:hAnsi="Times New Roman" w:cs="Times New Roman"/>
          <w:b w:val="0"/>
          <w:i w:val="0"/>
          <w:u w:val="single"/>
          <w:lang w:val="sr-Cyrl-RS"/>
        </w:rPr>
        <w:t xml:space="preserve">2.6.2. </w:t>
      </w:r>
      <w:r w:rsidR="00715F10" w:rsidRPr="00B3123E">
        <w:rPr>
          <w:rFonts w:ascii="Times New Roman" w:hAnsi="Times New Roman" w:cs="Times New Roman"/>
          <w:b w:val="0"/>
          <w:i w:val="0"/>
          <w:u w:val="single"/>
          <w:lang w:val="sr-Cyrl-RS"/>
        </w:rPr>
        <w:t>SWOT анализа поштанских услуга у Републици Србији</w:t>
      </w:r>
      <w:bookmarkEnd w:id="40"/>
    </w:p>
    <w:p w14:paraId="1D7B2B5F" w14:textId="77777777" w:rsidR="00715F10" w:rsidRPr="00B3123E" w:rsidRDefault="00715F10" w:rsidP="00715F10">
      <w:pPr>
        <w:tabs>
          <w:tab w:val="left" w:pos="1440"/>
        </w:tabs>
        <w:ind w:firstLine="1276"/>
        <w:rPr>
          <w:rFonts w:ascii="Times New Roman" w:hAnsi="Times New Roman" w:cs="Times New Roman"/>
          <w:szCs w:val="24"/>
          <w:lang w:val="sr-Cyrl-RS"/>
        </w:rPr>
      </w:pPr>
    </w:p>
    <w:p w14:paraId="193BA2FF" w14:textId="7EDC2C29" w:rsidR="00715F10" w:rsidRPr="00B3123E" w:rsidRDefault="00715F10" w:rsidP="00715F10">
      <w:pPr>
        <w:tabs>
          <w:tab w:val="left" w:pos="1440"/>
        </w:tabs>
        <w:jc w:val="left"/>
        <w:rPr>
          <w:rFonts w:ascii="Times New Roman" w:hAnsi="Times New Roman" w:cs="Times New Roman"/>
          <w:b/>
          <w:bCs/>
          <w:szCs w:val="24"/>
          <w:lang w:val="sr-Cyrl-RS"/>
        </w:rPr>
      </w:pPr>
      <w:r w:rsidRPr="00B3123E">
        <w:rPr>
          <w:rFonts w:ascii="Times New Roman" w:hAnsi="Times New Roman" w:cs="Times New Roman"/>
          <w:b/>
          <w:bCs/>
          <w:szCs w:val="24"/>
          <w:lang w:val="sr-Cyrl-RS"/>
        </w:rPr>
        <w:t>Снаге</w:t>
      </w:r>
      <w:r w:rsidR="00302CB5" w:rsidRPr="00B3123E">
        <w:rPr>
          <w:rFonts w:ascii="Times New Roman" w:hAnsi="Times New Roman" w:cs="Times New Roman"/>
          <w:b/>
          <w:bCs/>
          <w:szCs w:val="24"/>
          <w:lang w:val="sr-Cyrl-RS"/>
        </w:rPr>
        <w:t>:</w:t>
      </w:r>
      <w:r w:rsidRPr="00B3123E">
        <w:rPr>
          <w:rFonts w:ascii="Times New Roman" w:hAnsi="Times New Roman" w:cs="Times New Roman"/>
          <w:b/>
          <w:bCs/>
          <w:szCs w:val="24"/>
          <w:lang w:val="sr-Cyrl-RS"/>
        </w:rPr>
        <w:t xml:space="preserve"> </w:t>
      </w:r>
    </w:p>
    <w:p w14:paraId="1FE8CF0E"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Сталан раст пакетског тржишта захваљујући расту е-трговине (националне и међународне платформе);</w:t>
      </w:r>
    </w:p>
    <w:p w14:paraId="415C0B53" w14:textId="1C327CDB" w:rsidR="00715F10" w:rsidRPr="00B3123E" w:rsidRDefault="00BA3886"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w:t>
      </w:r>
      <w:r w:rsidR="00633C54" w:rsidRPr="00B3123E">
        <w:rPr>
          <w:rFonts w:ascii="Times New Roman" w:hAnsi="Times New Roman" w:cs="Times New Roman"/>
          <w:szCs w:val="24"/>
          <w:lang w:val="sr-Cyrl-RS"/>
        </w:rPr>
        <w:t>Пошта Србије” д.о.о.</w:t>
      </w:r>
      <w:r w:rsidR="00715F10" w:rsidRPr="00B3123E">
        <w:rPr>
          <w:rFonts w:ascii="Times New Roman" w:hAnsi="Times New Roman" w:cs="Times New Roman"/>
          <w:szCs w:val="24"/>
          <w:lang w:val="sr-Cyrl-RS"/>
        </w:rPr>
        <w:t xml:space="preserve"> има најширу доставну мрежу и присутност у руралним подручјима; </w:t>
      </w:r>
    </w:p>
    <w:p w14:paraId="032B54AF" w14:textId="23E80FF2"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Постојећа сарадња са еУправом – физичка достава судских и управних аката, приступ за дигитално искључене грађане; </w:t>
      </w:r>
    </w:p>
    <w:p w14:paraId="305C75C6" w14:textId="254396AD"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Присутност више</w:t>
      </w:r>
      <w:r w:rsidR="00CB149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приватних оператора са модерним логистичким и ИТ решењима;  </w:t>
      </w:r>
    </w:p>
    <w:p w14:paraId="661EE93F"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Развој дигиталних решења: еПошта, праћење пошиљака, СМС нотификације, апликације, дигитални сертификати.</w:t>
      </w:r>
    </w:p>
    <w:p w14:paraId="39234505" w14:textId="77777777" w:rsidR="00F80CC8" w:rsidRPr="00B3123E" w:rsidRDefault="00F80CC8" w:rsidP="00F80CC8">
      <w:pPr>
        <w:tabs>
          <w:tab w:val="left" w:pos="1440"/>
        </w:tabs>
        <w:jc w:val="left"/>
        <w:rPr>
          <w:rFonts w:ascii="Times New Roman" w:hAnsi="Times New Roman" w:cs="Times New Roman"/>
          <w:b/>
          <w:bCs/>
          <w:szCs w:val="24"/>
          <w:lang w:val="sr-Cyrl-RS"/>
        </w:rPr>
      </w:pPr>
    </w:p>
    <w:p w14:paraId="4AE70F32" w14:textId="7B745664" w:rsidR="00715F10" w:rsidRPr="00B3123E" w:rsidRDefault="00715F10" w:rsidP="00F80CC8">
      <w:pPr>
        <w:tabs>
          <w:tab w:val="left" w:pos="1440"/>
        </w:tabs>
        <w:jc w:val="left"/>
        <w:rPr>
          <w:rFonts w:ascii="Times New Roman" w:hAnsi="Times New Roman" w:cs="Times New Roman"/>
          <w:b/>
          <w:bCs/>
          <w:szCs w:val="24"/>
          <w:lang w:val="sr-Cyrl-RS"/>
        </w:rPr>
      </w:pPr>
      <w:r w:rsidRPr="00B3123E">
        <w:rPr>
          <w:rFonts w:ascii="Times New Roman" w:hAnsi="Times New Roman" w:cs="Times New Roman"/>
          <w:b/>
          <w:bCs/>
          <w:szCs w:val="24"/>
          <w:lang w:val="sr-Cyrl-RS"/>
        </w:rPr>
        <w:t>Слабости</w:t>
      </w:r>
      <w:r w:rsidR="00302CB5" w:rsidRPr="00B3123E">
        <w:rPr>
          <w:rFonts w:ascii="Times New Roman" w:hAnsi="Times New Roman" w:cs="Times New Roman"/>
          <w:b/>
          <w:bCs/>
          <w:szCs w:val="24"/>
          <w:lang w:val="sr-Cyrl-RS"/>
        </w:rPr>
        <w:t>:</w:t>
      </w:r>
    </w:p>
    <w:p w14:paraId="1D3ECDEE" w14:textId="38150FB7" w:rsidR="00715F10" w:rsidRPr="00B3123E" w:rsidRDefault="00EF5E76"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ЈПО</w:t>
      </w:r>
      <w:r w:rsidR="00715F10" w:rsidRPr="00B3123E">
        <w:rPr>
          <w:rFonts w:ascii="Times New Roman" w:hAnsi="Times New Roman" w:cs="Times New Roman"/>
          <w:szCs w:val="24"/>
          <w:lang w:val="sr-Cyrl-RS"/>
        </w:rPr>
        <w:t xml:space="preserve"> има смањену конкурентност у сегменту брзе доставе и испоруке као комплетног скупа свих логистичких процеса од тренутка пријема поруџбине од купца до тренутка уручења/испоруке робе купцу (</w:t>
      </w:r>
      <w:r w:rsidR="00715F10" w:rsidRPr="00B3123E">
        <w:rPr>
          <w:lang w:val="sr-Cyrl-RS"/>
        </w:rPr>
        <w:t>складиштење, паковање, отпрема и обрада повратних пошиљака)</w:t>
      </w:r>
      <w:r w:rsidRPr="00B3123E">
        <w:rPr>
          <w:lang w:val="sr-Cyrl-RS"/>
        </w:rPr>
        <w:t>;</w:t>
      </w:r>
    </w:p>
    <w:p w14:paraId="0D6ED1FF"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Недовољна аутоматизација и ИТ капацитети у јавном сектору (сортирање, праћење, управљање залихама); </w:t>
      </w:r>
    </w:p>
    <w:p w14:paraId="6F7ACF64" w14:textId="4971E4AB"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Недовољна интеграција е-услуга</w:t>
      </w:r>
      <w:r w:rsidR="002229F6" w:rsidRPr="00B3123E">
        <w:rPr>
          <w:rFonts w:ascii="Times New Roman" w:hAnsi="Times New Roman" w:cs="Times New Roman"/>
          <w:szCs w:val="24"/>
          <w:lang w:val="sr-Cyrl-RS"/>
        </w:rPr>
        <w:t xml:space="preserve"> </w:t>
      </w:r>
      <w:r w:rsidR="00BA3886" w:rsidRPr="00B3123E">
        <w:rPr>
          <w:rFonts w:ascii="Times New Roman" w:hAnsi="Times New Roman" w:cs="Times New Roman"/>
          <w:szCs w:val="24"/>
          <w:lang w:val="sr-Cyrl-RS"/>
        </w:rPr>
        <w:t>„</w:t>
      </w:r>
      <w:r w:rsidR="00B61C2D" w:rsidRPr="00B3123E">
        <w:rPr>
          <w:rFonts w:ascii="Times New Roman" w:hAnsi="Times New Roman" w:cs="Times New Roman"/>
          <w:szCs w:val="24"/>
          <w:lang w:val="sr-Cyrl-RS"/>
        </w:rPr>
        <w:t>Пошта Србије</w:t>
      </w:r>
      <w:r w:rsidR="00BA3886" w:rsidRPr="00B3123E">
        <w:rPr>
          <w:rFonts w:ascii="Times New Roman" w:hAnsi="Times New Roman" w:cs="Times New Roman"/>
          <w:szCs w:val="24"/>
          <w:lang w:val="sr-Cyrl-RS"/>
        </w:rPr>
        <w:t>”,</w:t>
      </w:r>
      <w:r w:rsidR="00AC2C1B" w:rsidRPr="00B3123E">
        <w:rPr>
          <w:rFonts w:ascii="Times New Roman" w:hAnsi="Times New Roman" w:cs="Times New Roman"/>
          <w:szCs w:val="24"/>
          <w:lang w:val="sr-Cyrl-RS"/>
        </w:rPr>
        <w:t xml:space="preserve"> д.о.о. </w:t>
      </w:r>
      <w:r w:rsidRPr="00B3123E">
        <w:rPr>
          <w:rFonts w:ascii="Times New Roman" w:hAnsi="Times New Roman" w:cs="Times New Roman"/>
          <w:szCs w:val="24"/>
          <w:lang w:val="sr-Cyrl-RS"/>
        </w:rPr>
        <w:t>и система еУправе;</w:t>
      </w:r>
    </w:p>
    <w:p w14:paraId="55733287"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Мањак кадрова у области дигиталног развоја и аналитике података;</w:t>
      </w:r>
    </w:p>
    <w:p w14:paraId="3F6640FB"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Ограничен број пакетомата и флексибилних доставних решења изван урбаних зона.</w:t>
      </w:r>
    </w:p>
    <w:p w14:paraId="5444FE0F" w14:textId="77777777" w:rsidR="00F80CC8" w:rsidRPr="00B3123E" w:rsidRDefault="00F80CC8" w:rsidP="00F80CC8">
      <w:pPr>
        <w:tabs>
          <w:tab w:val="left" w:pos="1440"/>
        </w:tabs>
        <w:ind w:left="360"/>
        <w:jc w:val="left"/>
        <w:rPr>
          <w:rFonts w:ascii="Times New Roman" w:hAnsi="Times New Roman" w:cs="Times New Roman"/>
          <w:b/>
          <w:bCs/>
          <w:szCs w:val="24"/>
          <w:lang w:val="sr-Cyrl-RS"/>
        </w:rPr>
      </w:pPr>
    </w:p>
    <w:p w14:paraId="50D7B227" w14:textId="7FE37679" w:rsidR="00715F10" w:rsidRPr="00B3123E" w:rsidRDefault="00715F10" w:rsidP="00F80CC8">
      <w:pPr>
        <w:tabs>
          <w:tab w:val="left" w:pos="1440"/>
        </w:tabs>
        <w:jc w:val="left"/>
        <w:rPr>
          <w:rFonts w:ascii="Times New Roman" w:hAnsi="Times New Roman" w:cs="Times New Roman"/>
          <w:b/>
          <w:bCs/>
          <w:szCs w:val="24"/>
          <w:lang w:val="sr-Cyrl-RS"/>
        </w:rPr>
      </w:pPr>
      <w:r w:rsidRPr="00B3123E">
        <w:rPr>
          <w:rFonts w:ascii="Times New Roman" w:hAnsi="Times New Roman" w:cs="Times New Roman"/>
          <w:b/>
          <w:bCs/>
          <w:szCs w:val="24"/>
          <w:lang w:val="sr-Cyrl-RS"/>
        </w:rPr>
        <w:t>Прилике</w:t>
      </w:r>
      <w:r w:rsidR="00302CB5" w:rsidRPr="00B3123E">
        <w:rPr>
          <w:rFonts w:ascii="Times New Roman" w:hAnsi="Times New Roman" w:cs="Times New Roman"/>
          <w:b/>
          <w:bCs/>
          <w:szCs w:val="24"/>
          <w:lang w:val="sr-Cyrl-RS"/>
        </w:rPr>
        <w:t>:</w:t>
      </w:r>
    </w:p>
    <w:p w14:paraId="7DDA5B41"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Брзи развој е-трговине ствара потражњу за брзим, поузданим и флексибилним пакетским услугама; </w:t>
      </w:r>
    </w:p>
    <w:p w14:paraId="3CEBCBB1" w14:textId="1A05233F"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Дигитална трансформација поштанског сектора – паметна достава, апликације, CRM системи</w:t>
      </w:r>
      <w:r w:rsidR="003118AA" w:rsidRPr="00B3123E">
        <w:rPr>
          <w:rFonts w:ascii="Times New Roman" w:hAnsi="Times New Roman" w:cs="Times New Roman"/>
          <w:szCs w:val="24"/>
          <w:lang w:val="sr-Cyrl-RS"/>
        </w:rPr>
        <w:t xml:space="preserve"> (Customer Relationship Management)</w:t>
      </w:r>
      <w:r w:rsidRPr="00B3123E">
        <w:rPr>
          <w:rFonts w:ascii="Times New Roman" w:hAnsi="Times New Roman" w:cs="Times New Roman"/>
          <w:szCs w:val="24"/>
          <w:lang w:val="sr-Cyrl-RS"/>
        </w:rPr>
        <w:t xml:space="preserve">, аутоматизација центара; </w:t>
      </w:r>
    </w:p>
    <w:p w14:paraId="3CF2218A" w14:textId="71485F3D"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Пошта као партнер еУправе: квалификована е</w:t>
      </w:r>
      <w:r w:rsidR="00FB1759" w:rsidRPr="00B3123E">
        <w:rPr>
          <w:rFonts w:ascii="Times New Roman" w:hAnsi="Times New Roman" w:cs="Times New Roman"/>
          <w:szCs w:val="24"/>
          <w:lang w:val="sr-Cyrl-RS"/>
        </w:rPr>
        <w:t>Д</w:t>
      </w:r>
      <w:r w:rsidRPr="00B3123E">
        <w:rPr>
          <w:rFonts w:ascii="Times New Roman" w:hAnsi="Times New Roman" w:cs="Times New Roman"/>
          <w:szCs w:val="24"/>
          <w:lang w:val="sr-Cyrl-RS"/>
        </w:rPr>
        <w:t>остава, еИД, дигитални поштански сандучић (по узору на ЕУ);</w:t>
      </w:r>
    </w:p>
    <w:p w14:paraId="2FFD759D" w14:textId="7CAD3DD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Финансирање дигитализације и </w:t>
      </w:r>
      <w:r w:rsidR="00A6196A" w:rsidRPr="00B3123E">
        <w:rPr>
          <w:rFonts w:ascii="Times New Roman" w:hAnsi="Times New Roman" w:cs="Times New Roman"/>
          <w:szCs w:val="24"/>
          <w:lang w:val="sr-Cyrl-RS"/>
        </w:rPr>
        <w:t>унапређених</w:t>
      </w:r>
      <w:r w:rsidRPr="00B3123E">
        <w:rPr>
          <w:rFonts w:ascii="Times New Roman" w:hAnsi="Times New Roman" w:cs="Times New Roman"/>
          <w:szCs w:val="24"/>
          <w:lang w:val="sr-Cyrl-RS"/>
        </w:rPr>
        <w:t xml:space="preserve"> логистичких решења кроз IPA, WBIF и ЕУ фондове; </w:t>
      </w:r>
    </w:p>
    <w:p w14:paraId="2995D0A4"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Улога поште као </w:t>
      </w:r>
      <w:r w:rsidRPr="00B3123E">
        <w:rPr>
          <w:rFonts w:ascii="Times New Roman" w:hAnsi="Times New Roman" w:cs="Times New Roman"/>
          <w:i/>
          <w:iCs/>
          <w:szCs w:val="24"/>
          <w:lang w:val="sr-Cyrl-RS"/>
        </w:rPr>
        <w:t>one-stop</w:t>
      </w:r>
      <w:r w:rsidRPr="00B3123E">
        <w:rPr>
          <w:rFonts w:ascii="Times New Roman" w:hAnsi="Times New Roman" w:cs="Times New Roman"/>
          <w:szCs w:val="24"/>
          <w:lang w:val="sr-Cyrl-RS"/>
        </w:rPr>
        <w:t xml:space="preserve"> контактне тачке за грађане – приступ е-сервисима без властите ИТ опреме.</w:t>
      </w:r>
    </w:p>
    <w:p w14:paraId="3D16B012" w14:textId="3439661C" w:rsidR="00F80CC8" w:rsidRPr="00B3123E" w:rsidRDefault="00F80CC8" w:rsidP="00F80CC8">
      <w:pPr>
        <w:tabs>
          <w:tab w:val="left" w:pos="1440"/>
        </w:tabs>
        <w:ind w:left="360"/>
        <w:jc w:val="left"/>
        <w:rPr>
          <w:rFonts w:ascii="Times New Roman" w:hAnsi="Times New Roman" w:cs="Times New Roman"/>
          <w:b/>
          <w:bCs/>
          <w:szCs w:val="24"/>
          <w:lang w:val="sr-Cyrl-RS"/>
        </w:rPr>
      </w:pPr>
    </w:p>
    <w:p w14:paraId="190F13CB" w14:textId="77777777" w:rsidR="00633C54" w:rsidRPr="00B3123E" w:rsidRDefault="00633C54" w:rsidP="00F80CC8">
      <w:pPr>
        <w:tabs>
          <w:tab w:val="left" w:pos="1440"/>
        </w:tabs>
        <w:ind w:left="360"/>
        <w:jc w:val="left"/>
        <w:rPr>
          <w:rFonts w:ascii="Times New Roman" w:hAnsi="Times New Roman" w:cs="Times New Roman"/>
          <w:b/>
          <w:bCs/>
          <w:szCs w:val="24"/>
          <w:lang w:val="sr-Cyrl-RS"/>
        </w:rPr>
      </w:pPr>
    </w:p>
    <w:p w14:paraId="7371FDCA" w14:textId="0BAB1379" w:rsidR="00715F10" w:rsidRPr="00B3123E" w:rsidRDefault="00715F10" w:rsidP="00F80CC8">
      <w:pPr>
        <w:tabs>
          <w:tab w:val="left" w:pos="1440"/>
        </w:tabs>
        <w:jc w:val="left"/>
        <w:rPr>
          <w:rFonts w:ascii="Times New Roman" w:hAnsi="Times New Roman" w:cs="Times New Roman"/>
          <w:b/>
          <w:bCs/>
          <w:szCs w:val="24"/>
          <w:lang w:val="sr-Cyrl-RS"/>
        </w:rPr>
      </w:pPr>
      <w:r w:rsidRPr="00B3123E">
        <w:rPr>
          <w:rFonts w:ascii="Times New Roman" w:hAnsi="Times New Roman" w:cs="Times New Roman"/>
          <w:b/>
          <w:bCs/>
          <w:szCs w:val="24"/>
          <w:lang w:val="sr-Cyrl-RS"/>
        </w:rPr>
        <w:lastRenderedPageBreak/>
        <w:t>Претње</w:t>
      </w:r>
      <w:r w:rsidR="00302CB5" w:rsidRPr="00B3123E">
        <w:rPr>
          <w:rFonts w:ascii="Times New Roman" w:hAnsi="Times New Roman" w:cs="Times New Roman"/>
          <w:b/>
          <w:bCs/>
          <w:szCs w:val="24"/>
          <w:lang w:val="sr-Cyrl-RS"/>
        </w:rPr>
        <w:t>:</w:t>
      </w:r>
    </w:p>
    <w:p w14:paraId="772222E5" w14:textId="0FEC5F24" w:rsidR="00715F10" w:rsidRPr="00B3123E" w:rsidRDefault="00715F10" w:rsidP="00F80CC8">
      <w:pPr>
        <w:numPr>
          <w:ilvl w:val="0"/>
          <w:numId w:val="31"/>
        </w:numPr>
        <w:tabs>
          <w:tab w:val="left" w:pos="1134"/>
        </w:tabs>
        <w:ind w:left="284" w:firstLine="414"/>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Приватни оператори циљају профитабилне тржишне сегменте, док </w:t>
      </w:r>
      <w:r w:rsidR="00E67896"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xml:space="preserve"> остаје са обавезом пружања УПУ; </w:t>
      </w:r>
    </w:p>
    <w:p w14:paraId="73A19669" w14:textId="77777777" w:rsidR="00715F10" w:rsidRPr="00B3123E" w:rsidRDefault="00715F10" w:rsidP="00F80CC8">
      <w:pPr>
        <w:numPr>
          <w:ilvl w:val="0"/>
          <w:numId w:val="31"/>
        </w:numPr>
        <w:tabs>
          <w:tab w:val="left" w:pos="1134"/>
        </w:tabs>
        <w:ind w:left="284" w:firstLine="414"/>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Ризик од дигиталне искључености старијих и корисника из руралних подручја, ако се е-услуге пребрзо уведу без физичке подршке; </w:t>
      </w:r>
    </w:p>
    <w:p w14:paraId="191437A7" w14:textId="77777777" w:rsidR="00715F10" w:rsidRPr="00B3123E" w:rsidRDefault="00715F10" w:rsidP="00F80CC8">
      <w:pPr>
        <w:numPr>
          <w:ilvl w:val="0"/>
          <w:numId w:val="31"/>
        </w:numPr>
        <w:tabs>
          <w:tab w:val="left" w:pos="1134"/>
        </w:tabs>
        <w:ind w:left="709" w:hanging="11"/>
        <w:contextualSpacing/>
        <w:rPr>
          <w:rFonts w:ascii="Times New Roman" w:hAnsi="Times New Roman" w:cs="Times New Roman"/>
          <w:szCs w:val="24"/>
          <w:lang w:val="sr-Cyrl-RS"/>
        </w:rPr>
      </w:pPr>
      <w:r w:rsidRPr="00B3123E">
        <w:rPr>
          <w:rFonts w:ascii="Times New Roman" w:hAnsi="Times New Roman" w:cs="Times New Roman"/>
          <w:szCs w:val="24"/>
          <w:lang w:val="sr-Cyrl-RS"/>
        </w:rPr>
        <w:t>Појава нерегуларних конкурената и платформи за доставу;</w:t>
      </w:r>
    </w:p>
    <w:p w14:paraId="37A7BEBC" w14:textId="77777777" w:rsidR="00715F10" w:rsidRPr="00B3123E" w:rsidRDefault="00715F10" w:rsidP="00F80CC8">
      <w:pPr>
        <w:numPr>
          <w:ilvl w:val="0"/>
          <w:numId w:val="31"/>
        </w:numPr>
        <w:tabs>
          <w:tab w:val="left" w:pos="1134"/>
        </w:tabs>
        <w:ind w:left="284" w:firstLine="414"/>
        <w:contextualSpacing/>
        <w:rPr>
          <w:rFonts w:ascii="Times New Roman" w:hAnsi="Times New Roman" w:cs="Times New Roman"/>
          <w:szCs w:val="24"/>
          <w:lang w:val="sr-Cyrl-RS"/>
        </w:rPr>
      </w:pPr>
      <w:r w:rsidRPr="00B3123E">
        <w:rPr>
          <w:rFonts w:ascii="Times New Roman" w:hAnsi="Times New Roman" w:cs="Times New Roman"/>
          <w:szCs w:val="24"/>
          <w:lang w:val="sr-Cyrl-RS"/>
        </w:rPr>
        <w:t>Висока очекивања корисника (бесплатна достава, брза испорука, праћење у стварном времену) без одрживог финансијског модела.</w:t>
      </w:r>
    </w:p>
    <w:p w14:paraId="7C4544A3" w14:textId="77777777" w:rsidR="00810052" w:rsidRPr="00B3123E" w:rsidRDefault="00810052" w:rsidP="005E0335">
      <w:pPr>
        <w:tabs>
          <w:tab w:val="left" w:pos="1440"/>
        </w:tabs>
        <w:ind w:firstLine="1276"/>
        <w:rPr>
          <w:rFonts w:ascii="Times New Roman" w:hAnsi="Times New Roman" w:cs="Times New Roman"/>
          <w:szCs w:val="24"/>
          <w:lang w:val="sr-Cyrl-RS"/>
        </w:rPr>
      </w:pPr>
    </w:p>
    <w:p w14:paraId="515C01A7" w14:textId="46104777" w:rsidR="005E0335" w:rsidRPr="00B3123E" w:rsidRDefault="005E0335" w:rsidP="00095FF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Анализа постојећег стања у области поштанских услуга у </w:t>
      </w:r>
      <w:r w:rsidR="00B10C93"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Србији показује кључне проблеме, узроке и последице, као и предлоге за унапређење.</w:t>
      </w:r>
    </w:p>
    <w:p w14:paraId="67C4D729" w14:textId="01CA4B1A" w:rsidR="00810052" w:rsidRPr="00B3123E" w:rsidRDefault="00810052" w:rsidP="00095FF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Кључн</w:t>
      </w:r>
      <w:r w:rsidR="0044381B" w:rsidRPr="00B3123E">
        <w:rPr>
          <w:rFonts w:ascii="Times New Roman" w:hAnsi="Times New Roman" w:cs="Times New Roman"/>
          <w:szCs w:val="24"/>
          <w:lang w:val="sr-Cyrl-RS"/>
        </w:rPr>
        <w:t>а сврха</w:t>
      </w:r>
      <w:r w:rsidRPr="00B3123E">
        <w:rPr>
          <w:rFonts w:ascii="Times New Roman" w:hAnsi="Times New Roman" w:cs="Times New Roman"/>
          <w:szCs w:val="24"/>
          <w:lang w:val="sr-Cyrl-RS"/>
        </w:rPr>
        <w:t xml:space="preserve"> </w:t>
      </w:r>
      <w:r w:rsidR="00B10C93" w:rsidRPr="00B3123E">
        <w:rPr>
          <w:rFonts w:ascii="Times New Roman" w:hAnsi="Times New Roman" w:cs="Times New Roman"/>
          <w:szCs w:val="24"/>
          <w:lang w:val="sr-Cyrl-RS"/>
        </w:rPr>
        <w:t xml:space="preserve">анализе </w:t>
      </w:r>
      <w:r w:rsidRPr="00B3123E">
        <w:rPr>
          <w:rFonts w:ascii="Times New Roman" w:hAnsi="Times New Roman" w:cs="Times New Roman"/>
          <w:szCs w:val="24"/>
          <w:lang w:val="sr-Cyrl-RS"/>
        </w:rPr>
        <w:t>проблема је сагледавање потенцијалних проблема одређене области на основу којих се могу дефинисати развојни потенцијали и даљи правци развоја. У складу са тим, ова анализа проблема је омогућила да се на основу дефинисаних закључака и препорука, идентификују изазови, узроци и последице.</w:t>
      </w:r>
    </w:p>
    <w:p w14:paraId="4F679ED0" w14:textId="77777777" w:rsidR="005F221A" w:rsidRPr="00B3123E" w:rsidRDefault="005F221A" w:rsidP="00095FF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Проблеми у поштанском сектору Републике Србије могу се дефинисати на следећи начин:</w:t>
      </w:r>
    </w:p>
    <w:p w14:paraId="55446661" w14:textId="49EB65BF" w:rsidR="005F221A" w:rsidRPr="00B3123E" w:rsidRDefault="005F221A" w:rsidP="00095FFE">
      <w:pPr>
        <w:pStyle w:val="ListParagraph"/>
        <w:numPr>
          <w:ilvl w:val="0"/>
          <w:numId w:val="31"/>
        </w:numPr>
        <w:tabs>
          <w:tab w:val="left" w:pos="993"/>
        </w:tabs>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Недостатак прилагођавања тржишту – Поштанске услуге не прате довољно брзо промене у потребама савремених потрошача, који очекују брза, поуздана и флексибилна решења, нарочито у сегмен</w:t>
      </w:r>
      <w:r w:rsidR="00633C54" w:rsidRPr="00B3123E">
        <w:rPr>
          <w:rFonts w:ascii="Times New Roman" w:hAnsi="Times New Roman" w:cs="Times New Roman"/>
          <w:szCs w:val="24"/>
          <w:lang w:val="sr-Cyrl-RS"/>
        </w:rPr>
        <w:t>ту пакетне доставе и е-трговине;</w:t>
      </w:r>
    </w:p>
    <w:p w14:paraId="6B588F2E" w14:textId="2D4EE202" w:rsidR="00495F8D" w:rsidRPr="00B3123E" w:rsidRDefault="005F221A" w:rsidP="00C611F3">
      <w:pPr>
        <w:pStyle w:val="ListParagraph"/>
        <w:numPr>
          <w:ilvl w:val="0"/>
          <w:numId w:val="31"/>
        </w:numPr>
        <w:tabs>
          <w:tab w:val="left" w:pos="993"/>
        </w:tabs>
        <w:ind w:left="0" w:firstLine="360"/>
        <w:rPr>
          <w:lang w:val="sr-Cyrl-RS"/>
        </w:rPr>
      </w:pPr>
      <w:r w:rsidRPr="00B3123E">
        <w:rPr>
          <w:rFonts w:ascii="Times New Roman" w:hAnsi="Times New Roman" w:cs="Times New Roman"/>
          <w:szCs w:val="24"/>
          <w:lang w:val="sr-Cyrl-RS"/>
        </w:rPr>
        <w:t>Недовољна улагања у инфраструктуру и технологију – Ограничене инвестиције у обнову логистичке инфраструктуре, модернизацију механизације и увођење нових технологија</w:t>
      </w:r>
      <w:r w:rsidR="00495F8D"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смањују ефикасност и конкурентност сектора</w:t>
      </w:r>
      <w:r w:rsidR="00630783" w:rsidRPr="00B3123E">
        <w:rPr>
          <w:rFonts w:ascii="Times New Roman" w:hAnsi="Times New Roman" w:cs="Times New Roman"/>
          <w:szCs w:val="24"/>
          <w:lang w:val="sr-Cyrl-RS"/>
        </w:rPr>
        <w:t>.</w:t>
      </w:r>
    </w:p>
    <w:p w14:paraId="12F2B700" w14:textId="664E77D8" w:rsidR="002C32D7" w:rsidRPr="00B3123E" w:rsidRDefault="008059D8"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w:t>
      </w:r>
      <w:r w:rsidR="005B1295" w:rsidRPr="00B3123E">
        <w:rPr>
          <w:rFonts w:ascii="Times New Roman" w:hAnsi="Times New Roman" w:cs="Times New Roman"/>
          <w:szCs w:val="24"/>
          <w:lang w:val="sr-Cyrl-RS"/>
        </w:rPr>
        <w:t xml:space="preserve">оштански сектор се суочава са сложеним изазовима, како екстерним тако и интерним, који обликују његово пословање. </w:t>
      </w:r>
    </w:p>
    <w:p w14:paraId="79151ED0" w14:textId="202D6928" w:rsidR="005B1295" w:rsidRPr="00B3123E" w:rsidRDefault="005B1295"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Екстерни притисци укључују либерализацију и регулативу ЕУ која захтева отварање тржишта уз обавезу</w:t>
      </w:r>
      <w:r w:rsidR="00E67896" w:rsidRPr="00B3123E">
        <w:rPr>
          <w:rFonts w:ascii="Times New Roman" w:hAnsi="Times New Roman" w:cs="Times New Roman"/>
          <w:szCs w:val="24"/>
          <w:lang w:val="sr-Cyrl-RS"/>
        </w:rPr>
        <w:t xml:space="preserve"> обављања УПУ</w:t>
      </w:r>
      <w:r w:rsidRPr="00B3123E">
        <w:rPr>
          <w:rFonts w:ascii="Times New Roman" w:hAnsi="Times New Roman" w:cs="Times New Roman"/>
          <w:szCs w:val="24"/>
          <w:lang w:val="sr-Cyrl-RS"/>
        </w:rPr>
        <w:t>. Развој електронске трговине повећава потражњу за испоруком пакета, док промена понашања потрошача диктира потребе за брзом, поузданом, праћеном испоруком. Геополитичке тензије, инфлација и растући трошкови, као и пад пријема традиционалних пошиљака, додатно оптерећују сектор.</w:t>
      </w:r>
    </w:p>
    <w:p w14:paraId="7C6C6385" w14:textId="0A4852B1" w:rsidR="00B10C93" w:rsidRPr="00B3123E" w:rsidRDefault="005B1295"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Интерни изазови обухватају недовољну интеграцију е-услуга са еУправом, што води фрагментираним системима, мањак кадрова у дигиталном развоју и ограничен број флексибилних доставних решења попут пакетомата изван урбаних зона. Увођење и примена нових технологија, као што </w:t>
      </w:r>
      <w:r w:rsidR="00D82745" w:rsidRPr="00B3123E">
        <w:rPr>
          <w:rFonts w:ascii="Times New Roman" w:hAnsi="Times New Roman" w:cs="Times New Roman"/>
          <w:szCs w:val="24"/>
          <w:lang w:val="sr-Cyrl-RS"/>
        </w:rPr>
        <w:t>је</w:t>
      </w:r>
      <w:r w:rsidRPr="00B3123E">
        <w:rPr>
          <w:rFonts w:ascii="Times New Roman" w:hAnsi="Times New Roman" w:cs="Times New Roman"/>
          <w:szCs w:val="24"/>
          <w:lang w:val="sr-Cyrl-RS"/>
        </w:rPr>
        <w:t xml:space="preserve"> вештачка интелигенција, такође захтева значајна улагања и превазилажење постојећих баријера, што представља значајне оперативне изазове за сектор.</w:t>
      </w:r>
    </w:p>
    <w:p w14:paraId="12A00C1E" w14:textId="3572210F" w:rsidR="000C216F" w:rsidRPr="00B3123E" w:rsidRDefault="00A73781"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lang w:val="sr-Cyrl-RS"/>
        </w:rPr>
        <w:t xml:space="preserve">Као специфичан изазов, у периоду реализације Стратегије, идентификован је и претходни правни статус ЈПО као јавног предузећа. Оваква форма доноси ограничену флексибилност због строгог управљачког и регулаторног оквира, отежавајући брзо доношење одлука и прилагођавање тржишним променама. Последично, извршена је </w:t>
      </w:r>
      <w:r w:rsidR="00662A51" w:rsidRPr="00B3123E">
        <w:rPr>
          <w:rFonts w:ascii="Times New Roman" w:hAnsi="Times New Roman" w:cs="Times New Roman"/>
          <w:lang w:val="sr-Cyrl-RS"/>
        </w:rPr>
        <w:t>промена пра</w:t>
      </w:r>
      <w:r w:rsidR="00AC2C1B" w:rsidRPr="00B3123E">
        <w:rPr>
          <w:rFonts w:ascii="Times New Roman" w:hAnsi="Times New Roman" w:cs="Times New Roman"/>
          <w:lang w:val="sr-Cyrl-RS"/>
        </w:rPr>
        <w:t>в</w:t>
      </w:r>
      <w:r w:rsidR="00662A51" w:rsidRPr="00B3123E">
        <w:rPr>
          <w:rFonts w:ascii="Times New Roman" w:hAnsi="Times New Roman" w:cs="Times New Roman"/>
          <w:lang w:val="sr-Cyrl-RS"/>
        </w:rPr>
        <w:t>не форме</w:t>
      </w:r>
      <w:r w:rsidRPr="00B3123E">
        <w:rPr>
          <w:rFonts w:ascii="Times New Roman" w:hAnsi="Times New Roman" w:cs="Times New Roman"/>
          <w:lang w:val="sr-Cyrl-RS"/>
        </w:rPr>
        <w:t xml:space="preserve"> у друштво са ограниченом одговорношћу како јавном оператору не би више био отежан приступ капиталу и иновацијама, што је доводило до слабије конкурентности у односу на приватни сектор. Такође, ово је водило ка недостатку ефикасности у оптимизацији процеса и потенцијално нижем квалитету услуга, док тешкоће у привлачењу инвестиција су произлазиле из перцепције већих ризика и ниже </w:t>
      </w:r>
      <w:r w:rsidRPr="00B3123E">
        <w:rPr>
          <w:rFonts w:ascii="Times New Roman" w:hAnsi="Times New Roman" w:cs="Times New Roman"/>
          <w:lang w:val="sr-Cyrl-RS"/>
        </w:rPr>
        <w:lastRenderedPageBreak/>
        <w:t xml:space="preserve">профитабилности. Имајући у виду да су ови недостаци могли значајно ограничити способност ЈПО да ефикасно реагује на тржишне промене и технолошке иновације, извршена је измена правне форме. </w:t>
      </w:r>
      <w:r w:rsidRPr="00B3123E">
        <w:rPr>
          <w:rFonts w:ascii="Times New Roman" w:hAnsi="Times New Roman" w:cs="Times New Roman"/>
          <w:szCs w:val="24"/>
          <w:lang w:val="sr-Cyrl-RS"/>
        </w:rPr>
        <w:t xml:space="preserve">Одговор </w:t>
      </w:r>
      <w:r w:rsidR="00810052" w:rsidRPr="00B3123E">
        <w:rPr>
          <w:rFonts w:ascii="Times New Roman" w:hAnsi="Times New Roman" w:cs="Times New Roman"/>
          <w:szCs w:val="24"/>
          <w:lang w:val="sr-Cyrl-RS"/>
        </w:rPr>
        <w:t xml:space="preserve">на препознате развојне изазове у области поштанских услуга захтева целовит и усмерен приступ који омогућава значајне промене и превазилажење текућих изазова. </w:t>
      </w:r>
    </w:p>
    <w:p w14:paraId="01398F98" w14:textId="6831C957" w:rsidR="000C216F" w:rsidRPr="00B3123E" w:rsidRDefault="000C216F"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Циљне групе на које утичу изазови, узроци и последице су: Министарство, Ре</w:t>
      </w:r>
      <w:r w:rsidR="007146B4" w:rsidRPr="00B3123E">
        <w:rPr>
          <w:rFonts w:ascii="Times New Roman" w:hAnsi="Times New Roman" w:cs="Times New Roman"/>
          <w:szCs w:val="24"/>
          <w:lang w:val="sr-Cyrl-RS"/>
        </w:rPr>
        <w:t>гулатор</w:t>
      </w:r>
      <w:r w:rsidRPr="00B3123E">
        <w:rPr>
          <w:rFonts w:ascii="Times New Roman" w:hAnsi="Times New Roman" w:cs="Times New Roman"/>
          <w:szCs w:val="24"/>
          <w:lang w:val="sr-Cyrl-RS"/>
        </w:rPr>
        <w:t>, поштански оператори (</w:t>
      </w:r>
      <w:r w:rsidR="00DB6924"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xml:space="preserve"> и остали поштански оператори), корисници поштанских услуга и образовне установе.</w:t>
      </w:r>
    </w:p>
    <w:p w14:paraId="133CD680" w14:textId="68890C92" w:rsidR="006E708F" w:rsidRPr="00B3123E" w:rsidRDefault="006E708F" w:rsidP="00810052">
      <w:pPr>
        <w:tabs>
          <w:tab w:val="left" w:pos="1440"/>
        </w:tabs>
        <w:rPr>
          <w:rFonts w:ascii="Times New Roman" w:hAnsi="Times New Roman" w:cs="Times New Roman"/>
          <w:szCs w:val="24"/>
          <w:lang w:val="sr-Cyrl-RS"/>
        </w:rPr>
      </w:pPr>
    </w:p>
    <w:p w14:paraId="5D72C973" w14:textId="4359E591" w:rsidR="00030D79" w:rsidRPr="00B3123E" w:rsidRDefault="00CA41F1" w:rsidP="001B2AAD">
      <w:pPr>
        <w:pStyle w:val="Heading1"/>
        <w:numPr>
          <w:ilvl w:val="0"/>
          <w:numId w:val="1"/>
        </w:numPr>
        <w:jc w:val="center"/>
        <w:rPr>
          <w:rFonts w:ascii="Times New Roman" w:hAnsi="Times New Roman"/>
          <w:sz w:val="24"/>
          <w:lang w:val="sr-Cyrl-RS"/>
        </w:rPr>
      </w:pPr>
      <w:bookmarkStart w:id="41" w:name="_Toc23941287"/>
      <w:bookmarkStart w:id="42" w:name="_Toc211545980"/>
      <w:r w:rsidRPr="00B3123E">
        <w:rPr>
          <w:rFonts w:ascii="Times New Roman" w:hAnsi="Times New Roman"/>
          <w:sz w:val="24"/>
          <w:lang w:val="sr-Cyrl-RS"/>
        </w:rPr>
        <w:t>ВИЗИЈА</w:t>
      </w:r>
      <w:bookmarkEnd w:id="41"/>
      <w:bookmarkEnd w:id="42"/>
    </w:p>
    <w:p w14:paraId="710177AF" w14:textId="75001A89" w:rsidR="00802B28" w:rsidRPr="00B3123E" w:rsidRDefault="0032048D" w:rsidP="00802B28">
      <w:pPr>
        <w:spacing w:after="0" w:line="276" w:lineRule="auto"/>
        <w:rPr>
          <w:rFonts w:ascii="Times New Roman" w:hAnsi="Times New Roman" w:cs="Times New Roman"/>
          <w:i/>
          <w:sz w:val="4"/>
          <w:szCs w:val="4"/>
          <w:u w:val="single"/>
          <w:lang w:val="sr-Cyrl-RS"/>
        </w:rPr>
      </w:pPr>
      <w:r w:rsidRPr="00B3123E">
        <w:rPr>
          <w:rFonts w:ascii="Times New Roman" w:hAnsi="Times New Roman" w:cs="Times New Roman"/>
          <w:noProof/>
          <w:szCs w:val="24"/>
        </w:rPr>
        <mc:AlternateContent>
          <mc:Choice Requires="wps">
            <w:drawing>
              <wp:inline distT="0" distB="0" distL="0" distR="0" wp14:anchorId="4C14DE8F" wp14:editId="6FC5093B">
                <wp:extent cx="5883910" cy="1404620"/>
                <wp:effectExtent l="9525" t="9525" r="12065" b="13335"/>
                <wp:docPr id="555333854"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977265"/>
                        </a:xfrm>
                        <a:prstGeom prst="rect">
                          <a:avLst/>
                        </a:prstGeom>
                        <a:solidFill>
                          <a:srgbClr val="FFFFFF"/>
                        </a:solidFill>
                        <a:ln w="9525">
                          <a:solidFill>
                            <a:srgbClr val="000000"/>
                          </a:solidFill>
                          <a:miter lim="800000"/>
                          <a:headEnd/>
                          <a:tailEnd/>
                        </a:ln>
                      </wps:spPr>
                      <wps:txbx>
                        <w:txbxContent>
                          <w:p w14:paraId="2ECD8803" w14:textId="2CA052C2" w:rsidR="00011344" w:rsidRPr="0078222F" w:rsidRDefault="00011344" w:rsidP="001C6759">
                            <w:pPr>
                              <w:pStyle w:val="pf0"/>
                              <w:jc w:val="both"/>
                              <w:rPr>
                                <w:b/>
                                <w:bCs/>
                                <w:lang w:val="ru-RU"/>
                              </w:rPr>
                            </w:pPr>
                            <w:r w:rsidRPr="00771442">
                              <w:rPr>
                                <w:b/>
                                <w:i/>
                                <w:color w:val="000000" w:themeColor="text1"/>
                                <w:u w:val="single"/>
                              </w:rPr>
                              <w:t>Визија</w:t>
                            </w:r>
                            <w:r w:rsidRPr="00771442">
                              <w:rPr>
                                <w:b/>
                                <w:i/>
                                <w:color w:val="000000" w:themeColor="text1"/>
                              </w:rPr>
                              <w:t xml:space="preserve"> </w:t>
                            </w:r>
                            <w:r w:rsidRPr="009A6CCC">
                              <w:rPr>
                                <w:rStyle w:val="cf01"/>
                                <w:rFonts w:ascii="Times New Roman" w:hAnsi="Times New Roman" w:cs="Times New Roman"/>
                                <w:b/>
                                <w:bCs/>
                                <w:sz w:val="24"/>
                                <w:szCs w:val="24"/>
                              </w:rPr>
                              <w:t xml:space="preserve">Развијене доступне, поуздане, ефикасне и приступачне поштанске услуге, са посебним акцентом на област универзалне поштанске услуге, које </w:t>
                            </w:r>
                            <w:r>
                              <w:rPr>
                                <w:rStyle w:val="cf01"/>
                                <w:rFonts w:ascii="Times New Roman" w:hAnsi="Times New Roman" w:cs="Times New Roman"/>
                                <w:b/>
                                <w:bCs/>
                                <w:sz w:val="24"/>
                                <w:szCs w:val="24"/>
                              </w:rPr>
                              <w:t>доприносе стварању</w:t>
                            </w:r>
                            <w:r w:rsidRPr="009A6CCC">
                              <w:rPr>
                                <w:rStyle w:val="cf01"/>
                                <w:rFonts w:ascii="Times New Roman" w:hAnsi="Times New Roman" w:cs="Times New Roman"/>
                                <w:b/>
                                <w:bCs/>
                                <w:sz w:val="24"/>
                                <w:szCs w:val="24"/>
                              </w:rPr>
                              <w:t xml:space="preserve"> конкурентно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иновативн</w:t>
                            </w:r>
                            <w:r>
                              <w:rPr>
                                <w:rStyle w:val="cf01"/>
                                <w:rFonts w:ascii="Times New Roman" w:hAnsi="Times New Roman" w:cs="Times New Roman"/>
                                <w:b/>
                                <w:bCs/>
                                <w:sz w:val="24"/>
                                <w:szCs w:val="24"/>
                              </w:rPr>
                              <w:t>ог</w:t>
                            </w:r>
                            <w:r w:rsidRPr="009A6CCC">
                              <w:rPr>
                                <w:rStyle w:val="cf01"/>
                                <w:rFonts w:ascii="Times New Roman" w:hAnsi="Times New Roman" w:cs="Times New Roman"/>
                                <w:b/>
                                <w:bCs/>
                                <w:sz w:val="24"/>
                                <w:szCs w:val="24"/>
                              </w:rPr>
                              <w:t>, одрживо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xml:space="preserve"> окружењ</w:t>
                            </w:r>
                            <w:r>
                              <w:rPr>
                                <w:rStyle w:val="cf01"/>
                                <w:rFonts w:ascii="Times New Roman" w:hAnsi="Times New Roman" w:cs="Times New Roman"/>
                                <w:b/>
                                <w:bCs/>
                                <w:sz w:val="24"/>
                                <w:szCs w:val="24"/>
                              </w:rPr>
                              <w:t>а</w:t>
                            </w:r>
                            <w:r w:rsidRPr="009A6CCC">
                              <w:rPr>
                                <w:rStyle w:val="cf01"/>
                                <w:rFonts w:ascii="Times New Roman" w:hAnsi="Times New Roman" w:cs="Times New Roman"/>
                                <w:b/>
                                <w:bCs/>
                                <w:sz w:val="24"/>
                                <w:szCs w:val="24"/>
                              </w:rPr>
                              <w:t xml:space="preserve"> усмерено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xml:space="preserve"> на кориснике </w:t>
                            </w:r>
                          </w:p>
                        </w:txbxContent>
                      </wps:txbx>
                      <wps:bodyPr rot="0" vert="horz" wrap="square" lIns="91440" tIns="45720" rIns="91440" bIns="45720" anchor="ctr" anchorCtr="0" upright="1">
                        <a:spAutoFit/>
                      </wps:bodyPr>
                    </wps:wsp>
                  </a:graphicData>
                </a:graphic>
              </wp:inline>
            </w:drawing>
          </mc:Choice>
          <mc:Fallback>
            <w:pict>
              <v:shapetype w14:anchorId="4C14DE8F" id="_x0000_t202" coordsize="21600,21600" o:spt="202" path="m,l,21600r21600,l21600,xe">
                <v:stroke joinstyle="miter"/>
                <v:path gradientshapeok="t" o:connecttype="rect"/>
              </v:shapetype>
              <v:shape id="Okvir za tekst 2" o:spid="_x0000_s1026" type="#_x0000_t202" style="width:463.3pt;height:110.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">
                <v:textbox style="mso-fit-shape-to-text:t">
                  <w:txbxContent>
                    <w:p w14:paraId="2ECD8803" w14:textId="2CA052C2" w:rsidR="00011344" w:rsidRPr="0078222F" w:rsidRDefault="00011344" w:rsidP="001C6759">
                      <w:pPr>
                        <w:pStyle w:val="pf0"/>
                        <w:jc w:val="both"/>
                        <w:rPr>
                          <w:b/>
                          <w:bCs/>
                          <w:lang w:val="ru-RU"/>
                        </w:rPr>
                      </w:pPr>
                      <w:r w:rsidRPr="00771442">
                        <w:rPr>
                          <w:b/>
                          <w:i/>
                          <w:color w:val="000000" w:themeColor="text1"/>
                          <w:u w:val="single"/>
                        </w:rPr>
                        <w:t>Визија</w:t>
                      </w:r>
                      <w:r w:rsidRPr="00771442">
                        <w:rPr>
                          <w:b/>
                          <w:i/>
                          <w:color w:val="000000" w:themeColor="text1"/>
                        </w:rPr>
                        <w:t xml:space="preserve"> </w:t>
                      </w:r>
                      <w:r w:rsidRPr="009A6CCC">
                        <w:rPr>
                          <w:rStyle w:val="cf01"/>
                          <w:rFonts w:ascii="Times New Roman" w:hAnsi="Times New Roman" w:cs="Times New Roman"/>
                          <w:b/>
                          <w:bCs/>
                          <w:sz w:val="24"/>
                          <w:szCs w:val="24"/>
                        </w:rPr>
                        <w:t xml:space="preserve">Развијене доступне, поуздане, ефикасне и приступачне поштанске услуге, са посебним акцентом на област универзалне поштанске услуге, које </w:t>
                      </w:r>
                      <w:r>
                        <w:rPr>
                          <w:rStyle w:val="cf01"/>
                          <w:rFonts w:ascii="Times New Roman" w:hAnsi="Times New Roman" w:cs="Times New Roman"/>
                          <w:b/>
                          <w:bCs/>
                          <w:sz w:val="24"/>
                          <w:szCs w:val="24"/>
                        </w:rPr>
                        <w:t>доприносе стварању</w:t>
                      </w:r>
                      <w:r w:rsidRPr="009A6CCC">
                        <w:rPr>
                          <w:rStyle w:val="cf01"/>
                          <w:rFonts w:ascii="Times New Roman" w:hAnsi="Times New Roman" w:cs="Times New Roman"/>
                          <w:b/>
                          <w:bCs/>
                          <w:sz w:val="24"/>
                          <w:szCs w:val="24"/>
                        </w:rPr>
                        <w:t xml:space="preserve"> конкурентно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иновативн</w:t>
                      </w:r>
                      <w:r>
                        <w:rPr>
                          <w:rStyle w:val="cf01"/>
                          <w:rFonts w:ascii="Times New Roman" w:hAnsi="Times New Roman" w:cs="Times New Roman"/>
                          <w:b/>
                          <w:bCs/>
                          <w:sz w:val="24"/>
                          <w:szCs w:val="24"/>
                        </w:rPr>
                        <w:t>ог</w:t>
                      </w:r>
                      <w:r w:rsidRPr="009A6CCC">
                        <w:rPr>
                          <w:rStyle w:val="cf01"/>
                          <w:rFonts w:ascii="Times New Roman" w:hAnsi="Times New Roman" w:cs="Times New Roman"/>
                          <w:b/>
                          <w:bCs/>
                          <w:sz w:val="24"/>
                          <w:szCs w:val="24"/>
                        </w:rPr>
                        <w:t>, одрживо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xml:space="preserve"> окружењ</w:t>
                      </w:r>
                      <w:r>
                        <w:rPr>
                          <w:rStyle w:val="cf01"/>
                          <w:rFonts w:ascii="Times New Roman" w:hAnsi="Times New Roman" w:cs="Times New Roman"/>
                          <w:b/>
                          <w:bCs/>
                          <w:sz w:val="24"/>
                          <w:szCs w:val="24"/>
                        </w:rPr>
                        <w:t>а</w:t>
                      </w:r>
                      <w:r w:rsidRPr="009A6CCC">
                        <w:rPr>
                          <w:rStyle w:val="cf01"/>
                          <w:rFonts w:ascii="Times New Roman" w:hAnsi="Times New Roman" w:cs="Times New Roman"/>
                          <w:b/>
                          <w:bCs/>
                          <w:sz w:val="24"/>
                          <w:szCs w:val="24"/>
                        </w:rPr>
                        <w:t xml:space="preserve"> усмерено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xml:space="preserve"> на кориснике </w:t>
                      </w:r>
                    </w:p>
                  </w:txbxContent>
                </v:textbox>
                <w10:anchorlock/>
              </v:shape>
            </w:pict>
          </mc:Fallback>
        </mc:AlternateContent>
      </w:r>
    </w:p>
    <w:p w14:paraId="6059645E" w14:textId="77777777" w:rsidR="00802B28" w:rsidRPr="00B3123E" w:rsidRDefault="00802B28" w:rsidP="00802B28">
      <w:pPr>
        <w:tabs>
          <w:tab w:val="left" w:pos="1440"/>
        </w:tabs>
        <w:spacing w:after="0"/>
        <w:rPr>
          <w:rFonts w:ascii="Times New Roman" w:hAnsi="Times New Roman" w:cs="Times New Roman"/>
          <w:sz w:val="4"/>
          <w:szCs w:val="4"/>
          <w:lang w:val="sr-Cyrl-RS"/>
        </w:rPr>
      </w:pPr>
      <w:r w:rsidRPr="00B3123E">
        <w:rPr>
          <w:rFonts w:ascii="Times New Roman" w:hAnsi="Times New Roman" w:cs="Times New Roman"/>
          <w:szCs w:val="24"/>
          <w:lang w:val="sr-Cyrl-RS"/>
        </w:rPr>
        <w:tab/>
      </w:r>
    </w:p>
    <w:p w14:paraId="34849211" w14:textId="77777777" w:rsidR="00802B28" w:rsidRPr="00B3123E" w:rsidRDefault="00802B28"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Остваривање визије ће омогућити да поштански сектор остане један од основних и незаменљивих делова (чинилаца) националне економије и даљег привредног и друштвеног развоја Републике Србије кроз:</w:t>
      </w:r>
    </w:p>
    <w:p w14:paraId="5CE45F14" w14:textId="77777777" w:rsidR="00802B28" w:rsidRPr="00B3123E" w:rsidRDefault="00802B28"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омогућавање слободног протока поштанских пошиљака;</w:t>
      </w:r>
    </w:p>
    <w:p w14:paraId="4020785A" w14:textId="15920DBE" w:rsidR="00802B28" w:rsidRPr="00B3123E" w:rsidRDefault="00802B28"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 xml:space="preserve">осигурање доступности и одрживости </w:t>
      </w:r>
      <w:r w:rsidR="00065133"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w:t>
      </w:r>
    </w:p>
    <w:p w14:paraId="38B5F8BA" w14:textId="77777777" w:rsidR="00802B28" w:rsidRPr="00B3123E" w:rsidRDefault="00802B28"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унапређење квалитета услуга и употребу нових технологија;</w:t>
      </w:r>
    </w:p>
    <w:p w14:paraId="3813BDDB" w14:textId="77777777" w:rsidR="00774C52" w:rsidRPr="00B3123E" w:rsidRDefault="00774C52"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промовисање једнаких услова за све поштанске операторе;</w:t>
      </w:r>
    </w:p>
    <w:p w14:paraId="68673C91" w14:textId="2730C4AB" w:rsidR="00774C52" w:rsidRPr="00B3123E" w:rsidRDefault="00774C52"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дигиталну трансформацију и иновације</w:t>
      </w:r>
      <w:r w:rsidR="00081CE5" w:rsidRPr="00B3123E">
        <w:rPr>
          <w:rFonts w:ascii="Times New Roman" w:hAnsi="Times New Roman" w:cs="Times New Roman"/>
          <w:szCs w:val="24"/>
          <w:lang w:val="sr-Cyrl-RS"/>
        </w:rPr>
        <w:t>;</w:t>
      </w:r>
    </w:p>
    <w:p w14:paraId="5B8B87DA" w14:textId="77777777" w:rsidR="00802B28" w:rsidRPr="00B3123E" w:rsidRDefault="00802B28"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међуповезаност између стејкхолдера;</w:t>
      </w:r>
    </w:p>
    <w:p w14:paraId="12E795BB" w14:textId="77777777" w:rsidR="00802B28" w:rsidRPr="00B3123E" w:rsidRDefault="00802B28" w:rsidP="00C611F3">
      <w:pPr>
        <w:pStyle w:val="ListParagraph"/>
        <w:numPr>
          <w:ilvl w:val="0"/>
          <w:numId w:val="32"/>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подизање нивоа задовољства корисника сходно њиховим променљивим потребама.</w:t>
      </w:r>
    </w:p>
    <w:p w14:paraId="0FB47518" w14:textId="77777777" w:rsidR="000719B0" w:rsidRPr="00B3123E" w:rsidRDefault="000719B0" w:rsidP="000719B0">
      <w:pPr>
        <w:tabs>
          <w:tab w:val="left" w:pos="2694"/>
        </w:tabs>
        <w:spacing w:before="225" w:after="225"/>
        <w:rPr>
          <w:rFonts w:ascii="Times New Roman" w:hAnsi="Times New Roman" w:cs="Times New Roman"/>
          <w:szCs w:val="24"/>
          <w:lang w:val="sr-Cyrl-RS"/>
        </w:rPr>
      </w:pPr>
    </w:p>
    <w:p w14:paraId="18FCC63B" w14:textId="69BCB23F" w:rsidR="00FC4171" w:rsidRPr="00B3123E" w:rsidRDefault="00FC4171" w:rsidP="001B2AAD">
      <w:pPr>
        <w:pStyle w:val="Heading1"/>
        <w:numPr>
          <w:ilvl w:val="0"/>
          <w:numId w:val="1"/>
        </w:numPr>
        <w:jc w:val="center"/>
        <w:rPr>
          <w:rFonts w:ascii="Times New Roman" w:hAnsi="Times New Roman"/>
          <w:sz w:val="24"/>
          <w:lang w:val="sr-Cyrl-RS"/>
        </w:rPr>
      </w:pPr>
      <w:bookmarkStart w:id="43" w:name="_Toc211545981"/>
      <w:r w:rsidRPr="00B3123E">
        <w:rPr>
          <w:rFonts w:ascii="Times New Roman" w:hAnsi="Times New Roman"/>
          <w:sz w:val="24"/>
          <w:lang w:val="sr-Cyrl-RS"/>
        </w:rPr>
        <w:t xml:space="preserve">ЦИЉЕВИ </w:t>
      </w:r>
      <w:r w:rsidR="00CA41F1" w:rsidRPr="00B3123E">
        <w:rPr>
          <w:rFonts w:ascii="Times New Roman" w:hAnsi="Times New Roman"/>
          <w:sz w:val="24"/>
          <w:lang w:val="sr-Cyrl-RS"/>
        </w:rPr>
        <w:t>ПРОГРАМА</w:t>
      </w:r>
      <w:bookmarkEnd w:id="43"/>
    </w:p>
    <w:p w14:paraId="7AB7F233" w14:textId="23ECA531" w:rsidR="005F221A" w:rsidRPr="00B3123E" w:rsidRDefault="005F221A"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w:t>
      </w:r>
      <w:r w:rsidR="00AC679A" w:rsidRPr="00B3123E">
        <w:rPr>
          <w:rFonts w:ascii="Times New Roman" w:hAnsi="Times New Roman" w:cs="Times New Roman"/>
          <w:szCs w:val="24"/>
          <w:lang w:val="sr-Cyrl-RS"/>
        </w:rPr>
        <w:t>уштина</w:t>
      </w:r>
      <w:r w:rsidRPr="00B3123E">
        <w:rPr>
          <w:rFonts w:ascii="Times New Roman" w:hAnsi="Times New Roman" w:cs="Times New Roman"/>
          <w:szCs w:val="24"/>
          <w:lang w:val="sr-Cyrl-RS"/>
        </w:rPr>
        <w:t xml:space="preserve"> </w:t>
      </w:r>
      <w:r w:rsidR="00662A51" w:rsidRPr="00B3123E">
        <w:rPr>
          <w:rFonts w:ascii="Times New Roman" w:hAnsi="Times New Roman" w:cs="Times New Roman"/>
          <w:szCs w:val="24"/>
          <w:lang w:val="sr-Cyrl-RS"/>
        </w:rPr>
        <w:t xml:space="preserve">Програма </w:t>
      </w:r>
      <w:r w:rsidR="00AC679A" w:rsidRPr="00B3123E">
        <w:rPr>
          <w:rFonts w:ascii="Times New Roman" w:hAnsi="Times New Roman" w:cs="Times New Roman"/>
          <w:szCs w:val="24"/>
          <w:lang w:val="sr-Cyrl-RS"/>
        </w:rPr>
        <w:t>пред</w:t>
      </w:r>
      <w:r w:rsidR="008B7C0E" w:rsidRPr="00B3123E">
        <w:rPr>
          <w:rFonts w:ascii="Times New Roman" w:hAnsi="Times New Roman" w:cs="Times New Roman"/>
          <w:szCs w:val="24"/>
          <w:lang w:val="sr-Cyrl-RS"/>
        </w:rPr>
        <w:t>с</w:t>
      </w:r>
      <w:r w:rsidR="00AC679A" w:rsidRPr="00B3123E">
        <w:rPr>
          <w:rFonts w:ascii="Times New Roman" w:hAnsi="Times New Roman" w:cs="Times New Roman"/>
          <w:szCs w:val="24"/>
          <w:lang w:val="sr-Cyrl-RS"/>
        </w:rPr>
        <w:t>тављена је</w:t>
      </w:r>
      <w:r w:rsidRPr="00B3123E">
        <w:rPr>
          <w:rFonts w:ascii="Times New Roman" w:hAnsi="Times New Roman" w:cs="Times New Roman"/>
          <w:szCs w:val="24"/>
          <w:lang w:val="sr-Cyrl-RS"/>
        </w:rPr>
        <w:t xml:space="preserve"> у централном </w:t>
      </w:r>
      <w:r w:rsidR="00797DC6" w:rsidRPr="00B3123E">
        <w:rPr>
          <w:rFonts w:ascii="Times New Roman" w:hAnsi="Times New Roman" w:cs="Times New Roman"/>
          <w:szCs w:val="24"/>
          <w:lang w:val="sr-Cyrl-RS"/>
        </w:rPr>
        <w:t>циљу:</w:t>
      </w:r>
      <w:r w:rsidR="00217A4D" w:rsidRPr="00B3123E">
        <w:rPr>
          <w:rFonts w:ascii="Times New Roman" w:hAnsi="Times New Roman" w:cs="Times New Roman"/>
          <w:szCs w:val="24"/>
          <w:lang w:val="sr-Cyrl-RS"/>
        </w:rPr>
        <w:t xml:space="preserve"> </w:t>
      </w:r>
      <w:r w:rsidR="00AE64DD" w:rsidRPr="00B3123E">
        <w:rPr>
          <w:rFonts w:ascii="Times New Roman" w:hAnsi="Times New Roman" w:cs="Times New Roman"/>
          <w:szCs w:val="24"/>
          <w:lang w:val="sr-Cyrl-RS"/>
        </w:rPr>
        <w:t>„</w:t>
      </w:r>
      <w:r w:rsidR="00797DC6" w:rsidRPr="00B3123E">
        <w:rPr>
          <w:rFonts w:ascii="Times New Roman" w:hAnsi="Times New Roman" w:cs="Times New Roman"/>
          <w:szCs w:val="24"/>
          <w:lang w:val="sr-Cyrl-RS"/>
        </w:rPr>
        <w:t>Поштанско</w:t>
      </w:r>
      <w:r w:rsidRPr="00B3123E">
        <w:rPr>
          <w:rFonts w:ascii="Times New Roman" w:hAnsi="Times New Roman" w:cs="Times New Roman"/>
          <w:szCs w:val="24"/>
          <w:lang w:val="sr-Cyrl-RS"/>
        </w:rPr>
        <w:t xml:space="preserve"> тржиште је у потпуности прилагођено растућим потребама друштва и привреде”. Основни фокус овог одговора је на тачно дефинисаним, амбициозним мера</w:t>
      </w:r>
      <w:r w:rsidR="00662A51" w:rsidRPr="00B3123E">
        <w:rPr>
          <w:rFonts w:ascii="Times New Roman" w:hAnsi="Times New Roman" w:cs="Times New Roman"/>
          <w:szCs w:val="24"/>
          <w:lang w:val="sr-Cyrl-RS"/>
        </w:rPr>
        <w:t>ма које су истакнуте у наставку.</w:t>
      </w:r>
    </w:p>
    <w:p w14:paraId="7DD39878" w14:textId="5B7814C8" w:rsidR="005F221A" w:rsidRPr="00B3123E" w:rsidRDefault="005F221A" w:rsidP="004926A8">
      <w:pPr>
        <w:tabs>
          <w:tab w:val="left" w:pos="1440"/>
        </w:tabs>
        <w:ind w:firstLine="709"/>
        <w:rPr>
          <w:rFonts w:ascii="Times New Roman" w:hAnsi="Times New Roman" w:cs="Times New Roman"/>
          <w:b/>
          <w:bCs/>
          <w:szCs w:val="24"/>
          <w:lang w:val="sr-Cyrl-RS"/>
        </w:rPr>
      </w:pPr>
      <w:r w:rsidRPr="00B3123E">
        <w:rPr>
          <w:rFonts w:ascii="Times New Roman" w:hAnsi="Times New Roman" w:cs="Times New Roman"/>
          <w:b/>
          <w:bCs/>
          <w:szCs w:val="24"/>
          <w:lang w:val="sr-Cyrl-RS"/>
        </w:rPr>
        <w:t>Унапређена универзална поштанска услуга као стуб дигиталне, инклузивне и одрживе комуникационе инфраструктуре Републике Србије</w:t>
      </w:r>
    </w:p>
    <w:p w14:paraId="398D1CDE" w14:textId="302FD373" w:rsidR="005F221A" w:rsidRPr="00B3123E" w:rsidRDefault="005F221A"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Модернизација поштанске мреже, која укључује дигитализацију и развој инфраструктуре, кључна је за адаптацију поштанских услуга дигиталном добу и подршку електронској трговини, чиме се унапређује цела комуникациона инфраструктура. Обезбеђење одрживости </w:t>
      </w:r>
      <w:r w:rsidR="007B4B58"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гарантује њену сталну доступност и поузданост за све грађане и привреду, укључујући и рурална подручја, док финансијска</w:t>
      </w:r>
      <w:r w:rsidR="004344F4" w:rsidRPr="00B3123E">
        <w:rPr>
          <w:rFonts w:ascii="Times New Roman" w:hAnsi="Times New Roman" w:cs="Times New Roman"/>
          <w:szCs w:val="24"/>
          <w:lang w:val="sr-Cyrl-RS"/>
        </w:rPr>
        <w:t xml:space="preserve"> одрживост доприноси</w:t>
      </w:r>
      <w:r w:rsidRPr="00B3123E">
        <w:rPr>
          <w:rFonts w:ascii="Times New Roman" w:hAnsi="Times New Roman" w:cs="Times New Roman"/>
          <w:szCs w:val="24"/>
          <w:lang w:val="sr-Cyrl-RS"/>
        </w:rPr>
        <w:t xml:space="preserve"> инклузивности и дугорочном развоју. Системско праћење и примена </w:t>
      </w:r>
      <w:r w:rsidR="005A57F0" w:rsidRPr="00B3123E">
        <w:rPr>
          <w:rFonts w:ascii="Times New Roman" w:hAnsi="Times New Roman" w:cs="Times New Roman"/>
          <w:szCs w:val="24"/>
          <w:lang w:val="sr-Cyrl-RS"/>
        </w:rPr>
        <w:t>ISO/CEN</w:t>
      </w:r>
      <w:r w:rsidRPr="00B3123E">
        <w:rPr>
          <w:rFonts w:ascii="Times New Roman" w:hAnsi="Times New Roman" w:cs="Times New Roman"/>
          <w:szCs w:val="24"/>
          <w:lang w:val="sr-Cyrl-RS"/>
        </w:rPr>
        <w:t xml:space="preserve"> стандарда обезбеђује квалитет, транспарентност и поверење корисника у услуге, што је темељ за инклузивност. На крају, унапређење заштите и интереса корисника, кроз ефикасне механизме приговора и едукацију, ставља корисника </w:t>
      </w:r>
      <w:r w:rsidRPr="00B3123E">
        <w:rPr>
          <w:rFonts w:ascii="Times New Roman" w:hAnsi="Times New Roman" w:cs="Times New Roman"/>
          <w:szCs w:val="24"/>
          <w:lang w:val="sr-Cyrl-RS"/>
        </w:rPr>
        <w:lastRenderedPageBreak/>
        <w:t xml:space="preserve">у фокус, доприносећи инклузивности и прихватању нових решења. Заједно, ове мере стварају модеран, ефикасан, поуздан и инклузиван поштански систем који подржава дигиталну трансформацију, одрживи развој и целокупну комуникациону инфраструктуру </w:t>
      </w:r>
      <w:r w:rsidR="00465F88" w:rsidRPr="00B3123E">
        <w:rPr>
          <w:rFonts w:ascii="Times New Roman" w:hAnsi="Times New Roman" w:cs="Times New Roman"/>
          <w:szCs w:val="24"/>
          <w:lang w:val="sr-Cyrl-RS"/>
        </w:rPr>
        <w:t xml:space="preserve">Републике </w:t>
      </w:r>
      <w:r w:rsidRPr="00B3123E">
        <w:rPr>
          <w:rFonts w:ascii="Times New Roman" w:hAnsi="Times New Roman" w:cs="Times New Roman"/>
          <w:szCs w:val="24"/>
          <w:lang w:val="sr-Cyrl-RS"/>
        </w:rPr>
        <w:t xml:space="preserve">Србије, чиме ће </w:t>
      </w:r>
      <w:r w:rsidR="001F34E1"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постати стуб дигиталне, инклузивне и одрживе комуникационе инфраструктуре Републике Србије.</w:t>
      </w:r>
    </w:p>
    <w:p w14:paraId="7599526D" w14:textId="47B79E07" w:rsidR="005F221A" w:rsidRPr="00B3123E" w:rsidRDefault="005F221A" w:rsidP="00C83CBF">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Успостављено подстицајно привредно окружење за поштанске услуге</w:t>
      </w:r>
    </w:p>
    <w:p w14:paraId="15FC2160" w14:textId="69123681" w:rsidR="005F221A" w:rsidRPr="00B3123E" w:rsidRDefault="005F221A"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Кроз сет активности, неопходно је креирати пословну средину која подстиче инвестиције и развој технологија у области поштанских услуга, а то ће се постићи кроз развој међународне сарадње са глобалним и регионалним организацијама из области поштанског саобраћаја, што отвара врата за размену знања, искустава и примену најбољих пракси, док ће </w:t>
      </w:r>
      <w:r w:rsidR="005B3E71" w:rsidRPr="00B3123E">
        <w:rPr>
          <w:rFonts w:ascii="Times New Roman" w:hAnsi="Times New Roman" w:cs="Times New Roman"/>
          <w:szCs w:val="24"/>
          <w:lang w:val="sr-Cyrl-RS"/>
        </w:rPr>
        <w:t xml:space="preserve">даље </w:t>
      </w:r>
      <w:r w:rsidRPr="00B3123E">
        <w:rPr>
          <w:rFonts w:ascii="Times New Roman" w:hAnsi="Times New Roman" w:cs="Times New Roman"/>
          <w:szCs w:val="24"/>
          <w:lang w:val="sr-Cyrl-RS"/>
        </w:rPr>
        <w:t>усклађивање регулативе са законодавством ЕУ и Светск</w:t>
      </w:r>
      <w:r w:rsidR="005B3E71" w:rsidRPr="00B3123E">
        <w:rPr>
          <w:rFonts w:ascii="Times New Roman" w:hAnsi="Times New Roman" w:cs="Times New Roman"/>
          <w:szCs w:val="24"/>
          <w:lang w:val="sr-Cyrl-RS"/>
        </w:rPr>
        <w:t xml:space="preserve">ог </w:t>
      </w:r>
      <w:r w:rsidRPr="00B3123E">
        <w:rPr>
          <w:rFonts w:ascii="Times New Roman" w:hAnsi="Times New Roman" w:cs="Times New Roman"/>
          <w:szCs w:val="24"/>
          <w:lang w:val="sr-Cyrl-RS"/>
        </w:rPr>
        <w:t>поштанск</w:t>
      </w:r>
      <w:r w:rsidR="005B3E71" w:rsidRPr="00B3123E">
        <w:rPr>
          <w:rFonts w:ascii="Times New Roman" w:hAnsi="Times New Roman" w:cs="Times New Roman"/>
          <w:szCs w:val="24"/>
          <w:lang w:val="sr-Cyrl-RS"/>
        </w:rPr>
        <w:t>ог</w:t>
      </w:r>
      <w:r w:rsidRPr="00B3123E">
        <w:rPr>
          <w:rFonts w:ascii="Times New Roman" w:hAnsi="Times New Roman" w:cs="Times New Roman"/>
          <w:szCs w:val="24"/>
          <w:lang w:val="sr-Cyrl-RS"/>
        </w:rPr>
        <w:t xml:space="preserve"> савез</w:t>
      </w:r>
      <w:r w:rsidR="005B3E71"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w:t>
      </w:r>
      <w:r w:rsidR="005B3E71" w:rsidRPr="00B3123E">
        <w:rPr>
          <w:rFonts w:ascii="Times New Roman" w:hAnsi="Times New Roman" w:cs="Times New Roman"/>
          <w:szCs w:val="24"/>
          <w:lang w:val="sr-Cyrl-RS"/>
        </w:rPr>
        <w:t>додатно унапредити</w:t>
      </w:r>
      <w:r w:rsidRPr="00B3123E">
        <w:rPr>
          <w:rFonts w:ascii="Times New Roman" w:hAnsi="Times New Roman" w:cs="Times New Roman"/>
          <w:szCs w:val="24"/>
          <w:lang w:val="sr-Cyrl-RS"/>
        </w:rPr>
        <w:t xml:space="preserve"> правни оквир, </w:t>
      </w:r>
      <w:r w:rsidR="005B3E71" w:rsidRPr="00B3123E">
        <w:rPr>
          <w:rFonts w:ascii="Times New Roman" w:hAnsi="Times New Roman" w:cs="Times New Roman"/>
          <w:szCs w:val="24"/>
          <w:lang w:val="sr-Cyrl-RS"/>
        </w:rPr>
        <w:t xml:space="preserve">како би био </w:t>
      </w:r>
      <w:r w:rsidRPr="00B3123E">
        <w:rPr>
          <w:rFonts w:ascii="Times New Roman" w:hAnsi="Times New Roman" w:cs="Times New Roman"/>
          <w:szCs w:val="24"/>
          <w:lang w:val="sr-Cyrl-RS"/>
        </w:rPr>
        <w:t>привлачан за инвеститоре и операторе. Истовремено, унапређење заштите и интереса корисника експрес услуга, као и подстицање развоја прекограничне доставе пошиљака, директно ће допринети расту тржишта, повећању конкурентности и задовољства корисника, што ствара позитиван импулс за целокупан сектор. Да би се одржао корак са савременим трендовима, увођење и примена нових стандарда на тржишту поштанских услуга је неопходно, јер то обезбеђује квалитет, сигурност и ефикасност, док ће оснаживање сектора кроз едукацију и кампање о савременим поштанским трендовима подићи свест о значају и могућностима поштанских услуга, као и оспособити радну снагу за нове изазове. Све заједно ће створити подстицајно привредно окружење за поштанске услуге, способно да генерише инвестиције, иновације и дугорочни раст.</w:t>
      </w:r>
    </w:p>
    <w:p w14:paraId="04992A6F" w14:textId="33CB05F8" w:rsidR="005F221A" w:rsidRPr="00B3123E" w:rsidRDefault="005F221A" w:rsidP="00C83CBF">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Успостављен механизам за примену нових решења и технологија у области поштанског саобраћаја</w:t>
      </w:r>
    </w:p>
    <w:p w14:paraId="755283F5" w14:textId="21028741" w:rsidR="005F221A" w:rsidRPr="00B3123E" w:rsidRDefault="005F221A"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Фокус на стварање подстицајног оквира који ће омогућити раст и примену нових и креативних решења и технологија у области поштанског саобраћаја постићи ће се унапређењем комерцијалних поштанских услуга интеграцијом нових технологија, укључујући развој интегрисаних услуга</w:t>
      </w:r>
      <w:r w:rsidR="00642027" w:rsidRPr="00B3123E">
        <w:rPr>
          <w:rFonts w:ascii="Times New Roman" w:hAnsi="Times New Roman" w:cs="Times New Roman"/>
          <w:szCs w:val="24"/>
          <w:lang w:val="sr-Cyrl-RS"/>
        </w:rPr>
        <w:t xml:space="preserve"> и </w:t>
      </w:r>
      <w:r w:rsidRPr="00B3123E">
        <w:rPr>
          <w:rFonts w:ascii="Times New Roman" w:hAnsi="Times New Roman" w:cs="Times New Roman"/>
          <w:szCs w:val="24"/>
          <w:lang w:val="sr-Cyrl-RS"/>
        </w:rPr>
        <w:t>дигиталних платформи. Развој алата за унапређење конкуренције кроз динамичко праћење и анализу тржишта омогућиће фер и динамично пословно окружење. Истовремено, утврђивање модела увођења вештачке интелигенције (AI) у поштанску индустрију кроз пилот-пројекте, AI четботове за корисничку подршку и унапређење информационе безбедности ИТ инфраструктуре, донеће значајна побољшања у оперативности. Спровођењем ових мера, Програм ће трансформисати поштански саобраћај, прилагодити га потребама грађана и привреде, и тиме успоставити снажан механизам за примену нових решења и технологија у области поштанског саобраћаја.</w:t>
      </w:r>
    </w:p>
    <w:p w14:paraId="2E8441EA" w14:textId="22E17EB5" w:rsidR="00C83CBF" w:rsidRPr="00B3123E" w:rsidRDefault="00C83CBF" w:rsidP="00C83CBF">
      <w:pPr>
        <w:tabs>
          <w:tab w:val="left" w:pos="1440"/>
        </w:tabs>
        <w:rPr>
          <w:rFonts w:ascii="Times New Roman" w:hAnsi="Times New Roman" w:cs="Times New Roman"/>
          <w:szCs w:val="24"/>
          <w:lang w:val="sr-Cyrl-RS"/>
        </w:rPr>
      </w:pPr>
    </w:p>
    <w:p w14:paraId="3FC6B148" w14:textId="513350E6" w:rsidR="00C83CBF" w:rsidRPr="00B3123E" w:rsidRDefault="00C83CBF" w:rsidP="001B2AAD">
      <w:pPr>
        <w:pStyle w:val="ListParagraph"/>
        <w:numPr>
          <w:ilvl w:val="1"/>
          <w:numId w:val="1"/>
        </w:numPr>
        <w:tabs>
          <w:tab w:val="left" w:pos="426"/>
        </w:tabs>
        <w:ind w:left="284" w:hanging="284"/>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t>Опис циљева</w:t>
      </w:r>
      <w:r w:rsidR="00C605D2" w:rsidRPr="00B3123E">
        <w:rPr>
          <w:rFonts w:ascii="Times New Roman" w:hAnsi="Times New Roman" w:cs="Times New Roman"/>
          <w:szCs w:val="24"/>
          <w:u w:val="single"/>
          <w:lang w:val="sr-Cyrl-RS"/>
        </w:rPr>
        <w:t xml:space="preserve"> и њихови показатељи</w:t>
      </w:r>
    </w:p>
    <w:p w14:paraId="344D74DD" w14:textId="0EB0C50D" w:rsidR="00235350" w:rsidRPr="00B3123E" w:rsidRDefault="006D1153"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Документ јавне политике </w:t>
      </w:r>
      <w:r w:rsidR="00DF74D2" w:rsidRPr="00B3123E">
        <w:rPr>
          <w:rFonts w:ascii="Times New Roman" w:hAnsi="Times New Roman" w:cs="Times New Roman"/>
          <w:szCs w:val="24"/>
          <w:lang w:val="sr-Cyrl-RS"/>
        </w:rPr>
        <w:t>дефинише општи циљ, посебне циљеве, као и принципе на којима се заснива њихова реализација, кроз спровођење мера које су предвиђене овим документом</w:t>
      </w:r>
    </w:p>
    <w:tbl>
      <w:tblPr>
        <w:tblStyle w:val="TableGrid"/>
        <w:tblW w:w="0" w:type="auto"/>
        <w:tblLook w:val="04A0" w:firstRow="1" w:lastRow="0" w:firstColumn="1" w:lastColumn="0" w:noHBand="0" w:noVBand="1"/>
      </w:tblPr>
      <w:tblGrid>
        <w:gridCol w:w="9016"/>
      </w:tblGrid>
      <w:tr w:rsidR="005A2589" w:rsidRPr="00B3123E" w14:paraId="4418B534" w14:textId="77777777" w:rsidTr="00061BD8">
        <w:trPr>
          <w:trHeight w:val="1302"/>
        </w:trPr>
        <w:tc>
          <w:tcPr>
            <w:tcW w:w="9350" w:type="dxa"/>
            <w:shd w:val="clear" w:color="auto" w:fill="E7E6E6" w:themeFill="background2"/>
          </w:tcPr>
          <w:p w14:paraId="18E92AB9" w14:textId="30D9F95C" w:rsidR="007A0B65" w:rsidRPr="00B3123E" w:rsidRDefault="007A0B65" w:rsidP="00DF74D2">
            <w:pPr>
              <w:shd w:val="clear" w:color="auto" w:fill="E7E6E6" w:themeFill="background2"/>
              <w:spacing w:before="240" w:line="276" w:lineRule="auto"/>
              <w:jc w:val="left"/>
              <w:rPr>
                <w:rFonts w:ascii="Times New Roman" w:hAnsi="Times New Roman" w:cs="Times New Roman"/>
                <w:b/>
                <w:i/>
                <w:szCs w:val="24"/>
                <w:u w:val="single"/>
                <w:lang w:val="sr-Cyrl-RS"/>
              </w:rPr>
            </w:pPr>
            <w:r w:rsidRPr="00B3123E">
              <w:rPr>
                <w:rFonts w:ascii="Times New Roman" w:hAnsi="Times New Roman" w:cs="Times New Roman"/>
                <w:b/>
                <w:i/>
                <w:szCs w:val="24"/>
                <w:u w:val="single"/>
                <w:lang w:val="sr-Cyrl-RS"/>
              </w:rPr>
              <w:t xml:space="preserve">Општи циљ </w:t>
            </w:r>
            <w:r w:rsidR="003D2953" w:rsidRPr="00B3123E">
              <w:rPr>
                <w:rFonts w:ascii="Times New Roman" w:hAnsi="Times New Roman" w:cs="Times New Roman"/>
                <w:iCs/>
                <w:szCs w:val="24"/>
                <w:lang w:val="sr-Cyrl-RS"/>
              </w:rPr>
              <w:t>Поштанско тржиште је у потпуности прилагођено растућим потребама друштва и привреде</w:t>
            </w:r>
          </w:p>
        </w:tc>
      </w:tr>
      <w:tr w:rsidR="005A2589" w:rsidRPr="00B3123E" w14:paraId="63DEE1A3" w14:textId="77777777" w:rsidTr="007A0B65">
        <w:tc>
          <w:tcPr>
            <w:tcW w:w="9350" w:type="dxa"/>
            <w:shd w:val="clear" w:color="auto" w:fill="E7E6E6" w:themeFill="background2"/>
          </w:tcPr>
          <w:p w14:paraId="02EC5600" w14:textId="77777777" w:rsidR="00061BD8" w:rsidRPr="00B3123E" w:rsidRDefault="00061BD8" w:rsidP="00061BD8">
            <w:pPr>
              <w:spacing w:line="276" w:lineRule="auto"/>
              <w:rPr>
                <w:rFonts w:ascii="Times New Roman" w:hAnsi="Times New Roman" w:cs="Times New Roman"/>
                <w:b/>
                <w:bCs/>
                <w:i/>
                <w:szCs w:val="24"/>
                <w:u w:val="single"/>
                <w:lang w:val="sr-Cyrl-RS"/>
              </w:rPr>
            </w:pPr>
          </w:p>
          <w:p w14:paraId="3FABE3C4" w14:textId="77777777" w:rsidR="008F3A96" w:rsidRPr="00B3123E" w:rsidRDefault="007A0B65" w:rsidP="00061BD8">
            <w:pPr>
              <w:spacing w:line="276" w:lineRule="auto"/>
              <w:rPr>
                <w:rFonts w:ascii="Times New Roman" w:hAnsi="Times New Roman" w:cs="Times New Roman"/>
                <w:b/>
                <w:bCs/>
                <w:i/>
                <w:szCs w:val="24"/>
                <w:u w:val="single"/>
                <w:lang w:val="sr-Cyrl-RS"/>
              </w:rPr>
            </w:pPr>
            <w:r w:rsidRPr="00B3123E">
              <w:rPr>
                <w:rFonts w:ascii="Times New Roman" w:hAnsi="Times New Roman" w:cs="Times New Roman"/>
                <w:b/>
                <w:bCs/>
                <w:i/>
                <w:szCs w:val="24"/>
                <w:u w:val="single"/>
                <w:lang w:val="sr-Cyrl-RS"/>
              </w:rPr>
              <w:t xml:space="preserve">Показатељ </w:t>
            </w:r>
            <w:r w:rsidR="00F016AE" w:rsidRPr="00B3123E">
              <w:rPr>
                <w:rFonts w:ascii="Times New Roman" w:hAnsi="Times New Roman" w:cs="Times New Roman"/>
                <w:b/>
                <w:bCs/>
                <w:i/>
                <w:szCs w:val="24"/>
                <w:u w:val="single"/>
                <w:lang w:val="sr-Cyrl-RS"/>
              </w:rPr>
              <w:t xml:space="preserve">утицаја </w:t>
            </w:r>
            <w:r w:rsidRPr="00B3123E">
              <w:rPr>
                <w:rFonts w:ascii="Times New Roman" w:hAnsi="Times New Roman" w:cs="Times New Roman"/>
                <w:b/>
                <w:bCs/>
                <w:i/>
                <w:szCs w:val="24"/>
                <w:u w:val="single"/>
                <w:lang w:val="sr-Cyrl-RS"/>
              </w:rPr>
              <w:t>на нивоу општег циља</w:t>
            </w:r>
          </w:p>
          <w:p w14:paraId="37A6B6F8" w14:textId="77777777" w:rsidR="008D19DB" w:rsidRPr="00B3123E" w:rsidRDefault="008D19DB" w:rsidP="003A52C1">
            <w:pPr>
              <w:rPr>
                <w:rFonts w:ascii="Times New Roman" w:hAnsi="Times New Roman" w:cs="Times New Roman"/>
                <w:iCs/>
                <w:szCs w:val="24"/>
                <w:lang w:val="sr-Cyrl-RS"/>
              </w:rPr>
            </w:pPr>
          </w:p>
          <w:p w14:paraId="404D9EA9" w14:textId="0D9F69B3" w:rsidR="00061BD8" w:rsidRPr="00B3123E" w:rsidRDefault="00100BFF" w:rsidP="003A52C1">
            <w:pPr>
              <w:rPr>
                <w:rFonts w:ascii="Times New Roman" w:hAnsi="Times New Roman" w:cs="Times New Roman"/>
                <w:iCs/>
                <w:szCs w:val="24"/>
                <w:lang w:val="sr-Cyrl-RS"/>
              </w:rPr>
            </w:pPr>
            <w:r w:rsidRPr="00B3123E">
              <w:rPr>
                <w:rFonts w:ascii="Times New Roman" w:hAnsi="Times New Roman" w:cs="Times New Roman"/>
                <w:iCs/>
                <w:szCs w:val="24"/>
                <w:lang w:val="sr-Cyrl-RS"/>
              </w:rPr>
              <w:t>Просечна оцена з</w:t>
            </w:r>
            <w:r w:rsidR="003A52C1" w:rsidRPr="00B3123E">
              <w:rPr>
                <w:rFonts w:ascii="Times New Roman" w:hAnsi="Times New Roman" w:cs="Times New Roman"/>
                <w:iCs/>
                <w:szCs w:val="24"/>
                <w:lang w:val="sr-Cyrl-RS"/>
              </w:rPr>
              <w:t>адовољств</w:t>
            </w:r>
            <w:r w:rsidRPr="00B3123E">
              <w:rPr>
                <w:rFonts w:ascii="Times New Roman" w:hAnsi="Times New Roman" w:cs="Times New Roman"/>
                <w:iCs/>
                <w:szCs w:val="24"/>
                <w:lang w:val="sr-Cyrl-RS"/>
              </w:rPr>
              <w:t>а</w:t>
            </w:r>
            <w:r w:rsidR="003A52C1" w:rsidRPr="00B3123E">
              <w:rPr>
                <w:rFonts w:ascii="Times New Roman" w:hAnsi="Times New Roman" w:cs="Times New Roman"/>
                <w:iCs/>
                <w:szCs w:val="24"/>
                <w:lang w:val="sr-Cyrl-RS"/>
              </w:rPr>
              <w:t xml:space="preserve"> корисника поштанским услугама</w:t>
            </w:r>
          </w:p>
          <w:p w14:paraId="7CCC9CAC" w14:textId="77777777" w:rsidR="003A52C1" w:rsidRPr="00B3123E" w:rsidRDefault="003A52C1" w:rsidP="003A52C1">
            <w:pPr>
              <w:rPr>
                <w:rFonts w:ascii="Times New Roman" w:hAnsi="Times New Roman" w:cs="Times New Roman"/>
                <w:iCs/>
                <w:szCs w:val="24"/>
                <w:lang w:val="sr-Cyrl-RS"/>
              </w:rPr>
            </w:pPr>
          </w:p>
          <w:p w14:paraId="50A3662C" w14:textId="3A9BDA93" w:rsidR="003A52C1" w:rsidRPr="00B3123E" w:rsidRDefault="003A52C1" w:rsidP="003A52C1">
            <w:pPr>
              <w:rPr>
                <w:lang w:val="sr-Cyrl-RS"/>
              </w:rPr>
            </w:pPr>
            <w:r w:rsidRPr="00B3123E">
              <w:rPr>
                <w:i/>
                <w:iCs/>
                <w:u w:val="single"/>
                <w:lang w:val="sr-Cyrl-RS"/>
              </w:rPr>
              <w:t>Базна вредност 2025. године</w:t>
            </w:r>
            <w:r w:rsidRPr="00B3123E">
              <w:rPr>
                <w:lang w:val="sr-Cyrl-RS"/>
              </w:rPr>
              <w:t xml:space="preserve">: Просечна оцена задовољства корисника поштанским услугама: </w:t>
            </w:r>
            <w:r w:rsidR="00F24029" w:rsidRPr="00B3123E">
              <w:rPr>
                <w:lang w:val="sr-Cyrl-RS"/>
              </w:rPr>
              <w:t>4,07</w:t>
            </w:r>
            <w:r w:rsidRPr="00B3123E">
              <w:rPr>
                <w:lang w:val="sr-Cyrl-RS"/>
              </w:rPr>
              <w:t xml:space="preserve">; </w:t>
            </w:r>
            <w:r w:rsidRPr="00B3123E">
              <w:rPr>
                <w:i/>
                <w:iCs/>
                <w:u w:val="single"/>
                <w:lang w:val="sr-Cyrl-RS"/>
              </w:rPr>
              <w:t>циљана вредност у 20</w:t>
            </w:r>
            <w:r w:rsidR="0095131D" w:rsidRPr="00B3123E">
              <w:rPr>
                <w:i/>
                <w:iCs/>
                <w:u w:val="single"/>
                <w:lang w:val="sr-Cyrl-RS"/>
              </w:rPr>
              <w:t>29</w:t>
            </w:r>
            <w:r w:rsidRPr="00B3123E">
              <w:rPr>
                <w:i/>
                <w:iCs/>
                <w:u w:val="single"/>
                <w:lang w:val="sr-Cyrl-RS"/>
              </w:rPr>
              <w:t>. години:</w:t>
            </w:r>
            <w:r w:rsidRPr="00B3123E">
              <w:rPr>
                <w:lang w:val="sr-Cyrl-RS"/>
              </w:rPr>
              <w:t xml:space="preserve"> Просечна оцена задовољства корисника поштанским услугама: </w:t>
            </w:r>
            <w:r w:rsidR="00F24029" w:rsidRPr="00B3123E">
              <w:rPr>
                <w:lang w:val="sr-Cyrl-RS"/>
              </w:rPr>
              <w:t>4</w:t>
            </w:r>
            <w:r w:rsidRPr="00B3123E">
              <w:rPr>
                <w:lang w:val="sr-Cyrl-RS"/>
              </w:rPr>
              <w:t>,2.</w:t>
            </w:r>
            <w:r w:rsidR="00E110C9" w:rsidRPr="00B3123E">
              <w:rPr>
                <w:lang w:val="sr-Cyrl-RS"/>
              </w:rPr>
              <w:t xml:space="preserve"> </w:t>
            </w:r>
            <w:r w:rsidR="00F24029" w:rsidRPr="00B3123E">
              <w:rPr>
                <w:i/>
                <w:iCs/>
                <w:u w:val="single"/>
                <w:lang w:val="sr-Cyrl-RS"/>
              </w:rPr>
              <w:t>извор провере</w:t>
            </w:r>
            <w:r w:rsidR="00F24029" w:rsidRPr="00B3123E">
              <w:rPr>
                <w:lang w:val="sr-Cyrl-RS"/>
              </w:rPr>
              <w:t>: Истраживања РАТЕЛ</w:t>
            </w:r>
          </w:p>
          <w:p w14:paraId="27939135" w14:textId="77777777" w:rsidR="003A52C1" w:rsidRPr="00B3123E" w:rsidRDefault="003A52C1" w:rsidP="003A52C1">
            <w:pPr>
              <w:rPr>
                <w:sz w:val="12"/>
                <w:szCs w:val="12"/>
                <w:lang w:val="sr-Cyrl-RS"/>
              </w:rPr>
            </w:pPr>
          </w:p>
          <w:p w14:paraId="63367552" w14:textId="77777777" w:rsidR="003D2953" w:rsidRPr="00B3123E" w:rsidRDefault="003D2953" w:rsidP="003A52C1">
            <w:pPr>
              <w:rPr>
                <w:lang w:val="sr-Cyrl-RS"/>
              </w:rPr>
            </w:pPr>
            <w:r w:rsidRPr="00B3123E">
              <w:rPr>
                <w:lang w:val="sr-Cyrl-RS"/>
              </w:rPr>
              <w:t>Стопа раста прихода поштанског тржишта већа или једнака стопи раста бруто друштвеног производа РС у свакој години планског периода</w:t>
            </w:r>
          </w:p>
          <w:p w14:paraId="3B3FA72D" w14:textId="77777777" w:rsidR="003D2953" w:rsidRPr="00B3123E" w:rsidRDefault="003D2953" w:rsidP="003A52C1">
            <w:pPr>
              <w:rPr>
                <w:sz w:val="12"/>
                <w:szCs w:val="12"/>
                <w:lang w:val="sr-Cyrl-RS"/>
              </w:rPr>
            </w:pPr>
          </w:p>
          <w:p w14:paraId="13FD41C4" w14:textId="47B60AEF" w:rsidR="003D2953" w:rsidRPr="00B3123E" w:rsidRDefault="003D2953" w:rsidP="00F24029">
            <w:pPr>
              <w:rPr>
                <w:lang w:val="sr-Cyrl-RS"/>
              </w:rPr>
            </w:pPr>
            <w:r w:rsidRPr="00B3123E">
              <w:rPr>
                <w:i/>
                <w:iCs/>
                <w:u w:val="single"/>
                <w:lang w:val="sr-Cyrl-RS"/>
              </w:rPr>
              <w:t>Базна вредност 2025. године</w:t>
            </w:r>
            <w:r w:rsidRPr="00B3123E">
              <w:rPr>
                <w:lang w:val="sr-Cyrl-RS"/>
              </w:rPr>
              <w:t xml:space="preserve">: </w:t>
            </w:r>
            <w:r w:rsidR="00F24029" w:rsidRPr="00B3123E">
              <w:rPr>
                <w:lang w:val="sr-Cyrl-RS"/>
              </w:rPr>
              <w:t>ДА</w:t>
            </w:r>
            <w:r w:rsidRPr="00B3123E">
              <w:rPr>
                <w:lang w:val="sr-Cyrl-RS"/>
              </w:rPr>
              <w:t xml:space="preserve">; </w:t>
            </w:r>
            <w:r w:rsidRPr="00B3123E">
              <w:rPr>
                <w:i/>
                <w:iCs/>
                <w:u w:val="single"/>
                <w:lang w:val="sr-Cyrl-RS"/>
              </w:rPr>
              <w:t>циљана вредност у 2030. години</w:t>
            </w:r>
            <w:r w:rsidRPr="00B3123E">
              <w:rPr>
                <w:lang w:val="sr-Cyrl-RS"/>
              </w:rPr>
              <w:t xml:space="preserve">: </w:t>
            </w:r>
            <w:r w:rsidR="00F24029" w:rsidRPr="00B3123E">
              <w:rPr>
                <w:lang w:val="sr-Cyrl-RS"/>
              </w:rPr>
              <w:t xml:space="preserve">ДА </w:t>
            </w:r>
            <w:r w:rsidR="00C126F0" w:rsidRPr="00B3123E">
              <w:rPr>
                <w:i/>
                <w:iCs/>
                <w:u w:val="single"/>
                <w:lang w:val="sr-Cyrl-RS"/>
              </w:rPr>
              <w:t>извор провере:</w:t>
            </w:r>
            <w:r w:rsidR="00E110C9" w:rsidRPr="00B3123E">
              <w:rPr>
                <w:i/>
                <w:iCs/>
                <w:u w:val="single"/>
                <w:lang w:val="sr-Cyrl-RS"/>
              </w:rPr>
              <w:t xml:space="preserve"> </w:t>
            </w:r>
            <w:r w:rsidR="00F24029" w:rsidRPr="00B3123E">
              <w:rPr>
                <w:lang w:val="sr-Cyrl-RS"/>
              </w:rPr>
              <w:t xml:space="preserve">Годишњи преглед тржишта РАТЕЛ, Годишњи извештај </w:t>
            </w:r>
            <w:r w:rsidR="001C6759" w:rsidRPr="00B3123E">
              <w:rPr>
                <w:bCs/>
                <w:lang w:val="sr-Cyrl-RS"/>
              </w:rPr>
              <w:t>Републичког завода за статистику</w:t>
            </w:r>
          </w:p>
          <w:p w14:paraId="75D0BC90" w14:textId="77777777" w:rsidR="00F24029" w:rsidRPr="00B3123E" w:rsidRDefault="00F24029" w:rsidP="00F24029">
            <w:pPr>
              <w:rPr>
                <w:lang w:val="sr-Cyrl-RS"/>
              </w:rPr>
            </w:pPr>
          </w:p>
        </w:tc>
      </w:tr>
    </w:tbl>
    <w:p w14:paraId="788317D5" w14:textId="0CB2FD7F" w:rsidR="000719B0" w:rsidRPr="00B3123E" w:rsidRDefault="00061BD8" w:rsidP="004926A8">
      <w:pPr>
        <w:tabs>
          <w:tab w:val="left" w:pos="1440"/>
        </w:tabs>
        <w:spacing w:before="120"/>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Општи циљ је у функцији </w:t>
      </w:r>
      <w:r w:rsidR="00015021" w:rsidRPr="00B3123E">
        <w:rPr>
          <w:rFonts w:ascii="Times New Roman" w:hAnsi="Times New Roman" w:cs="Times New Roman"/>
          <w:szCs w:val="24"/>
          <w:lang w:val="sr-Cyrl-RS"/>
        </w:rPr>
        <w:t xml:space="preserve">свеобухватног развоја тржишта поштанских услуга у Републици Србији и његовог даљег укључивања у јединствено европско тржиште и усклађивања са </w:t>
      </w:r>
      <w:r w:rsidR="00066A72" w:rsidRPr="00B3123E">
        <w:rPr>
          <w:rFonts w:ascii="Times New Roman" w:hAnsi="Times New Roman" w:cs="Times New Roman"/>
          <w:szCs w:val="24"/>
          <w:lang w:val="sr-Cyrl-RS"/>
        </w:rPr>
        <w:t xml:space="preserve">директивама </w:t>
      </w:r>
      <w:r w:rsidR="00015021" w:rsidRPr="00B3123E">
        <w:rPr>
          <w:rFonts w:ascii="Times New Roman" w:hAnsi="Times New Roman" w:cs="Times New Roman"/>
          <w:szCs w:val="24"/>
          <w:lang w:val="sr-Cyrl-RS"/>
        </w:rPr>
        <w:t>ЕУ, а</w:t>
      </w:r>
      <w:r w:rsidRPr="00B3123E">
        <w:rPr>
          <w:rFonts w:ascii="Times New Roman" w:hAnsi="Times New Roman" w:cs="Times New Roman"/>
          <w:szCs w:val="24"/>
          <w:lang w:val="sr-Cyrl-RS"/>
        </w:rPr>
        <w:t xml:space="preserve"> у склопу приступних преговора са </w:t>
      </w:r>
      <w:r w:rsidR="007C387F" w:rsidRPr="00B3123E">
        <w:rPr>
          <w:rFonts w:ascii="Times New Roman" w:hAnsi="Times New Roman" w:cs="Times New Roman"/>
          <w:szCs w:val="24"/>
          <w:lang w:val="sr-Cyrl-RS"/>
        </w:rPr>
        <w:t>ЕУ</w:t>
      </w:r>
      <w:r w:rsidR="00015021" w:rsidRPr="00B3123E">
        <w:rPr>
          <w:rFonts w:ascii="Times New Roman" w:hAnsi="Times New Roman" w:cs="Times New Roman"/>
          <w:szCs w:val="24"/>
          <w:lang w:val="sr-Cyrl-RS"/>
        </w:rPr>
        <w:t>.</w:t>
      </w:r>
      <w:r w:rsidR="00CC5B01" w:rsidRPr="00B3123E">
        <w:rPr>
          <w:rFonts w:ascii="Times New Roman" w:hAnsi="Times New Roman" w:cs="Times New Roman"/>
          <w:szCs w:val="24"/>
          <w:lang w:val="sr-Cyrl-RS"/>
        </w:rPr>
        <w:t xml:space="preserve"> Општи циљ је дефинисан у складу са </w:t>
      </w:r>
      <w:r w:rsidR="00066A72" w:rsidRPr="00B3123E">
        <w:rPr>
          <w:rFonts w:ascii="Times New Roman" w:hAnsi="Times New Roman" w:cs="Times New Roman"/>
          <w:szCs w:val="24"/>
          <w:lang w:val="sr-Cyrl-RS"/>
        </w:rPr>
        <w:t xml:space="preserve">закључцима </w:t>
      </w:r>
      <w:r w:rsidR="00CC5B01" w:rsidRPr="00B3123E">
        <w:rPr>
          <w:rFonts w:ascii="Times New Roman" w:hAnsi="Times New Roman" w:cs="Times New Roman"/>
          <w:szCs w:val="24"/>
          <w:lang w:val="sr-Cyrl-RS"/>
        </w:rPr>
        <w:t>ЕУ.</w:t>
      </w:r>
    </w:p>
    <w:p w14:paraId="1A5D20F6" w14:textId="25C81063" w:rsidR="00BB52DB" w:rsidRPr="00B3123E" w:rsidRDefault="00BB52DB" w:rsidP="004926A8">
      <w:pPr>
        <w:tabs>
          <w:tab w:val="left" w:pos="1440"/>
        </w:tabs>
        <w:spacing w:before="120"/>
        <w:ind w:firstLine="709"/>
        <w:rPr>
          <w:rFonts w:ascii="Times New Roman" w:hAnsi="Times New Roman" w:cs="Times New Roman"/>
          <w:szCs w:val="24"/>
          <w:lang w:val="sr-Cyrl-RS"/>
        </w:rPr>
      </w:pPr>
      <w:r w:rsidRPr="00B3123E">
        <w:rPr>
          <w:rFonts w:ascii="Times New Roman" w:hAnsi="Times New Roman" w:cs="Times New Roman"/>
          <w:szCs w:val="24"/>
          <w:lang w:val="sr-Cyrl-RS"/>
        </w:rPr>
        <w:t>Област поштанских услуга треба прилагодити савременим потребама становништва и привреде кроз модернизацију инфраструктуре, унапређење квалитета услуга и примену савремених технолошких решења, у складу са принципима праведног и инклузивног приступа. Неопходно је</w:t>
      </w:r>
      <w:r w:rsidR="00CF3745" w:rsidRPr="00B3123E">
        <w:rPr>
          <w:rFonts w:ascii="Times New Roman" w:hAnsi="Times New Roman" w:cs="Times New Roman"/>
          <w:szCs w:val="24"/>
          <w:lang w:val="sr-Cyrl-RS"/>
        </w:rPr>
        <w:t xml:space="preserve">, у складу са континуираним променама и све брже променљивим захтевима тржишта </w:t>
      </w:r>
      <w:r w:rsidRPr="00B3123E">
        <w:rPr>
          <w:rFonts w:ascii="Times New Roman" w:hAnsi="Times New Roman" w:cs="Times New Roman"/>
          <w:szCs w:val="24"/>
          <w:lang w:val="sr-Cyrl-RS"/>
        </w:rPr>
        <w:t xml:space="preserve"> </w:t>
      </w:r>
      <w:r w:rsidR="00CF3745" w:rsidRPr="00B3123E">
        <w:rPr>
          <w:rFonts w:ascii="Times New Roman" w:hAnsi="Times New Roman" w:cs="Times New Roman"/>
          <w:szCs w:val="24"/>
          <w:lang w:val="sr-Cyrl-RS"/>
        </w:rPr>
        <w:t>унапређивати</w:t>
      </w:r>
      <w:r w:rsidRPr="00B3123E">
        <w:rPr>
          <w:rFonts w:ascii="Times New Roman" w:hAnsi="Times New Roman" w:cs="Times New Roman"/>
          <w:szCs w:val="24"/>
          <w:lang w:val="sr-Cyrl-RS"/>
        </w:rPr>
        <w:t xml:space="preserve"> правни оквир </w:t>
      </w:r>
      <w:r w:rsidR="00CF3745" w:rsidRPr="00B3123E">
        <w:rPr>
          <w:rFonts w:ascii="Times New Roman" w:hAnsi="Times New Roman" w:cs="Times New Roman"/>
          <w:szCs w:val="24"/>
          <w:lang w:val="sr-Cyrl-RS"/>
        </w:rPr>
        <w:t>како би увек на шт</w:t>
      </w:r>
      <w:r w:rsidR="008F79DB" w:rsidRPr="00B3123E">
        <w:rPr>
          <w:rFonts w:ascii="Times New Roman" w:hAnsi="Times New Roman" w:cs="Times New Roman"/>
          <w:szCs w:val="24"/>
          <w:lang w:val="sr-Cyrl-RS"/>
        </w:rPr>
        <w:t>о</w:t>
      </w:r>
      <w:r w:rsidR="00CF3745" w:rsidRPr="00B3123E">
        <w:rPr>
          <w:rFonts w:ascii="Times New Roman" w:hAnsi="Times New Roman" w:cs="Times New Roman"/>
          <w:szCs w:val="24"/>
          <w:lang w:val="sr-Cyrl-RS"/>
        </w:rPr>
        <w:t xml:space="preserve"> бољи начин подржавао и подстицао</w:t>
      </w:r>
      <w:r w:rsidRPr="00B3123E">
        <w:rPr>
          <w:rFonts w:ascii="Times New Roman" w:hAnsi="Times New Roman" w:cs="Times New Roman"/>
          <w:szCs w:val="24"/>
          <w:lang w:val="sr-Cyrl-RS"/>
        </w:rPr>
        <w:t xml:space="preserve"> развој и примену иновација, дигитализацију процеса и јачање конкурентности, истовремено штитећи права и интересе корисника. Даваоцима поштанских услуга важно је обезбедити подршку за унапређење делатности, а корисницима омогућити свеобухватан приступ савременим и ефикасним услугама. Посебан акценат мора бити на едукацији кадрова, унапређењу вештина и промоцији нових технологија као што су вештачка интелигенција</w:t>
      </w:r>
      <w:r w:rsidR="00FD586E" w:rsidRPr="00B3123E">
        <w:rPr>
          <w:rFonts w:ascii="Times New Roman" w:hAnsi="Times New Roman" w:cs="Times New Roman"/>
          <w:szCs w:val="24"/>
          <w:lang w:val="sr-Cyrl-RS"/>
        </w:rPr>
        <w:t>.</w:t>
      </w:r>
    </w:p>
    <w:p w14:paraId="047A5707" w14:textId="290A2096" w:rsidR="009F1F84" w:rsidRPr="00B3123E" w:rsidRDefault="009F1F84" w:rsidP="004926A8">
      <w:pPr>
        <w:tabs>
          <w:tab w:val="left" w:pos="1440"/>
        </w:tabs>
        <w:spacing w:before="120"/>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складу са </w:t>
      </w:r>
      <w:r w:rsidR="00662A51" w:rsidRPr="00B3123E">
        <w:rPr>
          <w:rFonts w:ascii="Times New Roman" w:hAnsi="Times New Roman" w:cs="Times New Roman"/>
          <w:szCs w:val="24"/>
          <w:lang w:val="sr-Cyrl-RS"/>
        </w:rPr>
        <w:t xml:space="preserve">општим </w:t>
      </w:r>
      <w:r w:rsidRPr="00B3123E">
        <w:rPr>
          <w:rFonts w:ascii="Times New Roman" w:hAnsi="Times New Roman" w:cs="Times New Roman"/>
          <w:szCs w:val="24"/>
          <w:lang w:val="sr-Cyrl-RS"/>
        </w:rPr>
        <w:t>циљем дефинисана су три посебна циља, чија реализација доприноси остварењу општег циља.</w:t>
      </w:r>
    </w:p>
    <w:p w14:paraId="33C04527" w14:textId="07CDD428" w:rsidR="00015021" w:rsidRPr="00B3123E" w:rsidRDefault="0032048D" w:rsidP="00015021">
      <w:pPr>
        <w:spacing w:before="240" w:line="276" w:lineRule="auto"/>
        <w:rPr>
          <w:rFonts w:ascii="Times New Roman" w:hAnsi="Times New Roman" w:cs="Times New Roman"/>
          <w:b/>
          <w:szCs w:val="24"/>
          <w:lang w:val="sr-Cyrl-RS"/>
        </w:rPr>
      </w:pPr>
      <w:r w:rsidRPr="00B3123E">
        <w:rPr>
          <w:rFonts w:ascii="Times New Roman" w:hAnsi="Times New Roman" w:cs="Times New Roman"/>
          <w:noProof/>
          <w:szCs w:val="24"/>
        </w:rPr>
        <mc:AlternateContent>
          <mc:Choice Requires="wps">
            <w:drawing>
              <wp:anchor distT="0" distB="0" distL="114300" distR="114300" simplePos="0" relativeHeight="251658240" behindDoc="0" locked="0" layoutInCell="1" allowOverlap="1" wp14:anchorId="5251BCFD" wp14:editId="51EE8B3B">
                <wp:simplePos x="0" y="0"/>
                <wp:positionH relativeFrom="column">
                  <wp:posOffset>6824</wp:posOffset>
                </wp:positionH>
                <wp:positionV relativeFrom="paragraph">
                  <wp:posOffset>54894</wp:posOffset>
                </wp:positionV>
                <wp:extent cx="5954395" cy="2736376"/>
                <wp:effectExtent l="0" t="0" r="27305" b="26035"/>
                <wp:wrapNone/>
                <wp:docPr id="8825168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4395" cy="2736376"/>
                        </a:xfrm>
                        <a:prstGeom prst="rect">
                          <a:avLst/>
                        </a:prstGeom>
                        <a:solidFill>
                          <a:srgbClr val="FFFFFF"/>
                        </a:solidFill>
                        <a:ln w="9525">
                          <a:solidFill>
                            <a:srgbClr val="000000"/>
                          </a:solidFill>
                          <a:miter lim="800000"/>
                          <a:headEnd/>
                          <a:tailEnd/>
                        </a:ln>
                      </wps:spPr>
                      <wps:txbx>
                        <w:txbxContent>
                          <w:p w14:paraId="5843B79D" w14:textId="6140628E" w:rsidR="00011344" w:rsidRPr="0078222F" w:rsidRDefault="00011344" w:rsidP="00015021">
                            <w:pPr>
                              <w:spacing w:line="276" w:lineRule="auto"/>
                              <w:rPr>
                                <w:rFonts w:ascii="Times New Roman" w:hAnsi="Times New Roman" w:cs="Times New Roman"/>
                                <w:bCs/>
                                <w:i/>
                                <w:lang w:val="ru-RU"/>
                              </w:rPr>
                            </w:pPr>
                            <w:r w:rsidRPr="0078222F">
                              <w:rPr>
                                <w:rFonts w:ascii="Times New Roman" w:hAnsi="Times New Roman" w:cs="Times New Roman"/>
                                <w:b/>
                                <w:i/>
                                <w:u w:val="single"/>
                                <w:lang w:val="ru-RU"/>
                              </w:rPr>
                              <w:t>Посебни циљ 1:</w:t>
                            </w:r>
                            <w:r w:rsidRPr="0078222F">
                              <w:rPr>
                                <w:rFonts w:ascii="Times New Roman" w:hAnsi="Times New Roman" w:cs="Times New Roman"/>
                                <w:b/>
                                <w:i/>
                                <w:lang w:val="ru-RU"/>
                              </w:rPr>
                              <w:t xml:space="preserve"> </w:t>
                            </w:r>
                            <w:r w:rsidRPr="0078222F">
                              <w:rPr>
                                <w:rFonts w:ascii="Times New Roman" w:hAnsi="Times New Roman" w:cs="Times New Roman"/>
                                <w:bCs/>
                                <w:i/>
                                <w:lang w:val="ru-RU"/>
                              </w:rPr>
                              <w:t>Унапређена</w:t>
                            </w:r>
                            <w:r>
                              <w:rPr>
                                <w:rFonts w:ascii="Times New Roman" w:hAnsi="Times New Roman" w:cs="Times New Roman"/>
                                <w:bCs/>
                                <w:i/>
                                <w:lang w:val="sr-Cyrl-RS"/>
                              </w:rPr>
                              <w:t xml:space="preserve"> </w:t>
                            </w:r>
                            <w:r w:rsidRPr="0078222F">
                              <w:rPr>
                                <w:rFonts w:ascii="Times New Roman" w:hAnsi="Times New Roman" w:cs="Times New Roman"/>
                                <w:bCs/>
                                <w:i/>
                                <w:color w:val="000000" w:themeColor="text1"/>
                                <w:lang w:val="ru-RU"/>
                              </w:rPr>
                              <w:t>универзална поштанска услуга као стуб дигиталне, инклузивне и одрживе комуникационе инфраструктуре Републике Србије</w:t>
                            </w:r>
                          </w:p>
                          <w:p w14:paraId="38E7DEA6" w14:textId="77777777" w:rsidR="00011344" w:rsidRPr="00B118A4" w:rsidRDefault="00011344" w:rsidP="00015021">
                            <w:pPr>
                              <w:spacing w:line="276" w:lineRule="auto"/>
                              <w:rPr>
                                <w:rFonts w:ascii="Times New Roman" w:hAnsi="Times New Roman" w:cs="Times New Roman"/>
                                <w:b/>
                                <w:bCs/>
                                <w:i/>
                                <w:u w:val="single"/>
                                <w:lang w:val="ru-RU"/>
                              </w:rPr>
                            </w:pPr>
                            <w:r w:rsidRPr="00B118A4">
                              <w:rPr>
                                <w:rFonts w:ascii="Times New Roman" w:hAnsi="Times New Roman" w:cs="Times New Roman"/>
                                <w:b/>
                                <w:bCs/>
                                <w:i/>
                                <w:u w:val="single"/>
                                <w:lang w:val="ru-RU"/>
                              </w:rPr>
                              <w:t>Показатељ исхода на нивоу посебног циља 1:</w:t>
                            </w:r>
                          </w:p>
                          <w:p w14:paraId="19095138" w14:textId="0E91E431" w:rsidR="00011344" w:rsidRPr="008D19DB" w:rsidRDefault="00011344" w:rsidP="008D19DB">
                            <w:pPr>
                              <w:shd w:val="clear" w:color="auto" w:fill="FFFFFF" w:themeFill="background1"/>
                              <w:rPr>
                                <w:rFonts w:ascii="Times New Roman" w:hAnsi="Times New Roman" w:cs="Times New Roman"/>
                                <w:iCs/>
                                <w:lang w:val="sr-Cyrl-RS"/>
                              </w:rPr>
                            </w:pPr>
                            <w:r w:rsidRPr="008D19DB">
                              <w:rPr>
                                <w:rFonts w:ascii="Times New Roman" w:hAnsi="Times New Roman" w:cs="Times New Roman"/>
                                <w:iCs/>
                                <w:szCs w:val="24"/>
                                <w:lang w:val="ru-RU"/>
                              </w:rPr>
                              <w:t xml:space="preserve">Проценат </w:t>
                            </w:r>
                            <w:bookmarkStart w:id="44" w:name="_Hlk214535388"/>
                            <w:r w:rsidRPr="008D19DB">
                              <w:rPr>
                                <w:rFonts w:ascii="Times New Roman" w:hAnsi="Times New Roman" w:cs="Times New Roman"/>
                                <w:iCs/>
                                <w:szCs w:val="24"/>
                                <w:lang w:val="ru-RU"/>
                              </w:rPr>
                              <w:t xml:space="preserve">смањења губитака </w:t>
                            </w:r>
                            <w:bookmarkEnd w:id="44"/>
                            <w:r w:rsidRPr="008D19DB">
                              <w:rPr>
                                <w:rFonts w:ascii="Times New Roman" w:hAnsi="Times New Roman" w:cs="Times New Roman"/>
                                <w:iCs/>
                                <w:szCs w:val="24"/>
                                <w:lang w:val="ru-RU"/>
                              </w:rPr>
                              <w:t>УПУ (</w:t>
                            </w:r>
                            <w:r w:rsidRPr="008D19DB">
                              <w:rPr>
                                <w:rFonts w:ascii="Times New Roman" w:hAnsi="Times New Roman" w:cs="Times New Roman"/>
                                <w:iCs/>
                                <w:szCs w:val="24"/>
                                <w:lang w:val="sr-Cyrl-RS"/>
                              </w:rPr>
                              <w:t xml:space="preserve">губитак </w:t>
                            </w:r>
                            <w:r w:rsidRPr="008D19DB">
                              <w:rPr>
                                <w:rFonts w:ascii="Times New Roman" w:hAnsi="Times New Roman" w:cs="Times New Roman"/>
                                <w:iCs/>
                                <w:lang w:val="sr-Cyrl-RS"/>
                              </w:rPr>
                              <w:t>98</w:t>
                            </w:r>
                            <w:r>
                              <w:rPr>
                                <w:rFonts w:ascii="Times New Roman" w:hAnsi="Times New Roman" w:cs="Times New Roman"/>
                                <w:iCs/>
                                <w:lang w:val="sr-Cyrl-RS"/>
                              </w:rPr>
                              <w:t xml:space="preserve">3 </w:t>
                            </w:r>
                            <w:r w:rsidRPr="008D19DB">
                              <w:rPr>
                                <w:rFonts w:ascii="Times New Roman" w:hAnsi="Times New Roman" w:cs="Times New Roman"/>
                                <w:iCs/>
                                <w:lang w:val="sr-Cyrl-RS"/>
                              </w:rPr>
                              <w:t xml:space="preserve">мил. </w:t>
                            </w:r>
                            <w:r>
                              <w:rPr>
                                <w:rFonts w:ascii="Times New Roman" w:hAnsi="Times New Roman" w:cs="Times New Roman"/>
                                <w:iCs/>
                                <w:lang w:val="sr-Cyrl-RS"/>
                              </w:rPr>
                              <w:t>динара</w:t>
                            </w:r>
                            <w:r w:rsidRPr="008D19DB">
                              <w:rPr>
                                <w:rFonts w:ascii="Times New Roman" w:hAnsi="Times New Roman" w:cs="Times New Roman"/>
                                <w:iCs/>
                                <w:lang w:val="sr-Cyrl-RS"/>
                              </w:rPr>
                              <w:t>)</w:t>
                            </w:r>
                          </w:p>
                          <w:p w14:paraId="0D81DDB5" w14:textId="572651BA" w:rsidR="00011344" w:rsidRPr="0078222F" w:rsidRDefault="00011344" w:rsidP="00F6425A">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Cs/>
                                <w:u w:val="single"/>
                                <w:lang w:val="ru-RU"/>
                              </w:rPr>
                              <w:t>:</w:t>
                            </w:r>
                            <w:r>
                              <w:rPr>
                                <w:rFonts w:ascii="Times New Roman" w:hAnsi="Times New Roman" w:cs="Times New Roman"/>
                                <w:iCs/>
                                <w:u w:val="single"/>
                                <w:lang w:val="ru-RU"/>
                              </w:rPr>
                              <w:t xml:space="preserve"> </w:t>
                            </w:r>
                            <w:r>
                              <w:rPr>
                                <w:rFonts w:ascii="Times New Roman" w:hAnsi="Times New Roman" w:cs="Times New Roman"/>
                                <w:iCs/>
                                <w:lang w:val="ru-RU"/>
                              </w:rPr>
                              <w:t>П</w:t>
                            </w:r>
                            <w:r w:rsidRPr="008D19DB">
                              <w:rPr>
                                <w:rFonts w:ascii="Times New Roman" w:hAnsi="Times New Roman" w:cs="Times New Roman"/>
                                <w:iCs/>
                                <w:lang w:val="ru-RU"/>
                              </w:rPr>
                              <w:t xml:space="preserve">роценат </w:t>
                            </w:r>
                            <w:r w:rsidRPr="008D19DB">
                              <w:rPr>
                                <w:rFonts w:ascii="Times New Roman" w:hAnsi="Times New Roman" w:cs="Times New Roman"/>
                                <w:iCs/>
                                <w:szCs w:val="24"/>
                                <w:lang w:val="ru-RU"/>
                              </w:rPr>
                              <w:t xml:space="preserve">смањења губитака </w:t>
                            </w:r>
                            <w:r>
                              <w:rPr>
                                <w:rFonts w:ascii="Times New Roman" w:hAnsi="Times New Roman" w:cs="Times New Roman"/>
                                <w:iCs/>
                                <w:lang w:val="ru-RU"/>
                              </w:rPr>
                              <w:t>0</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78222F">
                              <w:rPr>
                                <w:rFonts w:ascii="Times New Roman" w:hAnsi="Times New Roman" w:cs="Times New Roman"/>
                                <w:iCs/>
                                <w:u w:val="single"/>
                                <w:lang w:val="ru-RU"/>
                              </w:rPr>
                              <w:t>:</w:t>
                            </w:r>
                            <w:r>
                              <w:rPr>
                                <w:rFonts w:ascii="Times New Roman" w:hAnsi="Times New Roman" w:cs="Times New Roman"/>
                                <w:iCs/>
                                <w:u w:val="single"/>
                                <w:lang w:val="ru-RU"/>
                              </w:rPr>
                              <w:t xml:space="preserve"> </w:t>
                            </w:r>
                            <w:r w:rsidRPr="0078222F">
                              <w:rPr>
                                <w:rFonts w:ascii="Times New Roman" w:hAnsi="Times New Roman" w:cs="Times New Roman"/>
                                <w:iCs/>
                                <w:lang w:val="ru-RU"/>
                              </w:rPr>
                              <w:t>Проценат смањења губитака ≥ 5%;</w:t>
                            </w:r>
                            <w:r>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sidRPr="0078222F">
                              <w:rPr>
                                <w:rFonts w:ascii="Times New Roman" w:hAnsi="Times New Roman" w:cs="Times New Roman"/>
                                <w:i/>
                                <w:lang w:val="ru-RU"/>
                              </w:rPr>
                              <w:t xml:space="preserve"> </w:t>
                            </w:r>
                            <w:r w:rsidRPr="0078222F">
                              <w:rPr>
                                <w:rFonts w:ascii="Times New Roman" w:hAnsi="Times New Roman" w:cs="Times New Roman"/>
                                <w:iCs/>
                                <w:lang w:val="ru-RU"/>
                              </w:rPr>
                              <w:t>Регулаторни извештаји, ЈПО/ РАТЕЛ</w:t>
                            </w:r>
                          </w:p>
                          <w:p w14:paraId="4A231E7A" w14:textId="152A4E53" w:rsidR="00011344" w:rsidRPr="009734EB" w:rsidRDefault="00011344" w:rsidP="00F6425A">
                            <w:pPr>
                              <w:rPr>
                                <w:rFonts w:ascii="Times New Roman" w:hAnsi="Times New Roman" w:cs="Times New Roman"/>
                                <w:iCs/>
                                <w:szCs w:val="24"/>
                                <w:lang w:val="sr-Cyrl-RS"/>
                              </w:rPr>
                            </w:pPr>
                            <w:r w:rsidRPr="008D119C">
                              <w:rPr>
                                <w:rFonts w:ascii="Times New Roman" w:hAnsi="Times New Roman" w:cs="Times New Roman"/>
                                <w:szCs w:val="24"/>
                                <w:lang w:val="en"/>
                              </w:rPr>
                              <w:t>Проценат становништва које има прис</w:t>
                            </w:r>
                            <w:r>
                              <w:rPr>
                                <w:rFonts w:ascii="Times New Roman" w:hAnsi="Times New Roman" w:cs="Times New Roman"/>
                                <w:szCs w:val="24"/>
                                <w:lang w:val="sr-Cyrl-RS"/>
                              </w:rPr>
                              <w:t>туп</w:t>
                            </w:r>
                            <w:r w:rsidRPr="008D119C">
                              <w:rPr>
                                <w:rFonts w:ascii="Times New Roman" w:hAnsi="Times New Roman" w:cs="Times New Roman"/>
                                <w:szCs w:val="24"/>
                                <w:lang w:val="en"/>
                              </w:rPr>
                              <w:t xml:space="preserve"> поштанској мрежи на ≤ 5 </w:t>
                            </w:r>
                            <w:r>
                              <w:rPr>
                                <w:rFonts w:ascii="Times New Roman" w:hAnsi="Times New Roman" w:cs="Times New Roman"/>
                                <w:szCs w:val="24"/>
                                <w:lang w:val="en"/>
                              </w:rPr>
                              <w:t>k</w:t>
                            </w:r>
                            <w:r>
                              <w:rPr>
                                <w:rFonts w:ascii="Times New Roman" w:hAnsi="Times New Roman" w:cs="Times New Roman"/>
                                <w:szCs w:val="24"/>
                              </w:rPr>
                              <w:t>m</w:t>
                            </w:r>
                          </w:p>
                          <w:p w14:paraId="4055113A" w14:textId="57D66991" w:rsidR="00011344" w:rsidRPr="0078222F" w:rsidRDefault="00011344" w:rsidP="00F6425A">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Cs/>
                                <w:lang w:val="ru-RU"/>
                              </w:rPr>
                              <w:t xml:space="preserve">: /≥89% становништва има приступ поштанској мрежи на ≤ 5 </w:t>
                            </w:r>
                            <w:r>
                              <w:rPr>
                                <w:rFonts w:ascii="Times New Roman" w:hAnsi="Times New Roman" w:cs="Times New Roman"/>
                                <w:iCs/>
                                <w:lang w:val="sr-Latn-RS"/>
                              </w:rPr>
                              <w:t>k</w:t>
                            </w:r>
                            <w:r>
                              <w:rPr>
                                <w:rFonts w:ascii="Times New Roman" w:hAnsi="Times New Roman" w:cs="Times New Roman"/>
                                <w:iCs/>
                              </w:rPr>
                              <w:t>m</w:t>
                            </w:r>
                            <w:r w:rsidRPr="0078222F">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78222F">
                              <w:rPr>
                                <w:rFonts w:ascii="Times New Roman" w:hAnsi="Times New Roman" w:cs="Times New Roman"/>
                                <w:iCs/>
                                <w:lang w:val="ru-RU"/>
                              </w:rPr>
                              <w:t>: ≥ 8</w:t>
                            </w:r>
                            <w:r>
                              <w:rPr>
                                <w:rFonts w:ascii="Times New Roman" w:hAnsi="Times New Roman" w:cs="Times New Roman"/>
                                <w:iCs/>
                                <w:lang w:val="sr-Latn-RS"/>
                              </w:rPr>
                              <w:t>3</w:t>
                            </w:r>
                            <w:r w:rsidRPr="0078222F">
                              <w:rPr>
                                <w:rFonts w:ascii="Times New Roman" w:hAnsi="Times New Roman" w:cs="Times New Roman"/>
                                <w:iCs/>
                                <w:lang w:val="ru-RU"/>
                              </w:rPr>
                              <w:t xml:space="preserve">% становништва има приступ поштанској мрежи на ≤ 5 </w:t>
                            </w:r>
                            <w:r>
                              <w:rPr>
                                <w:rFonts w:ascii="Times New Roman" w:hAnsi="Times New Roman" w:cs="Times New Roman"/>
                                <w:iCs/>
                                <w:lang w:val="sr-Latn-RS"/>
                              </w:rPr>
                              <w:t>k</w:t>
                            </w:r>
                            <w:r>
                              <w:rPr>
                                <w:rFonts w:ascii="Times New Roman" w:hAnsi="Times New Roman" w:cs="Times New Roman"/>
                                <w:iCs/>
                              </w:rPr>
                              <w:t>m</w:t>
                            </w:r>
                            <w:r w:rsidRPr="0078222F">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sidRPr="0078222F">
                              <w:rPr>
                                <w:rFonts w:ascii="Times New Roman" w:hAnsi="Times New Roman" w:cs="Times New Roman"/>
                                <w:iCs/>
                                <w:lang w:val="ru-RU"/>
                              </w:rPr>
                              <w:t>: Годишњи преглед тржишта РАТЕЛ</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5251BCFD" id="Text Box 3" o:spid="_x0000_s1027" type="#_x0000_t202" style="position:absolute;left:0;text-align:left;margin-left:.55pt;margin-top:4.3pt;width:468.85pt;height:215.4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">
                <v:textbox>
                  <w:txbxContent>
                    <w:p w14:paraId="5843B79D" w14:textId="6140628E" w:rsidR="00011344" w:rsidRPr="0078222F" w:rsidRDefault="00011344" w:rsidP="00015021">
                      <w:pPr>
                        <w:spacing w:line="276" w:lineRule="auto"/>
                        <w:rPr>
                          <w:rFonts w:ascii="Times New Roman" w:hAnsi="Times New Roman" w:cs="Times New Roman"/>
                          <w:bCs/>
                          <w:i/>
                          <w:lang w:val="ru-RU"/>
                        </w:rPr>
                      </w:pPr>
                      <w:r w:rsidRPr="0078222F">
                        <w:rPr>
                          <w:rFonts w:ascii="Times New Roman" w:hAnsi="Times New Roman" w:cs="Times New Roman"/>
                          <w:b/>
                          <w:i/>
                          <w:u w:val="single"/>
                          <w:lang w:val="ru-RU"/>
                        </w:rPr>
                        <w:t>Посебни циљ 1:</w:t>
                      </w:r>
                      <w:r w:rsidRPr="0078222F">
                        <w:rPr>
                          <w:rFonts w:ascii="Times New Roman" w:hAnsi="Times New Roman" w:cs="Times New Roman"/>
                          <w:b/>
                          <w:i/>
                          <w:lang w:val="ru-RU"/>
                        </w:rPr>
                        <w:t xml:space="preserve"> </w:t>
                      </w:r>
                      <w:r w:rsidRPr="0078222F">
                        <w:rPr>
                          <w:rFonts w:ascii="Times New Roman" w:hAnsi="Times New Roman" w:cs="Times New Roman"/>
                          <w:bCs/>
                          <w:i/>
                          <w:lang w:val="ru-RU"/>
                        </w:rPr>
                        <w:t>Унапређена</w:t>
                      </w:r>
                      <w:r>
                        <w:rPr>
                          <w:rFonts w:ascii="Times New Roman" w:hAnsi="Times New Roman" w:cs="Times New Roman"/>
                          <w:bCs/>
                          <w:i/>
                          <w:lang w:val="sr-Cyrl-RS"/>
                        </w:rPr>
                        <w:t xml:space="preserve"> </w:t>
                      </w:r>
                      <w:r w:rsidRPr="0078222F">
                        <w:rPr>
                          <w:rFonts w:ascii="Times New Roman" w:hAnsi="Times New Roman" w:cs="Times New Roman"/>
                          <w:bCs/>
                          <w:i/>
                          <w:color w:val="000000" w:themeColor="text1"/>
                          <w:lang w:val="ru-RU"/>
                        </w:rPr>
                        <w:t>универзална поштанска услуга као стуб дигиталне, инклузивне и одрживе комуникационе инфраструктуре Републике Србије</w:t>
                      </w:r>
                    </w:p>
                    <w:p w14:paraId="38E7DEA6" w14:textId="77777777" w:rsidR="00011344" w:rsidRPr="00B118A4" w:rsidRDefault="00011344" w:rsidP="00015021">
                      <w:pPr>
                        <w:spacing w:line="276" w:lineRule="auto"/>
                        <w:rPr>
                          <w:rFonts w:ascii="Times New Roman" w:hAnsi="Times New Roman" w:cs="Times New Roman"/>
                          <w:b/>
                          <w:bCs/>
                          <w:i/>
                          <w:u w:val="single"/>
                          <w:lang w:val="ru-RU"/>
                        </w:rPr>
                      </w:pPr>
                      <w:r w:rsidRPr="00B118A4">
                        <w:rPr>
                          <w:rFonts w:ascii="Times New Roman" w:hAnsi="Times New Roman" w:cs="Times New Roman"/>
                          <w:b/>
                          <w:bCs/>
                          <w:i/>
                          <w:u w:val="single"/>
                          <w:lang w:val="ru-RU"/>
                        </w:rPr>
                        <w:t>Показатељ исхода на нивоу посебног циља 1:</w:t>
                      </w:r>
                    </w:p>
                    <w:p w14:paraId="19095138" w14:textId="0E91E431" w:rsidR="00011344" w:rsidRPr="008D19DB" w:rsidRDefault="00011344" w:rsidP="008D19DB">
                      <w:pPr>
                        <w:shd w:val="clear" w:color="auto" w:fill="FFFFFF" w:themeFill="background1"/>
                        <w:rPr>
                          <w:rFonts w:ascii="Times New Roman" w:hAnsi="Times New Roman" w:cs="Times New Roman"/>
                          <w:iCs/>
                          <w:lang w:val="sr-Cyrl-RS"/>
                        </w:rPr>
                      </w:pPr>
                      <w:r w:rsidRPr="008D19DB">
                        <w:rPr>
                          <w:rFonts w:ascii="Times New Roman" w:hAnsi="Times New Roman" w:cs="Times New Roman"/>
                          <w:iCs/>
                          <w:szCs w:val="24"/>
                          <w:lang w:val="ru-RU"/>
                        </w:rPr>
                        <w:t xml:space="preserve">Проценат </w:t>
                      </w:r>
                      <w:bookmarkStart w:id="45" w:name="_Hlk214535388"/>
                      <w:r w:rsidRPr="008D19DB">
                        <w:rPr>
                          <w:rFonts w:ascii="Times New Roman" w:hAnsi="Times New Roman" w:cs="Times New Roman"/>
                          <w:iCs/>
                          <w:szCs w:val="24"/>
                          <w:lang w:val="ru-RU"/>
                        </w:rPr>
                        <w:t xml:space="preserve">смањења губитака </w:t>
                      </w:r>
                      <w:bookmarkEnd w:id="45"/>
                      <w:r w:rsidRPr="008D19DB">
                        <w:rPr>
                          <w:rFonts w:ascii="Times New Roman" w:hAnsi="Times New Roman" w:cs="Times New Roman"/>
                          <w:iCs/>
                          <w:szCs w:val="24"/>
                          <w:lang w:val="ru-RU"/>
                        </w:rPr>
                        <w:t>УПУ (</w:t>
                      </w:r>
                      <w:r w:rsidRPr="008D19DB">
                        <w:rPr>
                          <w:rFonts w:ascii="Times New Roman" w:hAnsi="Times New Roman" w:cs="Times New Roman"/>
                          <w:iCs/>
                          <w:szCs w:val="24"/>
                          <w:lang w:val="sr-Cyrl-RS"/>
                        </w:rPr>
                        <w:t xml:space="preserve">губитак </w:t>
                      </w:r>
                      <w:r w:rsidRPr="008D19DB">
                        <w:rPr>
                          <w:rFonts w:ascii="Times New Roman" w:hAnsi="Times New Roman" w:cs="Times New Roman"/>
                          <w:iCs/>
                          <w:lang w:val="sr-Cyrl-RS"/>
                        </w:rPr>
                        <w:t>98</w:t>
                      </w:r>
                      <w:r>
                        <w:rPr>
                          <w:rFonts w:ascii="Times New Roman" w:hAnsi="Times New Roman" w:cs="Times New Roman"/>
                          <w:iCs/>
                          <w:lang w:val="sr-Cyrl-RS"/>
                        </w:rPr>
                        <w:t xml:space="preserve">3 </w:t>
                      </w:r>
                      <w:r w:rsidRPr="008D19DB">
                        <w:rPr>
                          <w:rFonts w:ascii="Times New Roman" w:hAnsi="Times New Roman" w:cs="Times New Roman"/>
                          <w:iCs/>
                          <w:lang w:val="sr-Cyrl-RS"/>
                        </w:rPr>
                        <w:t xml:space="preserve">мил. </w:t>
                      </w:r>
                      <w:r>
                        <w:rPr>
                          <w:rFonts w:ascii="Times New Roman" w:hAnsi="Times New Roman" w:cs="Times New Roman"/>
                          <w:iCs/>
                          <w:lang w:val="sr-Cyrl-RS"/>
                        </w:rPr>
                        <w:t>динара</w:t>
                      </w:r>
                      <w:r w:rsidRPr="008D19DB">
                        <w:rPr>
                          <w:rFonts w:ascii="Times New Roman" w:hAnsi="Times New Roman" w:cs="Times New Roman"/>
                          <w:iCs/>
                          <w:lang w:val="sr-Cyrl-RS"/>
                        </w:rPr>
                        <w:t>)</w:t>
                      </w:r>
                    </w:p>
                    <w:p w14:paraId="0D81DDB5" w14:textId="572651BA" w:rsidR="00011344" w:rsidRPr="0078222F" w:rsidRDefault="00011344" w:rsidP="00F6425A">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Cs/>
                          <w:u w:val="single"/>
                          <w:lang w:val="ru-RU"/>
                        </w:rPr>
                        <w:t>:</w:t>
                      </w:r>
                      <w:r>
                        <w:rPr>
                          <w:rFonts w:ascii="Times New Roman" w:hAnsi="Times New Roman" w:cs="Times New Roman"/>
                          <w:iCs/>
                          <w:u w:val="single"/>
                          <w:lang w:val="ru-RU"/>
                        </w:rPr>
                        <w:t xml:space="preserve"> </w:t>
                      </w:r>
                      <w:r>
                        <w:rPr>
                          <w:rFonts w:ascii="Times New Roman" w:hAnsi="Times New Roman" w:cs="Times New Roman"/>
                          <w:iCs/>
                          <w:lang w:val="ru-RU"/>
                        </w:rPr>
                        <w:t>П</w:t>
                      </w:r>
                      <w:r w:rsidRPr="008D19DB">
                        <w:rPr>
                          <w:rFonts w:ascii="Times New Roman" w:hAnsi="Times New Roman" w:cs="Times New Roman"/>
                          <w:iCs/>
                          <w:lang w:val="ru-RU"/>
                        </w:rPr>
                        <w:t xml:space="preserve">роценат </w:t>
                      </w:r>
                      <w:r w:rsidRPr="008D19DB">
                        <w:rPr>
                          <w:rFonts w:ascii="Times New Roman" w:hAnsi="Times New Roman" w:cs="Times New Roman"/>
                          <w:iCs/>
                          <w:szCs w:val="24"/>
                          <w:lang w:val="ru-RU"/>
                        </w:rPr>
                        <w:t xml:space="preserve">смањења губитака </w:t>
                      </w:r>
                      <w:r>
                        <w:rPr>
                          <w:rFonts w:ascii="Times New Roman" w:hAnsi="Times New Roman" w:cs="Times New Roman"/>
                          <w:iCs/>
                          <w:lang w:val="ru-RU"/>
                        </w:rPr>
                        <w:t>0</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78222F">
                        <w:rPr>
                          <w:rFonts w:ascii="Times New Roman" w:hAnsi="Times New Roman" w:cs="Times New Roman"/>
                          <w:iCs/>
                          <w:u w:val="single"/>
                          <w:lang w:val="ru-RU"/>
                        </w:rPr>
                        <w:t>:</w:t>
                      </w:r>
                      <w:r>
                        <w:rPr>
                          <w:rFonts w:ascii="Times New Roman" w:hAnsi="Times New Roman" w:cs="Times New Roman"/>
                          <w:iCs/>
                          <w:u w:val="single"/>
                          <w:lang w:val="ru-RU"/>
                        </w:rPr>
                        <w:t xml:space="preserve"> </w:t>
                      </w:r>
                      <w:r w:rsidRPr="0078222F">
                        <w:rPr>
                          <w:rFonts w:ascii="Times New Roman" w:hAnsi="Times New Roman" w:cs="Times New Roman"/>
                          <w:iCs/>
                          <w:lang w:val="ru-RU"/>
                        </w:rPr>
                        <w:t>Проценат смањења губитака ≥ 5%;</w:t>
                      </w:r>
                      <w:r>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sidRPr="0078222F">
                        <w:rPr>
                          <w:rFonts w:ascii="Times New Roman" w:hAnsi="Times New Roman" w:cs="Times New Roman"/>
                          <w:i/>
                          <w:lang w:val="ru-RU"/>
                        </w:rPr>
                        <w:t xml:space="preserve"> </w:t>
                      </w:r>
                      <w:r w:rsidRPr="0078222F">
                        <w:rPr>
                          <w:rFonts w:ascii="Times New Roman" w:hAnsi="Times New Roman" w:cs="Times New Roman"/>
                          <w:iCs/>
                          <w:lang w:val="ru-RU"/>
                        </w:rPr>
                        <w:t>Регулаторни извештаји, ЈПО/ РАТЕЛ</w:t>
                      </w:r>
                    </w:p>
                    <w:p w14:paraId="4A231E7A" w14:textId="152A4E53" w:rsidR="00011344" w:rsidRPr="009734EB" w:rsidRDefault="00011344" w:rsidP="00F6425A">
                      <w:pPr>
                        <w:rPr>
                          <w:rFonts w:ascii="Times New Roman" w:hAnsi="Times New Roman" w:cs="Times New Roman"/>
                          <w:iCs/>
                          <w:szCs w:val="24"/>
                          <w:lang w:val="sr-Cyrl-RS"/>
                        </w:rPr>
                      </w:pPr>
                      <w:r w:rsidRPr="008D119C">
                        <w:rPr>
                          <w:rFonts w:ascii="Times New Roman" w:hAnsi="Times New Roman" w:cs="Times New Roman"/>
                          <w:szCs w:val="24"/>
                          <w:lang w:val="en"/>
                        </w:rPr>
                        <w:t>Проценат становништва које има прис</w:t>
                      </w:r>
                      <w:r>
                        <w:rPr>
                          <w:rFonts w:ascii="Times New Roman" w:hAnsi="Times New Roman" w:cs="Times New Roman"/>
                          <w:szCs w:val="24"/>
                          <w:lang w:val="sr-Cyrl-RS"/>
                        </w:rPr>
                        <w:t>туп</w:t>
                      </w:r>
                      <w:r w:rsidRPr="008D119C">
                        <w:rPr>
                          <w:rFonts w:ascii="Times New Roman" w:hAnsi="Times New Roman" w:cs="Times New Roman"/>
                          <w:szCs w:val="24"/>
                          <w:lang w:val="en"/>
                        </w:rPr>
                        <w:t xml:space="preserve"> поштанској мрежи на ≤ 5 </w:t>
                      </w:r>
                      <w:r>
                        <w:rPr>
                          <w:rFonts w:ascii="Times New Roman" w:hAnsi="Times New Roman" w:cs="Times New Roman"/>
                          <w:szCs w:val="24"/>
                          <w:lang w:val="en"/>
                        </w:rPr>
                        <w:t>k</w:t>
                      </w:r>
                      <w:r>
                        <w:rPr>
                          <w:rFonts w:ascii="Times New Roman" w:hAnsi="Times New Roman" w:cs="Times New Roman"/>
                          <w:szCs w:val="24"/>
                        </w:rPr>
                        <w:t>m</w:t>
                      </w:r>
                    </w:p>
                    <w:p w14:paraId="4055113A" w14:textId="57D66991" w:rsidR="00011344" w:rsidRPr="0078222F" w:rsidRDefault="00011344" w:rsidP="00F6425A">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Cs/>
                          <w:lang w:val="ru-RU"/>
                        </w:rPr>
                        <w:t xml:space="preserve">: /≥89% становништва има приступ поштанској мрежи на ≤ 5 </w:t>
                      </w:r>
                      <w:r>
                        <w:rPr>
                          <w:rFonts w:ascii="Times New Roman" w:hAnsi="Times New Roman" w:cs="Times New Roman"/>
                          <w:iCs/>
                          <w:lang w:val="sr-Latn-RS"/>
                        </w:rPr>
                        <w:t>k</w:t>
                      </w:r>
                      <w:r>
                        <w:rPr>
                          <w:rFonts w:ascii="Times New Roman" w:hAnsi="Times New Roman" w:cs="Times New Roman"/>
                          <w:iCs/>
                        </w:rPr>
                        <w:t>m</w:t>
                      </w:r>
                      <w:r w:rsidRPr="0078222F">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78222F">
                        <w:rPr>
                          <w:rFonts w:ascii="Times New Roman" w:hAnsi="Times New Roman" w:cs="Times New Roman"/>
                          <w:iCs/>
                          <w:lang w:val="ru-RU"/>
                        </w:rPr>
                        <w:t>: ≥ 8</w:t>
                      </w:r>
                      <w:r>
                        <w:rPr>
                          <w:rFonts w:ascii="Times New Roman" w:hAnsi="Times New Roman" w:cs="Times New Roman"/>
                          <w:iCs/>
                          <w:lang w:val="sr-Latn-RS"/>
                        </w:rPr>
                        <w:t>3</w:t>
                      </w:r>
                      <w:r w:rsidRPr="0078222F">
                        <w:rPr>
                          <w:rFonts w:ascii="Times New Roman" w:hAnsi="Times New Roman" w:cs="Times New Roman"/>
                          <w:iCs/>
                          <w:lang w:val="ru-RU"/>
                        </w:rPr>
                        <w:t xml:space="preserve">% становништва има приступ поштанској мрежи на ≤ 5 </w:t>
                      </w:r>
                      <w:r>
                        <w:rPr>
                          <w:rFonts w:ascii="Times New Roman" w:hAnsi="Times New Roman" w:cs="Times New Roman"/>
                          <w:iCs/>
                          <w:lang w:val="sr-Latn-RS"/>
                        </w:rPr>
                        <w:t>k</w:t>
                      </w:r>
                      <w:r>
                        <w:rPr>
                          <w:rFonts w:ascii="Times New Roman" w:hAnsi="Times New Roman" w:cs="Times New Roman"/>
                          <w:iCs/>
                        </w:rPr>
                        <w:t>m</w:t>
                      </w:r>
                      <w:r w:rsidRPr="0078222F">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sidRPr="0078222F">
                        <w:rPr>
                          <w:rFonts w:ascii="Times New Roman" w:hAnsi="Times New Roman" w:cs="Times New Roman"/>
                          <w:iCs/>
                          <w:lang w:val="ru-RU"/>
                        </w:rPr>
                        <w:t>: Годишњи преглед тржишта РАТЕЛ</w:t>
                      </w:r>
                    </w:p>
                  </w:txbxContent>
                </v:textbox>
              </v:shape>
            </w:pict>
          </mc:Fallback>
        </mc:AlternateContent>
      </w:r>
    </w:p>
    <w:p w14:paraId="7229B524" w14:textId="77777777" w:rsidR="0037215D" w:rsidRPr="00B3123E" w:rsidRDefault="0037215D" w:rsidP="00015021">
      <w:pPr>
        <w:spacing w:before="240" w:line="276" w:lineRule="auto"/>
        <w:rPr>
          <w:rFonts w:ascii="Times New Roman" w:hAnsi="Times New Roman" w:cs="Times New Roman"/>
          <w:b/>
          <w:szCs w:val="24"/>
          <w:lang w:val="sr-Cyrl-RS"/>
        </w:rPr>
      </w:pPr>
    </w:p>
    <w:p w14:paraId="663A1DA4" w14:textId="77777777" w:rsidR="008A7E8A" w:rsidRPr="00B3123E" w:rsidRDefault="008A7E8A" w:rsidP="00015021">
      <w:pPr>
        <w:spacing w:before="240" w:line="276" w:lineRule="auto"/>
        <w:rPr>
          <w:rFonts w:ascii="Times New Roman" w:hAnsi="Times New Roman" w:cs="Times New Roman"/>
          <w:b/>
          <w:szCs w:val="24"/>
          <w:lang w:val="sr-Cyrl-RS"/>
        </w:rPr>
      </w:pPr>
    </w:p>
    <w:p w14:paraId="599BB71A" w14:textId="77777777" w:rsidR="008A7E8A" w:rsidRPr="00B3123E" w:rsidRDefault="008A7E8A" w:rsidP="00015021">
      <w:pPr>
        <w:spacing w:before="240" w:line="276" w:lineRule="auto"/>
        <w:rPr>
          <w:rFonts w:ascii="Times New Roman" w:hAnsi="Times New Roman" w:cs="Times New Roman"/>
          <w:b/>
          <w:szCs w:val="24"/>
          <w:lang w:val="sr-Cyrl-RS"/>
        </w:rPr>
      </w:pPr>
    </w:p>
    <w:p w14:paraId="4A882A4A" w14:textId="77777777" w:rsidR="008A7E8A" w:rsidRPr="00B3123E" w:rsidRDefault="008A7E8A" w:rsidP="00015021">
      <w:pPr>
        <w:spacing w:before="240" w:line="276" w:lineRule="auto"/>
        <w:rPr>
          <w:rFonts w:ascii="Times New Roman" w:hAnsi="Times New Roman" w:cs="Times New Roman"/>
          <w:b/>
          <w:szCs w:val="24"/>
          <w:lang w:val="sr-Cyrl-RS"/>
        </w:rPr>
      </w:pPr>
    </w:p>
    <w:p w14:paraId="6373E8B8" w14:textId="77777777" w:rsidR="008A7E8A" w:rsidRPr="00B3123E" w:rsidRDefault="008A7E8A" w:rsidP="00015021">
      <w:pPr>
        <w:spacing w:before="240" w:line="276" w:lineRule="auto"/>
        <w:rPr>
          <w:rFonts w:ascii="Times New Roman" w:hAnsi="Times New Roman" w:cs="Times New Roman"/>
          <w:b/>
          <w:szCs w:val="24"/>
          <w:lang w:val="sr-Cyrl-RS"/>
        </w:rPr>
      </w:pPr>
    </w:p>
    <w:p w14:paraId="17D01E01" w14:textId="13E30A79" w:rsidR="008A7E8A" w:rsidRPr="00B3123E" w:rsidRDefault="008A7E8A" w:rsidP="00015021">
      <w:pPr>
        <w:spacing w:before="240" w:line="276" w:lineRule="auto"/>
        <w:rPr>
          <w:rFonts w:ascii="Times New Roman" w:hAnsi="Times New Roman" w:cs="Times New Roman"/>
          <w:b/>
          <w:szCs w:val="24"/>
          <w:lang w:val="sr-Cyrl-RS"/>
        </w:rPr>
      </w:pPr>
    </w:p>
    <w:tbl>
      <w:tblPr>
        <w:tblStyle w:val="TableGrid"/>
        <w:tblW w:w="5186" w:type="pct"/>
        <w:tblLook w:val="04A0" w:firstRow="1" w:lastRow="0" w:firstColumn="1" w:lastColumn="0" w:noHBand="0" w:noVBand="1"/>
      </w:tblPr>
      <w:tblGrid>
        <w:gridCol w:w="9351"/>
      </w:tblGrid>
      <w:tr w:rsidR="00015021" w:rsidRPr="00B3123E" w14:paraId="42426345" w14:textId="77777777" w:rsidTr="00303C07">
        <w:tc>
          <w:tcPr>
            <w:tcW w:w="5000" w:type="pct"/>
          </w:tcPr>
          <w:p w14:paraId="45172D53" w14:textId="65554F14" w:rsidR="00F6425A" w:rsidRPr="00B3123E" w:rsidRDefault="00015021" w:rsidP="00E067B8">
            <w:pPr>
              <w:rPr>
                <w:rFonts w:ascii="Times New Roman" w:hAnsi="Times New Roman" w:cs="Times New Roman"/>
                <w:bCs/>
                <w:i/>
                <w:szCs w:val="24"/>
                <w:lang w:val="sr-Cyrl-RS"/>
              </w:rPr>
            </w:pPr>
            <w:r w:rsidRPr="00B3123E">
              <w:rPr>
                <w:rFonts w:ascii="Times New Roman" w:hAnsi="Times New Roman" w:cs="Times New Roman"/>
                <w:b/>
                <w:i/>
                <w:szCs w:val="24"/>
                <w:u w:val="single"/>
                <w:lang w:val="sr-Cyrl-RS"/>
              </w:rPr>
              <w:lastRenderedPageBreak/>
              <w:t>Посебни циљ 2:</w:t>
            </w:r>
            <w:r w:rsidR="00E110C9" w:rsidRPr="00B3123E">
              <w:rPr>
                <w:rFonts w:ascii="Times New Roman" w:hAnsi="Times New Roman" w:cs="Times New Roman"/>
                <w:b/>
                <w:i/>
                <w:szCs w:val="24"/>
                <w:lang w:val="sr-Cyrl-RS"/>
              </w:rPr>
              <w:t xml:space="preserve"> </w:t>
            </w:r>
            <w:r w:rsidR="00326A17" w:rsidRPr="00B3123E">
              <w:rPr>
                <w:rFonts w:ascii="Times New Roman" w:hAnsi="Times New Roman" w:cs="Times New Roman"/>
                <w:bCs/>
                <w:i/>
                <w:szCs w:val="24"/>
                <w:lang w:val="sr-Cyrl-RS"/>
              </w:rPr>
              <w:t>Успостављено подстицајно привредно окружење за поштанске услуге</w:t>
            </w:r>
          </w:p>
          <w:p w14:paraId="25329DC0" w14:textId="77777777" w:rsidR="00326A17" w:rsidRPr="00B3123E" w:rsidRDefault="00326A17" w:rsidP="00E067B8">
            <w:pPr>
              <w:rPr>
                <w:rFonts w:ascii="Times New Roman" w:hAnsi="Times New Roman" w:cs="Times New Roman"/>
                <w:bCs/>
                <w:i/>
                <w:szCs w:val="24"/>
                <w:lang w:val="sr-Cyrl-RS"/>
              </w:rPr>
            </w:pPr>
          </w:p>
          <w:p w14:paraId="21DA8500" w14:textId="77777777" w:rsidR="00015021" w:rsidRPr="00B3123E" w:rsidRDefault="00015021" w:rsidP="00E067B8">
            <w:pPr>
              <w:spacing w:line="276" w:lineRule="auto"/>
              <w:rPr>
                <w:rFonts w:ascii="Times New Roman" w:hAnsi="Times New Roman" w:cs="Times New Roman"/>
                <w:b/>
                <w:bCs/>
                <w:i/>
                <w:szCs w:val="24"/>
                <w:u w:val="single"/>
                <w:lang w:val="sr-Cyrl-RS"/>
              </w:rPr>
            </w:pPr>
            <w:r w:rsidRPr="00B3123E">
              <w:rPr>
                <w:rFonts w:ascii="Times New Roman" w:hAnsi="Times New Roman" w:cs="Times New Roman"/>
                <w:b/>
                <w:bCs/>
                <w:i/>
                <w:szCs w:val="24"/>
                <w:u w:val="single"/>
                <w:lang w:val="sr-Cyrl-RS"/>
              </w:rPr>
              <w:t>Показатељ исхода на нивоу посебног циља 2:</w:t>
            </w:r>
          </w:p>
          <w:p w14:paraId="572D17F5" w14:textId="77777777" w:rsidR="00326A17" w:rsidRPr="00B3123E" w:rsidRDefault="00326A17" w:rsidP="00E067B8">
            <w:pPr>
              <w:spacing w:line="276" w:lineRule="auto"/>
              <w:rPr>
                <w:rFonts w:ascii="Times New Roman" w:hAnsi="Times New Roman" w:cs="Times New Roman"/>
                <w:iCs/>
                <w:szCs w:val="24"/>
                <w:lang w:val="sr-Cyrl-RS"/>
              </w:rPr>
            </w:pPr>
          </w:p>
          <w:p w14:paraId="77FCEC5D" w14:textId="77777777" w:rsidR="00326A17" w:rsidRPr="00B3123E" w:rsidRDefault="00326A17" w:rsidP="00E067B8">
            <w:pPr>
              <w:spacing w:line="276" w:lineRule="auto"/>
              <w:rPr>
                <w:rFonts w:ascii="Times New Roman" w:hAnsi="Times New Roman" w:cs="Times New Roman"/>
                <w:iCs/>
                <w:szCs w:val="24"/>
                <w:lang w:val="sr-Cyrl-RS"/>
              </w:rPr>
            </w:pPr>
            <w:r w:rsidRPr="00B3123E">
              <w:rPr>
                <w:rFonts w:ascii="Times New Roman" w:hAnsi="Times New Roman" w:cs="Times New Roman"/>
                <w:iCs/>
                <w:szCs w:val="24"/>
                <w:lang w:val="sr-Cyrl-RS"/>
              </w:rPr>
              <w:t>Степен усаглашености националног регулаторног оквира са ЕУ поштанском директивом и релевантним прописима</w:t>
            </w:r>
          </w:p>
          <w:p w14:paraId="3D04AE3C" w14:textId="77777777" w:rsidR="00326A17" w:rsidRPr="00B3123E" w:rsidRDefault="00326A17" w:rsidP="00E067B8">
            <w:pPr>
              <w:spacing w:line="276" w:lineRule="auto"/>
              <w:rPr>
                <w:rFonts w:ascii="Times New Roman" w:hAnsi="Times New Roman" w:cs="Times New Roman"/>
                <w:iCs/>
                <w:szCs w:val="24"/>
                <w:lang w:val="sr-Cyrl-RS"/>
              </w:rPr>
            </w:pPr>
          </w:p>
          <w:p w14:paraId="11C3A757" w14:textId="20B2852E" w:rsidR="00D23E8D" w:rsidRPr="00B3123E" w:rsidRDefault="00433779" w:rsidP="00C94CC6">
            <w:pPr>
              <w:spacing w:after="120"/>
              <w:rPr>
                <w:rFonts w:ascii="Times New Roman" w:hAnsi="Times New Roman" w:cs="Times New Roman"/>
                <w:iCs/>
                <w:lang w:val="sr-Cyrl-RS"/>
              </w:rPr>
            </w:pPr>
            <w:r w:rsidRPr="00B3123E">
              <w:rPr>
                <w:rFonts w:ascii="Times New Roman" w:hAnsi="Times New Roman" w:cs="Times New Roman"/>
                <w:i/>
                <w:u w:val="single"/>
                <w:lang w:val="sr-Cyrl-RS"/>
              </w:rPr>
              <w:t>Базна вредност 2025. године:</w:t>
            </w:r>
            <w:r w:rsidR="00E110C9" w:rsidRPr="00B3123E">
              <w:rPr>
                <w:rFonts w:ascii="Times New Roman" w:hAnsi="Times New Roman" w:cs="Times New Roman"/>
                <w:i/>
                <w:lang w:val="sr-Cyrl-RS"/>
              </w:rPr>
              <w:t xml:space="preserve"> </w:t>
            </w:r>
            <w:r w:rsidR="0037215D" w:rsidRPr="00B3123E">
              <w:rPr>
                <w:rFonts w:ascii="Times New Roman" w:hAnsi="Times New Roman" w:cs="Times New Roman"/>
                <w:bCs/>
                <w:szCs w:val="24"/>
                <w:lang w:val="sr-Cyrl-RS"/>
              </w:rPr>
              <w:t>Делимично</w:t>
            </w:r>
            <w:r w:rsidRPr="00B3123E">
              <w:rPr>
                <w:rFonts w:ascii="Times New Roman" w:hAnsi="Times New Roman" w:cs="Times New Roman"/>
                <w:bCs/>
                <w:szCs w:val="24"/>
                <w:lang w:val="sr-Cyrl-RS"/>
              </w:rPr>
              <w:t xml:space="preserve"> усаглашен националн</w:t>
            </w:r>
            <w:r w:rsidR="0037215D" w:rsidRPr="00B3123E">
              <w:rPr>
                <w:rFonts w:ascii="Times New Roman" w:hAnsi="Times New Roman" w:cs="Times New Roman"/>
                <w:bCs/>
                <w:szCs w:val="24"/>
                <w:lang w:val="sr-Cyrl-RS"/>
              </w:rPr>
              <w:t>и</w:t>
            </w:r>
            <w:r w:rsidRPr="00B3123E">
              <w:rPr>
                <w:rFonts w:ascii="Times New Roman" w:hAnsi="Times New Roman" w:cs="Times New Roman"/>
                <w:bCs/>
                <w:szCs w:val="24"/>
                <w:lang w:val="sr-Cyrl-RS"/>
              </w:rPr>
              <w:t xml:space="preserve"> регулаторн</w:t>
            </w:r>
            <w:r w:rsidR="0037215D" w:rsidRPr="00B3123E">
              <w:rPr>
                <w:rFonts w:ascii="Times New Roman" w:hAnsi="Times New Roman" w:cs="Times New Roman"/>
                <w:bCs/>
                <w:szCs w:val="24"/>
                <w:lang w:val="sr-Cyrl-RS"/>
              </w:rPr>
              <w:t>и</w:t>
            </w:r>
            <w:r w:rsidRPr="00B3123E">
              <w:rPr>
                <w:rFonts w:ascii="Times New Roman" w:hAnsi="Times New Roman" w:cs="Times New Roman"/>
                <w:bCs/>
                <w:szCs w:val="24"/>
                <w:lang w:val="sr-Cyrl-RS"/>
              </w:rPr>
              <w:t xml:space="preserve"> оквир са ЕУ поштанском директивом и релевантним прописима</w:t>
            </w:r>
            <w:r w:rsidR="0037215D" w:rsidRPr="00B3123E">
              <w:rPr>
                <w:rFonts w:ascii="Times New Roman" w:hAnsi="Times New Roman" w:cs="Times New Roman"/>
                <w:bCs/>
                <w:szCs w:val="24"/>
                <w:lang w:val="sr-Cyrl-RS"/>
              </w:rPr>
              <w:t>;</w:t>
            </w:r>
            <w:r w:rsidR="00E110C9" w:rsidRPr="00B3123E">
              <w:rPr>
                <w:rFonts w:ascii="Times New Roman" w:hAnsi="Times New Roman" w:cs="Times New Roman"/>
                <w:bCs/>
                <w:szCs w:val="24"/>
                <w:lang w:val="sr-Cyrl-RS"/>
              </w:rPr>
              <w:t xml:space="preserve"> </w:t>
            </w:r>
            <w:r w:rsidRPr="00B3123E">
              <w:rPr>
                <w:rFonts w:ascii="Times New Roman" w:hAnsi="Times New Roman" w:cs="Times New Roman"/>
                <w:i/>
                <w:u w:val="single"/>
                <w:lang w:val="sr-Cyrl-RS"/>
              </w:rPr>
              <w:t>циљана вредност у 2030.</w:t>
            </w:r>
            <w:r w:rsidR="00273E3D" w:rsidRPr="00B3123E">
              <w:rPr>
                <w:rFonts w:ascii="Times New Roman" w:hAnsi="Times New Roman" w:cs="Times New Roman"/>
                <w:i/>
                <w:u w:val="single"/>
                <w:lang w:val="sr-Cyrl-RS"/>
              </w:rPr>
              <w:t xml:space="preserve"> години:</w:t>
            </w:r>
            <w:r w:rsidR="00E110C9" w:rsidRPr="00B3123E">
              <w:rPr>
                <w:rFonts w:ascii="Times New Roman" w:hAnsi="Times New Roman" w:cs="Times New Roman"/>
                <w:i/>
                <w:lang w:val="sr-Cyrl-RS"/>
              </w:rPr>
              <w:t xml:space="preserve"> </w:t>
            </w:r>
            <w:r w:rsidR="0037215D" w:rsidRPr="00B3123E">
              <w:rPr>
                <w:rFonts w:ascii="Times New Roman" w:hAnsi="Times New Roman" w:cs="Times New Roman"/>
                <w:bCs/>
                <w:szCs w:val="24"/>
                <w:lang w:val="sr-Cyrl-RS"/>
              </w:rPr>
              <w:t xml:space="preserve">Потпуно усаглашен национални регулаторни оквир са ЕУ поштанском директивом и релевантним прописима; </w:t>
            </w:r>
            <w:r w:rsidRPr="00B3123E">
              <w:rPr>
                <w:rFonts w:ascii="Times New Roman" w:hAnsi="Times New Roman" w:cs="Times New Roman"/>
                <w:i/>
                <w:u w:val="single"/>
                <w:lang w:val="sr-Cyrl-RS"/>
              </w:rPr>
              <w:t>извор провере:</w:t>
            </w:r>
            <w:r w:rsidR="00E110C9" w:rsidRPr="00B3123E">
              <w:rPr>
                <w:rFonts w:ascii="Times New Roman" w:hAnsi="Times New Roman" w:cs="Times New Roman"/>
                <w:lang w:val="sr-Cyrl-RS"/>
              </w:rPr>
              <w:t xml:space="preserve"> </w:t>
            </w:r>
            <w:r w:rsidR="00273E3D" w:rsidRPr="00B3123E">
              <w:rPr>
                <w:rFonts w:ascii="Times New Roman" w:hAnsi="Times New Roman" w:cs="Times New Roman"/>
                <w:iCs/>
                <w:lang w:val="sr-Cyrl-RS"/>
              </w:rPr>
              <w:t>Извештаји Министарства</w:t>
            </w:r>
            <w:r w:rsidR="00E110C9" w:rsidRPr="00B3123E">
              <w:rPr>
                <w:rFonts w:ascii="Times New Roman" w:hAnsi="Times New Roman" w:cs="Times New Roman"/>
                <w:iCs/>
                <w:lang w:val="sr-Cyrl-RS"/>
              </w:rPr>
              <w:t>.</w:t>
            </w:r>
          </w:p>
          <w:p w14:paraId="1C610F85" w14:textId="25E68EA7" w:rsidR="00326A17" w:rsidRPr="00B3123E" w:rsidRDefault="00B87B82" w:rsidP="00C94CC6">
            <w:pPr>
              <w:spacing w:after="120"/>
              <w:rPr>
                <w:rFonts w:ascii="Times New Roman" w:hAnsi="Times New Roman" w:cs="Times New Roman"/>
                <w:iCs/>
                <w:lang w:val="sr-Cyrl-RS"/>
              </w:rPr>
            </w:pPr>
            <w:r w:rsidRPr="00B3123E">
              <w:rPr>
                <w:rFonts w:ascii="Times New Roman" w:hAnsi="Times New Roman" w:cs="Times New Roman"/>
                <w:szCs w:val="24"/>
                <w:lang w:val="sr-Cyrl-RS"/>
              </w:rPr>
              <w:t>Просечна оцена задовољства корисника поштанским услугама изван УПУ</w:t>
            </w:r>
            <w:r w:rsidR="00F1730D" w:rsidRPr="00B3123E">
              <w:rPr>
                <w:rFonts w:ascii="Segoe UI" w:hAnsi="Segoe UI" w:cs="Segoe UI"/>
                <w:sz w:val="18"/>
                <w:szCs w:val="18"/>
                <w:lang w:val="sr-Cyrl-RS"/>
              </w:rPr>
              <w:t xml:space="preserve"> </w:t>
            </w:r>
            <w:r w:rsidR="00F1730D" w:rsidRPr="00B3123E">
              <w:rPr>
                <w:rFonts w:ascii="Times New Roman" w:hAnsi="Times New Roman" w:cs="Times New Roman"/>
                <w:iCs/>
                <w:lang w:val="sr-Cyrl-RS"/>
              </w:rPr>
              <w:t xml:space="preserve">(физичка лица) </w:t>
            </w:r>
          </w:p>
          <w:p w14:paraId="529D1085" w14:textId="7CA8081D" w:rsidR="00326A17" w:rsidRPr="00B3123E" w:rsidRDefault="00326A17" w:rsidP="00326A17">
            <w:pPr>
              <w:spacing w:after="120"/>
              <w:rPr>
                <w:rFonts w:ascii="Times New Roman" w:hAnsi="Times New Roman" w:cs="Times New Roman"/>
                <w:iCs/>
                <w:lang w:val="sr-Cyrl-RS"/>
              </w:rPr>
            </w:pPr>
            <w:r w:rsidRPr="00B3123E">
              <w:rPr>
                <w:rFonts w:ascii="Times New Roman" w:hAnsi="Times New Roman" w:cs="Times New Roman"/>
                <w:i/>
                <w:u w:val="single"/>
                <w:lang w:val="sr-Cyrl-RS"/>
              </w:rPr>
              <w:t>Базна вредност 2025. године:</w:t>
            </w:r>
            <w:r w:rsidR="00E110C9" w:rsidRPr="00B3123E">
              <w:rPr>
                <w:rFonts w:ascii="Times New Roman" w:hAnsi="Times New Roman" w:cs="Times New Roman"/>
                <w:i/>
                <w:u w:val="single"/>
                <w:lang w:val="sr-Cyrl-RS"/>
              </w:rPr>
              <w:t xml:space="preserve"> </w:t>
            </w:r>
            <w:r w:rsidRPr="00B3123E">
              <w:rPr>
                <w:rFonts w:ascii="Times New Roman" w:hAnsi="Times New Roman" w:cs="Times New Roman"/>
                <w:bCs/>
                <w:szCs w:val="24"/>
                <w:lang w:val="sr-Cyrl-RS"/>
              </w:rPr>
              <w:t>Просечна оцена задовољства корисника поштанским услугама изван опсега УПУ (</w:t>
            </w:r>
            <w:r w:rsidR="0037215D" w:rsidRPr="00B3123E">
              <w:rPr>
                <w:rFonts w:ascii="Times New Roman" w:hAnsi="Times New Roman" w:cs="Times New Roman"/>
                <w:bCs/>
                <w:szCs w:val="24"/>
                <w:lang w:val="sr-Cyrl-RS"/>
              </w:rPr>
              <w:t>3,95</w:t>
            </w:r>
            <w:r w:rsidRPr="00B3123E">
              <w:rPr>
                <w:rFonts w:ascii="Times New Roman" w:hAnsi="Times New Roman" w:cs="Times New Roman"/>
                <w:bCs/>
                <w:szCs w:val="24"/>
                <w:lang w:val="sr-Cyrl-RS"/>
              </w:rPr>
              <w:t xml:space="preserve">) </w:t>
            </w:r>
            <w:r w:rsidRPr="00B3123E">
              <w:rPr>
                <w:rFonts w:ascii="Times New Roman" w:hAnsi="Times New Roman" w:cs="Times New Roman"/>
                <w:i/>
                <w:u w:val="single"/>
                <w:lang w:val="sr-Cyrl-RS"/>
              </w:rPr>
              <w:t>циљана вредност у 20</w:t>
            </w:r>
            <w:r w:rsidR="00650426" w:rsidRPr="00B3123E">
              <w:rPr>
                <w:rFonts w:ascii="Times New Roman" w:hAnsi="Times New Roman" w:cs="Times New Roman"/>
                <w:i/>
                <w:u w:val="single"/>
                <w:lang w:val="sr-Cyrl-RS"/>
              </w:rPr>
              <w:t>29</w:t>
            </w:r>
            <w:r w:rsidRPr="00B3123E">
              <w:rPr>
                <w:rFonts w:ascii="Times New Roman" w:hAnsi="Times New Roman" w:cs="Times New Roman"/>
                <w:i/>
                <w:u w:val="single"/>
                <w:lang w:val="sr-Cyrl-RS"/>
              </w:rPr>
              <w:t>. години</w:t>
            </w:r>
            <w:r w:rsidRPr="00B3123E">
              <w:rPr>
                <w:rFonts w:ascii="Times New Roman" w:hAnsi="Times New Roman" w:cs="Times New Roman"/>
                <w:i/>
                <w:lang w:val="sr-Cyrl-RS"/>
              </w:rPr>
              <w:t>:</w:t>
            </w:r>
            <w:r w:rsidR="00E110C9" w:rsidRPr="00B3123E">
              <w:rPr>
                <w:rFonts w:ascii="Times New Roman" w:hAnsi="Times New Roman" w:cs="Times New Roman"/>
                <w:i/>
                <w:lang w:val="sr-Cyrl-RS"/>
              </w:rPr>
              <w:t xml:space="preserve"> </w:t>
            </w:r>
            <w:r w:rsidRPr="00B3123E">
              <w:rPr>
                <w:rFonts w:ascii="Times New Roman" w:hAnsi="Times New Roman" w:cs="Times New Roman"/>
                <w:bCs/>
                <w:szCs w:val="24"/>
                <w:lang w:val="sr-Cyrl-RS"/>
              </w:rPr>
              <w:t>Просечна оцена задовољства корисника поштанским услугама изван опсега УПУ (</w:t>
            </w:r>
            <w:r w:rsidR="0037215D" w:rsidRPr="00B3123E">
              <w:rPr>
                <w:rFonts w:ascii="Times New Roman" w:hAnsi="Times New Roman" w:cs="Times New Roman"/>
                <w:bCs/>
                <w:szCs w:val="24"/>
                <w:lang w:val="sr-Cyrl-RS"/>
              </w:rPr>
              <w:t>4,2</w:t>
            </w:r>
            <w:r w:rsidRPr="00B3123E">
              <w:rPr>
                <w:rFonts w:ascii="Times New Roman" w:hAnsi="Times New Roman" w:cs="Times New Roman"/>
                <w:bCs/>
                <w:szCs w:val="24"/>
                <w:lang w:val="sr-Cyrl-RS"/>
              </w:rPr>
              <w:t>)</w:t>
            </w:r>
            <w:r w:rsidR="00E110C9" w:rsidRPr="00B3123E">
              <w:rPr>
                <w:rFonts w:ascii="Times New Roman" w:hAnsi="Times New Roman" w:cs="Times New Roman"/>
                <w:bCs/>
                <w:szCs w:val="24"/>
                <w:lang w:val="sr-Cyrl-RS"/>
              </w:rPr>
              <w:t xml:space="preserve"> </w:t>
            </w:r>
            <w:r w:rsidRPr="00B3123E">
              <w:rPr>
                <w:rFonts w:ascii="Times New Roman" w:hAnsi="Times New Roman" w:cs="Times New Roman"/>
                <w:bCs/>
                <w:szCs w:val="24"/>
                <w:lang w:val="sr-Cyrl-RS"/>
              </w:rPr>
              <w:t xml:space="preserve"> </w:t>
            </w:r>
            <w:r w:rsidRPr="00B3123E">
              <w:rPr>
                <w:rFonts w:ascii="Times New Roman" w:hAnsi="Times New Roman" w:cs="Times New Roman"/>
                <w:i/>
                <w:u w:val="single"/>
                <w:lang w:val="sr-Cyrl-RS"/>
              </w:rPr>
              <w:t>извор провере:</w:t>
            </w:r>
            <w:r w:rsidR="00D46020" w:rsidRPr="00B3123E">
              <w:rPr>
                <w:rFonts w:ascii="Times New Roman" w:hAnsi="Times New Roman" w:cs="Times New Roman"/>
                <w:i/>
                <w:u w:val="single"/>
                <w:lang w:val="sr-Cyrl-RS"/>
              </w:rPr>
              <w:t xml:space="preserve"> </w:t>
            </w:r>
            <w:r w:rsidRPr="00B3123E">
              <w:rPr>
                <w:rFonts w:ascii="Times New Roman" w:hAnsi="Times New Roman" w:cs="Times New Roman"/>
                <w:iCs/>
                <w:lang w:val="sr-Cyrl-RS"/>
              </w:rPr>
              <w:t>Истраживања РАТЕЛ</w:t>
            </w:r>
          </w:p>
          <w:p w14:paraId="184B2B7F" w14:textId="004582F6" w:rsidR="0037215D" w:rsidRPr="00B3123E" w:rsidRDefault="00E127D2" w:rsidP="0037215D">
            <w:pPr>
              <w:spacing w:after="120"/>
              <w:rPr>
                <w:rFonts w:ascii="Times New Roman" w:hAnsi="Times New Roman" w:cs="Times New Roman"/>
                <w:iCs/>
                <w:lang w:val="sr-Cyrl-RS"/>
              </w:rPr>
            </w:pPr>
            <w:r w:rsidRPr="00B3123E">
              <w:rPr>
                <w:rFonts w:ascii="Times New Roman" w:hAnsi="Times New Roman" w:cs="Times New Roman"/>
                <w:szCs w:val="24"/>
                <w:lang w:val="sr-Cyrl-RS"/>
              </w:rPr>
              <w:t>Просечна оцена задовољства корисника поштанским услугама изван УПУ</w:t>
            </w:r>
            <w:r w:rsidR="0037215D" w:rsidRPr="00B3123E">
              <w:rPr>
                <w:rFonts w:ascii="Times New Roman" w:hAnsi="Times New Roman" w:cs="Times New Roman"/>
                <w:iCs/>
                <w:lang w:val="sr-Cyrl-RS"/>
              </w:rPr>
              <w:t xml:space="preserve"> (правна лица) </w:t>
            </w:r>
          </w:p>
          <w:p w14:paraId="16D06003" w14:textId="66426341" w:rsidR="0037215D" w:rsidRPr="00B3123E" w:rsidRDefault="0037215D" w:rsidP="0037215D">
            <w:pPr>
              <w:spacing w:after="120"/>
              <w:rPr>
                <w:rFonts w:ascii="Times New Roman" w:hAnsi="Times New Roman" w:cs="Times New Roman"/>
                <w:iCs/>
                <w:lang w:val="sr-Cyrl-RS"/>
              </w:rPr>
            </w:pPr>
            <w:r w:rsidRPr="00B3123E">
              <w:rPr>
                <w:rFonts w:ascii="Times New Roman" w:hAnsi="Times New Roman" w:cs="Times New Roman"/>
                <w:i/>
                <w:u w:val="single"/>
                <w:lang w:val="sr-Cyrl-RS"/>
              </w:rPr>
              <w:t>Базна вредност 2025. године:</w:t>
            </w:r>
            <w:r w:rsidR="00E110C9" w:rsidRPr="00B3123E">
              <w:rPr>
                <w:rFonts w:ascii="Times New Roman" w:hAnsi="Times New Roman" w:cs="Times New Roman"/>
                <w:i/>
                <w:lang w:val="sr-Cyrl-RS"/>
              </w:rPr>
              <w:t xml:space="preserve"> </w:t>
            </w:r>
            <w:r w:rsidRPr="00B3123E">
              <w:rPr>
                <w:rFonts w:ascii="Times New Roman" w:hAnsi="Times New Roman" w:cs="Times New Roman"/>
                <w:bCs/>
                <w:szCs w:val="24"/>
                <w:lang w:val="sr-Cyrl-RS"/>
              </w:rPr>
              <w:t xml:space="preserve">Просечна оцена задовољства корисника поштанским услугама изван опсега УПУ (3,95) </w:t>
            </w:r>
            <w:r w:rsidRPr="00B3123E">
              <w:rPr>
                <w:rFonts w:ascii="Times New Roman" w:hAnsi="Times New Roman" w:cs="Times New Roman"/>
                <w:i/>
                <w:u w:val="single"/>
                <w:lang w:val="sr-Cyrl-RS"/>
              </w:rPr>
              <w:t>циљана вредност у 20</w:t>
            </w:r>
            <w:r w:rsidR="00650426" w:rsidRPr="00B3123E">
              <w:rPr>
                <w:rFonts w:ascii="Times New Roman" w:hAnsi="Times New Roman" w:cs="Times New Roman"/>
                <w:i/>
                <w:u w:val="single"/>
                <w:lang w:val="sr-Cyrl-RS"/>
              </w:rPr>
              <w:t>29</w:t>
            </w:r>
            <w:r w:rsidRPr="00B3123E">
              <w:rPr>
                <w:rFonts w:ascii="Times New Roman" w:hAnsi="Times New Roman" w:cs="Times New Roman"/>
                <w:i/>
                <w:u w:val="single"/>
                <w:lang w:val="sr-Cyrl-RS"/>
              </w:rPr>
              <w:t>. години:</w:t>
            </w:r>
            <w:r w:rsidR="00E110C9" w:rsidRPr="00B3123E">
              <w:rPr>
                <w:rFonts w:ascii="Times New Roman" w:hAnsi="Times New Roman" w:cs="Times New Roman"/>
                <w:i/>
                <w:lang w:val="sr-Cyrl-RS"/>
              </w:rPr>
              <w:t xml:space="preserve"> </w:t>
            </w:r>
            <w:r w:rsidRPr="00B3123E">
              <w:rPr>
                <w:rFonts w:ascii="Times New Roman" w:hAnsi="Times New Roman" w:cs="Times New Roman"/>
                <w:bCs/>
                <w:szCs w:val="24"/>
                <w:lang w:val="sr-Cyrl-RS"/>
              </w:rPr>
              <w:t xml:space="preserve">Просечна оцена задовољства корисника поштанским услугама изван опсега УПУ (4,2)  </w:t>
            </w:r>
            <w:r w:rsidRPr="00B3123E">
              <w:rPr>
                <w:rFonts w:ascii="Times New Roman" w:hAnsi="Times New Roman" w:cs="Times New Roman"/>
                <w:i/>
                <w:u w:val="single"/>
                <w:lang w:val="sr-Cyrl-RS"/>
              </w:rPr>
              <w:t>извор провере:</w:t>
            </w:r>
            <w:r w:rsidR="00E110C9" w:rsidRPr="00B3123E">
              <w:rPr>
                <w:rFonts w:ascii="Times New Roman" w:hAnsi="Times New Roman" w:cs="Times New Roman"/>
                <w:i/>
                <w:lang w:val="sr-Cyrl-RS"/>
              </w:rPr>
              <w:t xml:space="preserve"> </w:t>
            </w:r>
            <w:r w:rsidRPr="00B3123E">
              <w:rPr>
                <w:rFonts w:ascii="Times New Roman" w:hAnsi="Times New Roman" w:cs="Times New Roman"/>
                <w:iCs/>
                <w:lang w:val="sr-Cyrl-RS"/>
              </w:rPr>
              <w:t>Истраживања РАТЕЛ</w:t>
            </w:r>
          </w:p>
          <w:p w14:paraId="53000165" w14:textId="77777777" w:rsidR="00326A17" w:rsidRPr="00B3123E" w:rsidRDefault="00326A17" w:rsidP="00326A17">
            <w:pPr>
              <w:spacing w:after="120"/>
              <w:rPr>
                <w:rFonts w:ascii="Times New Roman" w:hAnsi="Times New Roman" w:cs="Times New Roman"/>
                <w:iCs/>
                <w:u w:val="single"/>
                <w:lang w:val="sr-Cyrl-RS"/>
              </w:rPr>
            </w:pPr>
          </w:p>
        </w:tc>
      </w:tr>
    </w:tbl>
    <w:p w14:paraId="07E73745" w14:textId="77777777" w:rsidR="00F6425A" w:rsidRPr="00B3123E" w:rsidRDefault="00F6425A" w:rsidP="00015021">
      <w:pPr>
        <w:spacing w:line="276" w:lineRule="auto"/>
        <w:rPr>
          <w:rFonts w:ascii="Times New Roman" w:hAnsi="Times New Roman" w:cs="Times New Roman"/>
          <w:szCs w:val="24"/>
          <w:lang w:val="sr-Cyrl-RS"/>
        </w:rPr>
      </w:pPr>
    </w:p>
    <w:p w14:paraId="4C400671" w14:textId="41078F30" w:rsidR="00015021" w:rsidRPr="00B3123E" w:rsidRDefault="0032048D" w:rsidP="00015021">
      <w:pPr>
        <w:spacing w:line="276" w:lineRule="auto"/>
        <w:rPr>
          <w:rFonts w:ascii="Times New Roman" w:hAnsi="Times New Roman" w:cs="Times New Roman"/>
          <w:szCs w:val="24"/>
          <w:lang w:val="sr-Cyrl-RS"/>
        </w:rPr>
      </w:pPr>
      <w:r w:rsidRPr="00B3123E">
        <w:rPr>
          <w:rFonts w:ascii="Times New Roman" w:hAnsi="Times New Roman" w:cs="Times New Roman"/>
          <w:noProof/>
          <w:szCs w:val="24"/>
        </w:rPr>
        <mc:AlternateContent>
          <mc:Choice Requires="wps">
            <w:drawing>
              <wp:inline distT="0" distB="0" distL="0" distR="0" wp14:anchorId="41F85C45" wp14:editId="6DF0916A">
                <wp:extent cx="5943600" cy="612775"/>
                <wp:effectExtent l="9525" t="9525" r="9525" b="5080"/>
                <wp:docPr id="5164968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09445"/>
                        </a:xfrm>
                        <a:prstGeom prst="rect">
                          <a:avLst/>
                        </a:prstGeom>
                        <a:solidFill>
                          <a:srgbClr val="FFFFFF"/>
                        </a:solidFill>
                        <a:ln w="9525">
                          <a:solidFill>
                            <a:srgbClr val="000000"/>
                          </a:solidFill>
                          <a:miter lim="800000"/>
                          <a:headEnd/>
                          <a:tailEnd/>
                        </a:ln>
                      </wps:spPr>
                      <wps:txbx>
                        <w:txbxContent>
                          <w:p w14:paraId="227D46D6" w14:textId="1560EDA9" w:rsidR="00011344" w:rsidRPr="0078222F" w:rsidRDefault="00011344" w:rsidP="00A12728">
                            <w:pPr>
                              <w:rPr>
                                <w:rFonts w:ascii="Times New Roman" w:hAnsi="Times New Roman" w:cs="Times New Roman"/>
                                <w:bCs/>
                                <w:i/>
                                <w:lang w:val="ru-RU"/>
                              </w:rPr>
                            </w:pPr>
                            <w:r w:rsidRPr="0078222F">
                              <w:rPr>
                                <w:rFonts w:ascii="Times New Roman" w:hAnsi="Times New Roman" w:cs="Times New Roman"/>
                                <w:b/>
                                <w:i/>
                                <w:u w:val="single"/>
                                <w:lang w:val="ru-RU"/>
                              </w:rPr>
                              <w:t>Посебни циљ 3:</w:t>
                            </w:r>
                            <w:r w:rsidRPr="0078222F">
                              <w:rPr>
                                <w:rFonts w:ascii="Times New Roman" w:hAnsi="Times New Roman" w:cs="Times New Roman"/>
                                <w:b/>
                                <w:i/>
                                <w:lang w:val="ru-RU"/>
                              </w:rPr>
                              <w:t xml:space="preserve"> </w:t>
                            </w:r>
                            <w:r w:rsidRPr="0078222F">
                              <w:rPr>
                                <w:rFonts w:ascii="Times New Roman" w:hAnsi="Times New Roman" w:cs="Times New Roman"/>
                                <w:bCs/>
                                <w:i/>
                                <w:lang w:val="ru-RU"/>
                              </w:rPr>
                              <w:t>Успостављен механизам за примену нових решења и технологија у области поштанског саобраћаја</w:t>
                            </w:r>
                          </w:p>
                          <w:p w14:paraId="3B1354F0" w14:textId="77777777" w:rsidR="00011344" w:rsidRPr="00B118A4" w:rsidRDefault="00011344" w:rsidP="00A12728">
                            <w:pPr>
                              <w:rPr>
                                <w:rFonts w:ascii="Times New Roman" w:hAnsi="Times New Roman" w:cs="Times New Roman"/>
                                <w:b/>
                                <w:bCs/>
                                <w:i/>
                                <w:u w:val="single"/>
                                <w:lang w:val="ru-RU"/>
                              </w:rPr>
                            </w:pPr>
                            <w:r w:rsidRPr="00B118A4">
                              <w:rPr>
                                <w:rFonts w:ascii="Times New Roman" w:hAnsi="Times New Roman" w:cs="Times New Roman"/>
                                <w:b/>
                                <w:bCs/>
                                <w:i/>
                                <w:u w:val="single"/>
                                <w:lang w:val="ru-RU"/>
                              </w:rPr>
                              <w:t>Показатељ исхода на нивоу посебног циља 3:</w:t>
                            </w:r>
                          </w:p>
                          <w:p w14:paraId="6FAE42D1" w14:textId="77777777" w:rsidR="00011344" w:rsidRPr="0078222F" w:rsidRDefault="00011344" w:rsidP="00326A17">
                            <w:pPr>
                              <w:rPr>
                                <w:rFonts w:ascii="Calibri" w:hAnsi="Calibri" w:cs="Calibri"/>
                                <w:i/>
                                <w:iCs/>
                                <w:sz w:val="20"/>
                                <w:szCs w:val="20"/>
                                <w:lang w:val="ru-RU"/>
                              </w:rPr>
                            </w:pPr>
                            <w:bookmarkStart w:id="45" w:name="_Hlk206681352"/>
                            <w:r w:rsidRPr="00B118A4">
                              <w:rPr>
                                <w:rFonts w:ascii="Times New Roman" w:hAnsi="Times New Roman" w:cs="Times New Roman"/>
                                <w:iCs/>
                                <w:lang w:val="ru-RU"/>
                              </w:rPr>
                              <w:t xml:space="preserve">Број нових поштанских услуга заснованих на дигитализацији и примени </w:t>
                            </w:r>
                            <w:r w:rsidRPr="00B118A4">
                              <w:rPr>
                                <w:rFonts w:ascii="Times New Roman" w:hAnsi="Times New Roman" w:cs="Times New Roman"/>
                                <w:iCs/>
                              </w:rPr>
                              <w:t>AI</w:t>
                            </w:r>
                            <w:r w:rsidRPr="0078222F">
                              <w:rPr>
                                <w:rFonts w:ascii="Times New Roman" w:hAnsi="Times New Roman" w:cs="Times New Roman"/>
                                <w:iCs/>
                                <w:lang w:val="ru-RU"/>
                              </w:rPr>
                              <w:t xml:space="preserve"> </w:t>
                            </w:r>
                            <w:bookmarkEnd w:id="45"/>
                          </w:p>
                          <w:p w14:paraId="0B463EA5" w14:textId="6603CAF2" w:rsidR="00011344" w:rsidRPr="0078222F" w:rsidRDefault="00011344" w:rsidP="00273E3D">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
                                <w:lang w:val="ru-RU"/>
                              </w:rPr>
                              <w:t xml:space="preserve"> </w:t>
                            </w:r>
                            <w:r w:rsidRPr="0078222F">
                              <w:rPr>
                                <w:rFonts w:ascii="Times New Roman" w:hAnsi="Times New Roman" w:cs="Times New Roman"/>
                                <w:iCs/>
                                <w:lang w:val="ru-RU"/>
                              </w:rPr>
                              <w:t xml:space="preserve">Број нових поштанских услуга заснованих на дигитализацији и примени </w:t>
                            </w:r>
                            <w:r w:rsidRPr="0037215D">
                              <w:rPr>
                                <w:rFonts w:ascii="Times New Roman" w:hAnsi="Times New Roman" w:cs="Times New Roman"/>
                                <w:i/>
                              </w:rPr>
                              <w:t>AI</w:t>
                            </w:r>
                            <w:r>
                              <w:rPr>
                                <w:rFonts w:ascii="Times New Roman" w:hAnsi="Times New Roman" w:cs="Times New Roman"/>
                                <w:iCs/>
                                <w:lang w:val="ru-RU"/>
                              </w:rPr>
                              <w:t xml:space="preserve"> (0</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D46020">
                              <w:rPr>
                                <w:rFonts w:ascii="Times New Roman" w:hAnsi="Times New Roman" w:cs="Times New Roman"/>
                                <w:i/>
                                <w:lang w:val="sr-Cyrl-RS"/>
                              </w:rPr>
                              <w:t xml:space="preserve"> </w:t>
                            </w:r>
                            <w:r w:rsidRPr="0078222F">
                              <w:rPr>
                                <w:rFonts w:ascii="Times New Roman" w:hAnsi="Times New Roman" w:cs="Times New Roman"/>
                                <w:iCs/>
                                <w:lang w:val="ru-RU"/>
                              </w:rPr>
                              <w:t xml:space="preserve">Број нових поштанских услуга заснованих на дигитализацији и примени </w:t>
                            </w:r>
                            <w:r w:rsidRPr="00355D5D">
                              <w:rPr>
                                <w:rFonts w:ascii="Times New Roman" w:hAnsi="Times New Roman" w:cs="Times New Roman"/>
                                <w:iCs/>
                              </w:rPr>
                              <w:t>AI</w:t>
                            </w:r>
                            <w:r w:rsidRPr="0078222F">
                              <w:rPr>
                                <w:rFonts w:ascii="Times New Roman" w:hAnsi="Times New Roman" w:cs="Times New Roman"/>
                                <w:iCs/>
                                <w:lang w:val="ru-RU"/>
                              </w:rPr>
                              <w:t xml:space="preserve"> (</w:t>
                            </w:r>
                            <w:r>
                              <w:rPr>
                                <w:rFonts w:ascii="Times New Roman" w:hAnsi="Times New Roman" w:cs="Times New Roman"/>
                                <w:iCs/>
                                <w:lang w:val="sr-Latn-RS"/>
                              </w:rPr>
                              <w:t>5</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Pr>
                                <w:rFonts w:ascii="Times New Roman" w:hAnsi="Times New Roman" w:cs="Times New Roman"/>
                                <w:i/>
                                <w:u w:val="single"/>
                                <w:lang w:val="sr-Cyrl-RS"/>
                              </w:rPr>
                              <w:t xml:space="preserve"> </w:t>
                            </w:r>
                            <w:r w:rsidRPr="0078222F">
                              <w:rPr>
                                <w:rFonts w:ascii="Times New Roman" w:hAnsi="Times New Roman" w:cs="Times New Roman"/>
                                <w:iCs/>
                                <w:lang w:val="ru-RU"/>
                              </w:rPr>
                              <w:t xml:space="preserve">Извештаји РАТЕЛ, Извештаји поштанских оператора. </w:t>
                            </w:r>
                          </w:p>
                        </w:txbxContent>
                      </wps:txbx>
                      <wps:bodyPr rot="0" vert="horz" wrap="square" lIns="91440" tIns="45720" rIns="91440" bIns="45720" anchor="t" anchorCtr="0" upright="1">
                        <a:spAutoFit/>
                      </wps:bodyPr>
                    </wps:wsp>
                  </a:graphicData>
                </a:graphic>
              </wp:inline>
            </w:drawing>
          </mc:Choice>
          <mc:Fallback>
            <w:pict>
              <v:shape w14:anchorId="41F85C45" id="Text Box 2" o:spid="_x0000_s1028" type="#_x0000_t202" style="width:468pt;height:4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">
                <v:textbox style="mso-fit-shape-to-text:t">
                  <w:txbxContent>
                    <w:p w14:paraId="227D46D6" w14:textId="1560EDA9" w:rsidR="00011344" w:rsidRPr="0078222F" w:rsidRDefault="00011344" w:rsidP="00A12728">
                      <w:pPr>
                        <w:rPr>
                          <w:rFonts w:ascii="Times New Roman" w:hAnsi="Times New Roman" w:cs="Times New Roman"/>
                          <w:bCs/>
                          <w:i/>
                          <w:lang w:val="ru-RU"/>
                        </w:rPr>
                      </w:pPr>
                      <w:r w:rsidRPr="0078222F">
                        <w:rPr>
                          <w:rFonts w:ascii="Times New Roman" w:hAnsi="Times New Roman" w:cs="Times New Roman"/>
                          <w:b/>
                          <w:i/>
                          <w:u w:val="single"/>
                          <w:lang w:val="ru-RU"/>
                        </w:rPr>
                        <w:t>Посебни циљ 3:</w:t>
                      </w:r>
                      <w:r w:rsidRPr="0078222F">
                        <w:rPr>
                          <w:rFonts w:ascii="Times New Roman" w:hAnsi="Times New Roman" w:cs="Times New Roman"/>
                          <w:b/>
                          <w:i/>
                          <w:lang w:val="ru-RU"/>
                        </w:rPr>
                        <w:t xml:space="preserve"> </w:t>
                      </w:r>
                      <w:r w:rsidRPr="0078222F">
                        <w:rPr>
                          <w:rFonts w:ascii="Times New Roman" w:hAnsi="Times New Roman" w:cs="Times New Roman"/>
                          <w:bCs/>
                          <w:i/>
                          <w:lang w:val="ru-RU"/>
                        </w:rPr>
                        <w:t>Успостављен механизам за примену нових решења и технологија у области поштанског саобраћаја</w:t>
                      </w:r>
                    </w:p>
                    <w:p w14:paraId="3B1354F0" w14:textId="77777777" w:rsidR="00011344" w:rsidRPr="00B118A4" w:rsidRDefault="00011344" w:rsidP="00A12728">
                      <w:pPr>
                        <w:rPr>
                          <w:rFonts w:ascii="Times New Roman" w:hAnsi="Times New Roman" w:cs="Times New Roman"/>
                          <w:b/>
                          <w:bCs/>
                          <w:i/>
                          <w:u w:val="single"/>
                          <w:lang w:val="ru-RU"/>
                        </w:rPr>
                      </w:pPr>
                      <w:r w:rsidRPr="00B118A4">
                        <w:rPr>
                          <w:rFonts w:ascii="Times New Roman" w:hAnsi="Times New Roman" w:cs="Times New Roman"/>
                          <w:b/>
                          <w:bCs/>
                          <w:i/>
                          <w:u w:val="single"/>
                          <w:lang w:val="ru-RU"/>
                        </w:rPr>
                        <w:t>Показатељ исхода на нивоу посебног циља 3:</w:t>
                      </w:r>
                    </w:p>
                    <w:p w14:paraId="6FAE42D1" w14:textId="77777777" w:rsidR="00011344" w:rsidRPr="0078222F" w:rsidRDefault="00011344" w:rsidP="00326A17">
                      <w:pPr>
                        <w:rPr>
                          <w:rFonts w:ascii="Calibri" w:hAnsi="Calibri" w:cs="Calibri"/>
                          <w:i/>
                          <w:iCs/>
                          <w:sz w:val="20"/>
                          <w:szCs w:val="20"/>
                          <w:lang w:val="ru-RU"/>
                        </w:rPr>
                      </w:pPr>
                      <w:bookmarkStart w:id="47" w:name="_Hlk206681352"/>
                      <w:r w:rsidRPr="00B118A4">
                        <w:rPr>
                          <w:rFonts w:ascii="Times New Roman" w:hAnsi="Times New Roman" w:cs="Times New Roman"/>
                          <w:iCs/>
                          <w:lang w:val="ru-RU"/>
                        </w:rPr>
                        <w:t xml:space="preserve">Број нових поштанских услуга заснованих на дигитализацији и примени </w:t>
                      </w:r>
                      <w:r w:rsidRPr="00B118A4">
                        <w:rPr>
                          <w:rFonts w:ascii="Times New Roman" w:hAnsi="Times New Roman" w:cs="Times New Roman"/>
                          <w:iCs/>
                        </w:rPr>
                        <w:t>AI</w:t>
                      </w:r>
                      <w:r w:rsidRPr="0078222F">
                        <w:rPr>
                          <w:rFonts w:ascii="Times New Roman" w:hAnsi="Times New Roman" w:cs="Times New Roman"/>
                          <w:iCs/>
                          <w:lang w:val="ru-RU"/>
                        </w:rPr>
                        <w:t xml:space="preserve"> </w:t>
                      </w:r>
                      <w:bookmarkEnd w:id="47"/>
                    </w:p>
                    <w:p w14:paraId="0B463EA5" w14:textId="6603CAF2" w:rsidR="00011344" w:rsidRPr="0078222F" w:rsidRDefault="00011344" w:rsidP="00273E3D">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
                          <w:lang w:val="ru-RU"/>
                        </w:rPr>
                        <w:t xml:space="preserve"> </w:t>
                      </w:r>
                      <w:r w:rsidRPr="0078222F">
                        <w:rPr>
                          <w:rFonts w:ascii="Times New Roman" w:hAnsi="Times New Roman" w:cs="Times New Roman"/>
                          <w:iCs/>
                          <w:lang w:val="ru-RU"/>
                        </w:rPr>
                        <w:t xml:space="preserve">Број нових поштанских услуга заснованих на дигитализацији и примени </w:t>
                      </w:r>
                      <w:r w:rsidRPr="0037215D">
                        <w:rPr>
                          <w:rFonts w:ascii="Times New Roman" w:hAnsi="Times New Roman" w:cs="Times New Roman"/>
                          <w:i/>
                        </w:rPr>
                        <w:t>AI</w:t>
                      </w:r>
                      <w:r>
                        <w:rPr>
                          <w:rFonts w:ascii="Times New Roman" w:hAnsi="Times New Roman" w:cs="Times New Roman"/>
                          <w:iCs/>
                          <w:lang w:val="ru-RU"/>
                        </w:rPr>
                        <w:t xml:space="preserve"> (0</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D46020">
                        <w:rPr>
                          <w:rFonts w:ascii="Times New Roman" w:hAnsi="Times New Roman" w:cs="Times New Roman"/>
                          <w:i/>
                          <w:lang w:val="sr-Cyrl-RS"/>
                        </w:rPr>
                        <w:t xml:space="preserve"> </w:t>
                      </w:r>
                      <w:r w:rsidRPr="0078222F">
                        <w:rPr>
                          <w:rFonts w:ascii="Times New Roman" w:hAnsi="Times New Roman" w:cs="Times New Roman"/>
                          <w:iCs/>
                          <w:lang w:val="ru-RU"/>
                        </w:rPr>
                        <w:t xml:space="preserve">Број нових поштанских услуга заснованих на дигитализацији и примени </w:t>
                      </w:r>
                      <w:r w:rsidRPr="00355D5D">
                        <w:rPr>
                          <w:rFonts w:ascii="Times New Roman" w:hAnsi="Times New Roman" w:cs="Times New Roman"/>
                          <w:iCs/>
                        </w:rPr>
                        <w:t>AI</w:t>
                      </w:r>
                      <w:r w:rsidRPr="0078222F">
                        <w:rPr>
                          <w:rFonts w:ascii="Times New Roman" w:hAnsi="Times New Roman" w:cs="Times New Roman"/>
                          <w:iCs/>
                          <w:lang w:val="ru-RU"/>
                        </w:rPr>
                        <w:t xml:space="preserve"> (</w:t>
                      </w:r>
                      <w:r>
                        <w:rPr>
                          <w:rFonts w:ascii="Times New Roman" w:hAnsi="Times New Roman" w:cs="Times New Roman"/>
                          <w:iCs/>
                          <w:lang w:val="sr-Latn-RS"/>
                        </w:rPr>
                        <w:t>5</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Pr>
                          <w:rFonts w:ascii="Times New Roman" w:hAnsi="Times New Roman" w:cs="Times New Roman"/>
                          <w:i/>
                          <w:u w:val="single"/>
                          <w:lang w:val="sr-Cyrl-RS"/>
                        </w:rPr>
                        <w:t xml:space="preserve"> </w:t>
                      </w:r>
                      <w:r w:rsidRPr="0078222F">
                        <w:rPr>
                          <w:rFonts w:ascii="Times New Roman" w:hAnsi="Times New Roman" w:cs="Times New Roman"/>
                          <w:iCs/>
                          <w:lang w:val="ru-RU"/>
                        </w:rPr>
                        <w:t xml:space="preserve">Извештаји РАТЕЛ, Извештаји поштанских оператора. </w:t>
                      </w:r>
                    </w:p>
                  </w:txbxContent>
                </v:textbox>
                <w10:anchorlock/>
              </v:shape>
            </w:pict>
          </mc:Fallback>
        </mc:AlternateContent>
      </w:r>
    </w:p>
    <w:p w14:paraId="79D985D3" w14:textId="58B1012A" w:rsidR="005F221A" w:rsidRPr="00B3123E" w:rsidRDefault="005F221A" w:rsidP="000719B0">
      <w:pPr>
        <w:tabs>
          <w:tab w:val="left" w:pos="1440"/>
        </w:tabs>
        <w:rPr>
          <w:rFonts w:ascii="Times New Roman" w:hAnsi="Times New Roman" w:cs="Times New Roman"/>
          <w:szCs w:val="24"/>
          <w:lang w:val="sr-Cyrl-RS"/>
        </w:rPr>
      </w:pPr>
    </w:p>
    <w:p w14:paraId="3E8567D4" w14:textId="608F2289" w:rsidR="005F221A" w:rsidRPr="00B3123E" w:rsidRDefault="00C83CBF" w:rsidP="001B2AAD">
      <w:pPr>
        <w:pStyle w:val="ListParagraph"/>
        <w:numPr>
          <w:ilvl w:val="1"/>
          <w:numId w:val="1"/>
        </w:numPr>
        <w:tabs>
          <w:tab w:val="left" w:pos="1440"/>
        </w:tabs>
        <w:ind w:left="426"/>
        <w:rPr>
          <w:rFonts w:ascii="Times New Roman" w:hAnsi="Times New Roman" w:cs="Times New Roman"/>
          <w:bCs/>
          <w:szCs w:val="24"/>
          <w:u w:val="single"/>
          <w:lang w:val="sr-Cyrl-RS"/>
        </w:rPr>
      </w:pPr>
      <w:r w:rsidRPr="00B3123E">
        <w:rPr>
          <w:rFonts w:ascii="Times New Roman" w:hAnsi="Times New Roman" w:cs="Times New Roman"/>
          <w:bCs/>
          <w:szCs w:val="24"/>
          <w:lang w:val="sr-Cyrl-RS"/>
        </w:rPr>
        <w:t xml:space="preserve"> </w:t>
      </w:r>
      <w:r w:rsidRPr="00B3123E">
        <w:rPr>
          <w:rFonts w:ascii="Times New Roman" w:hAnsi="Times New Roman" w:cs="Times New Roman"/>
          <w:bCs/>
          <w:szCs w:val="24"/>
          <w:u w:val="single"/>
          <w:lang w:val="sr-Cyrl-RS"/>
        </w:rPr>
        <w:t>Анализа опција за остваривање циљева</w:t>
      </w:r>
    </w:p>
    <w:p w14:paraId="2CD301ED" w14:textId="77777777" w:rsidR="00626070" w:rsidRDefault="00C83CBF" w:rsidP="0016788F">
      <w:pPr>
        <w:tabs>
          <w:tab w:val="left" w:pos="709"/>
        </w:tabs>
        <w:rPr>
          <w:rFonts w:ascii="Times New Roman" w:hAnsi="Times New Roman" w:cs="Times New Roman"/>
          <w:szCs w:val="24"/>
          <w:lang w:val="sr-Cyrl-RS"/>
        </w:rPr>
      </w:pPr>
      <w:r w:rsidRPr="00B3123E">
        <w:rPr>
          <w:rFonts w:ascii="Times New Roman" w:hAnsi="Times New Roman" w:cs="Times New Roman"/>
          <w:szCs w:val="24"/>
          <w:lang w:val="sr-Cyrl-RS"/>
        </w:rPr>
        <w:tab/>
      </w:r>
      <w:r w:rsidR="005F221A" w:rsidRPr="00B3123E">
        <w:rPr>
          <w:rFonts w:ascii="Times New Roman" w:hAnsi="Times New Roman" w:cs="Times New Roman"/>
          <w:szCs w:val="24"/>
          <w:lang w:val="sr-Cyrl-RS"/>
        </w:rPr>
        <w:t>За постизање општег циља, у тренутку утврђивања полазних основа и разлога услед којих се приступило изради Програма, сагледане су три алтернативне опције које су пос</w:t>
      </w:r>
    </w:p>
    <w:p w14:paraId="04610219" w14:textId="792C1FF5" w:rsidR="005F221A" w:rsidRPr="00B3123E" w:rsidRDefault="005F221A" w:rsidP="0016788F">
      <w:pPr>
        <w:tabs>
          <w:tab w:val="left" w:pos="709"/>
        </w:tabs>
        <w:rPr>
          <w:rFonts w:ascii="Times New Roman" w:hAnsi="Times New Roman" w:cs="Times New Roman"/>
          <w:szCs w:val="24"/>
          <w:lang w:val="sr-Cyrl-RS"/>
        </w:rPr>
      </w:pPr>
      <w:r w:rsidRPr="00B3123E">
        <w:rPr>
          <w:rFonts w:ascii="Times New Roman" w:hAnsi="Times New Roman" w:cs="Times New Roman"/>
          <w:szCs w:val="24"/>
          <w:lang w:val="sr-Cyrl-RS"/>
        </w:rPr>
        <w:t xml:space="preserve">матране из угла капацитета за испуњење општег циља. Разматране опције: </w:t>
      </w:r>
    </w:p>
    <w:p w14:paraId="189A3EB1" w14:textId="50B3F001" w:rsidR="005F221A" w:rsidRPr="00B3123E" w:rsidRDefault="001C6759" w:rsidP="001C6759">
      <w:pPr>
        <w:tabs>
          <w:tab w:val="left" w:pos="709"/>
        </w:tabs>
        <w:ind w:left="207"/>
        <w:rPr>
          <w:rFonts w:ascii="Times New Roman" w:hAnsi="Times New Roman" w:cs="Times New Roman"/>
          <w:szCs w:val="24"/>
          <w:lang w:val="sr-Cyrl-RS"/>
        </w:rPr>
      </w:pPr>
      <w:r w:rsidRPr="00B3123E">
        <w:rPr>
          <w:rFonts w:ascii="Times New Roman" w:hAnsi="Times New Roman" w:cs="Times New Roman"/>
          <w:szCs w:val="24"/>
          <w:lang w:val="sr-Cyrl-RS"/>
        </w:rPr>
        <w:tab/>
        <w:t xml:space="preserve">1) </w:t>
      </w:r>
      <w:r w:rsidR="005F221A" w:rsidRPr="00B3123E">
        <w:rPr>
          <w:rFonts w:ascii="Times New Roman" w:hAnsi="Times New Roman" w:cs="Times New Roman"/>
          <w:szCs w:val="24"/>
          <w:lang w:val="sr-Cyrl-RS"/>
        </w:rPr>
        <w:t>Опција 1 – Потпуна либерализација тржишта поштанских услуга у Републици Србији независно од приступања ЕУ. Суштински, ова опција  подразумева убрзану либерализацију укидањем резервисаног сервиса и о</w:t>
      </w:r>
      <w:r w:rsidRPr="00B3123E">
        <w:rPr>
          <w:rFonts w:ascii="Times New Roman" w:hAnsi="Times New Roman" w:cs="Times New Roman"/>
          <w:szCs w:val="24"/>
          <w:lang w:val="sr-Cyrl-RS"/>
        </w:rPr>
        <w:t>тварање тржишта за све учеснике;</w:t>
      </w:r>
    </w:p>
    <w:p w14:paraId="7063DC52" w14:textId="5D776929" w:rsidR="005F221A" w:rsidRPr="00B3123E" w:rsidRDefault="001C6759" w:rsidP="001C6759">
      <w:pPr>
        <w:tabs>
          <w:tab w:val="left" w:pos="709"/>
        </w:tabs>
        <w:ind w:left="207"/>
        <w:rPr>
          <w:rFonts w:ascii="Times New Roman" w:hAnsi="Times New Roman" w:cs="Times New Roman"/>
          <w:szCs w:val="24"/>
          <w:lang w:val="sr-Cyrl-RS"/>
        </w:rPr>
      </w:pPr>
      <w:r w:rsidRPr="00B3123E">
        <w:rPr>
          <w:rFonts w:ascii="Times New Roman" w:hAnsi="Times New Roman" w:cs="Times New Roman"/>
          <w:szCs w:val="24"/>
          <w:lang w:val="sr-Cyrl-RS"/>
        </w:rPr>
        <w:lastRenderedPageBreak/>
        <w:tab/>
        <w:t xml:space="preserve">2) </w:t>
      </w:r>
      <w:r w:rsidR="005F221A" w:rsidRPr="00B3123E">
        <w:rPr>
          <w:rFonts w:ascii="Times New Roman" w:hAnsi="Times New Roman" w:cs="Times New Roman"/>
          <w:szCs w:val="24"/>
          <w:lang w:val="sr-Cyrl-RS"/>
        </w:rPr>
        <w:t xml:space="preserve">Опција 2 – </w:t>
      </w:r>
      <w:r w:rsidR="006D6A94" w:rsidRPr="00B3123E">
        <w:rPr>
          <w:rFonts w:ascii="Times New Roman" w:hAnsi="Times New Roman" w:cs="Times New Roman"/>
          <w:szCs w:val="24"/>
          <w:lang w:val="sr-Cyrl-RS"/>
        </w:rPr>
        <w:t>П</w:t>
      </w:r>
      <w:r w:rsidR="004A6CC5" w:rsidRPr="00B3123E">
        <w:rPr>
          <w:rFonts w:ascii="Times New Roman" w:hAnsi="Times New Roman" w:cs="Times New Roman"/>
          <w:szCs w:val="24"/>
          <w:lang w:val="sr-Cyrl-RS"/>
        </w:rPr>
        <w:t>рипрема за потпуну либера</w:t>
      </w:r>
      <w:r w:rsidR="005F221A" w:rsidRPr="00B3123E">
        <w:rPr>
          <w:rFonts w:ascii="Times New Roman" w:hAnsi="Times New Roman" w:cs="Times New Roman"/>
          <w:szCs w:val="24"/>
          <w:lang w:val="sr-Cyrl-RS"/>
        </w:rPr>
        <w:t>лизацију  тржишта поштанских услуга у Републици Србији подразумева постепено укидање резервисаног сервиса и увођење конкуренције у одређеним сегментима поштанских услуга, уз истовремено јачање капацитета ЈПО и институционалног оквира. Фокус је на уравнотеженом приступу – постепеном усклађивању са регулативом ЕУ и правилима тржишта, али без нагле дерегулације која би угрозила одрживост УПУ и на тај начин</w:t>
      </w:r>
      <w:r w:rsidR="00D570D4" w:rsidRPr="00B3123E">
        <w:rPr>
          <w:rFonts w:ascii="Times New Roman" w:hAnsi="Times New Roman" w:cs="Times New Roman"/>
          <w:szCs w:val="24"/>
          <w:lang w:val="sr-Cyrl-RS"/>
        </w:rPr>
        <w:t xml:space="preserve"> </w:t>
      </w:r>
      <w:r w:rsidR="005F221A" w:rsidRPr="00B3123E">
        <w:rPr>
          <w:rFonts w:ascii="Times New Roman" w:hAnsi="Times New Roman" w:cs="Times New Roman"/>
          <w:szCs w:val="24"/>
          <w:lang w:val="sr-Cyrl-RS"/>
        </w:rPr>
        <w:t>стварање предуслова за успостављање потпуне либерализације у тренутку приступања ЕУ. Такође ова опција подразумева и адаптацију УПУ (опсег, квалитет) задржавањем минималног оквира услуга по приступачним ценама, уз дефинисање механизама субвенционисања ако је потребно</w:t>
      </w:r>
      <w:r w:rsidRPr="00B3123E">
        <w:rPr>
          <w:rFonts w:ascii="Times New Roman" w:hAnsi="Times New Roman" w:cs="Times New Roman"/>
          <w:szCs w:val="24"/>
          <w:lang w:val="sr-Cyrl-RS"/>
        </w:rPr>
        <w:t>;</w:t>
      </w:r>
    </w:p>
    <w:p w14:paraId="420835B1" w14:textId="563E6AD7" w:rsidR="005F221A" w:rsidRPr="00B3123E" w:rsidRDefault="001C6759" w:rsidP="001C6759">
      <w:pPr>
        <w:tabs>
          <w:tab w:val="left" w:pos="709"/>
        </w:tabs>
        <w:ind w:left="207"/>
        <w:rPr>
          <w:rFonts w:ascii="Times New Roman" w:hAnsi="Times New Roman" w:cs="Times New Roman"/>
          <w:szCs w:val="24"/>
          <w:lang w:val="sr-Cyrl-RS"/>
        </w:rPr>
      </w:pPr>
      <w:r w:rsidRPr="00B3123E">
        <w:rPr>
          <w:rFonts w:ascii="Times New Roman" w:hAnsi="Times New Roman" w:cs="Times New Roman"/>
          <w:szCs w:val="24"/>
          <w:lang w:val="sr-Cyrl-RS"/>
        </w:rPr>
        <w:tab/>
        <w:t xml:space="preserve">3) </w:t>
      </w:r>
      <w:r w:rsidR="005F221A" w:rsidRPr="00B3123E">
        <w:rPr>
          <w:rFonts w:ascii="Times New Roman" w:hAnsi="Times New Roman" w:cs="Times New Roman"/>
          <w:szCs w:val="24"/>
          <w:lang w:val="sr-Cyrl-RS"/>
        </w:rPr>
        <w:t xml:space="preserve">Опција 3 </w:t>
      </w:r>
      <w:r w:rsidRPr="00B3123E">
        <w:rPr>
          <w:rFonts w:ascii="Times New Roman" w:hAnsi="Times New Roman" w:cs="Times New Roman"/>
          <w:szCs w:val="24"/>
          <w:lang w:val="sr-Cyrl-RS"/>
        </w:rPr>
        <w:t>–</w:t>
      </w:r>
      <w:r w:rsidR="005F221A" w:rsidRPr="00B3123E">
        <w:rPr>
          <w:rFonts w:ascii="Times New Roman" w:hAnsi="Times New Roman" w:cs="Times New Roman"/>
          <w:szCs w:val="24"/>
          <w:lang w:val="sr-Cyrl-RS"/>
        </w:rPr>
        <w:t xml:space="preserve"> Status quo – Задржавање постојећег стања уз даље постојање резервисаног сервиса и селективну примену поштанских прописа ЕУ. Такође, ова опција подразумева и задржавање, у наредном периоду, тренутног опсега и начина пружања УПУ.</w:t>
      </w:r>
    </w:p>
    <w:p w14:paraId="438EAF9D" w14:textId="68953BFE" w:rsidR="005F221A" w:rsidRPr="00B3123E" w:rsidRDefault="00C83CBF" w:rsidP="0016788F">
      <w:pPr>
        <w:tabs>
          <w:tab w:val="left" w:pos="709"/>
        </w:tabs>
        <w:rPr>
          <w:rFonts w:ascii="Times New Roman" w:hAnsi="Times New Roman" w:cs="Times New Roman"/>
          <w:szCs w:val="24"/>
          <w:lang w:val="sr-Cyrl-RS"/>
        </w:rPr>
      </w:pPr>
      <w:r w:rsidRPr="00B3123E">
        <w:rPr>
          <w:rFonts w:ascii="Times New Roman" w:hAnsi="Times New Roman" w:cs="Times New Roman"/>
          <w:szCs w:val="24"/>
          <w:lang w:val="sr-Cyrl-RS"/>
        </w:rPr>
        <w:tab/>
      </w:r>
      <w:r w:rsidR="005F221A" w:rsidRPr="00B3123E">
        <w:rPr>
          <w:rFonts w:ascii="Times New Roman" w:hAnsi="Times New Roman" w:cs="Times New Roman"/>
          <w:szCs w:val="24"/>
          <w:lang w:val="sr-Cyrl-RS"/>
        </w:rPr>
        <w:t>У Табели 5. дат је упоредни приказ основних карактеристика све три опције узимајући у обзир, између осталог, ризик по ЈПО, као и потенцијалне предности и недостатке.</w:t>
      </w:r>
    </w:p>
    <w:p w14:paraId="604B25EF" w14:textId="03BD1B24" w:rsidR="00C83CBF" w:rsidRPr="00B3123E" w:rsidRDefault="00C83CBF" w:rsidP="005F221A">
      <w:pPr>
        <w:tabs>
          <w:tab w:val="left" w:pos="1440"/>
        </w:tabs>
        <w:rPr>
          <w:rFonts w:ascii="Times New Roman" w:hAnsi="Times New Roman" w:cs="Times New Roman"/>
          <w:szCs w:val="24"/>
          <w:lang w:val="sr-Cyrl-RS"/>
        </w:rPr>
      </w:pPr>
    </w:p>
    <w:p w14:paraId="08C6F6C5" w14:textId="77777777" w:rsidR="001C6759" w:rsidRPr="00B3123E" w:rsidRDefault="001C6759" w:rsidP="005F221A">
      <w:pPr>
        <w:tabs>
          <w:tab w:val="left" w:pos="1440"/>
        </w:tabs>
        <w:rPr>
          <w:rFonts w:ascii="Times New Roman" w:hAnsi="Times New Roman" w:cs="Times New Roman"/>
          <w:szCs w:val="24"/>
          <w:lang w:val="sr-Cyrl-RS"/>
        </w:rPr>
      </w:pPr>
    </w:p>
    <w:p w14:paraId="4E4A87CB" w14:textId="21A539D5" w:rsidR="005F221A" w:rsidRPr="00B3123E" w:rsidRDefault="005F221A" w:rsidP="005F221A">
      <w:pPr>
        <w:tabs>
          <w:tab w:val="left" w:pos="1440"/>
        </w:tabs>
        <w:rPr>
          <w:rFonts w:ascii="Times New Roman" w:hAnsi="Times New Roman" w:cs="Times New Roman"/>
          <w:bCs/>
          <w:szCs w:val="24"/>
          <w:lang w:val="sr-Cyrl-RS"/>
        </w:rPr>
      </w:pPr>
      <w:r w:rsidRPr="00B3123E">
        <w:rPr>
          <w:rFonts w:ascii="Times New Roman" w:hAnsi="Times New Roman" w:cs="Times New Roman"/>
          <w:b/>
          <w:bCs/>
          <w:szCs w:val="24"/>
          <w:lang w:val="sr-Cyrl-RS"/>
        </w:rPr>
        <w:t xml:space="preserve">Табела 5. </w:t>
      </w:r>
      <w:r w:rsidRPr="00B3123E">
        <w:rPr>
          <w:rFonts w:ascii="Times New Roman" w:hAnsi="Times New Roman" w:cs="Times New Roman"/>
          <w:szCs w:val="24"/>
          <w:lang w:val="sr-Cyrl-RS"/>
        </w:rPr>
        <w:t xml:space="preserve">Преглед опција развоја </w:t>
      </w:r>
      <w:r w:rsidRPr="00B3123E">
        <w:rPr>
          <w:rFonts w:ascii="Times New Roman" w:hAnsi="Times New Roman" w:cs="Times New Roman"/>
          <w:bCs/>
          <w:szCs w:val="24"/>
          <w:lang w:val="sr-Cyrl-RS"/>
        </w:rPr>
        <w:t>поштанских услуга у Републици Србији</w:t>
      </w:r>
    </w:p>
    <w:tbl>
      <w:tblPr>
        <w:tblStyle w:val="PlainTable31"/>
        <w:tblW w:w="8833" w:type="dxa"/>
        <w:tblLook w:val="04A0" w:firstRow="1" w:lastRow="0" w:firstColumn="1" w:lastColumn="0" w:noHBand="0" w:noVBand="1"/>
      </w:tblPr>
      <w:tblGrid>
        <w:gridCol w:w="1896"/>
        <w:gridCol w:w="2283"/>
        <w:gridCol w:w="2454"/>
        <w:gridCol w:w="2200"/>
      </w:tblGrid>
      <w:tr w:rsidR="00F32D4F" w:rsidRPr="00B3123E" w14:paraId="651FF277" w14:textId="77777777" w:rsidTr="00F972B3">
        <w:trPr>
          <w:cnfStyle w:val="100000000000" w:firstRow="1" w:lastRow="0" w:firstColumn="0" w:lastColumn="0" w:oddVBand="0" w:evenVBand="0" w:oddHBand="0" w:evenHBand="0" w:firstRowFirstColumn="0" w:firstRowLastColumn="0" w:lastRowFirstColumn="0" w:lastRowLastColumn="0"/>
          <w:trHeight w:val="920"/>
          <w:tblHeader/>
        </w:trPr>
        <w:tc>
          <w:tcPr>
            <w:cnfStyle w:val="001000000100" w:firstRow="0" w:lastRow="0" w:firstColumn="1" w:lastColumn="0" w:oddVBand="0" w:evenVBand="0" w:oddHBand="0" w:evenHBand="0" w:firstRowFirstColumn="1" w:firstRowLastColumn="0" w:lastRowFirstColumn="0" w:lastRowLastColumn="0"/>
            <w:tcW w:w="0" w:type="auto"/>
            <w:shd w:val="clear" w:color="auto" w:fill="44546A" w:themeFill="text2"/>
            <w:vAlign w:val="center"/>
            <w:hideMark/>
          </w:tcPr>
          <w:p w14:paraId="1C4844E6" w14:textId="77777777" w:rsidR="005F221A" w:rsidRPr="00B3123E" w:rsidRDefault="005F221A" w:rsidP="00F972B3">
            <w:pPr>
              <w:tabs>
                <w:tab w:val="left" w:pos="1440"/>
              </w:tabs>
              <w:spacing w:after="160"/>
              <w:rPr>
                <w:rFonts w:ascii="Times New Roman" w:hAnsi="Times New Roman" w:cs="Times New Roman"/>
                <w:caps w:val="0"/>
                <w:sz w:val="18"/>
                <w:szCs w:val="18"/>
                <w:lang w:val="sr-Cyrl-RS"/>
              </w:rPr>
            </w:pPr>
          </w:p>
        </w:tc>
        <w:tc>
          <w:tcPr>
            <w:tcW w:w="0" w:type="auto"/>
            <w:shd w:val="clear" w:color="auto" w:fill="44546A" w:themeFill="text2"/>
            <w:vAlign w:val="center"/>
            <w:hideMark/>
          </w:tcPr>
          <w:p w14:paraId="1B87F057" w14:textId="77777777" w:rsidR="005F221A" w:rsidRPr="00B3123E" w:rsidRDefault="005F221A" w:rsidP="00F972B3">
            <w:pPr>
              <w:tabs>
                <w:tab w:val="left" w:pos="144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aps w:val="0"/>
                <w:color w:val="FFFFFF" w:themeColor="background1"/>
                <w:sz w:val="18"/>
                <w:szCs w:val="18"/>
                <w:lang w:val="sr-Cyrl-RS"/>
              </w:rPr>
            </w:pPr>
            <w:r w:rsidRPr="00B3123E">
              <w:rPr>
                <w:rFonts w:ascii="Times New Roman" w:hAnsi="Times New Roman" w:cs="Times New Roman"/>
                <w:color w:val="FFFFFF" w:themeColor="background1"/>
                <w:sz w:val="18"/>
                <w:szCs w:val="18"/>
                <w:lang w:val="sr-Cyrl-RS"/>
              </w:rPr>
              <w:t xml:space="preserve">Опција 1 – </w:t>
            </w:r>
            <w:r w:rsidRPr="00B3123E">
              <w:rPr>
                <w:rFonts w:ascii="Times New Roman" w:hAnsi="Times New Roman" w:cs="Times New Roman"/>
                <w:caps w:val="0"/>
                <w:color w:val="FFFFFF" w:themeColor="background1"/>
                <w:sz w:val="18"/>
                <w:szCs w:val="18"/>
                <w:lang w:val="sr-Cyrl-RS"/>
              </w:rPr>
              <w:t>Потпуна либерализација</w:t>
            </w:r>
          </w:p>
          <w:p w14:paraId="491C09B4" w14:textId="77777777" w:rsidR="005F221A" w:rsidRPr="00B3123E" w:rsidRDefault="005F221A" w:rsidP="00F972B3">
            <w:pPr>
              <w:tabs>
                <w:tab w:val="left" w:pos="144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aps w:val="0"/>
                <w:color w:val="FFFFFF" w:themeColor="background1"/>
                <w:sz w:val="18"/>
                <w:szCs w:val="18"/>
                <w:lang w:val="sr-Cyrl-RS"/>
              </w:rPr>
            </w:pPr>
          </w:p>
        </w:tc>
        <w:tc>
          <w:tcPr>
            <w:tcW w:w="0" w:type="auto"/>
            <w:shd w:val="clear" w:color="auto" w:fill="44546A" w:themeFill="text2"/>
            <w:vAlign w:val="center"/>
          </w:tcPr>
          <w:p w14:paraId="53AD1EE6" w14:textId="77777777" w:rsidR="005F221A" w:rsidRPr="00B3123E" w:rsidRDefault="005F221A" w:rsidP="00F972B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aps w:val="0"/>
                <w:color w:val="FFFFFF" w:themeColor="background1"/>
                <w:sz w:val="18"/>
                <w:szCs w:val="18"/>
                <w:lang w:val="sr-Cyrl-RS"/>
              </w:rPr>
            </w:pPr>
            <w:r w:rsidRPr="00B3123E">
              <w:rPr>
                <w:rFonts w:ascii="Times New Roman" w:hAnsi="Times New Roman" w:cs="Times New Roman"/>
                <w:color w:val="FFFFFF" w:themeColor="background1"/>
                <w:sz w:val="18"/>
                <w:szCs w:val="18"/>
                <w:lang w:val="sr-Cyrl-RS"/>
              </w:rPr>
              <w:t>Опција 2 –</w:t>
            </w:r>
            <w:r w:rsidRPr="00B3123E">
              <w:rPr>
                <w:rFonts w:ascii="Times New Roman" w:hAnsi="Times New Roman" w:cs="Times New Roman"/>
                <w:caps w:val="0"/>
                <w:color w:val="FFFFFF" w:themeColor="background1"/>
                <w:sz w:val="18"/>
                <w:szCs w:val="18"/>
                <w:lang w:val="sr-Cyrl-RS"/>
              </w:rPr>
              <w:t>Припрема за потпуну либерализацију</w:t>
            </w:r>
          </w:p>
        </w:tc>
        <w:tc>
          <w:tcPr>
            <w:tcW w:w="0" w:type="auto"/>
            <w:shd w:val="clear" w:color="auto" w:fill="44546A" w:themeFill="text2"/>
            <w:vAlign w:val="center"/>
            <w:hideMark/>
          </w:tcPr>
          <w:p w14:paraId="33873599" w14:textId="77777777" w:rsidR="005F221A" w:rsidRPr="00B3123E" w:rsidRDefault="005F221A" w:rsidP="00F972B3">
            <w:pPr>
              <w:tabs>
                <w:tab w:val="left" w:pos="144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aps w:val="0"/>
                <w:color w:val="FFFFFF" w:themeColor="background1"/>
                <w:sz w:val="18"/>
                <w:szCs w:val="18"/>
                <w:lang w:val="sr-Cyrl-RS"/>
              </w:rPr>
            </w:pPr>
            <w:r w:rsidRPr="00B3123E">
              <w:rPr>
                <w:rFonts w:ascii="Times New Roman" w:hAnsi="Times New Roman" w:cs="Times New Roman"/>
                <w:color w:val="FFFFFF" w:themeColor="background1"/>
                <w:sz w:val="18"/>
                <w:szCs w:val="18"/>
                <w:lang w:val="sr-Cyrl-RS"/>
              </w:rPr>
              <w:t xml:space="preserve">Опција 3 – </w:t>
            </w:r>
            <w:r w:rsidRPr="00B3123E">
              <w:rPr>
                <w:rFonts w:ascii="Times New Roman" w:hAnsi="Times New Roman" w:cs="Times New Roman"/>
                <w:caps w:val="0"/>
                <w:color w:val="FFFFFF" w:themeColor="background1"/>
                <w:sz w:val="18"/>
                <w:szCs w:val="18"/>
                <w:lang w:val="sr-Cyrl-RS"/>
              </w:rPr>
              <w:t xml:space="preserve">Статус </w:t>
            </w:r>
            <w:r w:rsidRPr="00B3123E">
              <w:rPr>
                <w:rFonts w:ascii="Times New Roman" w:hAnsi="Times New Roman" w:cs="Times New Roman"/>
                <w:i/>
                <w:iCs/>
                <w:color w:val="FFFFFF" w:themeColor="background1"/>
                <w:sz w:val="18"/>
                <w:szCs w:val="18"/>
                <w:lang w:val="sr-Cyrl-RS"/>
              </w:rPr>
              <w:t>QUo</w:t>
            </w:r>
          </w:p>
        </w:tc>
      </w:tr>
      <w:tr w:rsidR="00F32D4F" w:rsidRPr="00B3123E" w14:paraId="2427AD8A"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hideMark/>
          </w:tcPr>
          <w:p w14:paraId="15A5AECD"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Опис</w:t>
            </w:r>
          </w:p>
        </w:tc>
        <w:tc>
          <w:tcPr>
            <w:tcW w:w="0" w:type="auto"/>
            <w:shd w:val="clear" w:color="auto" w:fill="D5DCE4" w:themeFill="text2" w:themeFillTint="33"/>
            <w:hideMark/>
          </w:tcPr>
          <w:p w14:paraId="102FB3B6"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Потпуно укидање резервисаног сервиса и отварање тржишта за све учеснике, независно од ЕУ процеса.</w:t>
            </w:r>
          </w:p>
        </w:tc>
        <w:tc>
          <w:tcPr>
            <w:tcW w:w="0" w:type="auto"/>
            <w:shd w:val="clear" w:color="auto" w:fill="D5DCE4" w:themeFill="text2" w:themeFillTint="33"/>
          </w:tcPr>
          <w:p w14:paraId="604823C1" w14:textId="140C79A8"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Постепено укидање резервисаног сервиса, увођење конкуренције у фазама, паралелно јачање ЈПО  и </w:t>
            </w:r>
            <w:r w:rsidR="00F32D4F" w:rsidRPr="00B3123E">
              <w:rPr>
                <w:rFonts w:ascii="Times New Roman" w:hAnsi="Times New Roman" w:cs="Times New Roman"/>
                <w:sz w:val="18"/>
                <w:szCs w:val="18"/>
                <w:lang w:val="sr-Cyrl-RS"/>
              </w:rPr>
              <w:t xml:space="preserve">даље унапређење </w:t>
            </w:r>
            <w:r w:rsidRPr="00B3123E">
              <w:rPr>
                <w:rFonts w:ascii="Times New Roman" w:hAnsi="Times New Roman" w:cs="Times New Roman"/>
                <w:sz w:val="18"/>
                <w:szCs w:val="18"/>
                <w:lang w:val="sr-Cyrl-RS"/>
              </w:rPr>
              <w:t>регулативе.</w:t>
            </w:r>
          </w:p>
        </w:tc>
        <w:tc>
          <w:tcPr>
            <w:tcW w:w="0" w:type="auto"/>
            <w:shd w:val="clear" w:color="auto" w:fill="D5DCE4" w:themeFill="text2" w:themeFillTint="33"/>
            <w:hideMark/>
          </w:tcPr>
          <w:p w14:paraId="4A907D67"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Задржавање постојећег стања, резервисаног сервиса и селективне примене ЕУ прописа.</w:t>
            </w:r>
          </w:p>
        </w:tc>
      </w:tr>
      <w:tr w:rsidR="00F32D4F" w:rsidRPr="00B3123E" w14:paraId="4B589CAA" w14:textId="77777777" w:rsidTr="00F972B3">
        <w:tc>
          <w:tcPr>
            <w:cnfStyle w:val="001000000000" w:firstRow="0" w:lastRow="0" w:firstColumn="1" w:lastColumn="0" w:oddVBand="0" w:evenVBand="0" w:oddHBand="0" w:evenHBand="0" w:firstRowFirstColumn="0" w:firstRowLastColumn="0" w:lastRowFirstColumn="0" w:lastRowLastColumn="0"/>
            <w:tcW w:w="0" w:type="auto"/>
            <w:hideMark/>
          </w:tcPr>
          <w:p w14:paraId="213947CC"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Универзална услуга</w:t>
            </w:r>
          </w:p>
        </w:tc>
        <w:tc>
          <w:tcPr>
            <w:tcW w:w="0" w:type="auto"/>
            <w:hideMark/>
          </w:tcPr>
          <w:p w14:paraId="2D842D95"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Потенцијално угрожена, потребни снажни механизми субвенционисања.</w:t>
            </w:r>
          </w:p>
          <w:p w14:paraId="42D58A1D"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c>
          <w:tcPr>
            <w:tcW w:w="0" w:type="auto"/>
          </w:tcPr>
          <w:p w14:paraId="15206456"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Задржана, али уз редизајн и адаптацију; постепено финансијско реструктурирање.</w:t>
            </w:r>
          </w:p>
        </w:tc>
        <w:tc>
          <w:tcPr>
            <w:tcW w:w="0" w:type="auto"/>
            <w:hideMark/>
          </w:tcPr>
          <w:p w14:paraId="16B5FD01"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Задржана у садашњем обиму, али уз ризик застаревања и неконкурентности.</w:t>
            </w:r>
          </w:p>
          <w:p w14:paraId="5EB7C6F5"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r>
      <w:tr w:rsidR="00F32D4F" w:rsidRPr="00B3123E" w14:paraId="4F01A8D0"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hideMark/>
          </w:tcPr>
          <w:p w14:paraId="217F02AC"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Конкуренција</w:t>
            </w:r>
          </w:p>
        </w:tc>
        <w:tc>
          <w:tcPr>
            <w:tcW w:w="0" w:type="auto"/>
            <w:shd w:val="clear" w:color="auto" w:fill="D5DCE4" w:themeFill="text2" w:themeFillTint="33"/>
            <w:hideMark/>
          </w:tcPr>
          <w:p w14:paraId="20963CF4"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Максимална и тренутна, повећава иновације и ефикасност.</w:t>
            </w:r>
          </w:p>
        </w:tc>
        <w:tc>
          <w:tcPr>
            <w:tcW w:w="0" w:type="auto"/>
            <w:shd w:val="clear" w:color="auto" w:fill="D5DCE4" w:themeFill="text2" w:themeFillTint="33"/>
          </w:tcPr>
          <w:p w14:paraId="3EAD2685"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Умерена и постепено растућа, контролисана кроз фазе либерализације.</w:t>
            </w:r>
          </w:p>
          <w:p w14:paraId="13AB99E8"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p>
        </w:tc>
        <w:tc>
          <w:tcPr>
            <w:tcW w:w="0" w:type="auto"/>
            <w:shd w:val="clear" w:color="auto" w:fill="D5DCE4" w:themeFill="text2" w:themeFillTint="33"/>
            <w:hideMark/>
          </w:tcPr>
          <w:p w14:paraId="393C07BD"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Ограничена, само у нерезервисаним сегментима.</w:t>
            </w:r>
          </w:p>
        </w:tc>
      </w:tr>
      <w:tr w:rsidR="00F32D4F" w:rsidRPr="00B3123E" w14:paraId="61B5B56A" w14:textId="77777777" w:rsidTr="00F972B3">
        <w:tc>
          <w:tcPr>
            <w:cnfStyle w:val="001000000000" w:firstRow="0" w:lastRow="0" w:firstColumn="1" w:lastColumn="0" w:oddVBand="0" w:evenVBand="0" w:oddHBand="0" w:evenHBand="0" w:firstRowFirstColumn="0" w:firstRowLastColumn="0" w:lastRowFirstColumn="0" w:lastRowLastColumn="0"/>
            <w:tcW w:w="0" w:type="auto"/>
            <w:hideMark/>
          </w:tcPr>
          <w:p w14:paraId="0DB61486"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Ризик по јавног оператора</w:t>
            </w:r>
          </w:p>
        </w:tc>
        <w:tc>
          <w:tcPr>
            <w:tcW w:w="0" w:type="auto"/>
            <w:hideMark/>
          </w:tcPr>
          <w:p w14:paraId="1D3E0DCE"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Висок – могућа дестабилизација и губитак тржишног удела</w:t>
            </w:r>
          </w:p>
          <w:p w14:paraId="70A4695B"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c>
          <w:tcPr>
            <w:tcW w:w="0" w:type="auto"/>
          </w:tcPr>
          <w:p w14:paraId="6E6AB9DF"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Средњи – ЈПО има време за адаптацију и модернизацију.</w:t>
            </w:r>
          </w:p>
        </w:tc>
        <w:tc>
          <w:tcPr>
            <w:tcW w:w="0" w:type="auto"/>
            <w:hideMark/>
          </w:tcPr>
          <w:p w14:paraId="0F699CEC"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Низак краткорочно, али висок дугорочно (ризик стагнације).</w:t>
            </w:r>
          </w:p>
        </w:tc>
      </w:tr>
      <w:tr w:rsidR="00F32D4F" w:rsidRPr="00B3123E" w14:paraId="30B899BA"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hideMark/>
          </w:tcPr>
          <w:p w14:paraId="12FD9FBE"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Усклађеност са ЕУ</w:t>
            </w:r>
          </w:p>
        </w:tc>
        <w:tc>
          <w:tcPr>
            <w:tcW w:w="0" w:type="auto"/>
            <w:shd w:val="clear" w:color="auto" w:fill="D5DCE4" w:themeFill="text2" w:themeFillTint="33"/>
            <w:hideMark/>
          </w:tcPr>
          <w:p w14:paraId="26E5F5A5"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Брза и потпуна, али једнострана.</w:t>
            </w:r>
          </w:p>
        </w:tc>
        <w:tc>
          <w:tcPr>
            <w:tcW w:w="0" w:type="auto"/>
            <w:shd w:val="clear" w:color="auto" w:fill="D5DCE4" w:themeFill="text2" w:themeFillTint="33"/>
          </w:tcPr>
          <w:p w14:paraId="5F0D8891"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Поступна, усклађена са динамиком преговора и приступања ЕУ.</w:t>
            </w:r>
          </w:p>
        </w:tc>
        <w:tc>
          <w:tcPr>
            <w:tcW w:w="0" w:type="auto"/>
            <w:shd w:val="clear" w:color="auto" w:fill="D5DCE4" w:themeFill="text2" w:themeFillTint="33"/>
            <w:hideMark/>
          </w:tcPr>
          <w:p w14:paraId="253D0369" w14:textId="7907D85E"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Делимична, селективна примена </w:t>
            </w:r>
            <w:r w:rsidR="00EF1177" w:rsidRPr="00B3123E">
              <w:rPr>
                <w:rFonts w:ascii="Times New Roman" w:hAnsi="Times New Roman" w:cs="Times New Roman"/>
                <w:sz w:val="18"/>
                <w:szCs w:val="18"/>
                <w:lang w:val="sr-Cyrl-RS"/>
              </w:rPr>
              <w:t>ЕУ регулативе.</w:t>
            </w:r>
          </w:p>
        </w:tc>
      </w:tr>
      <w:tr w:rsidR="00626070" w:rsidRPr="00B3123E" w14:paraId="6EBC8715" w14:textId="77777777" w:rsidTr="00F972B3">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14:paraId="09C4855D" w14:textId="51971C13" w:rsidR="00626070" w:rsidRPr="00B3123E" w:rsidRDefault="00626070" w:rsidP="00F972B3">
            <w:pPr>
              <w:tabs>
                <w:tab w:val="left" w:pos="1440"/>
              </w:tabs>
              <w:spacing w:before="120"/>
              <w:jc w:val="left"/>
              <w:rPr>
                <w:rFonts w:ascii="Times New Roman" w:hAnsi="Times New Roman" w:cs="Times New Roman"/>
                <w:sz w:val="18"/>
                <w:szCs w:val="18"/>
                <w:lang w:val="sr-Cyrl-RS"/>
              </w:rPr>
            </w:pPr>
          </w:p>
        </w:tc>
        <w:tc>
          <w:tcPr>
            <w:tcW w:w="0" w:type="auto"/>
            <w:shd w:val="clear" w:color="auto" w:fill="D5DCE4" w:themeFill="text2" w:themeFillTint="33"/>
          </w:tcPr>
          <w:p w14:paraId="533CF396" w14:textId="77777777" w:rsidR="00626070" w:rsidRPr="00B3123E" w:rsidRDefault="00626070"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c>
          <w:tcPr>
            <w:tcW w:w="0" w:type="auto"/>
            <w:shd w:val="clear" w:color="auto" w:fill="D5DCE4" w:themeFill="text2" w:themeFillTint="33"/>
          </w:tcPr>
          <w:p w14:paraId="6459A12C" w14:textId="77777777" w:rsidR="00626070" w:rsidRPr="00B3123E" w:rsidRDefault="00626070"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c>
          <w:tcPr>
            <w:tcW w:w="0" w:type="auto"/>
            <w:shd w:val="clear" w:color="auto" w:fill="D5DCE4" w:themeFill="text2" w:themeFillTint="33"/>
          </w:tcPr>
          <w:p w14:paraId="5D891376" w14:textId="77777777" w:rsidR="00626070" w:rsidRPr="00B3123E" w:rsidRDefault="00626070"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r>
      <w:tr w:rsidR="00F32D4F" w:rsidRPr="00B3123E" w14:paraId="77FBFF58"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4EE5275" w14:textId="748CE6CD"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lastRenderedPageBreak/>
              <w:t>Предности</w:t>
            </w:r>
          </w:p>
        </w:tc>
        <w:tc>
          <w:tcPr>
            <w:tcW w:w="0" w:type="auto"/>
            <w:hideMark/>
          </w:tcPr>
          <w:p w14:paraId="35DE1CD5" w14:textId="642907B8"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Брзо отварање тржишта - Повећање ефикасности и избора за кориснике - Подстицај иновацијама</w:t>
            </w:r>
          </w:p>
        </w:tc>
        <w:tc>
          <w:tcPr>
            <w:tcW w:w="0" w:type="auto"/>
          </w:tcPr>
          <w:p w14:paraId="2504F86A"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Уравнотежен приступ - Постепено јачање конкурентности - Заштита јавног интереса и одрживост УПУ</w:t>
            </w:r>
          </w:p>
        </w:tc>
        <w:tc>
          <w:tcPr>
            <w:tcW w:w="0" w:type="auto"/>
            <w:hideMark/>
          </w:tcPr>
          <w:p w14:paraId="4ABAB69A"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Стабилност система - Очуван ЈПО - Без шокова у сектору</w:t>
            </w:r>
          </w:p>
        </w:tc>
      </w:tr>
      <w:tr w:rsidR="00F32D4F" w:rsidRPr="00B3123E" w14:paraId="23A9179F" w14:textId="77777777" w:rsidTr="00F972B3">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hideMark/>
          </w:tcPr>
          <w:p w14:paraId="197FC52A"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Недостаци</w:t>
            </w:r>
          </w:p>
        </w:tc>
        <w:tc>
          <w:tcPr>
            <w:tcW w:w="0" w:type="auto"/>
            <w:shd w:val="clear" w:color="auto" w:fill="D5DCE4" w:themeFill="text2" w:themeFillTint="33"/>
            <w:hideMark/>
          </w:tcPr>
          <w:p w14:paraId="55BB88D7"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Висок ризик по одрживост универзалне услуге - Могућа социјална и финансијска дестабилизација</w:t>
            </w:r>
          </w:p>
        </w:tc>
        <w:tc>
          <w:tcPr>
            <w:tcW w:w="0" w:type="auto"/>
            <w:shd w:val="clear" w:color="auto" w:fill="D5DCE4" w:themeFill="text2" w:themeFillTint="33"/>
          </w:tcPr>
          <w:p w14:paraId="167D7CDF"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Спорије видљиви ефекти - Потребни снажни капацитети за управљање процесом</w:t>
            </w:r>
          </w:p>
        </w:tc>
        <w:tc>
          <w:tcPr>
            <w:tcW w:w="0" w:type="auto"/>
            <w:shd w:val="clear" w:color="auto" w:fill="D5DCE4" w:themeFill="text2" w:themeFillTint="33"/>
            <w:hideMark/>
          </w:tcPr>
          <w:p w14:paraId="672C258A"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Стагнација тржишта - Слаб квалитет услуга - Одлагање реформи и ЕУ усклађивања</w:t>
            </w:r>
          </w:p>
        </w:tc>
      </w:tr>
      <w:tr w:rsidR="00F32D4F" w:rsidRPr="00B3123E" w14:paraId="5B21A7BC"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bottom w:val="single" w:sz="8" w:space="0" w:color="323E4F" w:themeColor="text2" w:themeShade="BF"/>
            </w:tcBorders>
            <w:hideMark/>
          </w:tcPr>
          <w:p w14:paraId="28FBE53C"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Општа оцена</w:t>
            </w:r>
          </w:p>
        </w:tc>
        <w:tc>
          <w:tcPr>
            <w:tcW w:w="0" w:type="auto"/>
            <w:tcBorders>
              <w:bottom w:val="single" w:sz="8" w:space="0" w:color="323E4F" w:themeColor="text2" w:themeShade="BF"/>
            </w:tcBorders>
            <w:hideMark/>
          </w:tcPr>
          <w:p w14:paraId="62960AA8"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Радикална промена, високи бенефити али и високи ризици.</w:t>
            </w:r>
          </w:p>
        </w:tc>
        <w:tc>
          <w:tcPr>
            <w:tcW w:w="0" w:type="auto"/>
            <w:tcBorders>
              <w:bottom w:val="single" w:sz="8" w:space="0" w:color="323E4F" w:themeColor="text2" w:themeShade="BF"/>
            </w:tcBorders>
          </w:tcPr>
          <w:p w14:paraId="3123C365"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Најбалансиранија опција – постепени прелаз између стабилности и либерализације.</w:t>
            </w:r>
          </w:p>
        </w:tc>
        <w:tc>
          <w:tcPr>
            <w:tcW w:w="0" w:type="auto"/>
            <w:tcBorders>
              <w:bottom w:val="single" w:sz="8" w:space="0" w:color="323E4F" w:themeColor="text2" w:themeShade="BF"/>
            </w:tcBorders>
            <w:hideMark/>
          </w:tcPr>
          <w:p w14:paraId="440BD6E7"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Краткорочна стабилност, дугорочни губитак конкурентности.</w:t>
            </w:r>
          </w:p>
          <w:p w14:paraId="15403443"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p>
        </w:tc>
      </w:tr>
    </w:tbl>
    <w:p w14:paraId="56F52436" w14:textId="50DF30B2" w:rsidR="00E97BC7" w:rsidRPr="00B3123E" w:rsidRDefault="00E97BC7" w:rsidP="005F221A">
      <w:pPr>
        <w:tabs>
          <w:tab w:val="left" w:pos="1440"/>
        </w:tabs>
        <w:rPr>
          <w:rFonts w:ascii="Times New Roman" w:hAnsi="Times New Roman" w:cs="Times New Roman"/>
          <w:szCs w:val="24"/>
          <w:lang w:val="sr-Cyrl-RS"/>
        </w:rPr>
      </w:pPr>
    </w:p>
    <w:p w14:paraId="1D5BFA07" w14:textId="77777777" w:rsidR="00E97BC7" w:rsidRPr="00B3123E" w:rsidRDefault="00E97BC7" w:rsidP="005F221A">
      <w:pPr>
        <w:tabs>
          <w:tab w:val="left" w:pos="1440"/>
        </w:tabs>
        <w:rPr>
          <w:rFonts w:ascii="Times New Roman" w:hAnsi="Times New Roman" w:cs="Times New Roman"/>
          <w:szCs w:val="24"/>
          <w:lang w:val="sr-Cyrl-RS"/>
        </w:rPr>
      </w:pPr>
    </w:p>
    <w:p w14:paraId="0F5D9456" w14:textId="77777777" w:rsidR="005F221A" w:rsidRPr="00B3123E" w:rsidRDefault="005F221A" w:rsidP="0016788F">
      <w:pPr>
        <w:spacing w:after="0"/>
        <w:rPr>
          <w:rFonts w:ascii="Times New Roman" w:hAnsi="Times New Roman" w:cs="Times New Roman"/>
          <w:szCs w:val="24"/>
          <w:lang w:val="sr-Cyrl-RS"/>
        </w:rPr>
      </w:pPr>
      <w:r w:rsidRPr="00B3123E">
        <w:rPr>
          <w:rFonts w:ascii="Times New Roman" w:hAnsi="Times New Roman" w:cs="Times New Roman"/>
          <w:szCs w:val="24"/>
          <w:lang w:val="sr-Cyrl-RS"/>
        </w:rPr>
        <w:tab/>
        <w:t xml:space="preserve">У поређењу опција, коришћена је вишекритеријумска анализа, коришћењем следећих критеријума за оцену опција: </w:t>
      </w:r>
    </w:p>
    <w:p w14:paraId="14106CB4"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ефективност – у којој мери се постиже општи циљ; </w:t>
      </w:r>
    </w:p>
    <w:p w14:paraId="5526F77A"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конзистентност – у којој мери су политике Владе конзистентне једна са другом, тј. којом опцијом се постиже највиши ниво усаглашености политика Владе;</w:t>
      </w:r>
    </w:p>
    <w:p w14:paraId="52F0E51A"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трошкови спровођења – колики су трошкови спровођења опције; </w:t>
      </w:r>
    </w:p>
    <w:p w14:paraId="7E91F1DB"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одрживост – изгледност да ће одабрани модел резултирати одрживим напретком; </w:t>
      </w:r>
    </w:p>
    <w:p w14:paraId="3FF84F7A"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степен координације – ефикасност надзора над применом, тј. којом опцијом се обезбеђује најбољи координативни механизам. </w:t>
      </w:r>
    </w:p>
    <w:p w14:paraId="340DCAF8" w14:textId="093F6888" w:rsidR="005F221A" w:rsidRPr="00B3123E" w:rsidRDefault="005F221A" w:rsidP="0016788F">
      <w:pPr>
        <w:tabs>
          <w:tab w:val="left" w:pos="709"/>
        </w:tabs>
        <w:spacing w:after="240"/>
        <w:rPr>
          <w:rFonts w:ascii="Times New Roman" w:hAnsi="Times New Roman" w:cs="Times New Roman"/>
          <w:szCs w:val="24"/>
          <w:lang w:val="sr-Cyrl-RS"/>
        </w:rPr>
      </w:pPr>
      <w:r w:rsidRPr="00B3123E">
        <w:rPr>
          <w:rFonts w:ascii="Times New Roman" w:hAnsi="Times New Roman" w:cs="Times New Roman"/>
          <w:szCs w:val="24"/>
          <w:lang w:val="sr-Cyrl-RS"/>
        </w:rPr>
        <w:tab/>
        <w:t>У анализи је коришћен модел по коме се свака опција у односу на предметни критеријум оцењује у односу на друге опције у распону од 1 до 5 (5 je највиша оцена). Такође, за сваки критеријум дефинисан је степен важности (тежински коефицијент) који критеријуми се сматрају одлучујућим, те су у том смислу ефективност, одрживост и степен координације одређени као најбитнији критеријуми за оцену опције. Коначан ранг опције се добије множењем тежинских коефицијената са оценом сваке опције (Табела 6.).</w:t>
      </w:r>
    </w:p>
    <w:p w14:paraId="6099CE0B" w14:textId="455ECF33" w:rsidR="001C6759" w:rsidRPr="00B3123E" w:rsidRDefault="001C6759" w:rsidP="0016788F">
      <w:pPr>
        <w:tabs>
          <w:tab w:val="left" w:pos="709"/>
        </w:tabs>
        <w:spacing w:after="240"/>
        <w:rPr>
          <w:rFonts w:ascii="Times New Roman" w:hAnsi="Times New Roman" w:cs="Times New Roman"/>
          <w:szCs w:val="24"/>
          <w:lang w:val="sr-Cyrl-RS"/>
        </w:rPr>
      </w:pPr>
    </w:p>
    <w:p w14:paraId="613FC0E0" w14:textId="163A5B19" w:rsidR="001C6759" w:rsidRDefault="001C6759" w:rsidP="0016788F">
      <w:pPr>
        <w:tabs>
          <w:tab w:val="left" w:pos="709"/>
        </w:tabs>
        <w:spacing w:after="240"/>
        <w:rPr>
          <w:rFonts w:ascii="Times New Roman" w:hAnsi="Times New Roman" w:cs="Times New Roman"/>
          <w:szCs w:val="24"/>
          <w:lang w:val="sr-Cyrl-RS"/>
        </w:rPr>
      </w:pPr>
    </w:p>
    <w:p w14:paraId="57C57A24" w14:textId="4DEB896C" w:rsidR="008637E5" w:rsidRDefault="008637E5" w:rsidP="0016788F">
      <w:pPr>
        <w:tabs>
          <w:tab w:val="left" w:pos="709"/>
        </w:tabs>
        <w:spacing w:after="240"/>
        <w:rPr>
          <w:rFonts w:ascii="Times New Roman" w:hAnsi="Times New Roman" w:cs="Times New Roman"/>
          <w:szCs w:val="24"/>
          <w:lang w:val="sr-Cyrl-RS"/>
        </w:rPr>
      </w:pPr>
    </w:p>
    <w:p w14:paraId="6003E5F9" w14:textId="77777777" w:rsidR="008637E5" w:rsidRPr="00B3123E" w:rsidRDefault="008637E5" w:rsidP="0016788F">
      <w:pPr>
        <w:tabs>
          <w:tab w:val="left" w:pos="709"/>
        </w:tabs>
        <w:spacing w:after="240"/>
        <w:rPr>
          <w:rFonts w:ascii="Times New Roman" w:hAnsi="Times New Roman" w:cs="Times New Roman"/>
          <w:szCs w:val="24"/>
          <w:lang w:val="sr-Cyrl-RS"/>
        </w:rPr>
      </w:pPr>
    </w:p>
    <w:p w14:paraId="04E48E0F" w14:textId="566AF5F6" w:rsidR="00E97BC7" w:rsidRPr="00B3123E" w:rsidRDefault="00E97BC7" w:rsidP="0016788F">
      <w:pPr>
        <w:tabs>
          <w:tab w:val="left" w:pos="709"/>
        </w:tabs>
        <w:spacing w:after="240"/>
        <w:rPr>
          <w:rFonts w:ascii="Times New Roman" w:hAnsi="Times New Roman" w:cs="Times New Roman"/>
          <w:szCs w:val="24"/>
          <w:lang w:val="sr-Cyrl-RS"/>
        </w:rPr>
      </w:pPr>
    </w:p>
    <w:p w14:paraId="606AC2FF" w14:textId="77777777" w:rsidR="00E97BC7" w:rsidRPr="00B3123E" w:rsidRDefault="00E97BC7" w:rsidP="0016788F">
      <w:pPr>
        <w:tabs>
          <w:tab w:val="left" w:pos="709"/>
        </w:tabs>
        <w:spacing w:after="240"/>
        <w:rPr>
          <w:rFonts w:ascii="Times New Roman" w:hAnsi="Times New Roman" w:cs="Times New Roman"/>
          <w:szCs w:val="24"/>
          <w:lang w:val="sr-Cyrl-RS"/>
        </w:rPr>
      </w:pPr>
    </w:p>
    <w:p w14:paraId="07E36F86" w14:textId="14BB1BB7" w:rsidR="001C6759" w:rsidRPr="00B3123E" w:rsidRDefault="001C6759" w:rsidP="0016788F">
      <w:pPr>
        <w:tabs>
          <w:tab w:val="left" w:pos="709"/>
        </w:tabs>
        <w:spacing w:after="240"/>
        <w:rPr>
          <w:rFonts w:ascii="Times New Roman" w:hAnsi="Times New Roman" w:cs="Times New Roman"/>
          <w:szCs w:val="24"/>
          <w:lang w:val="sr-Cyrl-RS"/>
        </w:rPr>
      </w:pPr>
    </w:p>
    <w:p w14:paraId="2C3EEDF0" w14:textId="0AB58E75" w:rsidR="005F221A" w:rsidRPr="00B3123E" w:rsidRDefault="005F221A" w:rsidP="00A833F0">
      <w:pPr>
        <w:tabs>
          <w:tab w:val="left" w:pos="1440"/>
        </w:tabs>
        <w:spacing w:before="120"/>
        <w:rPr>
          <w:rFonts w:ascii="Times New Roman" w:hAnsi="Times New Roman" w:cs="Times New Roman"/>
          <w:bCs/>
          <w:szCs w:val="24"/>
          <w:lang w:val="sr-Cyrl-RS"/>
        </w:rPr>
      </w:pPr>
      <w:r w:rsidRPr="00B3123E">
        <w:rPr>
          <w:rFonts w:ascii="Times New Roman" w:hAnsi="Times New Roman" w:cs="Times New Roman"/>
          <w:b/>
          <w:bCs/>
          <w:szCs w:val="24"/>
          <w:lang w:val="sr-Cyrl-RS"/>
        </w:rPr>
        <w:lastRenderedPageBreak/>
        <w:t xml:space="preserve">Табела 6. </w:t>
      </w:r>
      <w:r w:rsidRPr="00B3123E">
        <w:rPr>
          <w:rFonts w:ascii="Times New Roman" w:hAnsi="Times New Roman" w:cs="Times New Roman"/>
          <w:bCs/>
          <w:szCs w:val="24"/>
          <w:lang w:val="sr-Cyrl-RS"/>
        </w:rPr>
        <w:t xml:space="preserve">Оцена </w:t>
      </w:r>
      <w:r w:rsidRPr="00B3123E">
        <w:rPr>
          <w:rFonts w:ascii="Times New Roman" w:hAnsi="Times New Roman" w:cs="Times New Roman"/>
          <w:szCs w:val="24"/>
          <w:lang w:val="sr-Cyrl-RS"/>
        </w:rPr>
        <w:t xml:space="preserve">опција развоја </w:t>
      </w:r>
      <w:r w:rsidRPr="00B3123E">
        <w:rPr>
          <w:rFonts w:ascii="Times New Roman" w:hAnsi="Times New Roman" w:cs="Times New Roman"/>
          <w:bCs/>
          <w:szCs w:val="24"/>
          <w:lang w:val="sr-Cyrl-RS"/>
        </w:rPr>
        <w:t>поштанских услуга у Републици Србији</w:t>
      </w:r>
    </w:p>
    <w:tbl>
      <w:tblPr>
        <w:tblW w:w="9356" w:type="dxa"/>
        <w:tblBorders>
          <w:top w:val="dotted" w:sz="4" w:space="0" w:color="808080" w:themeColor="background1" w:themeShade="80"/>
          <w:bottom w:val="dotted" w:sz="4" w:space="0" w:color="808080" w:themeColor="background1" w:themeShade="80"/>
          <w:insideH w:val="dotted" w:sz="4" w:space="0" w:color="808080" w:themeColor="background1" w:themeShade="80"/>
        </w:tblBorders>
        <w:tblLayout w:type="fixed"/>
        <w:tblLook w:val="0000" w:firstRow="0" w:lastRow="0" w:firstColumn="0" w:lastColumn="0" w:noHBand="0" w:noVBand="0"/>
      </w:tblPr>
      <w:tblGrid>
        <w:gridCol w:w="2835"/>
        <w:gridCol w:w="1276"/>
        <w:gridCol w:w="1748"/>
        <w:gridCol w:w="1748"/>
        <w:gridCol w:w="1749"/>
      </w:tblGrid>
      <w:tr w:rsidR="005F221A" w:rsidRPr="00B3123E" w14:paraId="05A5143F" w14:textId="77777777" w:rsidTr="00F972B3">
        <w:trPr>
          <w:trHeight w:val="454"/>
        </w:trPr>
        <w:tc>
          <w:tcPr>
            <w:tcW w:w="2835" w:type="dxa"/>
            <w:vMerge w:val="restart"/>
            <w:shd w:val="clear" w:color="auto" w:fill="44546A" w:themeFill="text2"/>
            <w:vAlign w:val="center"/>
          </w:tcPr>
          <w:p w14:paraId="053AD1D4" w14:textId="77777777" w:rsidR="005F221A" w:rsidRPr="00B3123E" w:rsidRDefault="005F221A" w:rsidP="00F972B3">
            <w:pPr>
              <w:tabs>
                <w:tab w:val="left" w:pos="1440"/>
              </w:tabs>
              <w:spacing w:after="0"/>
              <w:jc w:val="left"/>
              <w:rPr>
                <w:rFonts w:ascii="Times New Roman" w:hAnsi="Times New Roman" w:cs="Times New Roman"/>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Критеријуми</w:t>
            </w:r>
          </w:p>
        </w:tc>
        <w:tc>
          <w:tcPr>
            <w:tcW w:w="1276" w:type="dxa"/>
            <w:vMerge w:val="restart"/>
            <w:shd w:val="clear" w:color="auto" w:fill="44546A" w:themeFill="text2"/>
            <w:vAlign w:val="center"/>
          </w:tcPr>
          <w:p w14:paraId="3C9069FD" w14:textId="77777777" w:rsidR="005F221A" w:rsidRPr="00B3123E" w:rsidRDefault="005F221A" w:rsidP="00F972B3">
            <w:pPr>
              <w:tabs>
                <w:tab w:val="left" w:pos="1440"/>
              </w:tabs>
              <w:spacing w:after="0"/>
              <w:jc w:val="center"/>
              <w:rPr>
                <w:rFonts w:ascii="Times New Roman" w:hAnsi="Times New Roman" w:cs="Times New Roman"/>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Тежине</w:t>
            </w:r>
          </w:p>
        </w:tc>
        <w:tc>
          <w:tcPr>
            <w:tcW w:w="5245" w:type="dxa"/>
            <w:gridSpan w:val="3"/>
            <w:shd w:val="clear" w:color="auto" w:fill="44546A" w:themeFill="text2"/>
            <w:vAlign w:val="center"/>
          </w:tcPr>
          <w:p w14:paraId="0B3EDCB0" w14:textId="77777777" w:rsidR="005F221A" w:rsidRPr="00B3123E" w:rsidRDefault="005F221A" w:rsidP="00F972B3">
            <w:pPr>
              <w:tabs>
                <w:tab w:val="left" w:pos="1440"/>
              </w:tabs>
              <w:spacing w:after="0"/>
              <w:jc w:val="center"/>
              <w:rPr>
                <w:rFonts w:ascii="Times New Roman" w:hAnsi="Times New Roman" w:cs="Times New Roman"/>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Опције</w:t>
            </w:r>
          </w:p>
        </w:tc>
      </w:tr>
      <w:tr w:rsidR="005F221A" w:rsidRPr="00B3123E" w14:paraId="77A0782F" w14:textId="77777777" w:rsidTr="00F972B3">
        <w:trPr>
          <w:trHeight w:val="454"/>
        </w:trPr>
        <w:tc>
          <w:tcPr>
            <w:tcW w:w="2835" w:type="dxa"/>
            <w:vMerge/>
            <w:shd w:val="clear" w:color="auto" w:fill="C00000"/>
            <w:vAlign w:val="center"/>
          </w:tcPr>
          <w:p w14:paraId="2906733B" w14:textId="77777777" w:rsidR="005F221A" w:rsidRPr="00B3123E" w:rsidRDefault="005F221A" w:rsidP="00F972B3">
            <w:pPr>
              <w:tabs>
                <w:tab w:val="left" w:pos="1440"/>
              </w:tabs>
              <w:spacing w:after="0"/>
              <w:jc w:val="left"/>
              <w:rPr>
                <w:rFonts w:ascii="Times New Roman" w:hAnsi="Times New Roman" w:cs="Times New Roman"/>
                <w:b/>
                <w:bCs/>
                <w:color w:val="FFFFFF" w:themeColor="background1"/>
                <w:sz w:val="22"/>
                <w:szCs w:val="24"/>
                <w:lang w:val="sr-Cyrl-RS"/>
              </w:rPr>
            </w:pPr>
          </w:p>
        </w:tc>
        <w:tc>
          <w:tcPr>
            <w:tcW w:w="1276" w:type="dxa"/>
            <w:vMerge/>
            <w:shd w:val="clear" w:color="auto" w:fill="C00000"/>
            <w:vAlign w:val="center"/>
          </w:tcPr>
          <w:p w14:paraId="777F56B4"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p>
        </w:tc>
        <w:tc>
          <w:tcPr>
            <w:tcW w:w="1748" w:type="dxa"/>
            <w:shd w:val="clear" w:color="auto" w:fill="44546A" w:themeFill="text2"/>
            <w:vAlign w:val="center"/>
          </w:tcPr>
          <w:p w14:paraId="6B2E210A"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Опција 1</w:t>
            </w:r>
          </w:p>
        </w:tc>
        <w:tc>
          <w:tcPr>
            <w:tcW w:w="1748" w:type="dxa"/>
            <w:shd w:val="clear" w:color="auto" w:fill="44546A" w:themeFill="text2"/>
            <w:vAlign w:val="center"/>
          </w:tcPr>
          <w:p w14:paraId="63B65AF7"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Опција 2</w:t>
            </w:r>
          </w:p>
        </w:tc>
        <w:tc>
          <w:tcPr>
            <w:tcW w:w="1749" w:type="dxa"/>
            <w:shd w:val="clear" w:color="auto" w:fill="44546A" w:themeFill="text2"/>
            <w:vAlign w:val="center"/>
          </w:tcPr>
          <w:p w14:paraId="65CCA9F1" w14:textId="70C9C6AF"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i/>
                <w:color w:val="FFFFFF" w:themeColor="background1"/>
                <w:sz w:val="22"/>
                <w:szCs w:val="24"/>
                <w:lang w:val="sr-Cyrl-RS"/>
              </w:rPr>
              <w:t>Status</w:t>
            </w:r>
            <w:r w:rsidR="00BA727C" w:rsidRPr="00B3123E">
              <w:rPr>
                <w:rFonts w:ascii="Times New Roman" w:hAnsi="Times New Roman" w:cs="Times New Roman"/>
                <w:i/>
                <w:color w:val="FFFFFF" w:themeColor="background1"/>
                <w:sz w:val="22"/>
                <w:szCs w:val="24"/>
                <w:lang w:val="sr-Cyrl-RS"/>
              </w:rPr>
              <w:t xml:space="preserve"> </w:t>
            </w:r>
            <w:r w:rsidRPr="00B3123E">
              <w:rPr>
                <w:rFonts w:ascii="Times New Roman" w:hAnsi="Times New Roman" w:cs="Times New Roman"/>
                <w:i/>
                <w:color w:val="FFFFFF" w:themeColor="background1"/>
                <w:sz w:val="22"/>
                <w:szCs w:val="24"/>
                <w:lang w:val="sr-Cyrl-RS"/>
              </w:rPr>
              <w:t>quo</w:t>
            </w:r>
          </w:p>
        </w:tc>
      </w:tr>
      <w:tr w:rsidR="005F221A" w:rsidRPr="00B3123E" w14:paraId="3B349ED6" w14:textId="77777777" w:rsidTr="00F972B3">
        <w:trPr>
          <w:trHeight w:val="454"/>
        </w:trPr>
        <w:tc>
          <w:tcPr>
            <w:tcW w:w="2835" w:type="dxa"/>
            <w:vAlign w:val="center"/>
          </w:tcPr>
          <w:p w14:paraId="622FAA05"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Ефективност</w:t>
            </w:r>
          </w:p>
        </w:tc>
        <w:tc>
          <w:tcPr>
            <w:tcW w:w="1276" w:type="dxa"/>
            <w:vAlign w:val="center"/>
          </w:tcPr>
          <w:p w14:paraId="599A60E6"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0,3</w:t>
            </w:r>
          </w:p>
        </w:tc>
        <w:tc>
          <w:tcPr>
            <w:tcW w:w="1748" w:type="dxa"/>
            <w:vAlign w:val="center"/>
          </w:tcPr>
          <w:p w14:paraId="128444A7"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4</w:t>
            </w:r>
          </w:p>
        </w:tc>
        <w:tc>
          <w:tcPr>
            <w:tcW w:w="1748" w:type="dxa"/>
            <w:vAlign w:val="center"/>
          </w:tcPr>
          <w:p w14:paraId="774A8020"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5</w:t>
            </w:r>
          </w:p>
        </w:tc>
        <w:tc>
          <w:tcPr>
            <w:tcW w:w="1749" w:type="dxa"/>
            <w:vAlign w:val="center"/>
          </w:tcPr>
          <w:p w14:paraId="00223414"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r>
      <w:tr w:rsidR="005F221A" w:rsidRPr="00B3123E" w14:paraId="4FD50888" w14:textId="77777777" w:rsidTr="00F972B3">
        <w:trPr>
          <w:trHeight w:val="454"/>
        </w:trPr>
        <w:tc>
          <w:tcPr>
            <w:tcW w:w="2835" w:type="dxa"/>
            <w:shd w:val="clear" w:color="auto" w:fill="D5DCE4" w:themeFill="text2" w:themeFillTint="33"/>
            <w:vAlign w:val="center"/>
          </w:tcPr>
          <w:p w14:paraId="6CBE3ABA"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Конзистентност</w:t>
            </w:r>
          </w:p>
        </w:tc>
        <w:tc>
          <w:tcPr>
            <w:tcW w:w="1276" w:type="dxa"/>
            <w:shd w:val="clear" w:color="auto" w:fill="D5DCE4" w:themeFill="text2" w:themeFillTint="33"/>
            <w:vAlign w:val="center"/>
          </w:tcPr>
          <w:p w14:paraId="58DFE8A1"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0,1</w:t>
            </w:r>
          </w:p>
        </w:tc>
        <w:tc>
          <w:tcPr>
            <w:tcW w:w="1748" w:type="dxa"/>
            <w:shd w:val="clear" w:color="auto" w:fill="D5DCE4" w:themeFill="text2" w:themeFillTint="33"/>
            <w:vAlign w:val="center"/>
          </w:tcPr>
          <w:p w14:paraId="20EC5A75"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c>
          <w:tcPr>
            <w:tcW w:w="1748" w:type="dxa"/>
            <w:shd w:val="clear" w:color="auto" w:fill="D5DCE4" w:themeFill="text2" w:themeFillTint="33"/>
            <w:vAlign w:val="center"/>
          </w:tcPr>
          <w:p w14:paraId="2656F88C"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5</w:t>
            </w:r>
          </w:p>
        </w:tc>
        <w:tc>
          <w:tcPr>
            <w:tcW w:w="1749" w:type="dxa"/>
            <w:shd w:val="clear" w:color="auto" w:fill="D5DCE4" w:themeFill="text2" w:themeFillTint="33"/>
            <w:vAlign w:val="center"/>
          </w:tcPr>
          <w:p w14:paraId="7189D59E"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4</w:t>
            </w:r>
          </w:p>
        </w:tc>
      </w:tr>
      <w:tr w:rsidR="005F221A" w:rsidRPr="00B3123E" w14:paraId="00BC4E97" w14:textId="77777777" w:rsidTr="00F972B3">
        <w:trPr>
          <w:trHeight w:val="454"/>
        </w:trPr>
        <w:tc>
          <w:tcPr>
            <w:tcW w:w="2835" w:type="dxa"/>
            <w:vAlign w:val="center"/>
          </w:tcPr>
          <w:p w14:paraId="3AB5263E"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Трошкови спровођења</w:t>
            </w:r>
          </w:p>
        </w:tc>
        <w:tc>
          <w:tcPr>
            <w:tcW w:w="1276" w:type="dxa"/>
            <w:vAlign w:val="center"/>
          </w:tcPr>
          <w:p w14:paraId="5288F462"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0,1</w:t>
            </w:r>
          </w:p>
        </w:tc>
        <w:tc>
          <w:tcPr>
            <w:tcW w:w="1748" w:type="dxa"/>
            <w:vAlign w:val="center"/>
          </w:tcPr>
          <w:p w14:paraId="6B1447F7"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1</w:t>
            </w:r>
          </w:p>
        </w:tc>
        <w:tc>
          <w:tcPr>
            <w:tcW w:w="1748" w:type="dxa"/>
            <w:vAlign w:val="center"/>
          </w:tcPr>
          <w:p w14:paraId="0419ABF2"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2</w:t>
            </w:r>
          </w:p>
        </w:tc>
        <w:tc>
          <w:tcPr>
            <w:tcW w:w="1749" w:type="dxa"/>
            <w:vAlign w:val="center"/>
          </w:tcPr>
          <w:p w14:paraId="67E614E4"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r>
      <w:tr w:rsidR="005F221A" w:rsidRPr="00B3123E" w14:paraId="33D31876" w14:textId="77777777" w:rsidTr="00F972B3">
        <w:trPr>
          <w:trHeight w:val="454"/>
        </w:trPr>
        <w:tc>
          <w:tcPr>
            <w:tcW w:w="2835" w:type="dxa"/>
            <w:shd w:val="clear" w:color="auto" w:fill="D5DCE4" w:themeFill="text2" w:themeFillTint="33"/>
            <w:vAlign w:val="center"/>
          </w:tcPr>
          <w:p w14:paraId="531FAF93"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Одрживост</w:t>
            </w:r>
          </w:p>
        </w:tc>
        <w:tc>
          <w:tcPr>
            <w:tcW w:w="1276" w:type="dxa"/>
            <w:shd w:val="clear" w:color="auto" w:fill="D5DCE4" w:themeFill="text2" w:themeFillTint="33"/>
            <w:vAlign w:val="center"/>
          </w:tcPr>
          <w:p w14:paraId="019F8781"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0,2</w:t>
            </w:r>
          </w:p>
        </w:tc>
        <w:tc>
          <w:tcPr>
            <w:tcW w:w="1748" w:type="dxa"/>
            <w:shd w:val="clear" w:color="auto" w:fill="D5DCE4" w:themeFill="text2" w:themeFillTint="33"/>
            <w:vAlign w:val="center"/>
          </w:tcPr>
          <w:p w14:paraId="601E0A6C"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2</w:t>
            </w:r>
          </w:p>
        </w:tc>
        <w:tc>
          <w:tcPr>
            <w:tcW w:w="1748" w:type="dxa"/>
            <w:shd w:val="clear" w:color="auto" w:fill="D5DCE4" w:themeFill="text2" w:themeFillTint="33"/>
            <w:vAlign w:val="center"/>
          </w:tcPr>
          <w:p w14:paraId="7B82B1AA"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c>
          <w:tcPr>
            <w:tcW w:w="1749" w:type="dxa"/>
            <w:shd w:val="clear" w:color="auto" w:fill="D5DCE4" w:themeFill="text2" w:themeFillTint="33"/>
            <w:vAlign w:val="center"/>
          </w:tcPr>
          <w:p w14:paraId="5FE6C9A8"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4</w:t>
            </w:r>
          </w:p>
        </w:tc>
      </w:tr>
      <w:tr w:rsidR="005F221A" w:rsidRPr="00B3123E" w14:paraId="598D7AF8" w14:textId="77777777" w:rsidTr="00F972B3">
        <w:trPr>
          <w:trHeight w:val="454"/>
        </w:trPr>
        <w:tc>
          <w:tcPr>
            <w:tcW w:w="2835" w:type="dxa"/>
            <w:tcBorders>
              <w:bottom w:val="dotted" w:sz="4" w:space="0" w:color="808080" w:themeColor="background1" w:themeShade="80"/>
            </w:tcBorders>
            <w:vAlign w:val="center"/>
          </w:tcPr>
          <w:p w14:paraId="445E25F5"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Степен координације</w:t>
            </w:r>
          </w:p>
        </w:tc>
        <w:tc>
          <w:tcPr>
            <w:tcW w:w="1276" w:type="dxa"/>
            <w:tcBorders>
              <w:bottom w:val="dotted" w:sz="4" w:space="0" w:color="808080" w:themeColor="background1" w:themeShade="80"/>
            </w:tcBorders>
            <w:vAlign w:val="center"/>
          </w:tcPr>
          <w:p w14:paraId="6AE2FF98"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0,3</w:t>
            </w:r>
          </w:p>
        </w:tc>
        <w:tc>
          <w:tcPr>
            <w:tcW w:w="1748" w:type="dxa"/>
            <w:tcBorders>
              <w:bottom w:val="dotted" w:sz="4" w:space="0" w:color="808080" w:themeColor="background1" w:themeShade="80"/>
            </w:tcBorders>
            <w:vAlign w:val="center"/>
          </w:tcPr>
          <w:p w14:paraId="21745106"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c>
          <w:tcPr>
            <w:tcW w:w="1748" w:type="dxa"/>
            <w:tcBorders>
              <w:bottom w:val="dotted" w:sz="4" w:space="0" w:color="808080" w:themeColor="background1" w:themeShade="80"/>
            </w:tcBorders>
            <w:vAlign w:val="center"/>
          </w:tcPr>
          <w:p w14:paraId="06550EC0"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c>
          <w:tcPr>
            <w:tcW w:w="1749" w:type="dxa"/>
            <w:tcBorders>
              <w:bottom w:val="dotted" w:sz="4" w:space="0" w:color="808080" w:themeColor="background1" w:themeShade="80"/>
            </w:tcBorders>
            <w:vAlign w:val="center"/>
          </w:tcPr>
          <w:p w14:paraId="08239EBD"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r>
      <w:tr w:rsidR="005F221A" w:rsidRPr="00B3123E" w14:paraId="16BAA640" w14:textId="77777777" w:rsidTr="00F972B3">
        <w:trPr>
          <w:trHeight w:val="454"/>
        </w:trPr>
        <w:tc>
          <w:tcPr>
            <w:tcW w:w="2835" w:type="dxa"/>
            <w:tcBorders>
              <w:bottom w:val="dotted" w:sz="4" w:space="0" w:color="FFFFFF" w:themeColor="background1"/>
            </w:tcBorders>
            <w:shd w:val="clear" w:color="auto" w:fill="44546A" w:themeFill="text2"/>
            <w:vAlign w:val="center"/>
          </w:tcPr>
          <w:p w14:paraId="23B372C8"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Резултат</w:t>
            </w:r>
          </w:p>
        </w:tc>
        <w:tc>
          <w:tcPr>
            <w:tcW w:w="1276" w:type="dxa"/>
            <w:tcBorders>
              <w:bottom w:val="nil"/>
            </w:tcBorders>
            <w:shd w:val="clear" w:color="auto" w:fill="44546A" w:themeFill="text2"/>
            <w:vAlign w:val="center"/>
          </w:tcPr>
          <w:p w14:paraId="364731B5"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1,0</w:t>
            </w:r>
          </w:p>
        </w:tc>
        <w:tc>
          <w:tcPr>
            <w:tcW w:w="1748" w:type="dxa"/>
            <w:tcBorders>
              <w:bottom w:val="dotted" w:sz="4" w:space="0" w:color="FFFFFF" w:themeColor="background1"/>
            </w:tcBorders>
            <w:shd w:val="clear" w:color="auto" w:fill="44546A" w:themeFill="text2"/>
            <w:vAlign w:val="center"/>
          </w:tcPr>
          <w:p w14:paraId="644AB86E"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color w:val="FFFFFF" w:themeColor="background1"/>
                <w:sz w:val="22"/>
                <w:szCs w:val="24"/>
                <w:lang w:val="sr-Cyrl-RS"/>
              </w:rPr>
              <w:t>2,9</w:t>
            </w:r>
          </w:p>
        </w:tc>
        <w:tc>
          <w:tcPr>
            <w:tcW w:w="1748" w:type="dxa"/>
            <w:tcBorders>
              <w:bottom w:val="dotted" w:sz="4" w:space="0" w:color="FFFFFF" w:themeColor="background1"/>
            </w:tcBorders>
            <w:shd w:val="clear" w:color="auto" w:fill="44546A" w:themeFill="text2"/>
            <w:vAlign w:val="center"/>
          </w:tcPr>
          <w:p w14:paraId="21923F56"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3,7</w:t>
            </w:r>
          </w:p>
        </w:tc>
        <w:tc>
          <w:tcPr>
            <w:tcW w:w="1749" w:type="dxa"/>
            <w:tcBorders>
              <w:bottom w:val="dotted" w:sz="4" w:space="0" w:color="FFFFFF" w:themeColor="background1"/>
            </w:tcBorders>
            <w:shd w:val="clear" w:color="auto" w:fill="44546A" w:themeFill="text2"/>
            <w:vAlign w:val="center"/>
          </w:tcPr>
          <w:p w14:paraId="029484E3"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color w:val="FFFFFF" w:themeColor="background1"/>
                <w:sz w:val="22"/>
                <w:szCs w:val="24"/>
                <w:lang w:val="sr-Cyrl-RS"/>
              </w:rPr>
              <w:t>3,3</w:t>
            </w:r>
          </w:p>
        </w:tc>
      </w:tr>
      <w:tr w:rsidR="005F221A" w:rsidRPr="00B3123E" w14:paraId="58AFDD53" w14:textId="77777777" w:rsidTr="00F972B3">
        <w:trPr>
          <w:trHeight w:val="454"/>
        </w:trPr>
        <w:tc>
          <w:tcPr>
            <w:tcW w:w="2835" w:type="dxa"/>
            <w:tcBorders>
              <w:top w:val="dotted" w:sz="4" w:space="0" w:color="FFFFFF" w:themeColor="background1"/>
            </w:tcBorders>
            <w:shd w:val="clear" w:color="auto" w:fill="44546A" w:themeFill="text2"/>
            <w:vAlign w:val="center"/>
          </w:tcPr>
          <w:p w14:paraId="1188980F"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Ранг</w:t>
            </w:r>
          </w:p>
        </w:tc>
        <w:tc>
          <w:tcPr>
            <w:tcW w:w="1276" w:type="dxa"/>
            <w:tcBorders>
              <w:top w:val="nil"/>
            </w:tcBorders>
            <w:shd w:val="clear" w:color="auto" w:fill="44546A" w:themeFill="text2"/>
            <w:vAlign w:val="center"/>
          </w:tcPr>
          <w:p w14:paraId="403E2169" w14:textId="77777777" w:rsidR="005F221A" w:rsidRPr="00B3123E" w:rsidRDefault="005F221A" w:rsidP="00F972B3">
            <w:pPr>
              <w:tabs>
                <w:tab w:val="left" w:pos="1440"/>
              </w:tabs>
              <w:spacing w:after="0"/>
              <w:jc w:val="center"/>
              <w:rPr>
                <w:rFonts w:ascii="Times New Roman" w:hAnsi="Times New Roman" w:cs="Times New Roman"/>
                <w:color w:val="FFFFFF" w:themeColor="background1"/>
                <w:sz w:val="22"/>
                <w:szCs w:val="24"/>
                <w:lang w:val="sr-Cyrl-RS"/>
              </w:rPr>
            </w:pPr>
          </w:p>
        </w:tc>
        <w:tc>
          <w:tcPr>
            <w:tcW w:w="1748" w:type="dxa"/>
            <w:tcBorders>
              <w:top w:val="dotted" w:sz="4" w:space="0" w:color="FFFFFF" w:themeColor="background1"/>
            </w:tcBorders>
            <w:shd w:val="clear" w:color="auto" w:fill="44546A" w:themeFill="text2"/>
            <w:vAlign w:val="center"/>
          </w:tcPr>
          <w:p w14:paraId="2A948832"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color w:val="FFFFFF" w:themeColor="background1"/>
                <w:sz w:val="22"/>
                <w:szCs w:val="24"/>
                <w:lang w:val="sr-Cyrl-RS"/>
              </w:rPr>
              <w:t>3</w:t>
            </w:r>
          </w:p>
        </w:tc>
        <w:tc>
          <w:tcPr>
            <w:tcW w:w="1748" w:type="dxa"/>
            <w:tcBorders>
              <w:top w:val="dotted" w:sz="4" w:space="0" w:color="FFFFFF" w:themeColor="background1"/>
            </w:tcBorders>
            <w:shd w:val="clear" w:color="auto" w:fill="44546A" w:themeFill="text2"/>
            <w:vAlign w:val="center"/>
          </w:tcPr>
          <w:p w14:paraId="1F39B1D8"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1</w:t>
            </w:r>
          </w:p>
        </w:tc>
        <w:tc>
          <w:tcPr>
            <w:tcW w:w="1749" w:type="dxa"/>
            <w:tcBorders>
              <w:top w:val="dotted" w:sz="4" w:space="0" w:color="FFFFFF" w:themeColor="background1"/>
            </w:tcBorders>
            <w:shd w:val="clear" w:color="auto" w:fill="44546A" w:themeFill="text2"/>
            <w:vAlign w:val="center"/>
          </w:tcPr>
          <w:p w14:paraId="0368707B"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color w:val="FFFFFF" w:themeColor="background1"/>
                <w:sz w:val="22"/>
                <w:szCs w:val="24"/>
                <w:lang w:val="sr-Cyrl-RS"/>
              </w:rPr>
              <w:t>2</w:t>
            </w:r>
          </w:p>
        </w:tc>
      </w:tr>
    </w:tbl>
    <w:p w14:paraId="6DCA8D4B" w14:textId="77777777" w:rsidR="005F221A" w:rsidRPr="00B3123E" w:rsidRDefault="005F221A" w:rsidP="005F221A">
      <w:pPr>
        <w:tabs>
          <w:tab w:val="left" w:pos="1440"/>
        </w:tabs>
        <w:rPr>
          <w:rFonts w:ascii="Times New Roman" w:hAnsi="Times New Roman" w:cs="Times New Roman"/>
          <w:szCs w:val="24"/>
          <w:lang w:val="sr-Cyrl-RS"/>
        </w:rPr>
      </w:pPr>
    </w:p>
    <w:p w14:paraId="0E9B75C7" w14:textId="05DB4D74" w:rsidR="005F221A" w:rsidRPr="00B3123E" w:rsidRDefault="0016788F" w:rsidP="005F221A">
      <w:pPr>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5F221A" w:rsidRPr="00B3123E">
        <w:rPr>
          <w:rFonts w:ascii="Times New Roman" w:hAnsi="Times New Roman" w:cs="Times New Roman"/>
          <w:szCs w:val="24"/>
          <w:lang w:val="sr-Cyrl-RS"/>
        </w:rPr>
        <w:t>Закључак анализе је да се кроз опцију припреме за потпуну либерализацију може постићи највиши ниво испуњености општег циља, узимајући у обзир ниво конзистентности јавних политика, свеобухватности и одрживости ефеката спровођења, као и ниво координације у реформском деловању и праћењу напретка.</w:t>
      </w:r>
    </w:p>
    <w:p w14:paraId="5767A72E" w14:textId="77777777" w:rsidR="005F221A" w:rsidRPr="00B3123E" w:rsidRDefault="005F221A" w:rsidP="000719B0">
      <w:pPr>
        <w:tabs>
          <w:tab w:val="left" w:pos="1440"/>
        </w:tabs>
        <w:rPr>
          <w:rFonts w:ascii="Times New Roman" w:hAnsi="Times New Roman" w:cs="Times New Roman"/>
          <w:szCs w:val="24"/>
          <w:lang w:val="sr-Cyrl-RS"/>
        </w:rPr>
      </w:pPr>
    </w:p>
    <w:p w14:paraId="17A9381E" w14:textId="1DCB6834" w:rsidR="005F221A" w:rsidRPr="00B3123E" w:rsidRDefault="002A701D" w:rsidP="002A701D">
      <w:pPr>
        <w:pStyle w:val="ListParagraph"/>
        <w:numPr>
          <w:ilvl w:val="1"/>
          <w:numId w:val="1"/>
        </w:numPr>
        <w:tabs>
          <w:tab w:val="left" w:pos="1440"/>
        </w:tabs>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t>Посебни циљеви</w:t>
      </w:r>
    </w:p>
    <w:p w14:paraId="66E84BB2" w14:textId="77777777" w:rsidR="00A833F0" w:rsidRPr="00B3123E" w:rsidRDefault="00A833F0" w:rsidP="005F221A">
      <w:pPr>
        <w:tabs>
          <w:tab w:val="left" w:pos="1440"/>
        </w:tabs>
        <w:rPr>
          <w:rFonts w:ascii="Times New Roman" w:hAnsi="Times New Roman" w:cs="Times New Roman"/>
          <w:szCs w:val="24"/>
          <w:lang w:val="sr-Cyrl-RS"/>
        </w:rPr>
      </w:pPr>
    </w:p>
    <w:p w14:paraId="4284100F" w14:textId="77777777" w:rsidR="002652E9" w:rsidRPr="00B3123E" w:rsidRDefault="00A01529" w:rsidP="00F862C6">
      <w:pPr>
        <w:pStyle w:val="Heading1"/>
        <w:tabs>
          <w:tab w:val="left" w:pos="1440"/>
        </w:tabs>
        <w:rPr>
          <w:rFonts w:ascii="Times New Roman" w:hAnsi="Times New Roman"/>
          <w:sz w:val="24"/>
          <w:lang w:val="sr-Cyrl-RS"/>
        </w:rPr>
      </w:pPr>
      <w:bookmarkStart w:id="46" w:name="_Toc23941291"/>
      <w:bookmarkStart w:id="47" w:name="_Toc211461800"/>
      <w:bookmarkStart w:id="48" w:name="_Toc211545984"/>
      <w:r w:rsidRPr="00B3123E">
        <w:rPr>
          <w:rFonts w:ascii="Times New Roman" w:hAnsi="Times New Roman"/>
          <w:sz w:val="24"/>
          <w:lang w:val="sr-Cyrl-RS"/>
        </w:rPr>
        <w:t>ПОСЕБНИ ЦИЉ 1</w:t>
      </w:r>
      <w:bookmarkEnd w:id="46"/>
      <w:bookmarkEnd w:id="47"/>
      <w:bookmarkEnd w:id="48"/>
    </w:p>
    <w:tbl>
      <w:tblPr>
        <w:tblStyle w:val="TableGrid"/>
        <w:tblW w:w="0" w:type="auto"/>
        <w:tblLook w:val="04A0" w:firstRow="1" w:lastRow="0" w:firstColumn="1" w:lastColumn="0" w:noHBand="0" w:noVBand="1"/>
      </w:tblPr>
      <w:tblGrid>
        <w:gridCol w:w="560"/>
        <w:gridCol w:w="8456"/>
      </w:tblGrid>
      <w:tr w:rsidR="005A2589" w:rsidRPr="00B3123E" w14:paraId="7AC9ECA0" w14:textId="77777777" w:rsidTr="00250E86">
        <w:tc>
          <w:tcPr>
            <w:tcW w:w="9016" w:type="dxa"/>
            <w:gridSpan w:val="2"/>
          </w:tcPr>
          <w:p w14:paraId="5F68DF3F" w14:textId="7D851EFD" w:rsidR="00DD4FAB" w:rsidRPr="00B3123E" w:rsidRDefault="00DD4FAB" w:rsidP="00DD4FAB">
            <w:pPr>
              <w:spacing w:line="276" w:lineRule="auto"/>
              <w:rPr>
                <w:rFonts w:ascii="Times New Roman" w:hAnsi="Times New Roman" w:cs="Times New Roman"/>
                <w:bCs/>
                <w:i/>
                <w:lang w:val="sr-Cyrl-RS"/>
              </w:rPr>
            </w:pPr>
            <w:r w:rsidRPr="00B3123E">
              <w:rPr>
                <w:rFonts w:ascii="Times New Roman" w:hAnsi="Times New Roman" w:cs="Times New Roman"/>
                <w:b/>
                <w:i/>
                <w:u w:val="single"/>
                <w:lang w:val="sr-Cyrl-RS"/>
              </w:rPr>
              <w:t>Посебни циљ 1</w:t>
            </w:r>
            <w:r w:rsidRPr="00B3123E">
              <w:rPr>
                <w:rFonts w:ascii="Times New Roman" w:hAnsi="Times New Roman" w:cs="Times New Roman"/>
                <w:b/>
                <w:i/>
                <w:lang w:val="sr-Cyrl-RS"/>
              </w:rPr>
              <w:t>:</w:t>
            </w:r>
            <w:r w:rsidR="00E110C9" w:rsidRPr="00B3123E">
              <w:rPr>
                <w:rFonts w:ascii="Times New Roman" w:hAnsi="Times New Roman" w:cs="Times New Roman"/>
                <w:b/>
                <w:i/>
                <w:lang w:val="sr-Cyrl-RS"/>
              </w:rPr>
              <w:t xml:space="preserve"> </w:t>
            </w:r>
            <w:r w:rsidR="004A0E08" w:rsidRPr="00B3123E">
              <w:rPr>
                <w:rFonts w:ascii="Times New Roman" w:hAnsi="Times New Roman" w:cs="Times New Roman"/>
                <w:bCs/>
                <w:i/>
                <w:lang w:val="sr-Cyrl-RS"/>
              </w:rPr>
              <w:t>Унапређена УПУ као стуб дигиталне, инклузивне и одрживе комуникационе инфраструктуре РС</w:t>
            </w:r>
          </w:p>
          <w:p w14:paraId="55495EE2" w14:textId="77777777" w:rsidR="00C713CF" w:rsidRPr="00B3123E" w:rsidRDefault="00C713CF" w:rsidP="00F862C6">
            <w:pPr>
              <w:tabs>
                <w:tab w:val="left" w:pos="1440"/>
              </w:tabs>
              <w:rPr>
                <w:rFonts w:ascii="Times New Roman" w:hAnsi="Times New Roman" w:cs="Times New Roman"/>
                <w:b/>
                <w:bCs/>
                <w:szCs w:val="24"/>
                <w:lang w:val="sr-Cyrl-RS"/>
              </w:rPr>
            </w:pPr>
          </w:p>
        </w:tc>
      </w:tr>
      <w:tr w:rsidR="005A2589" w:rsidRPr="00B3123E" w14:paraId="00E6CED2" w14:textId="77777777" w:rsidTr="00250E86">
        <w:tc>
          <w:tcPr>
            <w:tcW w:w="9016" w:type="dxa"/>
            <w:gridSpan w:val="2"/>
            <w:shd w:val="clear" w:color="auto" w:fill="D5DCE4" w:themeFill="text2" w:themeFillTint="33"/>
          </w:tcPr>
          <w:p w14:paraId="2F879EE0" w14:textId="77777777" w:rsidR="00DD4FAB" w:rsidRPr="00B3123E" w:rsidRDefault="00DD4FAB" w:rsidP="00F862C6">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Преглед мера за реализацију посебног циља 1</w:t>
            </w:r>
          </w:p>
        </w:tc>
      </w:tr>
      <w:tr w:rsidR="005A2589" w:rsidRPr="00B3123E" w14:paraId="48ED4EB0" w14:textId="77777777" w:rsidTr="00250E86">
        <w:tc>
          <w:tcPr>
            <w:tcW w:w="560" w:type="dxa"/>
          </w:tcPr>
          <w:p w14:paraId="319900CB" w14:textId="77777777" w:rsidR="00C713CF" w:rsidRPr="00B3123E" w:rsidRDefault="00C713CF"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1.1</w:t>
            </w:r>
          </w:p>
        </w:tc>
        <w:tc>
          <w:tcPr>
            <w:tcW w:w="8456" w:type="dxa"/>
          </w:tcPr>
          <w:p w14:paraId="55C02F8E" w14:textId="14667038" w:rsidR="00C713CF" w:rsidRPr="00B3123E" w:rsidRDefault="00244138" w:rsidP="00A34AE3">
            <w:pPr>
              <w:tabs>
                <w:tab w:val="left" w:pos="1440"/>
              </w:tabs>
              <w:jc w:val="left"/>
              <w:rPr>
                <w:rFonts w:ascii="Times New Roman" w:hAnsi="Times New Roman" w:cs="Times New Roman"/>
                <w:szCs w:val="24"/>
                <w:lang w:val="sr-Cyrl-RS"/>
              </w:rPr>
            </w:pPr>
            <w:r w:rsidRPr="00B3123E">
              <w:rPr>
                <w:rFonts w:ascii="Times New Roman" w:hAnsi="Times New Roman" w:cs="Times New Roman"/>
                <w:lang w:val="sr-Cyrl-RS"/>
              </w:rPr>
              <w:t>Модернизована поштанска мрежа у складу са тржишним потребама</w:t>
            </w:r>
          </w:p>
        </w:tc>
      </w:tr>
      <w:tr w:rsidR="005A2589" w:rsidRPr="00B3123E" w14:paraId="727403DA" w14:textId="77777777" w:rsidTr="00250E86">
        <w:tc>
          <w:tcPr>
            <w:tcW w:w="560" w:type="dxa"/>
          </w:tcPr>
          <w:p w14:paraId="52F08DE7" w14:textId="77777777" w:rsidR="00C713CF" w:rsidRPr="00B3123E" w:rsidRDefault="00C713CF"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1.2</w:t>
            </w:r>
          </w:p>
        </w:tc>
        <w:tc>
          <w:tcPr>
            <w:tcW w:w="8456" w:type="dxa"/>
          </w:tcPr>
          <w:p w14:paraId="7180BA32" w14:textId="77777777" w:rsidR="00C713CF" w:rsidRPr="00B3123E" w:rsidRDefault="004A0E08" w:rsidP="00A34AE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Обезбеђење одрживости пружања УПУ као поузданог и доступног сервиса за друштво и привреду</w:t>
            </w:r>
          </w:p>
        </w:tc>
      </w:tr>
      <w:tr w:rsidR="005A2589" w:rsidRPr="00B3123E" w14:paraId="7DEF8B71" w14:textId="77777777" w:rsidTr="00250E86">
        <w:tc>
          <w:tcPr>
            <w:tcW w:w="560" w:type="dxa"/>
          </w:tcPr>
          <w:p w14:paraId="67C4AD6A" w14:textId="77777777" w:rsidR="00C713CF" w:rsidRPr="00B3123E" w:rsidRDefault="00C713CF"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1.3</w:t>
            </w:r>
          </w:p>
        </w:tc>
        <w:tc>
          <w:tcPr>
            <w:tcW w:w="8456" w:type="dxa"/>
          </w:tcPr>
          <w:p w14:paraId="7F3DB902" w14:textId="4CA9C848" w:rsidR="00C713CF" w:rsidRPr="00B3123E" w:rsidRDefault="004A0E08" w:rsidP="00AA0C5E">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Успостављање системског праћења имплементираних стандарда</w:t>
            </w:r>
            <w:r w:rsidR="002A4699" w:rsidRPr="00B3123E">
              <w:rPr>
                <w:rFonts w:ascii="Times New Roman" w:hAnsi="Times New Roman" w:cs="Times New Roman"/>
                <w:szCs w:val="24"/>
                <w:lang w:val="sr-Cyrl-RS"/>
              </w:rPr>
              <w:t xml:space="preserve"> УПУ</w:t>
            </w:r>
            <w:r w:rsidR="0051226A" w:rsidRPr="00B3123E">
              <w:rPr>
                <w:rFonts w:ascii="Times New Roman" w:hAnsi="Times New Roman" w:cs="Times New Roman"/>
                <w:szCs w:val="24"/>
                <w:lang w:val="sr-Cyrl-RS"/>
              </w:rPr>
              <w:t xml:space="preserve"> </w:t>
            </w:r>
            <w:r w:rsidR="00650238" w:rsidRPr="00B3123E">
              <w:rPr>
                <w:rFonts w:ascii="Times New Roman" w:hAnsi="Times New Roman" w:cs="Times New Roman"/>
                <w:szCs w:val="24"/>
                <w:lang w:val="sr-Cyrl-RS"/>
              </w:rPr>
              <w:t xml:space="preserve"> </w:t>
            </w:r>
            <w:r w:rsidR="00091EA9" w:rsidRPr="00B3123E">
              <w:rPr>
                <w:rFonts w:ascii="Times New Roman" w:hAnsi="Times New Roman" w:cs="Times New Roman"/>
                <w:szCs w:val="24"/>
                <w:lang w:val="sr-Cyrl-RS"/>
              </w:rPr>
              <w:t>EN</w:t>
            </w:r>
            <w:r w:rsidR="00650238" w:rsidRPr="00B3123E">
              <w:rPr>
                <w:rFonts w:ascii="Times New Roman" w:hAnsi="Times New Roman" w:cs="Times New Roman"/>
                <w:szCs w:val="24"/>
                <w:lang w:val="sr-Cyrl-RS"/>
              </w:rPr>
              <w:t>13850</w:t>
            </w:r>
            <w:r w:rsidR="0002551F"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r w:rsidR="00091EA9" w:rsidRPr="00B3123E">
              <w:rPr>
                <w:rFonts w:ascii="Times New Roman" w:hAnsi="Times New Roman" w:cs="Times New Roman"/>
                <w:szCs w:val="24"/>
                <w:lang w:val="sr-Cyrl-RS"/>
              </w:rPr>
              <w:t>EN</w:t>
            </w:r>
            <w:r w:rsidRPr="00B3123E">
              <w:rPr>
                <w:rFonts w:ascii="Times New Roman" w:hAnsi="Times New Roman" w:cs="Times New Roman"/>
                <w:szCs w:val="24"/>
                <w:lang w:val="sr-Cyrl-RS"/>
              </w:rPr>
              <w:t xml:space="preserve">14508 и </w:t>
            </w:r>
            <w:r w:rsidR="00091EA9" w:rsidRPr="00B3123E">
              <w:rPr>
                <w:rFonts w:ascii="Times New Roman" w:hAnsi="Times New Roman" w:cs="Times New Roman"/>
                <w:szCs w:val="24"/>
                <w:lang w:val="sr-Cyrl-RS"/>
              </w:rPr>
              <w:t>EN</w:t>
            </w:r>
            <w:r w:rsidRPr="00B3123E">
              <w:rPr>
                <w:rFonts w:ascii="Times New Roman" w:hAnsi="Times New Roman" w:cs="Times New Roman"/>
                <w:szCs w:val="24"/>
                <w:lang w:val="sr-Cyrl-RS"/>
              </w:rPr>
              <w:t xml:space="preserve">14012 у </w:t>
            </w:r>
            <w:r w:rsidR="00D86BB7" w:rsidRPr="00B3123E">
              <w:rPr>
                <w:rFonts w:ascii="Times New Roman" w:hAnsi="Times New Roman" w:cs="Times New Roman"/>
                <w:szCs w:val="24"/>
                <w:lang w:val="sr-Cyrl-RS"/>
              </w:rPr>
              <w:t>сврху</w:t>
            </w:r>
            <w:r w:rsidRPr="00B3123E">
              <w:rPr>
                <w:rFonts w:ascii="Times New Roman" w:hAnsi="Times New Roman" w:cs="Times New Roman"/>
                <w:szCs w:val="24"/>
                <w:lang w:val="sr-Cyrl-RS"/>
              </w:rPr>
              <w:t xml:space="preserve"> заштите корисника</w:t>
            </w:r>
          </w:p>
        </w:tc>
      </w:tr>
      <w:tr w:rsidR="00A34AE3" w:rsidRPr="00B3123E" w14:paraId="27F232A7" w14:textId="77777777" w:rsidTr="00250E86">
        <w:tc>
          <w:tcPr>
            <w:tcW w:w="560" w:type="dxa"/>
          </w:tcPr>
          <w:p w14:paraId="69C568DB" w14:textId="77777777" w:rsidR="00A34AE3" w:rsidRPr="00B3123E" w:rsidRDefault="00A34AE3"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1.4</w:t>
            </w:r>
          </w:p>
        </w:tc>
        <w:tc>
          <w:tcPr>
            <w:tcW w:w="8456" w:type="dxa"/>
          </w:tcPr>
          <w:p w14:paraId="55548EAC" w14:textId="77777777" w:rsidR="00692974" w:rsidRPr="00B3123E" w:rsidRDefault="004A0E08" w:rsidP="00A34AE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Унапређење заштите и интереса корисника УПУ</w:t>
            </w:r>
          </w:p>
        </w:tc>
      </w:tr>
    </w:tbl>
    <w:p w14:paraId="118E062A" w14:textId="77777777" w:rsidR="00B501DB" w:rsidRPr="00B3123E" w:rsidRDefault="00B501DB" w:rsidP="00F862C6">
      <w:pPr>
        <w:tabs>
          <w:tab w:val="left" w:pos="1440"/>
        </w:tabs>
        <w:rPr>
          <w:rFonts w:ascii="Times New Roman" w:hAnsi="Times New Roman" w:cs="Times New Roman"/>
          <w:szCs w:val="24"/>
          <w:lang w:val="sr-Cyrl-RS"/>
        </w:rPr>
      </w:pPr>
    </w:p>
    <w:p w14:paraId="108F3667" w14:textId="77777777" w:rsidR="001F6652" w:rsidRPr="00B3123E" w:rsidRDefault="001F6652" w:rsidP="0016788F">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Остварење овог циља заснива се на </w:t>
      </w:r>
      <w:r w:rsidR="00244138" w:rsidRPr="00B3123E">
        <w:rPr>
          <w:rFonts w:ascii="Times New Roman" w:hAnsi="Times New Roman" w:cs="Times New Roman"/>
          <w:szCs w:val="24"/>
          <w:lang w:val="sr-Cyrl-RS"/>
        </w:rPr>
        <w:t>четири</w:t>
      </w:r>
      <w:r w:rsidRPr="00B3123E">
        <w:rPr>
          <w:rFonts w:ascii="Times New Roman" w:hAnsi="Times New Roman" w:cs="Times New Roman"/>
          <w:szCs w:val="24"/>
          <w:lang w:val="sr-Cyrl-RS"/>
        </w:rPr>
        <w:t xml:space="preserve"> међусобно повезан</w:t>
      </w:r>
      <w:r w:rsidR="00244138"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мер</w:t>
      </w:r>
      <w:r w:rsidR="00244138" w:rsidRPr="00B3123E">
        <w:rPr>
          <w:rFonts w:ascii="Times New Roman" w:hAnsi="Times New Roman" w:cs="Times New Roman"/>
          <w:szCs w:val="24"/>
          <w:lang w:val="sr-Cyrl-RS"/>
        </w:rPr>
        <w:t>е</w:t>
      </w:r>
      <w:r w:rsidRPr="00B3123E">
        <w:rPr>
          <w:rFonts w:ascii="Times New Roman" w:hAnsi="Times New Roman" w:cs="Times New Roman"/>
          <w:szCs w:val="24"/>
          <w:lang w:val="sr-Cyrl-RS"/>
        </w:rPr>
        <w:t>, које обезбеђују модернизацију поштанске мреже, финансијску и организациону одрживост услуга, заштиту корисника</w:t>
      </w:r>
      <w:r w:rsidR="00244138" w:rsidRPr="00B3123E">
        <w:rPr>
          <w:rFonts w:ascii="Times New Roman" w:hAnsi="Times New Roman" w:cs="Times New Roman"/>
          <w:szCs w:val="24"/>
          <w:lang w:val="sr-Cyrl-RS"/>
        </w:rPr>
        <w:t xml:space="preserve"> и</w:t>
      </w:r>
      <w:r w:rsidRPr="00B3123E">
        <w:rPr>
          <w:rFonts w:ascii="Times New Roman" w:hAnsi="Times New Roman" w:cs="Times New Roman"/>
          <w:szCs w:val="24"/>
          <w:lang w:val="sr-Cyrl-RS"/>
        </w:rPr>
        <w:t xml:space="preserve"> развој услуга у складу са очекивањима грађана.</w:t>
      </w:r>
    </w:p>
    <w:p w14:paraId="6126C949" w14:textId="73F353D9" w:rsidR="001F6652" w:rsidRPr="00B3123E" w:rsidRDefault="001F6652" w:rsidP="0016788F">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Модернизација и консолидација поштанске мреже у складу са тржишним потребама има за циљ улагање у савремене логистичке центре и пакетомате, дигитализацију шалтерских услуга и оптимизацију мреже пошта у складу са демографским и економским кретањима</w:t>
      </w:r>
      <w:r w:rsidR="001C6759"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 то кроз: </w:t>
      </w:r>
    </w:p>
    <w:p w14:paraId="2804D461" w14:textId="77777777" w:rsidR="001F6652" w:rsidRPr="00B3123E" w:rsidRDefault="001F6652" w:rsidP="00620E2B">
      <w:pPr>
        <w:pStyle w:val="ListParagraph"/>
        <w:numPr>
          <w:ilvl w:val="0"/>
          <w:numId w:val="34"/>
        </w:numPr>
        <w:tabs>
          <w:tab w:val="left" w:pos="1134"/>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lastRenderedPageBreak/>
        <w:t>модернизацију регионалних логистичких центара са савременим технологијама за сортирање и праћење пошиљака;</w:t>
      </w:r>
    </w:p>
    <w:p w14:paraId="5C54656D" w14:textId="26528BB9" w:rsidR="001F6652" w:rsidRPr="00B3123E" w:rsidRDefault="001F6652" w:rsidP="00620E2B">
      <w:pPr>
        <w:pStyle w:val="ListParagraph"/>
        <w:numPr>
          <w:ilvl w:val="0"/>
          <w:numId w:val="34"/>
        </w:numPr>
        <w:tabs>
          <w:tab w:val="left" w:pos="1134"/>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увођење пакетомата и аутоматизованих шалтерских уређаја ради повећања доступности услуга 24/7</w:t>
      </w:r>
      <w:r w:rsidR="00E110C9" w:rsidRPr="00B3123E">
        <w:rPr>
          <w:rFonts w:ascii="Times New Roman" w:hAnsi="Times New Roman" w:cs="Times New Roman"/>
          <w:szCs w:val="24"/>
          <w:lang w:val="sr-Cyrl-RS"/>
        </w:rPr>
        <w:t xml:space="preserve"> </w:t>
      </w:r>
      <w:r w:rsidR="00AF1C5B" w:rsidRPr="00B3123E">
        <w:rPr>
          <w:rFonts w:ascii="Times New Roman" w:hAnsi="Times New Roman" w:cs="Times New Roman"/>
          <w:szCs w:val="24"/>
          <w:lang w:val="sr-Cyrl-RS"/>
        </w:rPr>
        <w:t>(„Пошта без посаде</w:t>
      </w:r>
      <w:r w:rsidR="001C6759" w:rsidRPr="00B3123E">
        <w:rPr>
          <w:rFonts w:ascii="Times New Roman" w:hAnsi="Times New Roman" w:cs="Times New Roman"/>
          <w:bCs/>
          <w:szCs w:val="24"/>
          <w:lang w:val="sr-Cyrl-RS"/>
        </w:rPr>
        <w:t>”</w:t>
      </w:r>
      <w:r w:rsidR="00AF1C5B" w:rsidRPr="00B3123E">
        <w:rPr>
          <w:rFonts w:ascii="Times New Roman" w:hAnsi="Times New Roman" w:cs="Times New Roman"/>
          <w:szCs w:val="24"/>
          <w:lang w:val="sr-Cyrl-RS"/>
        </w:rPr>
        <w:t>)</w:t>
      </w:r>
      <w:r w:rsidRPr="00B3123E">
        <w:rPr>
          <w:rFonts w:ascii="Times New Roman" w:hAnsi="Times New Roman" w:cs="Times New Roman"/>
          <w:szCs w:val="24"/>
          <w:lang w:val="sr-Cyrl-RS"/>
        </w:rPr>
        <w:t>;</w:t>
      </w:r>
    </w:p>
    <w:p w14:paraId="2CC3FEC9" w14:textId="77777777" w:rsidR="001F6652" w:rsidRPr="00B3123E" w:rsidRDefault="001F6652" w:rsidP="00620E2B">
      <w:pPr>
        <w:pStyle w:val="ListParagraph"/>
        <w:numPr>
          <w:ilvl w:val="0"/>
          <w:numId w:val="34"/>
        </w:numPr>
        <w:tabs>
          <w:tab w:val="left" w:pos="1134"/>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дигитализациј</w:t>
      </w:r>
      <w:r w:rsidR="001929FC"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шалтерских операција путем е-реда, бесконтактних плаћања и евиденције корисничких података; </w:t>
      </w:r>
    </w:p>
    <w:p w14:paraId="761225FB" w14:textId="77777777" w:rsidR="001F6652" w:rsidRPr="00B3123E" w:rsidRDefault="001F6652" w:rsidP="00620E2B">
      <w:pPr>
        <w:pStyle w:val="ListParagraph"/>
        <w:numPr>
          <w:ilvl w:val="0"/>
          <w:numId w:val="34"/>
        </w:numPr>
        <w:tabs>
          <w:tab w:val="left" w:pos="1134"/>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оптимизациј</w:t>
      </w:r>
      <w:r w:rsidR="001929FC"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броја и локација поштанских јединица кроз спајање или реорганизацију постојећих капацитета у складу са демографским кретањима и економским потенцијалима региона.</w:t>
      </w:r>
    </w:p>
    <w:p w14:paraId="3147FA88" w14:textId="5E339191" w:rsidR="001929FC" w:rsidRPr="00B3123E" w:rsidRDefault="001929FC"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Одрживост </w:t>
      </w:r>
      <w:r w:rsidR="001B5FF4"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представља један од кључних предуслова очувања равноправног приступа комуникационој инфраструктури за све грађане Републике Србије, без обзира на њихову локацију, економски статус или припадност рањивим групама. У контексту дигитализације, али и растућих тржишних изазова, неопходно је обезбедити да УПУ остане стабилан, финансијски одржив и квалитетан сервис од јавног интереса.</w:t>
      </w:r>
      <w:r w:rsidR="00FA4F7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Активности у оквиру ове мере усмеравају се на:</w:t>
      </w:r>
    </w:p>
    <w:p w14:paraId="3163000F" w14:textId="75B21280" w:rsidR="001929FC" w:rsidRPr="00B3123E" w:rsidRDefault="001929FC" w:rsidP="00620E2B">
      <w:pPr>
        <w:pStyle w:val="ListParagraph"/>
        <w:numPr>
          <w:ilvl w:val="0"/>
          <w:numId w:val="34"/>
        </w:numPr>
        <w:tabs>
          <w:tab w:val="left" w:pos="1134"/>
          <w:tab w:val="left" w:pos="1560"/>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Финансијску одрживост – успостављање модела финансирања који комбинује сопствене приходе </w:t>
      </w:r>
      <w:r w:rsidR="0080176B"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државне субвенције и могућности финансирања из европских и међународних фондова. Овим приступом смањује се ризик од зависности од једног извора финансирања и јача дугорочна стабилност услуге</w:t>
      </w:r>
      <w:r w:rsidR="00E71E77" w:rsidRPr="00B3123E">
        <w:rPr>
          <w:rFonts w:ascii="Times New Roman" w:hAnsi="Times New Roman" w:cs="Times New Roman"/>
          <w:szCs w:val="24"/>
          <w:lang w:val="sr-Cyrl-RS"/>
        </w:rPr>
        <w:t>;</w:t>
      </w:r>
    </w:p>
    <w:p w14:paraId="3E061252" w14:textId="0BF4757D" w:rsidR="001929FC" w:rsidRPr="00B3123E" w:rsidRDefault="001929FC" w:rsidP="00620E2B">
      <w:pPr>
        <w:pStyle w:val="ListParagraph"/>
        <w:numPr>
          <w:ilvl w:val="0"/>
          <w:numId w:val="34"/>
        </w:numPr>
        <w:tabs>
          <w:tab w:val="left" w:pos="1134"/>
          <w:tab w:val="left" w:pos="1560"/>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Географску доступност – обезбеђивање покривености и у руралним, мање насељеним и економски непрофитабилним срединама, кроз адаптацију мреже пошта и развој мобилних и алтернативних модела доставе</w:t>
      </w:r>
      <w:r w:rsidR="00E71E77" w:rsidRPr="00B3123E">
        <w:rPr>
          <w:rFonts w:ascii="Times New Roman" w:hAnsi="Times New Roman" w:cs="Times New Roman"/>
          <w:szCs w:val="24"/>
          <w:lang w:val="sr-Cyrl-RS"/>
        </w:rPr>
        <w:t>;</w:t>
      </w:r>
    </w:p>
    <w:p w14:paraId="3C904466" w14:textId="77777777" w:rsidR="00E71E77" w:rsidRPr="00B3123E" w:rsidRDefault="001929FC" w:rsidP="00620E2B">
      <w:pPr>
        <w:pStyle w:val="ListParagraph"/>
        <w:numPr>
          <w:ilvl w:val="0"/>
          <w:numId w:val="34"/>
        </w:numPr>
        <w:tabs>
          <w:tab w:val="left" w:pos="1134"/>
          <w:tab w:val="left" w:pos="1560"/>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Квалитет и поузданост услуга – јачање унутрашњих процеса и увођење дигиталних решења за боље праћење пошиљака, бржу обраду и сигурнију испоруку, како би се одговорило на очекивања корисника у погледу поузданости</w:t>
      </w:r>
      <w:r w:rsidR="00E71E77" w:rsidRPr="00B3123E">
        <w:rPr>
          <w:rFonts w:ascii="Times New Roman" w:hAnsi="Times New Roman" w:cs="Times New Roman"/>
          <w:szCs w:val="24"/>
          <w:lang w:val="sr-Cyrl-RS"/>
        </w:rPr>
        <w:t>;</w:t>
      </w:r>
    </w:p>
    <w:p w14:paraId="47C094D2" w14:textId="1AB79061" w:rsidR="00E71E77" w:rsidRPr="00B3123E" w:rsidRDefault="00E71E77" w:rsidP="00620E2B">
      <w:pPr>
        <w:pStyle w:val="ListParagraph"/>
        <w:numPr>
          <w:ilvl w:val="0"/>
          <w:numId w:val="34"/>
        </w:numPr>
        <w:tabs>
          <w:tab w:val="left" w:pos="1134"/>
          <w:tab w:val="left" w:pos="1560"/>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Еколошку одрживост – смањење емисије</w:t>
      </w:r>
      <w:r w:rsidR="00F701B6" w:rsidRPr="00B3123E">
        <w:rPr>
          <w:lang w:val="sr-Cyrl-RS"/>
        </w:rPr>
        <w:t xml:space="preserve"> штетних гасова</w:t>
      </w:r>
      <w:r w:rsidRPr="00B3123E">
        <w:rPr>
          <w:rFonts w:ascii="Times New Roman" w:hAnsi="Times New Roman" w:cs="Times New Roman"/>
          <w:szCs w:val="24"/>
          <w:lang w:val="sr-Cyrl-RS"/>
        </w:rPr>
        <w:t xml:space="preserve"> </w:t>
      </w:r>
      <w:r w:rsidR="00FA0FFB" w:rsidRPr="00B3123E">
        <w:rPr>
          <w:rFonts w:ascii="Times New Roman" w:hAnsi="Times New Roman" w:cs="Times New Roman"/>
          <w:szCs w:val="24"/>
          <w:lang w:val="sr-Cyrl-RS"/>
        </w:rPr>
        <w:t xml:space="preserve">кроз </w:t>
      </w:r>
      <w:r w:rsidRPr="00B3123E">
        <w:rPr>
          <w:rFonts w:ascii="Times New Roman" w:hAnsi="Times New Roman" w:cs="Times New Roman"/>
          <w:szCs w:val="24"/>
          <w:lang w:val="sr-Cyrl-RS"/>
        </w:rPr>
        <w:t>оптимизациј</w:t>
      </w:r>
      <w:r w:rsidR="00FA0FFB"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транспортних рута</w:t>
      </w:r>
      <w:r w:rsidR="00FA0FFB" w:rsidRPr="00B3123E">
        <w:rPr>
          <w:lang w:val="sr-Cyrl-RS"/>
        </w:rPr>
        <w:t xml:space="preserve"> </w:t>
      </w:r>
      <w:r w:rsidR="00FA0FFB" w:rsidRPr="00B3123E">
        <w:rPr>
          <w:rFonts w:ascii="Times New Roman" w:hAnsi="Times New Roman" w:cs="Times New Roman"/>
          <w:szCs w:val="24"/>
          <w:lang w:val="sr-Cyrl-RS"/>
        </w:rPr>
        <w:t>и кроз веће учешће возила на електрични и хибридни погон.</w:t>
      </w:r>
    </w:p>
    <w:p w14:paraId="6D526730" w14:textId="6F02856E" w:rsidR="00250E86" w:rsidRPr="00B3123E" w:rsidRDefault="00250E86"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Јачање дигиталне доступности је кључно за обезбеђење инклузивног приступа јавним услугама у</w:t>
      </w:r>
      <w:r w:rsidR="00FA4F7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Републици Србији. Ова мера има за циљ да омогући грађанима, без обзира на њихов ниво дигиталних компетенција или локацију, једноставан и поуздан приступ електронским услугама </w:t>
      </w:r>
      <w:r w:rsidR="001E3AFB"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кроз сарадњу еУправе и </w:t>
      </w:r>
      <w:r w:rsidR="005F428D"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Ово би се реализовало кроз:</w:t>
      </w:r>
    </w:p>
    <w:p w14:paraId="0D4D7CCC" w14:textId="117E2BA5"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партнерског модела еУправе и поште – успостављање формалних механизама сарадње који омогућавају корисницима приступ еУслугама у поштанским јединицама широм </w:t>
      </w:r>
      <w:r w:rsidR="001E3AFB" w:rsidRPr="00B3123E">
        <w:rPr>
          <w:rFonts w:ascii="Times New Roman" w:hAnsi="Times New Roman" w:cs="Times New Roman"/>
          <w:szCs w:val="24"/>
          <w:lang w:val="sr-Cyrl-RS"/>
        </w:rPr>
        <w:t>државе</w:t>
      </w:r>
      <w:r w:rsidR="001C6759" w:rsidRPr="00B3123E">
        <w:rPr>
          <w:rFonts w:ascii="Times New Roman" w:hAnsi="Times New Roman" w:cs="Times New Roman"/>
          <w:szCs w:val="24"/>
          <w:lang w:val="sr-Cyrl-RS"/>
        </w:rPr>
        <w:t>;</w:t>
      </w:r>
    </w:p>
    <w:p w14:paraId="70B9685C" w14:textId="70C90163"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Опремање пошта дигиталним киосцима и терминалима – постављање савремене опреме која омогућава приступ електронским сервисима, као и аутоматизоване процедуре за брзу регистрацију и пријаву</w:t>
      </w:r>
      <w:r w:rsidR="001C6759" w:rsidRPr="00B3123E">
        <w:rPr>
          <w:rFonts w:ascii="Times New Roman" w:hAnsi="Times New Roman" w:cs="Times New Roman"/>
          <w:szCs w:val="24"/>
          <w:lang w:val="sr-Cyrl-RS"/>
        </w:rPr>
        <w:t>;</w:t>
      </w:r>
    </w:p>
    <w:p w14:paraId="13E591DA" w14:textId="15505FB4"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Обуку запослених – едукацију запослених у пошти како би могли да пруже непосредну помоћ грађанима у коришћењу еУслуга, укључујући регистрацију на </w:t>
      </w:r>
      <w:r w:rsidR="00EB28B4" w:rsidRPr="00B3123E">
        <w:rPr>
          <w:rFonts w:ascii="Times New Roman" w:hAnsi="Times New Roman" w:cs="Times New Roman"/>
          <w:szCs w:val="24"/>
          <w:lang w:val="sr-Cyrl-RS"/>
        </w:rPr>
        <w:t xml:space="preserve">Порталу </w:t>
      </w:r>
      <w:r w:rsidRPr="00B3123E">
        <w:rPr>
          <w:rFonts w:ascii="Times New Roman" w:hAnsi="Times New Roman" w:cs="Times New Roman"/>
          <w:szCs w:val="24"/>
          <w:lang w:val="sr-Cyrl-RS"/>
        </w:rPr>
        <w:t>еУправ</w:t>
      </w:r>
      <w:r w:rsidR="00EB28B4" w:rsidRPr="00B3123E">
        <w:rPr>
          <w:rFonts w:ascii="Times New Roman" w:hAnsi="Times New Roman" w:cs="Times New Roman"/>
          <w:szCs w:val="24"/>
          <w:lang w:val="sr-Cyrl-RS"/>
        </w:rPr>
        <w:t>а</w:t>
      </w:r>
      <w:r w:rsidRPr="00B3123E">
        <w:rPr>
          <w:rFonts w:ascii="Times New Roman" w:hAnsi="Times New Roman" w:cs="Times New Roman"/>
          <w:szCs w:val="24"/>
          <w:lang w:val="sr-Cyrl-RS"/>
        </w:rPr>
        <w:t>, коришћење електронског потписа и приступ дигиталним документима</w:t>
      </w:r>
      <w:r w:rsidR="001C6759" w:rsidRPr="00B3123E">
        <w:rPr>
          <w:rFonts w:ascii="Times New Roman" w:hAnsi="Times New Roman" w:cs="Times New Roman"/>
          <w:szCs w:val="24"/>
          <w:lang w:val="sr-Cyrl-RS"/>
        </w:rPr>
        <w:t>;</w:t>
      </w:r>
    </w:p>
    <w:p w14:paraId="6919188E" w14:textId="6ECA979C"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Инклузивн</w:t>
      </w:r>
      <w:r w:rsidR="006211A8"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дигиталн</w:t>
      </w:r>
      <w:r w:rsidR="00B95A2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сервис</w:t>
      </w:r>
      <w:r w:rsidR="00B95A2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 развој прилагођених решења за рањиве категорије грађана, укључујући старија лица, особе са инвалидитетом и становнике руралних подручја, како би се смањила дигитална недоступност и осигурала равноправност</w:t>
      </w:r>
      <w:r w:rsidR="001C6759" w:rsidRPr="00B3123E">
        <w:rPr>
          <w:rFonts w:ascii="Times New Roman" w:hAnsi="Times New Roman" w:cs="Times New Roman"/>
          <w:szCs w:val="24"/>
          <w:lang w:val="sr-Cyrl-RS"/>
        </w:rPr>
        <w:t>;</w:t>
      </w:r>
    </w:p>
    <w:p w14:paraId="02D000EB" w14:textId="28F548F8"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Промоцију и информисање корисника – спровођење кампања за подизање свести о могућностима коришћења еУслуга у пошти, укључујући дигиталне водиче и упутства</w:t>
      </w:r>
      <w:r w:rsidR="001C6759" w:rsidRPr="00B3123E">
        <w:rPr>
          <w:rFonts w:ascii="Times New Roman" w:hAnsi="Times New Roman" w:cs="Times New Roman"/>
          <w:szCs w:val="24"/>
          <w:lang w:val="sr-Cyrl-RS"/>
        </w:rPr>
        <w:t>;</w:t>
      </w:r>
    </w:p>
    <w:p w14:paraId="00BFD81E" w14:textId="78BA57C8"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Системско праћење и извештавање – праћење броја корисника који користе еУправу преко поштанских јединица, процена нивоа задовољства и идентификовање потреба за даљим унапређењима.</w:t>
      </w:r>
    </w:p>
    <w:p w14:paraId="5AD2B8D6" w14:textId="153457D1" w:rsidR="00250E86" w:rsidRPr="00B3123E" w:rsidRDefault="00250E86"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Овом мером се обезбеђује да </w:t>
      </w:r>
      <w:r w:rsidR="0027239F"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постане важан канал дигиталне инклузије, омогућавајући грађанима да равноправно користе електронске услуге </w:t>
      </w:r>
      <w:r w:rsidR="001E3AFB"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независно од места становања или дигиталних вештина.</w:t>
      </w:r>
    </w:p>
    <w:p w14:paraId="6109D495" w14:textId="20852ADE" w:rsidR="001F6652" w:rsidRPr="00B3123E" w:rsidRDefault="001929FC"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Овом мером се обезбеђује </w:t>
      </w:r>
      <w:r w:rsidR="001D6E7B" w:rsidRPr="00B3123E">
        <w:rPr>
          <w:rFonts w:ascii="Times New Roman" w:hAnsi="Times New Roman" w:cs="Times New Roman"/>
          <w:szCs w:val="24"/>
          <w:lang w:val="sr-Cyrl-RS"/>
        </w:rPr>
        <w:t xml:space="preserve">и </w:t>
      </w:r>
      <w:r w:rsidRPr="00B3123E">
        <w:rPr>
          <w:rFonts w:ascii="Times New Roman" w:hAnsi="Times New Roman" w:cs="Times New Roman"/>
          <w:szCs w:val="24"/>
          <w:lang w:val="sr-Cyrl-RS"/>
        </w:rPr>
        <w:t xml:space="preserve">да </w:t>
      </w:r>
      <w:r w:rsidR="0027239F"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као сервис од јавног интереса, остане темељ комуникационог и логистичког система Републике Србије, подједнако доступан свим грађанима и у складу са савременим принципима одрживог развоја</w:t>
      </w:r>
    </w:p>
    <w:p w14:paraId="512D45F9" w14:textId="0B491B44" w:rsidR="001929FC" w:rsidRPr="00B3123E" w:rsidRDefault="001929FC"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Очување поверења грађана и привреде у </w:t>
      </w:r>
      <w:r w:rsidR="007B26B5"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захтева јасно дефинисане, мерљиве и транспарентне стандарде квалитета, као и стално праћење њихове примене. У том контексту, системско праћење и унапређење стандарда представља основни механизам заштите корисника и јачање њихових права.</w:t>
      </w:r>
      <w:r w:rsidR="001B69E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Активности у оквиру ове мере усмерене су на:</w:t>
      </w:r>
    </w:p>
    <w:p w14:paraId="50E2463C" w14:textId="7BF23D29" w:rsidR="001929FC" w:rsidRPr="00B3123E" w:rsidRDefault="001929FC"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Дефинисање и унапређење индикатора квалитета услуга – укључујући време преноса пошиљака (Д+2, Д+3, Д+5),</w:t>
      </w:r>
      <w:r w:rsidR="00EA7AE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проценат успешне и благовремене доставе, стопу изгубљених или оштећених пошиљака, просечно време решавања притужби, као и индекс</w:t>
      </w:r>
      <w:r w:rsidR="001D7B0E"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задовољства корисника (</w:t>
      </w:r>
      <w:r w:rsidRPr="00B3123E">
        <w:rPr>
          <w:rFonts w:ascii="Times New Roman" w:hAnsi="Times New Roman" w:cs="Times New Roman"/>
          <w:i/>
          <w:iCs/>
          <w:szCs w:val="24"/>
          <w:lang w:val="sr-Cyrl-RS"/>
        </w:rPr>
        <w:t>Customer</w:t>
      </w:r>
      <w:r w:rsidR="00C32E2A"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Satisfaction</w:t>
      </w:r>
      <w:r w:rsidR="00C32E2A"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Index</w:t>
      </w:r>
      <w:r w:rsidR="001C6759" w:rsidRPr="00B3123E">
        <w:rPr>
          <w:rFonts w:ascii="Times New Roman" w:hAnsi="Times New Roman" w:cs="Times New Roman"/>
          <w:szCs w:val="24"/>
          <w:lang w:val="sr-Cyrl-RS"/>
        </w:rPr>
        <w:t xml:space="preserve"> – CSI);</w:t>
      </w:r>
    </w:p>
    <w:p w14:paraId="13AD5167" w14:textId="0F744707" w:rsidR="001929FC" w:rsidRPr="00B3123E" w:rsidRDefault="001929FC"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Редовно праћење и извештавање – успостављање механизма систематског прикупљања и анализе података о квалитету УПУ, са годишњим извештајима који ће бити јавно доступни, чиме се обезбеђује транспаре</w:t>
      </w:r>
      <w:r w:rsidR="001C6759" w:rsidRPr="00B3123E">
        <w:rPr>
          <w:rFonts w:ascii="Times New Roman" w:hAnsi="Times New Roman" w:cs="Times New Roman"/>
          <w:szCs w:val="24"/>
          <w:lang w:val="sr-Cyrl-RS"/>
        </w:rPr>
        <w:t>нтност и јача поверење јавности;</w:t>
      </w:r>
    </w:p>
    <w:p w14:paraId="7B189B94" w14:textId="58A8FB1E" w:rsidR="001929FC" w:rsidRPr="00B3123E" w:rsidRDefault="001929FC"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Унапређење система за притужбе корисника – модернизација и дигитализација канала за подношење и праћење притужби (онлајн платформе, мобилне апликације, шалтерски киосци и сл.), као и увођење стандарда за максимално до</w:t>
      </w:r>
      <w:r w:rsidR="001C6759" w:rsidRPr="00B3123E">
        <w:rPr>
          <w:rFonts w:ascii="Times New Roman" w:hAnsi="Times New Roman" w:cs="Times New Roman"/>
          <w:szCs w:val="24"/>
          <w:lang w:val="sr-Cyrl-RS"/>
        </w:rPr>
        <w:t>звољено време решавања притужби;</w:t>
      </w:r>
    </w:p>
    <w:p w14:paraId="7A1581AF" w14:textId="4822CB8C" w:rsidR="001929FC" w:rsidRPr="00B3123E" w:rsidRDefault="00B95A25"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Интерну</w:t>
      </w:r>
      <w:r w:rsidR="001929FC" w:rsidRPr="00B3123E">
        <w:rPr>
          <w:rFonts w:ascii="Times New Roman" w:hAnsi="Times New Roman" w:cs="Times New Roman"/>
          <w:szCs w:val="24"/>
          <w:lang w:val="sr-Cyrl-RS"/>
        </w:rPr>
        <w:t xml:space="preserve"> и екстерн</w:t>
      </w:r>
      <w:r w:rsidRPr="00B3123E">
        <w:rPr>
          <w:rFonts w:ascii="Times New Roman" w:hAnsi="Times New Roman" w:cs="Times New Roman"/>
          <w:szCs w:val="24"/>
          <w:lang w:val="sr-Cyrl-RS"/>
        </w:rPr>
        <w:t>у</w:t>
      </w:r>
      <w:r w:rsidR="001929FC" w:rsidRPr="00B3123E">
        <w:rPr>
          <w:rFonts w:ascii="Times New Roman" w:hAnsi="Times New Roman" w:cs="Times New Roman"/>
          <w:szCs w:val="24"/>
          <w:lang w:val="sr-Cyrl-RS"/>
        </w:rPr>
        <w:t xml:space="preserve"> контрол</w:t>
      </w:r>
      <w:r w:rsidRPr="00B3123E">
        <w:rPr>
          <w:rFonts w:ascii="Times New Roman" w:hAnsi="Times New Roman" w:cs="Times New Roman"/>
          <w:szCs w:val="24"/>
          <w:lang w:val="sr-Cyrl-RS"/>
        </w:rPr>
        <w:t>у</w:t>
      </w:r>
      <w:r w:rsidR="001929FC" w:rsidRPr="00B3123E">
        <w:rPr>
          <w:rFonts w:ascii="Times New Roman" w:hAnsi="Times New Roman" w:cs="Times New Roman"/>
          <w:szCs w:val="24"/>
          <w:lang w:val="sr-Cyrl-RS"/>
        </w:rPr>
        <w:t xml:space="preserve"> – развој програма интерне контроле квалитета и успостављање механизама независних екстерних ревизија, у складу са најбољим ев</w:t>
      </w:r>
      <w:r w:rsidR="001C6759" w:rsidRPr="00B3123E">
        <w:rPr>
          <w:rFonts w:ascii="Times New Roman" w:hAnsi="Times New Roman" w:cs="Times New Roman"/>
          <w:szCs w:val="24"/>
          <w:lang w:val="sr-Cyrl-RS"/>
        </w:rPr>
        <w:t>ропским и међународним праксама;</w:t>
      </w:r>
    </w:p>
    <w:p w14:paraId="261D1FC5" w14:textId="77777777" w:rsidR="001929FC" w:rsidRPr="00B3123E" w:rsidRDefault="001929FC"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Континуирано унапређење услуга – анализа добијених резултата и корисничких повратних информација, како би се услуге редовно прилагођавале променљивим потребама и очекивањима грађана и привреде.</w:t>
      </w:r>
    </w:p>
    <w:p w14:paraId="46589285" w14:textId="4D17880B" w:rsidR="001929FC" w:rsidRPr="00B3123E" w:rsidRDefault="001929FC" w:rsidP="00733DAB">
      <w:pPr>
        <w:tabs>
          <w:tab w:val="left" w:pos="1418"/>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На овај начин, системско праћење стандарда не служи само као механизам контроле, већ као динамичан процес који омогућава унапређење квалитета, повећање транспарентности и заштиту интереса свих корисника </w:t>
      </w:r>
      <w:r w:rsidR="0069585A"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w:t>
      </w:r>
    </w:p>
    <w:p w14:paraId="4EF9DCDF" w14:textId="7DC2E582" w:rsidR="00001E96" w:rsidRPr="00B3123E" w:rsidRDefault="00001E96" w:rsidP="00733DAB">
      <w:pPr>
        <w:tabs>
          <w:tab w:val="left" w:pos="1418"/>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r w:rsidR="0069585A"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мора бити заснован на реалним потребама грађана и привреде, као и на разумевању начина на који корисници перципирају доступност, квалитет и поузданост услуга. Систематска анализа </w:t>
      </w:r>
      <w:r w:rsidR="00244138" w:rsidRPr="00B3123E">
        <w:rPr>
          <w:rFonts w:ascii="Times New Roman" w:hAnsi="Times New Roman" w:cs="Times New Roman"/>
          <w:szCs w:val="24"/>
          <w:lang w:val="sr-Cyrl-RS"/>
        </w:rPr>
        <w:t>задовољства</w:t>
      </w:r>
      <w:r w:rsidRPr="00B3123E">
        <w:rPr>
          <w:rFonts w:ascii="Times New Roman" w:hAnsi="Times New Roman" w:cs="Times New Roman"/>
          <w:szCs w:val="24"/>
          <w:lang w:val="sr-Cyrl-RS"/>
        </w:rPr>
        <w:t xml:space="preserve"> и очекивања корисника омогућава доносиоцима одлука да благовремено идентификују промене у захтевима тржишта и прилагоде услуге у складу са њима</w:t>
      </w:r>
      <w:r w:rsidR="001C6759"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 то кроз:</w:t>
      </w:r>
    </w:p>
    <w:p w14:paraId="629B27B5" w14:textId="442D8F21"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Редовна истраживања јавног мњења – спровођење анкета на националном нивоу најмање једном </w:t>
      </w:r>
      <w:r w:rsidR="008F35B4" w:rsidRPr="00B3123E">
        <w:rPr>
          <w:rFonts w:ascii="Times New Roman" w:hAnsi="Times New Roman" w:cs="Times New Roman"/>
          <w:szCs w:val="24"/>
          <w:lang w:val="sr-Cyrl-RS"/>
        </w:rPr>
        <w:t>у две године,</w:t>
      </w:r>
      <w:r w:rsidRPr="00B3123E">
        <w:rPr>
          <w:rFonts w:ascii="Times New Roman" w:hAnsi="Times New Roman" w:cs="Times New Roman"/>
          <w:szCs w:val="24"/>
          <w:lang w:val="sr-Cyrl-RS"/>
        </w:rPr>
        <w:t xml:space="preserve"> ради прикупљања података о задовољству корисника, њих</w:t>
      </w:r>
      <w:r w:rsidR="001C6759" w:rsidRPr="00B3123E">
        <w:rPr>
          <w:rFonts w:ascii="Times New Roman" w:hAnsi="Times New Roman" w:cs="Times New Roman"/>
          <w:szCs w:val="24"/>
          <w:lang w:val="sr-Cyrl-RS"/>
        </w:rPr>
        <w:t>овим приоритетима и очекивањима;</w:t>
      </w:r>
    </w:p>
    <w:p w14:paraId="754F3CA4" w14:textId="315C92AE"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Фокус групе и тематска истраживања – организовање дискусија у различитим друштвеним и географским срединама (урбаним и руралним) ради бољег разумевања специфичних потреба различитих категорија корисника, укљ</w:t>
      </w:r>
      <w:r w:rsidR="00B95A25" w:rsidRPr="00B3123E">
        <w:rPr>
          <w:rFonts w:ascii="Times New Roman" w:hAnsi="Times New Roman" w:cs="Times New Roman"/>
          <w:szCs w:val="24"/>
          <w:lang w:val="sr-Cyrl-RS"/>
        </w:rPr>
        <w:t>учујући привреду и рањиве групе;</w:t>
      </w:r>
    </w:p>
    <w:p w14:paraId="7BD66360" w14:textId="46EAD85F"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Дигитални систем повратних информација – успостављање онлајн платформи и мобилних апликација за прикупљање коментара у реалном времену, као и постављање QR кодова на пошиљкама или у поштанским јединицама ради лакшег изражавања мишљења корисника</w:t>
      </w:r>
      <w:r w:rsidR="00B95A25" w:rsidRPr="00B3123E">
        <w:rPr>
          <w:rFonts w:ascii="Times New Roman" w:hAnsi="Times New Roman" w:cs="Times New Roman"/>
          <w:szCs w:val="24"/>
          <w:lang w:val="sr-Cyrl-RS"/>
        </w:rPr>
        <w:t>;</w:t>
      </w:r>
    </w:p>
    <w:p w14:paraId="6AAF4731" w14:textId="5D83E9CF"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Анализ</w:t>
      </w:r>
      <w:r w:rsidR="00B95A25"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добијених података – систематско прикупљање, обрада и интерпретација резултата истраживања, са посебним освртом на промене у очекивањима корисника и упоређивање трендова кроз време</w:t>
      </w:r>
      <w:r w:rsidR="00B95A25" w:rsidRPr="00B3123E">
        <w:rPr>
          <w:rFonts w:ascii="Times New Roman" w:hAnsi="Times New Roman" w:cs="Times New Roman"/>
          <w:szCs w:val="24"/>
          <w:lang w:val="sr-Cyrl-RS"/>
        </w:rPr>
        <w:t>;</w:t>
      </w:r>
    </w:p>
    <w:p w14:paraId="614B239A" w14:textId="1F546E9B"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Примен</w:t>
      </w:r>
      <w:r w:rsidR="00B95A25"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резултата у пракси – израда препорука за унапређење постојећих услуга и развој нових сервиса, као и интеграција налаза у процес планирања и </w:t>
      </w:r>
      <w:r w:rsidR="00091118" w:rsidRPr="00B3123E">
        <w:rPr>
          <w:rFonts w:ascii="Times New Roman" w:hAnsi="Times New Roman" w:cs="Times New Roman"/>
          <w:szCs w:val="24"/>
          <w:lang w:val="sr-Cyrl-RS"/>
        </w:rPr>
        <w:t>планског</w:t>
      </w:r>
      <w:r w:rsidRPr="00B3123E">
        <w:rPr>
          <w:rFonts w:ascii="Times New Roman" w:hAnsi="Times New Roman" w:cs="Times New Roman"/>
          <w:szCs w:val="24"/>
          <w:lang w:val="sr-Cyrl-RS"/>
        </w:rPr>
        <w:t xml:space="preserve"> управљања </w:t>
      </w:r>
      <w:r w:rsidR="008469E9"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w:t>
      </w:r>
    </w:p>
    <w:p w14:paraId="1AA1AE01" w14:textId="659DF829" w:rsidR="00001E96" w:rsidRPr="00B3123E" w:rsidRDefault="00001E96" w:rsidP="00733DA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Овом мером обезбеђује се да </w:t>
      </w:r>
      <w:r w:rsidR="008469E9"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остане усклађена са динамичним потребама корисника, да се повећава њихово задовољство и поверење, као и да се поштанска инфраструктура користи као активан инструмент дигиталне и друштвене инклузије.</w:t>
      </w:r>
    </w:p>
    <w:p w14:paraId="479D14C9" w14:textId="77777777" w:rsidR="000719B0" w:rsidRPr="00B3123E" w:rsidRDefault="000719B0" w:rsidP="008F0C90">
      <w:pPr>
        <w:tabs>
          <w:tab w:val="left" w:pos="1440"/>
        </w:tabs>
        <w:ind w:firstLine="1276"/>
        <w:rPr>
          <w:rFonts w:ascii="Times New Roman" w:hAnsi="Times New Roman" w:cs="Times New Roman"/>
          <w:szCs w:val="24"/>
          <w:lang w:val="sr-Cyrl-RS"/>
        </w:rPr>
      </w:pPr>
    </w:p>
    <w:p w14:paraId="7033343D" w14:textId="77777777" w:rsidR="009A5231" w:rsidRPr="00B3123E" w:rsidRDefault="00610F0A" w:rsidP="00F862C6">
      <w:pPr>
        <w:pStyle w:val="Heading1"/>
        <w:tabs>
          <w:tab w:val="left" w:pos="1440"/>
        </w:tabs>
        <w:rPr>
          <w:rFonts w:ascii="Times New Roman" w:hAnsi="Times New Roman"/>
          <w:sz w:val="24"/>
          <w:lang w:val="sr-Cyrl-RS"/>
        </w:rPr>
      </w:pPr>
      <w:bookmarkStart w:id="49" w:name="_Toc23941314"/>
      <w:bookmarkStart w:id="50" w:name="_Toc211461801"/>
      <w:bookmarkStart w:id="51" w:name="_Toc211545985"/>
      <w:r w:rsidRPr="00B3123E">
        <w:rPr>
          <w:rFonts w:ascii="Times New Roman" w:hAnsi="Times New Roman"/>
          <w:sz w:val="24"/>
          <w:lang w:val="sr-Cyrl-RS"/>
        </w:rPr>
        <w:t>ПОСЕБНИ</w:t>
      </w:r>
      <w:r w:rsidR="009A5231" w:rsidRPr="00B3123E">
        <w:rPr>
          <w:rFonts w:ascii="Times New Roman" w:hAnsi="Times New Roman"/>
          <w:sz w:val="24"/>
          <w:lang w:val="sr-Cyrl-RS"/>
        </w:rPr>
        <w:t xml:space="preserve"> ЦИЉ 2</w:t>
      </w:r>
      <w:bookmarkEnd w:id="49"/>
      <w:bookmarkEnd w:id="50"/>
      <w:bookmarkEnd w:id="51"/>
    </w:p>
    <w:tbl>
      <w:tblPr>
        <w:tblStyle w:val="TableGrid"/>
        <w:tblW w:w="0" w:type="auto"/>
        <w:tblLook w:val="04A0" w:firstRow="1" w:lastRow="0" w:firstColumn="1" w:lastColumn="0" w:noHBand="0" w:noVBand="1"/>
      </w:tblPr>
      <w:tblGrid>
        <w:gridCol w:w="560"/>
        <w:gridCol w:w="8456"/>
      </w:tblGrid>
      <w:tr w:rsidR="005A2589" w:rsidRPr="00B3123E" w14:paraId="6C803041" w14:textId="77777777" w:rsidTr="00ED6261">
        <w:tc>
          <w:tcPr>
            <w:tcW w:w="9016" w:type="dxa"/>
            <w:gridSpan w:val="2"/>
          </w:tcPr>
          <w:p w14:paraId="77680477" w14:textId="4F591CA5" w:rsidR="005168D4" w:rsidRPr="00B3123E" w:rsidRDefault="00BD4F70" w:rsidP="005168D4">
            <w:pPr>
              <w:tabs>
                <w:tab w:val="left" w:pos="1440"/>
              </w:tabs>
              <w:rPr>
                <w:rFonts w:ascii="Times New Roman" w:hAnsi="Times New Roman" w:cs="Times New Roman"/>
                <w:b/>
                <w:i/>
                <w:szCs w:val="24"/>
                <w:u w:val="single"/>
                <w:lang w:val="sr-Cyrl-RS"/>
              </w:rPr>
            </w:pPr>
            <w:r w:rsidRPr="00B3123E">
              <w:rPr>
                <w:rFonts w:ascii="Times New Roman" w:hAnsi="Times New Roman" w:cs="Times New Roman"/>
                <w:b/>
                <w:i/>
                <w:szCs w:val="24"/>
                <w:u w:val="single"/>
                <w:lang w:val="sr-Cyrl-RS"/>
              </w:rPr>
              <w:t>Посебни циљ 2:</w:t>
            </w:r>
            <w:r w:rsidR="00DC4E5F" w:rsidRPr="00B3123E">
              <w:rPr>
                <w:rFonts w:ascii="Times New Roman" w:hAnsi="Times New Roman" w:cs="Times New Roman"/>
                <w:b/>
                <w:i/>
                <w:szCs w:val="24"/>
                <w:lang w:val="sr-Cyrl-RS"/>
              </w:rPr>
              <w:t xml:space="preserve"> </w:t>
            </w:r>
            <w:r w:rsidR="004A0E08" w:rsidRPr="00B3123E">
              <w:rPr>
                <w:rFonts w:ascii="Times New Roman" w:hAnsi="Times New Roman" w:cs="Times New Roman"/>
                <w:bCs/>
                <w:i/>
                <w:szCs w:val="24"/>
                <w:lang w:val="sr-Cyrl-RS"/>
              </w:rPr>
              <w:t>Успостављено подстицајно привредно окружење за поштанске услуге</w:t>
            </w:r>
          </w:p>
        </w:tc>
      </w:tr>
      <w:tr w:rsidR="005A2589" w:rsidRPr="00B3123E" w14:paraId="752E0CB5" w14:textId="77777777" w:rsidTr="00ED6261">
        <w:tc>
          <w:tcPr>
            <w:tcW w:w="9016" w:type="dxa"/>
            <w:gridSpan w:val="2"/>
            <w:shd w:val="clear" w:color="auto" w:fill="E7E6E6" w:themeFill="background2"/>
          </w:tcPr>
          <w:p w14:paraId="0CC82487" w14:textId="77777777" w:rsidR="006F3A71" w:rsidRPr="00B3123E" w:rsidRDefault="006F3A71" w:rsidP="00F862C6">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Преглед мера за реализацију посебног циља 2</w:t>
            </w:r>
          </w:p>
        </w:tc>
      </w:tr>
      <w:tr w:rsidR="005A2589" w:rsidRPr="00B3123E" w14:paraId="223A8B85" w14:textId="77777777" w:rsidTr="00ED6261">
        <w:tc>
          <w:tcPr>
            <w:tcW w:w="560" w:type="dxa"/>
          </w:tcPr>
          <w:p w14:paraId="02AA6867" w14:textId="77777777" w:rsidR="006F3A71" w:rsidRPr="00B3123E" w:rsidRDefault="00ED6261"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2.1</w:t>
            </w:r>
          </w:p>
        </w:tc>
        <w:tc>
          <w:tcPr>
            <w:tcW w:w="8456" w:type="dxa"/>
          </w:tcPr>
          <w:p w14:paraId="5E73F994" w14:textId="77777777" w:rsidR="006F3A71" w:rsidRPr="00B3123E" w:rsidRDefault="00ED6261" w:rsidP="00C1377D">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Развој међународне сарадње са глобалним и регионалним организацијама из области поштанског саобраћаја</w:t>
            </w:r>
          </w:p>
        </w:tc>
      </w:tr>
      <w:tr w:rsidR="005A2589" w:rsidRPr="00B3123E" w14:paraId="792F1769" w14:textId="77777777" w:rsidTr="00ED6261">
        <w:tc>
          <w:tcPr>
            <w:tcW w:w="560" w:type="dxa"/>
          </w:tcPr>
          <w:p w14:paraId="3B073540"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2.2</w:t>
            </w:r>
          </w:p>
        </w:tc>
        <w:tc>
          <w:tcPr>
            <w:tcW w:w="8456" w:type="dxa"/>
          </w:tcPr>
          <w:p w14:paraId="1E929A1D" w14:textId="677565D8"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 xml:space="preserve">Усклађивање регулативе са законодавством </w:t>
            </w:r>
            <w:r w:rsidR="00BC297D" w:rsidRPr="00B3123E">
              <w:rPr>
                <w:rFonts w:ascii="Times New Roman" w:hAnsi="Times New Roman" w:cs="Times New Roman"/>
                <w:szCs w:val="24"/>
                <w:lang w:val="sr-Cyrl-RS"/>
              </w:rPr>
              <w:t xml:space="preserve">ЕУ </w:t>
            </w:r>
            <w:r w:rsidRPr="00B3123E">
              <w:rPr>
                <w:rFonts w:ascii="Times New Roman" w:hAnsi="Times New Roman" w:cs="Times New Roman"/>
                <w:szCs w:val="24"/>
                <w:lang w:val="sr-Cyrl-RS"/>
              </w:rPr>
              <w:t xml:space="preserve">и </w:t>
            </w:r>
            <w:r w:rsidR="00161330" w:rsidRPr="00B3123E">
              <w:rPr>
                <w:rFonts w:ascii="Times New Roman" w:hAnsi="Times New Roman" w:cs="Times New Roman"/>
                <w:szCs w:val="24"/>
                <w:lang w:val="sr-Cyrl-RS"/>
              </w:rPr>
              <w:t>Светског поштанског савеза</w:t>
            </w:r>
          </w:p>
        </w:tc>
      </w:tr>
      <w:tr w:rsidR="005A2589" w:rsidRPr="00B3123E" w14:paraId="49149E44" w14:textId="77777777" w:rsidTr="00ED6261">
        <w:tc>
          <w:tcPr>
            <w:tcW w:w="560" w:type="dxa"/>
          </w:tcPr>
          <w:p w14:paraId="1EA1FEEC"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2.3</w:t>
            </w:r>
          </w:p>
        </w:tc>
        <w:tc>
          <w:tcPr>
            <w:tcW w:w="8456" w:type="dxa"/>
          </w:tcPr>
          <w:p w14:paraId="47BD6D3D"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Унапређење заштите и интереса корисника експрес услуга</w:t>
            </w:r>
          </w:p>
        </w:tc>
      </w:tr>
      <w:tr w:rsidR="005A2589" w:rsidRPr="00B3123E" w14:paraId="0E769246" w14:textId="77777777" w:rsidTr="00ED6261">
        <w:tc>
          <w:tcPr>
            <w:tcW w:w="560" w:type="dxa"/>
          </w:tcPr>
          <w:p w14:paraId="37088021"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2.4</w:t>
            </w:r>
          </w:p>
        </w:tc>
        <w:tc>
          <w:tcPr>
            <w:tcW w:w="8456" w:type="dxa"/>
          </w:tcPr>
          <w:p w14:paraId="5C283B44"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Подстицање развоја прекограничне доставе пошиљака</w:t>
            </w:r>
          </w:p>
        </w:tc>
      </w:tr>
      <w:tr w:rsidR="005A2589" w:rsidRPr="00B3123E" w14:paraId="6D68D9FE" w14:textId="77777777" w:rsidTr="00ED6261">
        <w:tc>
          <w:tcPr>
            <w:tcW w:w="560" w:type="dxa"/>
          </w:tcPr>
          <w:p w14:paraId="242CF5D2"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2.5</w:t>
            </w:r>
          </w:p>
        </w:tc>
        <w:tc>
          <w:tcPr>
            <w:tcW w:w="8456" w:type="dxa"/>
          </w:tcPr>
          <w:p w14:paraId="6BDF37B4"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Оснаживање сектора кроз едукацију и кампање о савременим поштанским трендовима</w:t>
            </w:r>
          </w:p>
        </w:tc>
      </w:tr>
      <w:tr w:rsidR="00ED6261" w:rsidRPr="00B3123E" w14:paraId="1EC86A76" w14:textId="77777777" w:rsidTr="00ED6261">
        <w:tc>
          <w:tcPr>
            <w:tcW w:w="560" w:type="dxa"/>
          </w:tcPr>
          <w:p w14:paraId="6A7FCACD"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2.6</w:t>
            </w:r>
          </w:p>
        </w:tc>
        <w:tc>
          <w:tcPr>
            <w:tcW w:w="8456" w:type="dxa"/>
          </w:tcPr>
          <w:p w14:paraId="4393F91B"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Унапређење радних стандарда и промоција једнаких услова рада у поштанском сектору</w:t>
            </w:r>
          </w:p>
        </w:tc>
      </w:tr>
    </w:tbl>
    <w:p w14:paraId="09A8E8B1" w14:textId="77777777" w:rsidR="002E3DD1" w:rsidRPr="00B3123E" w:rsidRDefault="002E3DD1" w:rsidP="000E5DBB">
      <w:pPr>
        <w:tabs>
          <w:tab w:val="left" w:pos="1440"/>
        </w:tabs>
        <w:ind w:firstLine="1276"/>
        <w:rPr>
          <w:rFonts w:ascii="Times New Roman" w:hAnsi="Times New Roman" w:cs="Times New Roman"/>
          <w:szCs w:val="24"/>
          <w:lang w:val="sr-Cyrl-RS"/>
        </w:rPr>
      </w:pPr>
      <w:bookmarkStart w:id="52" w:name="_Toc23941315"/>
    </w:p>
    <w:p w14:paraId="2FF38E24" w14:textId="186D9088" w:rsidR="00553D4A" w:rsidRPr="00B3123E" w:rsidRDefault="00553D4A" w:rsidP="007B2FFD">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Овај </w:t>
      </w:r>
      <w:r w:rsidR="00FC52A3" w:rsidRPr="00B3123E">
        <w:rPr>
          <w:rFonts w:ascii="Times New Roman" w:hAnsi="Times New Roman" w:cs="Times New Roman"/>
          <w:szCs w:val="24"/>
          <w:lang w:val="sr-Cyrl-RS"/>
        </w:rPr>
        <w:t>програмски</w:t>
      </w:r>
      <w:r w:rsidRPr="00B3123E">
        <w:rPr>
          <w:rFonts w:ascii="Times New Roman" w:hAnsi="Times New Roman" w:cs="Times New Roman"/>
          <w:szCs w:val="24"/>
          <w:lang w:val="sr-Cyrl-RS"/>
        </w:rPr>
        <w:t xml:space="preserve"> циљ усмерен је на стварање регулаторног и институционалног оквира који омогућава развој савременог, конкурентног и одрживог поштанског сектора и реализује се кроз шест међусобно повезаних мера.</w:t>
      </w:r>
    </w:p>
    <w:p w14:paraId="2DA0CBA1" w14:textId="37B36E07" w:rsidR="00ED6261" w:rsidRPr="00B3123E" w:rsidRDefault="00ED6261" w:rsidP="007B2FFD">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Развој међународне сарадње са глобалним и регионалним организацијама из области поштанског саобраћаја усмерен је ка јачању институционалне и стручне повезаности Републике Србије са међународним и регионалним организацијама које делују у области поштанског саобраћаја. Активно учешће у раду глобалних институција, као што су</w:t>
      </w:r>
      <w:r w:rsidR="002A51CD" w:rsidRPr="00B3123E">
        <w:rPr>
          <w:rFonts w:ascii="Times New Roman" w:hAnsi="Times New Roman" w:cs="Times New Roman"/>
          <w:szCs w:val="24"/>
          <w:lang w:val="sr-Cyrl-RS"/>
        </w:rPr>
        <w:t xml:space="preserve"> </w:t>
      </w:r>
      <w:r w:rsidR="00FE6F30" w:rsidRPr="00B3123E">
        <w:rPr>
          <w:rFonts w:ascii="Times New Roman" w:hAnsi="Times New Roman" w:cs="Times New Roman"/>
          <w:szCs w:val="24"/>
          <w:lang w:val="sr-Cyrl-RS"/>
        </w:rPr>
        <w:t>Светски поштански савез</w:t>
      </w:r>
      <w:r w:rsidRPr="00B3123E">
        <w:rPr>
          <w:rFonts w:ascii="Times New Roman" w:hAnsi="Times New Roman" w:cs="Times New Roman"/>
          <w:szCs w:val="24"/>
          <w:lang w:val="sr-Cyrl-RS"/>
        </w:rPr>
        <w:t xml:space="preserve">, као и регионалних организација попут </w:t>
      </w:r>
      <w:r w:rsidRPr="00B3123E">
        <w:rPr>
          <w:rFonts w:ascii="Times New Roman" w:hAnsi="Times New Roman" w:cs="Times New Roman"/>
          <w:i/>
          <w:iCs/>
          <w:szCs w:val="24"/>
          <w:lang w:val="sr-Cyrl-RS"/>
        </w:rPr>
        <w:t>PostEurop</w:t>
      </w:r>
      <w:r w:rsidRPr="00B3123E">
        <w:rPr>
          <w:rFonts w:ascii="Times New Roman" w:hAnsi="Times New Roman" w:cs="Times New Roman"/>
          <w:szCs w:val="24"/>
          <w:lang w:val="sr-Cyrl-RS"/>
        </w:rPr>
        <w:t xml:space="preserve"> и </w:t>
      </w:r>
      <w:r w:rsidRPr="00B3123E">
        <w:rPr>
          <w:rFonts w:ascii="Times New Roman" w:hAnsi="Times New Roman" w:cs="Times New Roman"/>
          <w:i/>
          <w:iCs/>
          <w:szCs w:val="24"/>
          <w:lang w:val="sr-Cyrl-RS"/>
        </w:rPr>
        <w:t>ERGP</w:t>
      </w:r>
      <w:r w:rsidRPr="00B3123E">
        <w:rPr>
          <w:rFonts w:ascii="Times New Roman" w:hAnsi="Times New Roman" w:cs="Times New Roman"/>
          <w:szCs w:val="24"/>
          <w:lang w:val="sr-Cyrl-RS"/>
        </w:rPr>
        <w:t xml:space="preserve">, омогућава размену знања, добрих пракси и иновативних решења, као и бољу интеграцију националног тржишта у међународни систем поштанских услуга. У вези са тим потребно је у наредном периоду интензивирати сарадњу са </w:t>
      </w:r>
      <w:r w:rsidR="00FE6F30" w:rsidRPr="00B3123E">
        <w:rPr>
          <w:rFonts w:ascii="Times New Roman" w:hAnsi="Times New Roman" w:cs="Times New Roman"/>
          <w:szCs w:val="24"/>
          <w:lang w:val="sr-Cyrl-RS"/>
        </w:rPr>
        <w:t>Светским поштанским савезом</w:t>
      </w:r>
      <w:r w:rsidR="002A51CD"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и активно учествовати у његовим програмима, комисијама и пројектима, као и на међународним конференцијама, форумима и пројектним иницијативама ради промоције националних интереса и размене искустава. Такође, потребан је даљи развој </w:t>
      </w:r>
      <w:r w:rsidRPr="00B3123E">
        <w:rPr>
          <w:rFonts w:ascii="Times New Roman" w:hAnsi="Times New Roman" w:cs="Times New Roman"/>
          <w:szCs w:val="24"/>
          <w:lang w:val="sr-Cyrl-RS"/>
        </w:rPr>
        <w:lastRenderedPageBreak/>
        <w:t xml:space="preserve">партнерстава са регионалним организацијама ради унапређења стандарда, дигитализације и </w:t>
      </w:r>
      <w:r w:rsidR="00F24810" w:rsidRPr="00B3123E">
        <w:rPr>
          <w:rFonts w:ascii="Times New Roman" w:hAnsi="Times New Roman" w:cs="Times New Roman"/>
          <w:szCs w:val="24"/>
          <w:lang w:val="sr-Cyrl-RS"/>
        </w:rPr>
        <w:t>технолошке</w:t>
      </w:r>
      <w:r w:rsidRPr="00B3123E">
        <w:rPr>
          <w:rFonts w:ascii="Times New Roman" w:hAnsi="Times New Roman" w:cs="Times New Roman"/>
          <w:szCs w:val="24"/>
          <w:lang w:val="sr-Cyrl-RS"/>
        </w:rPr>
        <w:t xml:space="preserve"> трансформације сектора уз успостављање билатералних и мултилатералних сарадњи са другим државама у циљу размене знања и унапређења услуга.</w:t>
      </w:r>
    </w:p>
    <w:p w14:paraId="0CB09D15" w14:textId="77777777" w:rsidR="00ED6261" w:rsidRPr="00B3123E" w:rsidRDefault="00ED6261" w:rsidP="007B2FFD">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Реализацијом ове мере ојачаће се капацитети домаћих институција из области поштанског саобраћаја за ефикасно представљање и заступање интереса Републике Србије у међународним телима уз:</w:t>
      </w:r>
    </w:p>
    <w:p w14:paraId="6E86EDF1" w14:textId="1A720775"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већу </w:t>
      </w:r>
      <w:r w:rsidR="00ED6261" w:rsidRPr="00B3123E">
        <w:rPr>
          <w:rFonts w:ascii="Times New Roman" w:hAnsi="Times New Roman" w:cs="Times New Roman"/>
          <w:szCs w:val="24"/>
          <w:lang w:val="sr-Cyrl-RS"/>
        </w:rPr>
        <w:t>видљивост и утицај Републике Србије у међународним организацијама из области поштанских услуга</w:t>
      </w:r>
      <w:r w:rsidR="000B3073" w:rsidRPr="00B3123E">
        <w:rPr>
          <w:rFonts w:ascii="Times New Roman" w:hAnsi="Times New Roman" w:cs="Times New Roman"/>
          <w:szCs w:val="24"/>
          <w:lang w:val="sr-Cyrl-RS"/>
        </w:rPr>
        <w:t>;</w:t>
      </w:r>
    </w:p>
    <w:p w14:paraId="4963230C" w14:textId="7B09FBF0"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приступ </w:t>
      </w:r>
      <w:r w:rsidR="00ED6261" w:rsidRPr="00B3123E">
        <w:rPr>
          <w:rFonts w:ascii="Times New Roman" w:hAnsi="Times New Roman" w:cs="Times New Roman"/>
          <w:szCs w:val="24"/>
          <w:lang w:val="sr-Cyrl-RS"/>
        </w:rPr>
        <w:t>новим знањима, иновацијама и технолошким решењима кроз међународну размену</w:t>
      </w:r>
      <w:r w:rsidR="000B3073" w:rsidRPr="00B3123E">
        <w:rPr>
          <w:rFonts w:ascii="Times New Roman" w:hAnsi="Times New Roman" w:cs="Times New Roman"/>
          <w:szCs w:val="24"/>
          <w:lang w:val="sr-Cyrl-RS"/>
        </w:rPr>
        <w:t>;</w:t>
      </w:r>
    </w:p>
    <w:p w14:paraId="7B445DCB" w14:textId="06973983"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бољу </w:t>
      </w:r>
      <w:r w:rsidR="00ED6261" w:rsidRPr="00B3123E">
        <w:rPr>
          <w:rFonts w:ascii="Times New Roman" w:hAnsi="Times New Roman" w:cs="Times New Roman"/>
          <w:szCs w:val="24"/>
          <w:lang w:val="sr-Cyrl-RS"/>
        </w:rPr>
        <w:t>усаглашеност домаћег сектора са глобалним трендовима и праксама</w:t>
      </w:r>
      <w:r w:rsidR="000B3073" w:rsidRPr="00B3123E">
        <w:rPr>
          <w:rFonts w:ascii="Times New Roman" w:hAnsi="Times New Roman" w:cs="Times New Roman"/>
          <w:szCs w:val="24"/>
          <w:lang w:val="sr-Cyrl-RS"/>
        </w:rPr>
        <w:t>;</w:t>
      </w:r>
    </w:p>
    <w:p w14:paraId="08CF3E2B" w14:textId="6F67C1AC"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повећану </w:t>
      </w:r>
      <w:r w:rsidR="00ED6261" w:rsidRPr="00B3123E">
        <w:rPr>
          <w:rFonts w:ascii="Times New Roman" w:hAnsi="Times New Roman" w:cs="Times New Roman"/>
          <w:szCs w:val="24"/>
          <w:lang w:val="sr-Cyrl-RS"/>
        </w:rPr>
        <w:t>конкурентност националног поштанског тржишта захваљујући међународним партнерствима</w:t>
      </w:r>
      <w:r w:rsidR="000B3073" w:rsidRPr="00B3123E">
        <w:rPr>
          <w:rFonts w:ascii="Times New Roman" w:hAnsi="Times New Roman" w:cs="Times New Roman"/>
          <w:szCs w:val="24"/>
          <w:lang w:val="sr-Cyrl-RS"/>
        </w:rPr>
        <w:t>;</w:t>
      </w:r>
    </w:p>
    <w:p w14:paraId="1190B032" w14:textId="5A64FF14"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убрзан </w:t>
      </w:r>
      <w:r w:rsidR="00ED6261" w:rsidRPr="00B3123E">
        <w:rPr>
          <w:rFonts w:ascii="Times New Roman" w:hAnsi="Times New Roman" w:cs="Times New Roman"/>
          <w:szCs w:val="24"/>
          <w:lang w:val="sr-Cyrl-RS"/>
        </w:rPr>
        <w:t>процес дигитализације и</w:t>
      </w:r>
      <w:r w:rsidR="00C718C7" w:rsidRPr="00B3123E">
        <w:rPr>
          <w:rFonts w:ascii="Times New Roman" w:hAnsi="Times New Roman" w:cs="Times New Roman"/>
          <w:szCs w:val="24"/>
          <w:lang w:val="sr-Cyrl-RS"/>
        </w:rPr>
        <w:t xml:space="preserve"> технолошке </w:t>
      </w:r>
      <w:r w:rsidR="00ED6261" w:rsidRPr="00B3123E">
        <w:rPr>
          <w:rFonts w:ascii="Times New Roman" w:hAnsi="Times New Roman" w:cs="Times New Roman"/>
          <w:szCs w:val="24"/>
          <w:lang w:val="sr-Cyrl-RS"/>
        </w:rPr>
        <w:t>трансформације уз подршку међународних пројеката.</w:t>
      </w:r>
    </w:p>
    <w:p w14:paraId="76C426F5" w14:textId="3556626F" w:rsidR="00BF3327" w:rsidRPr="00B3123E" w:rsidRDefault="00BF3327" w:rsidP="007B2FFD">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Усклађивање регулативе са законодавством </w:t>
      </w:r>
      <w:r w:rsidR="007318C9" w:rsidRPr="00B3123E">
        <w:rPr>
          <w:rFonts w:ascii="Times New Roman" w:hAnsi="Times New Roman" w:cs="Times New Roman"/>
          <w:szCs w:val="24"/>
          <w:lang w:val="sr-Cyrl-RS"/>
        </w:rPr>
        <w:t xml:space="preserve">ЕУ </w:t>
      </w:r>
      <w:r w:rsidRPr="00B3123E">
        <w:rPr>
          <w:rFonts w:ascii="Times New Roman" w:hAnsi="Times New Roman" w:cs="Times New Roman"/>
          <w:szCs w:val="24"/>
          <w:lang w:val="sr-Cyrl-RS"/>
        </w:rPr>
        <w:t xml:space="preserve">и </w:t>
      </w:r>
      <w:bookmarkStart w:id="53" w:name="_Hlk213924207"/>
      <w:r w:rsidR="00255464" w:rsidRPr="00B3123E">
        <w:rPr>
          <w:rFonts w:ascii="Times New Roman" w:hAnsi="Times New Roman" w:cs="Times New Roman"/>
          <w:szCs w:val="24"/>
          <w:lang w:val="sr-Cyrl-RS"/>
        </w:rPr>
        <w:t>Светског поштанског савеза</w:t>
      </w:r>
      <w:bookmarkEnd w:id="53"/>
      <w:r w:rsidRPr="00B3123E">
        <w:rPr>
          <w:rFonts w:ascii="Times New Roman" w:hAnsi="Times New Roman" w:cs="Times New Roman"/>
          <w:szCs w:val="24"/>
          <w:lang w:val="sr-Cyrl-RS"/>
        </w:rPr>
        <w:t xml:space="preserve"> има за циљ систематско прилагођавање националног законодавства прописима и директивама </w:t>
      </w:r>
      <w:r w:rsidR="007318C9" w:rsidRPr="00B3123E">
        <w:rPr>
          <w:rFonts w:ascii="Times New Roman" w:hAnsi="Times New Roman" w:cs="Times New Roman"/>
          <w:szCs w:val="24"/>
          <w:lang w:val="sr-Cyrl-RS"/>
        </w:rPr>
        <w:t>ЕУ</w:t>
      </w:r>
      <w:r w:rsidRPr="00B3123E">
        <w:rPr>
          <w:rFonts w:ascii="Times New Roman" w:hAnsi="Times New Roman" w:cs="Times New Roman"/>
          <w:szCs w:val="24"/>
          <w:lang w:val="sr-Cyrl-RS"/>
        </w:rPr>
        <w:t xml:space="preserve">, као и стандардима и обавезама које проистичу из чланства у </w:t>
      </w:r>
      <w:r w:rsidR="00255464" w:rsidRPr="00B3123E">
        <w:rPr>
          <w:rFonts w:ascii="Times New Roman" w:hAnsi="Times New Roman" w:cs="Times New Roman"/>
          <w:szCs w:val="24"/>
          <w:lang w:val="sr-Cyrl-RS"/>
        </w:rPr>
        <w:t>Светском поштанском савезу</w:t>
      </w:r>
      <w:r w:rsidRPr="00B3123E">
        <w:rPr>
          <w:rFonts w:ascii="Times New Roman" w:hAnsi="Times New Roman" w:cs="Times New Roman"/>
          <w:szCs w:val="24"/>
          <w:lang w:val="sr-Cyrl-RS"/>
        </w:rPr>
        <w:t>. Усклађивање регулативе представља темељну претпоставку за интеграцију домаћег поштанског тржишта у јединствено европско и међународно окружење</w:t>
      </w:r>
      <w:r w:rsidR="00B95A25"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 то кроз:</w:t>
      </w:r>
    </w:p>
    <w:p w14:paraId="5E177911" w14:textId="32DA87A3" w:rsidR="00BF3327" w:rsidRPr="00B3123E" w:rsidRDefault="00B95A25" w:rsidP="00926E34">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анализу </w:t>
      </w:r>
      <w:r w:rsidR="00BF3327" w:rsidRPr="00B3123E">
        <w:rPr>
          <w:rFonts w:ascii="Times New Roman" w:hAnsi="Times New Roman" w:cs="Times New Roman"/>
          <w:szCs w:val="24"/>
          <w:lang w:val="sr-Cyrl-RS"/>
        </w:rPr>
        <w:t>постојећег правног оквира у поштанском сектору и идентификацију евентуалних неусклађености са европским и међународним стандардима</w:t>
      </w:r>
      <w:r w:rsidR="00445752" w:rsidRPr="00B3123E">
        <w:rPr>
          <w:rFonts w:ascii="Times New Roman" w:hAnsi="Times New Roman" w:cs="Times New Roman"/>
          <w:szCs w:val="24"/>
          <w:lang w:val="sr-Cyrl-RS"/>
        </w:rPr>
        <w:t>;</w:t>
      </w:r>
    </w:p>
    <w:p w14:paraId="458C68F4" w14:textId="39369531" w:rsidR="00BF3327" w:rsidRPr="00B3123E" w:rsidRDefault="00B95A25" w:rsidP="00926E34">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унапређење </w:t>
      </w:r>
      <w:r w:rsidR="00397A12" w:rsidRPr="00B3123E">
        <w:rPr>
          <w:rFonts w:ascii="Times New Roman" w:hAnsi="Times New Roman" w:cs="Times New Roman"/>
          <w:szCs w:val="24"/>
          <w:lang w:val="sr-Cyrl-RS"/>
        </w:rPr>
        <w:t>регулативе у циљу обезбеђења</w:t>
      </w:r>
      <w:r w:rsidR="00BF3327" w:rsidRPr="00B3123E">
        <w:rPr>
          <w:rFonts w:ascii="Times New Roman" w:hAnsi="Times New Roman" w:cs="Times New Roman"/>
          <w:szCs w:val="24"/>
          <w:lang w:val="sr-Cyrl-RS"/>
        </w:rPr>
        <w:t xml:space="preserve"> транспарентности, недискриминације и фер конкуренције</w:t>
      </w:r>
      <w:r w:rsidR="00445752" w:rsidRPr="00B3123E">
        <w:rPr>
          <w:rFonts w:ascii="Times New Roman" w:hAnsi="Times New Roman" w:cs="Times New Roman"/>
          <w:szCs w:val="24"/>
          <w:lang w:val="sr-Cyrl-RS"/>
        </w:rPr>
        <w:t>;</w:t>
      </w:r>
    </w:p>
    <w:p w14:paraId="36A32212" w14:textId="05CFF70D" w:rsidR="00BF3327" w:rsidRPr="00B3123E" w:rsidRDefault="00B95A25" w:rsidP="00926E34">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јачање </w:t>
      </w:r>
      <w:r w:rsidR="00BF3327" w:rsidRPr="00B3123E">
        <w:rPr>
          <w:rFonts w:ascii="Times New Roman" w:hAnsi="Times New Roman" w:cs="Times New Roman"/>
          <w:szCs w:val="24"/>
          <w:lang w:val="sr-Cyrl-RS"/>
        </w:rPr>
        <w:t>институционалних капацитета за праћење примене усклађене регулативе и контролу њене ефективности</w:t>
      </w:r>
      <w:r w:rsidR="00445752" w:rsidRPr="00B3123E">
        <w:rPr>
          <w:rFonts w:ascii="Times New Roman" w:hAnsi="Times New Roman" w:cs="Times New Roman"/>
          <w:szCs w:val="24"/>
          <w:lang w:val="sr-Cyrl-RS"/>
        </w:rPr>
        <w:t>;</w:t>
      </w:r>
    </w:p>
    <w:p w14:paraId="2B5EE6AE" w14:textId="5F4A651C" w:rsidR="00553D4A" w:rsidRPr="00B3123E" w:rsidRDefault="00B95A25" w:rsidP="00926E34">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континуирану </w:t>
      </w:r>
      <w:r w:rsidR="00BF3327" w:rsidRPr="00B3123E">
        <w:rPr>
          <w:rFonts w:ascii="Times New Roman" w:hAnsi="Times New Roman" w:cs="Times New Roman"/>
          <w:szCs w:val="24"/>
          <w:lang w:val="sr-Cyrl-RS"/>
        </w:rPr>
        <w:t>сарадњ</w:t>
      </w:r>
      <w:r w:rsidRPr="00B3123E">
        <w:rPr>
          <w:rFonts w:ascii="Times New Roman" w:hAnsi="Times New Roman" w:cs="Times New Roman"/>
          <w:szCs w:val="24"/>
          <w:lang w:val="sr-Cyrl-RS"/>
        </w:rPr>
        <w:t>у</w:t>
      </w:r>
      <w:r w:rsidR="00BF3327" w:rsidRPr="00B3123E">
        <w:rPr>
          <w:rFonts w:ascii="Times New Roman" w:hAnsi="Times New Roman" w:cs="Times New Roman"/>
          <w:szCs w:val="24"/>
          <w:lang w:val="sr-Cyrl-RS"/>
        </w:rPr>
        <w:t xml:space="preserve"> са Европском комисијом, ERGP</w:t>
      </w:r>
      <w:r w:rsidR="00434E1D" w:rsidRPr="00B3123E">
        <w:rPr>
          <w:rFonts w:ascii="Times New Roman" w:hAnsi="Times New Roman" w:cs="Times New Roman"/>
          <w:szCs w:val="24"/>
          <w:lang w:val="sr-Cyrl-RS"/>
        </w:rPr>
        <w:t xml:space="preserve"> </w:t>
      </w:r>
      <w:r w:rsidR="00BF3327" w:rsidRPr="00B3123E">
        <w:rPr>
          <w:rFonts w:ascii="Times New Roman" w:hAnsi="Times New Roman" w:cs="Times New Roman"/>
          <w:szCs w:val="24"/>
          <w:lang w:val="sr-Cyrl-RS"/>
        </w:rPr>
        <w:t xml:space="preserve">и телима </w:t>
      </w:r>
      <w:r w:rsidR="00255464" w:rsidRPr="00B3123E">
        <w:rPr>
          <w:rFonts w:ascii="Times New Roman" w:hAnsi="Times New Roman" w:cs="Times New Roman"/>
          <w:szCs w:val="24"/>
          <w:lang w:val="sr-Cyrl-RS"/>
        </w:rPr>
        <w:t>Светског поштанског савеза</w:t>
      </w:r>
      <w:r w:rsidR="00BB44A8" w:rsidRPr="00B3123E">
        <w:rPr>
          <w:rFonts w:ascii="Times New Roman" w:hAnsi="Times New Roman" w:cs="Times New Roman"/>
          <w:szCs w:val="24"/>
          <w:lang w:val="sr-Cyrl-RS"/>
        </w:rPr>
        <w:t xml:space="preserve"> </w:t>
      </w:r>
      <w:r w:rsidR="00BF3327" w:rsidRPr="00B3123E">
        <w:rPr>
          <w:rFonts w:ascii="Times New Roman" w:hAnsi="Times New Roman" w:cs="Times New Roman"/>
          <w:szCs w:val="24"/>
          <w:lang w:val="sr-Cyrl-RS"/>
        </w:rPr>
        <w:t>у циљу размене искустава и добрих пракси.</w:t>
      </w:r>
    </w:p>
    <w:p w14:paraId="72C46864" w14:textId="29405DAD" w:rsidR="00250E86" w:rsidRPr="00B3123E" w:rsidRDefault="00250E86" w:rsidP="00E277F8">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Увођење и примена нових стандарда на тржишту поштанских услуга обезбедиће унапређење квалитета, сигурности и ефикасности поштанских услуга кроз развој, усвајање и примену нових техничких, организационих и квалитативних стандарда. Реализација ове мер</w:t>
      </w:r>
      <w:r w:rsidR="006547A6">
        <w:rPr>
          <w:rFonts w:ascii="Times New Roman" w:hAnsi="Times New Roman" w:cs="Times New Roman"/>
          <w:lang w:val="sr-Cyrl-RS"/>
        </w:rPr>
        <w:t>е</w:t>
      </w:r>
      <w:r w:rsidRPr="00B3123E">
        <w:rPr>
          <w:rFonts w:ascii="Times New Roman" w:hAnsi="Times New Roman" w:cs="Times New Roman"/>
          <w:lang w:val="sr-Cyrl-RS"/>
        </w:rPr>
        <w:t xml:space="preserve"> подразумева:</w:t>
      </w:r>
    </w:p>
    <w:p w14:paraId="73E5B398" w14:textId="4933E098"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идентификацију </w:t>
      </w:r>
      <w:r w:rsidR="00250E86" w:rsidRPr="00B3123E">
        <w:rPr>
          <w:rFonts w:ascii="Times New Roman" w:hAnsi="Times New Roman" w:cs="Times New Roman"/>
          <w:szCs w:val="24"/>
          <w:lang w:val="sr-Cyrl-RS"/>
        </w:rPr>
        <w:t>области у којима је потребна примена нових стандарда (квалитет услуга, безбедност пошиљака, заштита података, дигитализација, е-трговина, логистика)</w:t>
      </w:r>
      <w:r w:rsidR="00A2565C" w:rsidRPr="00B3123E">
        <w:rPr>
          <w:rFonts w:ascii="Times New Roman" w:hAnsi="Times New Roman" w:cs="Times New Roman"/>
          <w:szCs w:val="24"/>
          <w:lang w:val="sr-Cyrl-RS"/>
        </w:rPr>
        <w:t>;</w:t>
      </w:r>
    </w:p>
    <w:p w14:paraId="4E27C461" w14:textId="10EC7C95"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усвајање </w:t>
      </w:r>
      <w:r w:rsidR="00250E86" w:rsidRPr="00B3123E">
        <w:rPr>
          <w:rFonts w:ascii="Times New Roman" w:hAnsi="Times New Roman" w:cs="Times New Roman"/>
          <w:szCs w:val="24"/>
          <w:lang w:val="sr-Cyrl-RS"/>
        </w:rPr>
        <w:t xml:space="preserve">стандарда у складу са најбољим праксама </w:t>
      </w:r>
      <w:r w:rsidR="007318C9" w:rsidRPr="00B3123E">
        <w:rPr>
          <w:rFonts w:ascii="Times New Roman" w:hAnsi="Times New Roman" w:cs="Times New Roman"/>
          <w:szCs w:val="24"/>
          <w:lang w:val="sr-Cyrl-RS"/>
        </w:rPr>
        <w:t>ЕУ</w:t>
      </w:r>
      <w:r w:rsidR="00250E86" w:rsidRPr="00B3123E">
        <w:rPr>
          <w:rFonts w:ascii="Times New Roman" w:hAnsi="Times New Roman" w:cs="Times New Roman"/>
          <w:szCs w:val="24"/>
          <w:lang w:val="sr-Cyrl-RS"/>
        </w:rPr>
        <w:t xml:space="preserve">, </w:t>
      </w:r>
      <w:r w:rsidR="00255464" w:rsidRPr="00B3123E">
        <w:rPr>
          <w:rFonts w:ascii="Times New Roman" w:hAnsi="Times New Roman" w:cs="Times New Roman"/>
          <w:szCs w:val="24"/>
          <w:lang w:val="sr-Cyrl-RS"/>
        </w:rPr>
        <w:t>Светског поштанског савеза</w:t>
      </w:r>
      <w:r w:rsidR="00BB44A8" w:rsidRPr="00B3123E">
        <w:rPr>
          <w:rFonts w:ascii="Times New Roman" w:hAnsi="Times New Roman" w:cs="Times New Roman"/>
          <w:szCs w:val="24"/>
          <w:lang w:val="sr-Cyrl-RS"/>
        </w:rPr>
        <w:t xml:space="preserve"> </w:t>
      </w:r>
      <w:r w:rsidR="00250E86" w:rsidRPr="00B3123E">
        <w:rPr>
          <w:rFonts w:ascii="Times New Roman" w:hAnsi="Times New Roman" w:cs="Times New Roman"/>
          <w:szCs w:val="24"/>
          <w:lang w:val="sr-Cyrl-RS"/>
        </w:rPr>
        <w:t>и други</w:t>
      </w:r>
      <w:r w:rsidR="00A2565C" w:rsidRPr="00B3123E">
        <w:rPr>
          <w:rFonts w:ascii="Times New Roman" w:hAnsi="Times New Roman" w:cs="Times New Roman"/>
          <w:szCs w:val="24"/>
          <w:lang w:val="sr-Cyrl-RS"/>
        </w:rPr>
        <w:t>х релевантних међународних тела;</w:t>
      </w:r>
    </w:p>
    <w:p w14:paraId="66A5A84F" w14:textId="2DEE0B89"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r w:rsidR="00250E86" w:rsidRPr="00B3123E">
        <w:rPr>
          <w:rFonts w:ascii="Times New Roman" w:hAnsi="Times New Roman" w:cs="Times New Roman"/>
          <w:szCs w:val="24"/>
          <w:lang w:val="sr-Cyrl-RS"/>
        </w:rPr>
        <w:t>механизама за праћење и контр</w:t>
      </w:r>
      <w:r w:rsidR="00A2565C" w:rsidRPr="00B3123E">
        <w:rPr>
          <w:rFonts w:ascii="Times New Roman" w:hAnsi="Times New Roman" w:cs="Times New Roman"/>
          <w:szCs w:val="24"/>
          <w:lang w:val="sr-Cyrl-RS"/>
        </w:rPr>
        <w:t>олу примене усвојених стандарда;</w:t>
      </w:r>
    </w:p>
    <w:p w14:paraId="7C36CE30" w14:textId="7F0345C1"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обука </w:t>
      </w:r>
      <w:r w:rsidR="00250E86" w:rsidRPr="00B3123E">
        <w:rPr>
          <w:rFonts w:ascii="Times New Roman" w:hAnsi="Times New Roman" w:cs="Times New Roman"/>
          <w:szCs w:val="24"/>
          <w:lang w:val="sr-Cyrl-RS"/>
        </w:rPr>
        <w:t>и едукација оператора и других учесника на тржишту у циљу правилне примене нових стандарда</w:t>
      </w:r>
      <w:r w:rsidR="00A2565C" w:rsidRPr="00B3123E">
        <w:rPr>
          <w:rFonts w:ascii="Times New Roman" w:hAnsi="Times New Roman" w:cs="Times New Roman"/>
          <w:szCs w:val="24"/>
          <w:lang w:val="sr-Cyrl-RS"/>
        </w:rPr>
        <w:t>;</w:t>
      </w:r>
    </w:p>
    <w:p w14:paraId="5D91126E" w14:textId="6F84FA01"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промоција </w:t>
      </w:r>
      <w:r w:rsidR="00250E86" w:rsidRPr="00B3123E">
        <w:rPr>
          <w:rFonts w:ascii="Times New Roman" w:hAnsi="Times New Roman" w:cs="Times New Roman"/>
          <w:szCs w:val="24"/>
          <w:lang w:val="sr-Cyrl-RS"/>
        </w:rPr>
        <w:t>стандарда ради повећања поверења корисника у квалитет поштанских услуга.</w:t>
      </w:r>
    </w:p>
    <w:p w14:paraId="217CDDB4" w14:textId="1FEBFB4E" w:rsidR="00553D4A" w:rsidRPr="00B3123E" w:rsidRDefault="00BF3327" w:rsidP="002E07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На овај начин с</w:t>
      </w:r>
      <w:r w:rsidR="003A6F30" w:rsidRPr="00B3123E">
        <w:rPr>
          <w:rFonts w:ascii="Times New Roman" w:hAnsi="Times New Roman" w:cs="Times New Roman"/>
          <w:szCs w:val="24"/>
          <w:lang w:val="sr-Cyrl-RS"/>
        </w:rPr>
        <w:t xml:space="preserve">е унапређује </w:t>
      </w:r>
      <w:r w:rsidRPr="00B3123E">
        <w:rPr>
          <w:rFonts w:ascii="Times New Roman" w:hAnsi="Times New Roman" w:cs="Times New Roman"/>
          <w:szCs w:val="24"/>
          <w:lang w:val="sr-Cyrl-RS"/>
        </w:rPr>
        <w:t xml:space="preserve">заштита корисника поштанских услуга у складу са највишим европским стандардима, при чему ће се обезбедити једнаки услови за све </w:t>
      </w:r>
      <w:r w:rsidRPr="00B3123E">
        <w:rPr>
          <w:rFonts w:ascii="Times New Roman" w:hAnsi="Times New Roman" w:cs="Times New Roman"/>
          <w:szCs w:val="24"/>
          <w:lang w:val="sr-Cyrl-RS"/>
        </w:rPr>
        <w:lastRenderedPageBreak/>
        <w:t>учеснике на тржишту и подстицање здраве конкуренције. Такође</w:t>
      </w:r>
      <w:r w:rsidR="00A2565C"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на овај начин јача и интеграција Републике Србије у европски и глобални поштански систем.</w:t>
      </w:r>
    </w:p>
    <w:p w14:paraId="4E5210C4" w14:textId="588B1FFA" w:rsidR="00ED6261" w:rsidRPr="00B3123E" w:rsidRDefault="00ED6261" w:rsidP="002E07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Док се </w:t>
      </w:r>
      <w:r w:rsidR="007A2E6A"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посматра као јавна обавеза, већина корисничког искуства у реалности потиче из комерцијалних услуга (експрес достава, логистика, плаћања, итд.). Анализа корисничког задовољства и доступности комерцијалних поштанских услуга (изван опсега </w:t>
      </w:r>
      <w:r w:rsidR="007A2E6A"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има за циљ систематско праћење и унапређење квалитета комерцијалних поштанских услуга које нису обухваћене </w:t>
      </w:r>
      <w:r w:rsidR="007A2E6A"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као и ефикасности и поузданости преноса експресних пошиљака. Стално мерење задовољства корисника и квалитета услуга омогућава увођење побољшања и подстицање конкурентности на тржишту ова мера би се реализовала кроз:</w:t>
      </w:r>
    </w:p>
    <w:p w14:paraId="3D5A08E5" w14:textId="24FC6F79"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спровођење </w:t>
      </w:r>
      <w:r w:rsidR="00ED6261" w:rsidRPr="00B3123E">
        <w:rPr>
          <w:rFonts w:ascii="Times New Roman" w:hAnsi="Times New Roman" w:cs="Times New Roman"/>
          <w:szCs w:val="24"/>
          <w:lang w:val="sr-Cyrl-RS"/>
        </w:rPr>
        <w:t xml:space="preserve">редовних анкета и истраживања задовољства корисника за све категорије </w:t>
      </w:r>
      <w:r w:rsidR="00A2565C" w:rsidRPr="00B3123E">
        <w:rPr>
          <w:rFonts w:ascii="Times New Roman" w:hAnsi="Times New Roman" w:cs="Times New Roman"/>
          <w:szCs w:val="24"/>
          <w:lang w:val="sr-Cyrl-RS"/>
        </w:rPr>
        <w:t>комерцијалних поштанских услуга;</w:t>
      </w:r>
    </w:p>
    <w:p w14:paraId="4213FCED" w14:textId="0DE2DE83"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анализу </w:t>
      </w:r>
      <w:r w:rsidR="00ED6261" w:rsidRPr="00B3123E">
        <w:rPr>
          <w:rFonts w:ascii="Times New Roman" w:hAnsi="Times New Roman" w:cs="Times New Roman"/>
          <w:szCs w:val="24"/>
          <w:lang w:val="sr-Cyrl-RS"/>
        </w:rPr>
        <w:t xml:space="preserve">доступности и покривености услуга ван </w:t>
      </w:r>
      <w:r w:rsidR="00DB496F" w:rsidRPr="00B3123E">
        <w:rPr>
          <w:rFonts w:ascii="Times New Roman" w:hAnsi="Times New Roman" w:cs="Times New Roman"/>
          <w:szCs w:val="24"/>
          <w:lang w:val="sr-Cyrl-RS"/>
        </w:rPr>
        <w:t>УПУ</w:t>
      </w:r>
      <w:r w:rsidR="00ED6261" w:rsidRPr="00B3123E">
        <w:rPr>
          <w:rFonts w:ascii="Times New Roman" w:hAnsi="Times New Roman" w:cs="Times New Roman"/>
          <w:szCs w:val="24"/>
          <w:lang w:val="sr-Cyrl-RS"/>
        </w:rPr>
        <w:t>, укључујући географску расподелу и приступачност услуга</w:t>
      </w:r>
      <w:r w:rsidR="00A2565C" w:rsidRPr="00B3123E">
        <w:rPr>
          <w:rFonts w:ascii="Times New Roman" w:hAnsi="Times New Roman" w:cs="Times New Roman"/>
          <w:szCs w:val="24"/>
          <w:lang w:val="sr-Cyrl-RS"/>
        </w:rPr>
        <w:t>;</w:t>
      </w:r>
    </w:p>
    <w:p w14:paraId="13DAF1BB" w14:textId="0B8C11CE"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континуирано </w:t>
      </w:r>
      <w:r w:rsidR="00ED6261" w:rsidRPr="00B3123E">
        <w:rPr>
          <w:rFonts w:ascii="Times New Roman" w:hAnsi="Times New Roman" w:cs="Times New Roman"/>
          <w:szCs w:val="24"/>
          <w:lang w:val="sr-Cyrl-RS"/>
        </w:rPr>
        <w:t xml:space="preserve">мерење квалитета преноса експрес пошиљака, укључујући </w:t>
      </w:r>
      <w:r w:rsidR="005F428D" w:rsidRPr="00B3123E">
        <w:rPr>
          <w:rFonts w:ascii="Times New Roman" w:hAnsi="Times New Roman" w:cs="Times New Roman"/>
          <w:szCs w:val="24"/>
          <w:lang w:val="sr-Cyrl-RS"/>
        </w:rPr>
        <w:t>ЈПО</w:t>
      </w:r>
      <w:r w:rsidR="00ED6261" w:rsidRPr="00B3123E">
        <w:rPr>
          <w:rFonts w:ascii="Times New Roman" w:hAnsi="Times New Roman" w:cs="Times New Roman"/>
          <w:szCs w:val="24"/>
          <w:lang w:val="sr-Cyrl-RS"/>
        </w:rPr>
        <w:t>, курирске и експрес сервисе, ради праћења тачности испоруке, брзине и поузданости</w:t>
      </w:r>
      <w:r w:rsidR="00A2565C" w:rsidRPr="00B3123E">
        <w:rPr>
          <w:rFonts w:ascii="Times New Roman" w:hAnsi="Times New Roman" w:cs="Times New Roman"/>
          <w:szCs w:val="24"/>
          <w:lang w:val="sr-Cyrl-RS"/>
        </w:rPr>
        <w:t>;</w:t>
      </w:r>
    </w:p>
    <w:p w14:paraId="51786069" w14:textId="7BAAE4B4"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идентификацију </w:t>
      </w:r>
      <w:r w:rsidR="00ED6261" w:rsidRPr="00B3123E">
        <w:rPr>
          <w:rFonts w:ascii="Times New Roman" w:hAnsi="Times New Roman" w:cs="Times New Roman"/>
          <w:szCs w:val="24"/>
          <w:lang w:val="sr-Cyrl-RS"/>
        </w:rPr>
        <w:t>кључних индикатора квалитета и стандардизација начина извештавања за све операторе.</w:t>
      </w:r>
    </w:p>
    <w:p w14:paraId="12176EF2" w14:textId="30F2D917"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употребу </w:t>
      </w:r>
      <w:r w:rsidR="00ED6261" w:rsidRPr="00B3123E">
        <w:rPr>
          <w:rFonts w:ascii="Times New Roman" w:hAnsi="Times New Roman" w:cs="Times New Roman"/>
          <w:szCs w:val="24"/>
          <w:lang w:val="sr-Cyrl-RS"/>
        </w:rPr>
        <w:t>резултата анализа за унапређење услуга, побољшање логистике и оптимизацију процеса</w:t>
      </w:r>
      <w:r w:rsidR="00A2565C" w:rsidRPr="00B3123E">
        <w:rPr>
          <w:rFonts w:ascii="Times New Roman" w:hAnsi="Times New Roman" w:cs="Times New Roman"/>
          <w:szCs w:val="24"/>
          <w:lang w:val="sr-Cyrl-RS"/>
        </w:rPr>
        <w:t>;</w:t>
      </w:r>
    </w:p>
    <w:p w14:paraId="2807E261" w14:textId="6FD0ED2B"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обезбеђивање </w:t>
      </w:r>
      <w:r w:rsidR="00ED6261" w:rsidRPr="00B3123E">
        <w:rPr>
          <w:rFonts w:ascii="Times New Roman" w:hAnsi="Times New Roman" w:cs="Times New Roman"/>
          <w:szCs w:val="24"/>
          <w:lang w:val="sr-Cyrl-RS"/>
        </w:rPr>
        <w:t>транспарентности и информисање јавности о квалитету комерцијалних и експрес поштанских услуга.</w:t>
      </w:r>
    </w:p>
    <w:p w14:paraId="51845A03" w14:textId="605ADD25" w:rsidR="00ED6261" w:rsidRPr="00B3123E" w:rsidRDefault="00ED6261"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Оваква анализа је основа за кориснички оријентисан развој поштанских услуга, при чему се пажња посвећује реалним потребама тржишта, а не само регулаторним обавезама и самим тим континуирано унапређење квалитета услуга на основу стандардизованих показатеља уз побољшану ефикасност и поузданост преноса експрес пошиљака код свих оператора и повећано задовољство корисника и поверење у комерцијалне поштанске услуге</w:t>
      </w:r>
      <w:r w:rsidR="00E52AA0" w:rsidRPr="00B3123E">
        <w:rPr>
          <w:rFonts w:ascii="Times New Roman" w:hAnsi="Times New Roman" w:cs="Times New Roman"/>
          <w:szCs w:val="24"/>
          <w:lang w:val="sr-Cyrl-RS"/>
        </w:rPr>
        <w:t>.</w:t>
      </w:r>
    </w:p>
    <w:p w14:paraId="5D7DF676" w14:textId="57C04746" w:rsidR="00ED6261" w:rsidRPr="00B3123E" w:rsidRDefault="00ED6261"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ери дигиталне економије, експанзије е-трговине и растуће глобалне мобилности, поштански систем мора да игра активну улогу у обезбеђивању брзе, поуздане и конкурентне прекограничне размене пошиљака, са посебним акцентом на пакете. Република Србија, као чланица </w:t>
      </w:r>
      <w:r w:rsidR="00C87B1B" w:rsidRPr="00B3123E">
        <w:rPr>
          <w:rFonts w:ascii="Times New Roman" w:hAnsi="Times New Roman" w:cs="Times New Roman"/>
          <w:szCs w:val="24"/>
          <w:lang w:val="sr-Cyrl-RS"/>
        </w:rPr>
        <w:t>Светског поштанског савеза</w:t>
      </w:r>
      <w:r w:rsidR="00EB5C95"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и других међународних организација, има стратешки интерес да унапреди свој положај у глобалном поштанском екосистему, што подразумева и јачање билатералне, регионалне и глобалне сарадње.</w:t>
      </w:r>
    </w:p>
    <w:p w14:paraId="4464F0BF" w14:textId="77777777" w:rsidR="00ED6261" w:rsidRPr="00B3123E" w:rsidRDefault="00ED6261"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Е-трговина генерише растући обим прекограничних пошиљака, нарочито пакета мале вредности. Циљ ове мере је да се омогући:</w:t>
      </w:r>
    </w:p>
    <w:p w14:paraId="6F74AE18" w14:textId="6D5A81BC" w:rsidR="00ED6261"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склапање </w:t>
      </w:r>
      <w:r w:rsidR="00ED6261" w:rsidRPr="00B3123E">
        <w:rPr>
          <w:rFonts w:ascii="Times New Roman" w:hAnsi="Times New Roman" w:cs="Times New Roman"/>
          <w:szCs w:val="24"/>
          <w:lang w:val="sr-Cyrl-RS"/>
        </w:rPr>
        <w:t>билатералних и мултилатералних споразума са страним поштанским операторима (о ценама, роковима, електронској размени података)</w:t>
      </w:r>
      <w:r w:rsidR="00FE00AA" w:rsidRPr="00B3123E">
        <w:rPr>
          <w:rFonts w:ascii="Times New Roman" w:hAnsi="Times New Roman" w:cs="Times New Roman"/>
          <w:szCs w:val="24"/>
          <w:lang w:val="sr-Cyrl-RS"/>
        </w:rPr>
        <w:t>;</w:t>
      </w:r>
    </w:p>
    <w:p w14:paraId="6A47BF55" w14:textId="0C067774" w:rsidR="00ED6261"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учешће </w:t>
      </w:r>
      <w:r w:rsidR="00ED6261" w:rsidRPr="00B3123E">
        <w:rPr>
          <w:rFonts w:ascii="Times New Roman" w:hAnsi="Times New Roman" w:cs="Times New Roman"/>
          <w:szCs w:val="24"/>
          <w:lang w:val="sr-Cyrl-RS"/>
        </w:rPr>
        <w:t>у међународним пројектима везаним за е-commerce логистику и нове моделе доставе</w:t>
      </w:r>
      <w:r w:rsidR="00FE00AA" w:rsidRPr="00B3123E">
        <w:rPr>
          <w:rFonts w:ascii="Times New Roman" w:hAnsi="Times New Roman" w:cs="Times New Roman"/>
          <w:szCs w:val="24"/>
          <w:lang w:val="sr-Cyrl-RS"/>
        </w:rPr>
        <w:t>;</w:t>
      </w:r>
    </w:p>
    <w:p w14:paraId="5D842061" w14:textId="25BA8EDB" w:rsidR="00ED6261"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укључивање </w:t>
      </w:r>
      <w:r w:rsidR="00ED6261" w:rsidRPr="00B3123E">
        <w:rPr>
          <w:rFonts w:ascii="Times New Roman" w:hAnsi="Times New Roman" w:cs="Times New Roman"/>
          <w:szCs w:val="24"/>
          <w:lang w:val="sr-Cyrl-RS"/>
        </w:rPr>
        <w:t xml:space="preserve">у иницијативе </w:t>
      </w:r>
      <w:r w:rsidR="00C87B1B" w:rsidRPr="00B3123E">
        <w:rPr>
          <w:rFonts w:ascii="Times New Roman" w:hAnsi="Times New Roman" w:cs="Times New Roman"/>
          <w:szCs w:val="24"/>
          <w:lang w:val="sr-Cyrl-RS"/>
        </w:rPr>
        <w:t>Светског поштанског савеза</w:t>
      </w:r>
      <w:r w:rsidR="00ED6261" w:rsidRPr="00B3123E">
        <w:rPr>
          <w:rFonts w:ascii="Times New Roman" w:hAnsi="Times New Roman" w:cs="Times New Roman"/>
          <w:szCs w:val="24"/>
          <w:lang w:val="sr-Cyrl-RS"/>
        </w:rPr>
        <w:t xml:space="preserve">, </w:t>
      </w:r>
      <w:r w:rsidR="00C87B1B" w:rsidRPr="00B3123E">
        <w:rPr>
          <w:rFonts w:ascii="Times New Roman" w:hAnsi="Times New Roman" w:cs="Times New Roman"/>
          <w:szCs w:val="24"/>
          <w:lang w:val="sr-Cyrl-RS"/>
        </w:rPr>
        <w:t xml:space="preserve">Међународне светске корпорације </w:t>
      </w:r>
      <w:r w:rsidR="00ED6261" w:rsidRPr="00B3123E">
        <w:rPr>
          <w:rFonts w:ascii="Times New Roman" w:hAnsi="Times New Roman" w:cs="Times New Roman"/>
          <w:szCs w:val="24"/>
          <w:lang w:val="sr-Cyrl-RS"/>
        </w:rPr>
        <w:t>(</w:t>
      </w:r>
      <w:r w:rsidR="00ED6261" w:rsidRPr="00B3123E">
        <w:rPr>
          <w:rFonts w:ascii="Times New Roman" w:hAnsi="Times New Roman" w:cs="Times New Roman"/>
          <w:i/>
          <w:iCs/>
          <w:szCs w:val="24"/>
          <w:lang w:val="sr-Cyrl-RS"/>
        </w:rPr>
        <w:t>International</w:t>
      </w:r>
      <w:r w:rsidR="00FE00AA" w:rsidRPr="00B3123E">
        <w:rPr>
          <w:rFonts w:ascii="Times New Roman" w:hAnsi="Times New Roman" w:cs="Times New Roman"/>
          <w:i/>
          <w:iCs/>
          <w:szCs w:val="24"/>
          <w:lang w:val="sr-Cyrl-RS"/>
        </w:rPr>
        <w:t xml:space="preserve"> </w:t>
      </w:r>
      <w:r w:rsidR="00ED6261" w:rsidRPr="00B3123E">
        <w:rPr>
          <w:rFonts w:ascii="Times New Roman" w:hAnsi="Times New Roman" w:cs="Times New Roman"/>
          <w:i/>
          <w:iCs/>
          <w:szCs w:val="24"/>
          <w:lang w:val="sr-Cyrl-RS"/>
        </w:rPr>
        <w:t>Post</w:t>
      </w:r>
      <w:r w:rsidR="00FE00AA" w:rsidRPr="00B3123E">
        <w:rPr>
          <w:rFonts w:ascii="Times New Roman" w:hAnsi="Times New Roman" w:cs="Times New Roman"/>
          <w:i/>
          <w:iCs/>
          <w:szCs w:val="24"/>
          <w:lang w:val="sr-Cyrl-RS"/>
        </w:rPr>
        <w:t xml:space="preserve"> </w:t>
      </w:r>
      <w:r w:rsidR="00ED6261" w:rsidRPr="00B3123E">
        <w:rPr>
          <w:rFonts w:ascii="Times New Roman" w:hAnsi="Times New Roman" w:cs="Times New Roman"/>
          <w:i/>
          <w:iCs/>
          <w:szCs w:val="24"/>
          <w:lang w:val="sr-Cyrl-RS"/>
        </w:rPr>
        <w:t>Corporation</w:t>
      </w:r>
      <w:r w:rsidR="00C87B1B" w:rsidRPr="00B3123E">
        <w:rPr>
          <w:rFonts w:ascii="Times New Roman" w:hAnsi="Times New Roman" w:cs="Times New Roman"/>
          <w:i/>
          <w:iCs/>
          <w:szCs w:val="24"/>
          <w:lang w:val="sr-Cyrl-RS"/>
        </w:rPr>
        <w:t xml:space="preserve"> - IPC</w:t>
      </w:r>
      <w:r w:rsidR="00ED6261" w:rsidRPr="00B3123E">
        <w:rPr>
          <w:rFonts w:ascii="Times New Roman" w:hAnsi="Times New Roman" w:cs="Times New Roman"/>
          <w:szCs w:val="24"/>
          <w:lang w:val="sr-Cyrl-RS"/>
        </w:rPr>
        <w:t>) и регионалних организација у циљу лакше инте</w:t>
      </w:r>
      <w:r w:rsidR="006E6CFA" w:rsidRPr="00B3123E">
        <w:rPr>
          <w:rFonts w:ascii="Times New Roman" w:hAnsi="Times New Roman" w:cs="Times New Roman"/>
          <w:szCs w:val="24"/>
          <w:lang w:val="sr-Cyrl-RS"/>
        </w:rPr>
        <w:t>грације;</w:t>
      </w:r>
    </w:p>
    <w:p w14:paraId="30DB16C9" w14:textId="0DCCF333" w:rsidR="00AF1C5B"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подстицање </w:t>
      </w:r>
      <w:r w:rsidR="00ED6261" w:rsidRPr="00B3123E">
        <w:rPr>
          <w:rFonts w:ascii="Times New Roman" w:hAnsi="Times New Roman" w:cs="Times New Roman"/>
          <w:szCs w:val="24"/>
          <w:lang w:val="sr-Cyrl-RS"/>
        </w:rPr>
        <w:t>директних логистичких токова са кључним трговинским партнерима</w:t>
      </w:r>
      <w:r w:rsidR="00FE00AA" w:rsidRPr="00B3123E">
        <w:rPr>
          <w:rFonts w:ascii="Times New Roman" w:hAnsi="Times New Roman" w:cs="Times New Roman"/>
          <w:szCs w:val="24"/>
          <w:lang w:val="sr-Cyrl-RS"/>
        </w:rPr>
        <w:t>;</w:t>
      </w:r>
    </w:p>
    <w:p w14:paraId="6005E5EC" w14:textId="5EAFBE49" w:rsidR="00ED6261"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унапређење </w:t>
      </w:r>
      <w:r w:rsidR="00AF1C5B" w:rsidRPr="00B3123E">
        <w:rPr>
          <w:rFonts w:ascii="Times New Roman" w:hAnsi="Times New Roman" w:cs="Times New Roman"/>
          <w:szCs w:val="24"/>
          <w:lang w:val="sr-Cyrl-RS"/>
        </w:rPr>
        <w:t>апликативне подршке међународним поштанским услугама</w:t>
      </w:r>
      <w:r w:rsidR="00ED6261" w:rsidRPr="00B3123E">
        <w:rPr>
          <w:rFonts w:ascii="Times New Roman" w:hAnsi="Times New Roman" w:cs="Times New Roman"/>
          <w:szCs w:val="24"/>
          <w:lang w:val="sr-Cyrl-RS"/>
        </w:rPr>
        <w:t>.</w:t>
      </w:r>
    </w:p>
    <w:p w14:paraId="5D5284D2" w14:textId="77777777" w:rsidR="00ED6261" w:rsidRPr="00B3123E" w:rsidRDefault="00ED6261"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Оваква сарадња може допринети бржој и јефтинијој достави, смањењу административних баријера и повећању конкурентности домаћих е-продавница.</w:t>
      </w:r>
    </w:p>
    <w:p w14:paraId="3D1C2013" w14:textId="24BF252B" w:rsidR="00AC63F6" w:rsidRPr="00B3123E" w:rsidRDefault="001A589B"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Оснаживање сектора кроз едукацију и кампање о савременим поштанским трендовима има за циљ систематско јачање кадровских капацитета и компетенција у поштанском сектору кроз систематску едукацију, стручне обуке и информативне кампање. Поред подизања свести о дигитализацији, е-трговини и </w:t>
      </w:r>
      <w:r w:rsidR="00775627" w:rsidRPr="00B3123E">
        <w:rPr>
          <w:rFonts w:ascii="Times New Roman" w:hAnsi="Times New Roman" w:cs="Times New Roman"/>
          <w:szCs w:val="24"/>
          <w:lang w:val="sr-Cyrl-RS"/>
        </w:rPr>
        <w:t>технолошкој</w:t>
      </w:r>
      <w:r w:rsidRPr="00B3123E">
        <w:rPr>
          <w:rFonts w:ascii="Times New Roman" w:hAnsi="Times New Roman" w:cs="Times New Roman"/>
          <w:szCs w:val="24"/>
          <w:lang w:val="sr-Cyrl-RS"/>
        </w:rPr>
        <w:t xml:space="preserve"> трансформацији, мера обухвата и специјализоване програме обуке који се баве критичним аспектима безбедности и регулативе.</w:t>
      </w:r>
      <w:r w:rsidR="001B69E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Ова мера представља интегрисани оквир који повезује дигиталне</w:t>
      </w:r>
      <w:r w:rsidR="00775627" w:rsidRPr="00B3123E">
        <w:rPr>
          <w:rFonts w:ascii="Times New Roman" w:hAnsi="Times New Roman" w:cs="Times New Roman"/>
          <w:szCs w:val="24"/>
          <w:lang w:val="sr-Cyrl-RS"/>
        </w:rPr>
        <w:t xml:space="preserve"> вештине</w:t>
      </w:r>
      <w:r w:rsidRPr="00B3123E">
        <w:rPr>
          <w:rFonts w:ascii="Times New Roman" w:hAnsi="Times New Roman" w:cs="Times New Roman"/>
          <w:szCs w:val="24"/>
          <w:lang w:val="sr-Cyrl-RS"/>
        </w:rPr>
        <w:t>, безбедност поштанског саобраћаја, регулаторну усаглашеност и заштиту корисника.</w:t>
      </w:r>
    </w:p>
    <w:p w14:paraId="7B073AE9" w14:textId="77777777" w:rsidR="00953E24" w:rsidRPr="00B3123E" w:rsidRDefault="00953E24" w:rsidP="00961167">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Очекивани резултати ове мере би били:</w:t>
      </w:r>
    </w:p>
    <w:p w14:paraId="5F6BFDD2" w14:textId="1EB097B2" w:rsidR="00953E24"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повећана </w:t>
      </w:r>
      <w:r w:rsidR="00953E24" w:rsidRPr="00B3123E">
        <w:rPr>
          <w:rFonts w:ascii="Times New Roman" w:hAnsi="Times New Roman" w:cs="Times New Roman"/>
          <w:szCs w:val="24"/>
          <w:lang w:val="sr-Cyrl-RS"/>
        </w:rPr>
        <w:t xml:space="preserve">стручност и компетентност кадрова у дигитализацији, </w:t>
      </w:r>
      <w:r w:rsidR="000109C6" w:rsidRPr="00B3123E">
        <w:rPr>
          <w:rFonts w:ascii="Times New Roman" w:hAnsi="Times New Roman" w:cs="Times New Roman"/>
          <w:szCs w:val="24"/>
          <w:lang w:val="sr-Cyrl-RS"/>
        </w:rPr>
        <w:t xml:space="preserve">технолошкој </w:t>
      </w:r>
      <w:r w:rsidR="00953E24" w:rsidRPr="00B3123E">
        <w:rPr>
          <w:rFonts w:ascii="Times New Roman" w:hAnsi="Times New Roman" w:cs="Times New Roman"/>
          <w:szCs w:val="24"/>
          <w:lang w:val="sr-Cyrl-RS"/>
        </w:rPr>
        <w:t>трансформацији и безбедности</w:t>
      </w:r>
      <w:r w:rsidR="003C40B2" w:rsidRPr="00B3123E">
        <w:rPr>
          <w:rFonts w:ascii="Times New Roman" w:hAnsi="Times New Roman" w:cs="Times New Roman"/>
          <w:szCs w:val="24"/>
          <w:lang w:val="sr-Cyrl-RS"/>
        </w:rPr>
        <w:t>;</w:t>
      </w:r>
    </w:p>
    <w:p w14:paraId="4CF540D2" w14:textId="7FE7F17D" w:rsidR="00953E24"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већа </w:t>
      </w:r>
      <w:r w:rsidR="00953E24" w:rsidRPr="00B3123E">
        <w:rPr>
          <w:rFonts w:ascii="Times New Roman" w:hAnsi="Times New Roman" w:cs="Times New Roman"/>
          <w:szCs w:val="24"/>
          <w:lang w:val="sr-Cyrl-RS"/>
        </w:rPr>
        <w:t>ефикасност у управљању ризицима и примену међународних стандарда</w:t>
      </w:r>
      <w:r w:rsidR="003C40B2" w:rsidRPr="00B3123E">
        <w:rPr>
          <w:rFonts w:ascii="Times New Roman" w:hAnsi="Times New Roman" w:cs="Times New Roman"/>
          <w:szCs w:val="24"/>
          <w:lang w:val="sr-Cyrl-RS"/>
        </w:rPr>
        <w:t>;</w:t>
      </w:r>
    </w:p>
    <w:p w14:paraId="77C4A8D4" w14:textId="17D7AFB4" w:rsidR="00953E24"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јачање </w:t>
      </w:r>
      <w:r w:rsidR="00953E24" w:rsidRPr="00B3123E">
        <w:rPr>
          <w:rFonts w:ascii="Times New Roman" w:hAnsi="Times New Roman" w:cs="Times New Roman"/>
          <w:szCs w:val="24"/>
          <w:lang w:val="sr-Cyrl-RS"/>
        </w:rPr>
        <w:t>кадровског потенцијала за приступ фондовима, иновацијама и модерним технологијама</w:t>
      </w:r>
      <w:r w:rsidR="003C40B2" w:rsidRPr="00B3123E">
        <w:rPr>
          <w:rFonts w:ascii="Times New Roman" w:hAnsi="Times New Roman" w:cs="Times New Roman"/>
          <w:szCs w:val="24"/>
          <w:lang w:val="sr-Cyrl-RS"/>
        </w:rPr>
        <w:t>;</w:t>
      </w:r>
    </w:p>
    <w:p w14:paraId="4E8DC679" w14:textId="2F507391" w:rsidR="00953E24"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континуирани </w:t>
      </w:r>
      <w:r w:rsidR="00953E24" w:rsidRPr="00B3123E">
        <w:rPr>
          <w:rFonts w:ascii="Times New Roman" w:hAnsi="Times New Roman" w:cs="Times New Roman"/>
          <w:szCs w:val="24"/>
          <w:lang w:val="sr-Cyrl-RS"/>
        </w:rPr>
        <w:t>професионални развој и задржавање кључних кадрова у сектору.</w:t>
      </w:r>
    </w:p>
    <w:p w14:paraId="3003FABB" w14:textId="77777777" w:rsidR="00706838" w:rsidRPr="00B3123E" w:rsidRDefault="00953E24"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 xml:space="preserve">Унапређење радних стандарда и промоција једнаких услова рада у поштанском сектору има за циљ стварање праведног, инклузивног и безбедног радног окружења у поштанском сектору, где се поштују радни стандарди, права запослених и принципи једнаких могућности. Мера је интегрисана са активностима које подстичу родну равноправност, унапређење етичких стандарда, континуирано праћење задовољства запослених и социјални дијалог. </w:t>
      </w:r>
    </w:p>
    <w:p w14:paraId="23B6AB8E" w14:textId="69EA0682" w:rsidR="00706838" w:rsidRPr="00B3123E" w:rsidRDefault="00953E24"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 xml:space="preserve">Један од битних аспеката је успостављање механизама за дијалог између менаџмента и запослених о питањима права, обавеза и радних услова. То подразумева ревизију, примену и праћење колективног уговора ради обезбеђења </w:t>
      </w:r>
      <w:r w:rsidR="002457E5" w:rsidRPr="00B3123E">
        <w:rPr>
          <w:rFonts w:ascii="Times New Roman" w:hAnsi="Times New Roman" w:cs="Times New Roman"/>
          <w:lang w:val="sr-Cyrl-RS"/>
        </w:rPr>
        <w:t>подстицајних</w:t>
      </w:r>
      <w:r w:rsidRPr="00B3123E">
        <w:rPr>
          <w:rFonts w:ascii="Times New Roman" w:hAnsi="Times New Roman" w:cs="Times New Roman"/>
          <w:lang w:val="sr-Cyrl-RS"/>
        </w:rPr>
        <w:t xml:space="preserve"> и транспарентних радних односа уз подстицање културе консензуса и праведног решавања радних конфликата. </w:t>
      </w:r>
    </w:p>
    <w:p w14:paraId="31E03556" w14:textId="77777777" w:rsidR="00706838" w:rsidRPr="00B3123E" w:rsidRDefault="00953E24"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Такође, важан сегмент је развој и примена политика и програма који обезбеђују једнаке могућности за све запослене, са посебним фокусом на родну равноправност уз спровођење едукација и кампања за подизање свести о важности родне равноправности у радном окружењу.</w:t>
      </w:r>
    </w:p>
    <w:p w14:paraId="016AFA6A" w14:textId="77777777" w:rsidR="00706838" w:rsidRPr="00B3123E" w:rsidRDefault="00706838"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Спровођење редовних анкета и истраживања ради идентификације потреба, проблема и очекивања запослених за унапређење радних услова, радних стандарда и радне политике, као и ревизија и ажурирање кодекса пословне етике како би обухватио једнаке услове рада, антидискриминацију, транспарентност и одговорно понашање има за циљ јачање правне, социјалне и радне сигурности запослених уз повећану мотивацију, задовољство и продуктивност кадрова.</w:t>
      </w:r>
    </w:p>
    <w:p w14:paraId="001563A4" w14:textId="77777777" w:rsidR="00706838" w:rsidRPr="00B3123E" w:rsidRDefault="00706838"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На овај начин обезбедиће се:</w:t>
      </w:r>
    </w:p>
    <w:p w14:paraId="4F9C47B8" w14:textId="4C4E7C0F" w:rsidR="00706838" w:rsidRPr="00B3123E" w:rsidRDefault="00B95A25" w:rsidP="003E2219">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промоција </w:t>
      </w:r>
      <w:r w:rsidR="00706838" w:rsidRPr="00B3123E">
        <w:rPr>
          <w:rFonts w:ascii="Times New Roman" w:hAnsi="Times New Roman" w:cs="Times New Roman"/>
          <w:szCs w:val="24"/>
          <w:lang w:val="sr-Cyrl-RS"/>
        </w:rPr>
        <w:t>инклузивног и родно равноправног радног окружења</w:t>
      </w:r>
      <w:r w:rsidR="001B69E7" w:rsidRPr="00B3123E">
        <w:rPr>
          <w:rFonts w:ascii="Times New Roman" w:hAnsi="Times New Roman" w:cs="Times New Roman"/>
          <w:szCs w:val="24"/>
          <w:lang w:val="sr-Cyrl-RS"/>
        </w:rPr>
        <w:t>;</w:t>
      </w:r>
    </w:p>
    <w:p w14:paraId="39784B93" w14:textId="6B0BA814" w:rsidR="00706838" w:rsidRPr="00B3123E" w:rsidRDefault="00B95A25" w:rsidP="003E2219">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унапређење </w:t>
      </w:r>
      <w:r w:rsidR="00706838" w:rsidRPr="00B3123E">
        <w:rPr>
          <w:rFonts w:ascii="Times New Roman" w:hAnsi="Times New Roman" w:cs="Times New Roman"/>
          <w:szCs w:val="24"/>
          <w:lang w:val="sr-Cyrl-RS"/>
        </w:rPr>
        <w:t>пословне етике и транспарентности у раду организација</w:t>
      </w:r>
      <w:r w:rsidR="001B69E7" w:rsidRPr="00B3123E">
        <w:rPr>
          <w:rFonts w:ascii="Times New Roman" w:hAnsi="Times New Roman" w:cs="Times New Roman"/>
          <w:szCs w:val="24"/>
          <w:lang w:val="sr-Cyrl-RS"/>
        </w:rPr>
        <w:t>;</w:t>
      </w:r>
    </w:p>
    <w:p w14:paraId="56F81F0B" w14:textId="6955E9E3" w:rsidR="00706838" w:rsidRPr="00B3123E" w:rsidRDefault="00B95A25" w:rsidP="003E2219">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ефикасан </w:t>
      </w:r>
      <w:r w:rsidR="00706838" w:rsidRPr="00B3123E">
        <w:rPr>
          <w:rFonts w:ascii="Times New Roman" w:hAnsi="Times New Roman" w:cs="Times New Roman"/>
          <w:szCs w:val="24"/>
          <w:lang w:val="sr-Cyrl-RS"/>
        </w:rPr>
        <w:t xml:space="preserve">социјални дијалог и </w:t>
      </w:r>
      <w:r w:rsidR="007634D9" w:rsidRPr="00B3123E">
        <w:rPr>
          <w:rFonts w:ascii="Times New Roman" w:hAnsi="Times New Roman" w:cs="Times New Roman"/>
          <w:szCs w:val="24"/>
          <w:lang w:val="sr-Cyrl-RS"/>
        </w:rPr>
        <w:t xml:space="preserve">континуирано праћење и </w:t>
      </w:r>
      <w:r w:rsidR="00706838" w:rsidRPr="00B3123E">
        <w:rPr>
          <w:rFonts w:ascii="Times New Roman" w:hAnsi="Times New Roman" w:cs="Times New Roman"/>
          <w:szCs w:val="24"/>
          <w:lang w:val="sr-Cyrl-RS"/>
        </w:rPr>
        <w:t>решавање радних питања</w:t>
      </w:r>
      <w:r w:rsidR="001B69E7" w:rsidRPr="00B3123E">
        <w:rPr>
          <w:rFonts w:ascii="Times New Roman" w:hAnsi="Times New Roman" w:cs="Times New Roman"/>
          <w:szCs w:val="24"/>
          <w:lang w:val="sr-Cyrl-RS"/>
        </w:rPr>
        <w:t>;</w:t>
      </w:r>
    </w:p>
    <w:p w14:paraId="07CBBE45" w14:textId="520B6BE2" w:rsidR="00706838" w:rsidRPr="00B3123E" w:rsidRDefault="00B95A25" w:rsidP="003E2219">
      <w:pPr>
        <w:pStyle w:val="ListParagraph"/>
        <w:numPr>
          <w:ilvl w:val="0"/>
          <w:numId w:val="34"/>
        </w:numPr>
        <w:tabs>
          <w:tab w:val="left" w:pos="993"/>
        </w:tabs>
        <w:ind w:left="0" w:firstLine="709"/>
        <w:rPr>
          <w:rFonts w:ascii="Times New Roman" w:hAnsi="Times New Roman" w:cs="Times New Roman"/>
          <w:lang w:val="sr-Cyrl-RS"/>
        </w:rPr>
      </w:pPr>
      <w:r w:rsidRPr="00B3123E">
        <w:rPr>
          <w:rFonts w:ascii="Times New Roman" w:hAnsi="Times New Roman" w:cs="Times New Roman"/>
          <w:szCs w:val="24"/>
          <w:lang w:val="sr-Cyrl-RS"/>
        </w:rPr>
        <w:t xml:space="preserve">континуирани </w:t>
      </w:r>
      <w:r w:rsidR="00706838" w:rsidRPr="00B3123E">
        <w:rPr>
          <w:rFonts w:ascii="Times New Roman" w:hAnsi="Times New Roman" w:cs="Times New Roman"/>
          <w:szCs w:val="24"/>
          <w:lang w:val="sr-Cyrl-RS"/>
        </w:rPr>
        <w:t>развој људских ресурса и одрживог управљања кадровима.</w:t>
      </w:r>
    </w:p>
    <w:p w14:paraId="2E4F054E" w14:textId="2BB024F2" w:rsidR="00553D4A" w:rsidRPr="00B3123E" w:rsidRDefault="00553D4A" w:rsidP="006127E9">
      <w:pPr>
        <w:tabs>
          <w:tab w:val="left" w:pos="1440"/>
        </w:tabs>
        <w:ind w:firstLine="709"/>
        <w:rPr>
          <w:rFonts w:ascii="Times New Roman" w:hAnsi="Times New Roman" w:cs="Times New Roman"/>
          <w:szCs w:val="24"/>
          <w:lang w:val="sr-Cyrl-RS"/>
        </w:rPr>
      </w:pPr>
      <w:r w:rsidRPr="00B3123E">
        <w:rPr>
          <w:rFonts w:ascii="Times New Roman" w:hAnsi="Times New Roman" w:cs="Times New Roman"/>
          <w:lang w:val="sr-Cyrl-RS"/>
        </w:rPr>
        <w:t xml:space="preserve">Остваривање овог </w:t>
      </w:r>
      <w:r w:rsidR="00AC63F6" w:rsidRPr="00B3123E">
        <w:rPr>
          <w:rFonts w:ascii="Times New Roman" w:hAnsi="Times New Roman" w:cs="Times New Roman"/>
          <w:lang w:val="sr-Cyrl-RS"/>
        </w:rPr>
        <w:t xml:space="preserve">посебног </w:t>
      </w:r>
      <w:r w:rsidRPr="00B3123E">
        <w:rPr>
          <w:rFonts w:ascii="Times New Roman" w:hAnsi="Times New Roman" w:cs="Times New Roman"/>
          <w:lang w:val="sr-Cyrl-RS"/>
        </w:rPr>
        <w:t>циља доприноси укупној модернизацији поштанског тржишта у</w:t>
      </w:r>
      <w:r w:rsidR="00E247A4" w:rsidRPr="00B3123E">
        <w:rPr>
          <w:rFonts w:ascii="Times New Roman" w:hAnsi="Times New Roman" w:cs="Times New Roman"/>
          <w:lang w:val="sr-Cyrl-RS"/>
        </w:rPr>
        <w:t xml:space="preserve"> Републици</w:t>
      </w:r>
      <w:r w:rsidRPr="00B3123E">
        <w:rPr>
          <w:rFonts w:ascii="Times New Roman" w:hAnsi="Times New Roman" w:cs="Times New Roman"/>
          <w:lang w:val="sr-Cyrl-RS"/>
        </w:rPr>
        <w:t xml:space="preserve"> Србији, његовој интеграцији у европски и глобални систем, као и стварању услова за унапређење конкурентности, квалитета и одрживости услуга.</w:t>
      </w:r>
    </w:p>
    <w:p w14:paraId="288B4992" w14:textId="77777777" w:rsidR="00553D4A" w:rsidRPr="00B3123E" w:rsidRDefault="00553D4A" w:rsidP="000E5DBB">
      <w:pPr>
        <w:tabs>
          <w:tab w:val="left" w:pos="1440"/>
        </w:tabs>
        <w:ind w:firstLine="1276"/>
        <w:rPr>
          <w:rFonts w:ascii="Times New Roman" w:hAnsi="Times New Roman" w:cs="Times New Roman"/>
          <w:szCs w:val="24"/>
          <w:lang w:val="sr-Cyrl-RS"/>
        </w:rPr>
      </w:pPr>
    </w:p>
    <w:p w14:paraId="02921D6A" w14:textId="77777777" w:rsidR="00F74A38" w:rsidRPr="00B3123E" w:rsidRDefault="00FC63C3" w:rsidP="00F862C6">
      <w:pPr>
        <w:pStyle w:val="Heading1"/>
        <w:tabs>
          <w:tab w:val="left" w:pos="1440"/>
        </w:tabs>
        <w:rPr>
          <w:rFonts w:ascii="Times New Roman" w:hAnsi="Times New Roman"/>
          <w:sz w:val="24"/>
          <w:lang w:val="sr-Cyrl-RS"/>
        </w:rPr>
      </w:pPr>
      <w:bookmarkStart w:id="54" w:name="_Toc23941320"/>
      <w:bookmarkStart w:id="55" w:name="_Toc211461802"/>
      <w:bookmarkStart w:id="56" w:name="_Toc211545986"/>
      <w:bookmarkEnd w:id="52"/>
      <w:r w:rsidRPr="00B3123E">
        <w:rPr>
          <w:rFonts w:ascii="Times New Roman" w:hAnsi="Times New Roman"/>
          <w:sz w:val="24"/>
          <w:lang w:val="sr-Cyrl-RS"/>
        </w:rPr>
        <w:t>ПОСЕБНИ</w:t>
      </w:r>
      <w:r w:rsidR="00F74A38" w:rsidRPr="00B3123E">
        <w:rPr>
          <w:rFonts w:ascii="Times New Roman" w:hAnsi="Times New Roman"/>
          <w:sz w:val="24"/>
          <w:lang w:val="sr-Cyrl-RS"/>
        </w:rPr>
        <w:t xml:space="preserve"> ЦИЉ 3</w:t>
      </w:r>
      <w:bookmarkEnd w:id="54"/>
      <w:bookmarkEnd w:id="55"/>
      <w:bookmarkEnd w:id="56"/>
    </w:p>
    <w:tbl>
      <w:tblPr>
        <w:tblStyle w:val="TableGrid"/>
        <w:tblW w:w="0" w:type="auto"/>
        <w:tblLook w:val="04A0" w:firstRow="1" w:lastRow="0" w:firstColumn="1" w:lastColumn="0" w:noHBand="0" w:noVBand="1"/>
      </w:tblPr>
      <w:tblGrid>
        <w:gridCol w:w="706"/>
        <w:gridCol w:w="8310"/>
      </w:tblGrid>
      <w:tr w:rsidR="005A2589" w:rsidRPr="00B3123E" w14:paraId="6A433CB9" w14:textId="77777777" w:rsidTr="00D9213E">
        <w:tc>
          <w:tcPr>
            <w:tcW w:w="9016" w:type="dxa"/>
            <w:gridSpan w:val="2"/>
          </w:tcPr>
          <w:p w14:paraId="3A7F27E7" w14:textId="51FE5917" w:rsidR="00F74A38" w:rsidRPr="00B3123E" w:rsidRDefault="00BD4F70" w:rsidP="00B81F27">
            <w:pPr>
              <w:rPr>
                <w:rFonts w:ascii="Times New Roman" w:hAnsi="Times New Roman" w:cs="Times New Roman"/>
                <w:bCs/>
                <w:i/>
                <w:szCs w:val="24"/>
                <w:lang w:val="sr-Cyrl-RS"/>
              </w:rPr>
            </w:pPr>
            <w:r w:rsidRPr="00B3123E">
              <w:rPr>
                <w:rFonts w:ascii="Times New Roman" w:hAnsi="Times New Roman" w:cs="Times New Roman"/>
                <w:b/>
                <w:i/>
                <w:szCs w:val="24"/>
                <w:u w:val="single"/>
                <w:lang w:val="sr-Cyrl-RS"/>
              </w:rPr>
              <w:t>Посебни циљ 3</w:t>
            </w:r>
            <w:r w:rsidRPr="00B3123E">
              <w:rPr>
                <w:rFonts w:ascii="Times New Roman" w:hAnsi="Times New Roman" w:cs="Times New Roman"/>
                <w:b/>
                <w:i/>
                <w:szCs w:val="24"/>
                <w:lang w:val="sr-Cyrl-RS"/>
              </w:rPr>
              <w:t>:</w:t>
            </w:r>
            <w:r w:rsidR="00C315F3" w:rsidRPr="00B3123E">
              <w:rPr>
                <w:rFonts w:ascii="Times New Roman" w:hAnsi="Times New Roman" w:cs="Times New Roman"/>
                <w:b/>
                <w:i/>
                <w:szCs w:val="24"/>
                <w:lang w:val="sr-Cyrl-RS"/>
              </w:rPr>
              <w:t xml:space="preserve"> </w:t>
            </w:r>
            <w:r w:rsidR="004A0E08" w:rsidRPr="00B3123E">
              <w:rPr>
                <w:rFonts w:ascii="Times New Roman" w:hAnsi="Times New Roman" w:cs="Times New Roman"/>
                <w:bCs/>
                <w:i/>
                <w:szCs w:val="24"/>
                <w:lang w:val="sr-Cyrl-RS"/>
              </w:rPr>
              <w:t>Успостављен механизам за примену нових решења и технологија у области поштанског саобраћаја</w:t>
            </w:r>
          </w:p>
          <w:p w14:paraId="3B2A8BD5" w14:textId="77777777" w:rsidR="00867694" w:rsidRPr="00B3123E" w:rsidRDefault="00867694" w:rsidP="00B81F27">
            <w:pPr>
              <w:rPr>
                <w:rFonts w:ascii="Times New Roman" w:hAnsi="Times New Roman" w:cs="Times New Roman"/>
                <w:b/>
                <w:i/>
                <w:szCs w:val="24"/>
                <w:u w:val="single"/>
                <w:lang w:val="sr-Cyrl-RS"/>
              </w:rPr>
            </w:pPr>
          </w:p>
        </w:tc>
      </w:tr>
      <w:tr w:rsidR="005A2589" w:rsidRPr="00B3123E" w14:paraId="0721FC6C" w14:textId="77777777" w:rsidTr="00D9213E">
        <w:tc>
          <w:tcPr>
            <w:tcW w:w="9016" w:type="dxa"/>
            <w:gridSpan w:val="2"/>
            <w:shd w:val="clear" w:color="auto" w:fill="D5DCE4" w:themeFill="text2" w:themeFillTint="33"/>
          </w:tcPr>
          <w:p w14:paraId="307D76F3" w14:textId="77777777" w:rsidR="002E28D1" w:rsidRPr="00B3123E" w:rsidRDefault="002E28D1" w:rsidP="00F862C6">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Преглед мера за реализацију посебног циља 3</w:t>
            </w:r>
          </w:p>
          <w:p w14:paraId="584917C6" w14:textId="77777777" w:rsidR="002E28D1" w:rsidRPr="00B3123E" w:rsidRDefault="002E28D1" w:rsidP="00F862C6">
            <w:pPr>
              <w:tabs>
                <w:tab w:val="left" w:pos="1440"/>
              </w:tabs>
              <w:rPr>
                <w:rFonts w:ascii="Times New Roman" w:hAnsi="Times New Roman" w:cs="Times New Roman"/>
                <w:b/>
                <w:bCs/>
                <w:szCs w:val="24"/>
                <w:lang w:val="sr-Cyrl-RS"/>
              </w:rPr>
            </w:pPr>
          </w:p>
        </w:tc>
      </w:tr>
      <w:tr w:rsidR="005A2589" w:rsidRPr="00B3123E" w14:paraId="30CF2245" w14:textId="77777777" w:rsidTr="00D9213E">
        <w:tc>
          <w:tcPr>
            <w:tcW w:w="706" w:type="dxa"/>
          </w:tcPr>
          <w:p w14:paraId="3DDD6784" w14:textId="77777777" w:rsidR="002E28D1" w:rsidRPr="00B3123E" w:rsidRDefault="002E28D1"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3.1</w:t>
            </w:r>
          </w:p>
        </w:tc>
        <w:tc>
          <w:tcPr>
            <w:tcW w:w="8310" w:type="dxa"/>
          </w:tcPr>
          <w:p w14:paraId="71D91A34" w14:textId="77777777" w:rsidR="002E28D1" w:rsidRPr="00B3123E" w:rsidRDefault="00ED6261" w:rsidP="00DD4FAB">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Унапређење </w:t>
            </w:r>
            <w:r w:rsidR="00867694" w:rsidRPr="00B3123E">
              <w:rPr>
                <w:rFonts w:ascii="Times New Roman" w:hAnsi="Times New Roman" w:cs="Times New Roman"/>
                <w:szCs w:val="24"/>
                <w:lang w:val="sr-Cyrl-RS"/>
              </w:rPr>
              <w:t xml:space="preserve">комерцијалних поштанских услуга </w:t>
            </w:r>
            <w:r w:rsidRPr="00B3123E">
              <w:rPr>
                <w:rFonts w:ascii="Times New Roman" w:hAnsi="Times New Roman" w:cs="Times New Roman"/>
                <w:szCs w:val="24"/>
                <w:lang w:val="sr-Cyrl-RS"/>
              </w:rPr>
              <w:t>интеграцијом нових технологија</w:t>
            </w:r>
          </w:p>
        </w:tc>
      </w:tr>
      <w:tr w:rsidR="005A2589" w:rsidRPr="00B3123E" w14:paraId="7E4A6E5E" w14:textId="77777777" w:rsidTr="00D9213E">
        <w:tc>
          <w:tcPr>
            <w:tcW w:w="706" w:type="dxa"/>
          </w:tcPr>
          <w:p w14:paraId="156281C4" w14:textId="77777777" w:rsidR="006A28D3" w:rsidRPr="00B3123E" w:rsidRDefault="006A28D3" w:rsidP="006A28D3">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3.2</w:t>
            </w:r>
          </w:p>
        </w:tc>
        <w:tc>
          <w:tcPr>
            <w:tcW w:w="8310" w:type="dxa"/>
          </w:tcPr>
          <w:p w14:paraId="7F1907BA" w14:textId="77777777" w:rsidR="006A28D3" w:rsidRPr="00B3123E" w:rsidRDefault="00867694" w:rsidP="006A28D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Развој алата за унапређење конкуренције на тржишту поштанских услуга</w:t>
            </w:r>
          </w:p>
        </w:tc>
      </w:tr>
      <w:tr w:rsidR="005A2589" w:rsidRPr="00B3123E" w14:paraId="46D654F6" w14:textId="77777777" w:rsidTr="00D9213E">
        <w:tc>
          <w:tcPr>
            <w:tcW w:w="706" w:type="dxa"/>
          </w:tcPr>
          <w:p w14:paraId="0878F979" w14:textId="77777777" w:rsidR="006A28D3" w:rsidRPr="00B3123E" w:rsidRDefault="006A28D3" w:rsidP="006A28D3">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3.3</w:t>
            </w:r>
          </w:p>
        </w:tc>
        <w:tc>
          <w:tcPr>
            <w:tcW w:w="8310" w:type="dxa"/>
          </w:tcPr>
          <w:p w14:paraId="24074B09" w14:textId="77777777" w:rsidR="006A28D3" w:rsidRPr="00B3123E" w:rsidRDefault="00ED6261" w:rsidP="006A28D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Утврђивање </w:t>
            </w:r>
            <w:r w:rsidR="00867694" w:rsidRPr="00B3123E">
              <w:rPr>
                <w:rFonts w:ascii="Times New Roman" w:hAnsi="Times New Roman" w:cs="Times New Roman"/>
                <w:szCs w:val="24"/>
                <w:lang w:val="sr-Cyrl-RS"/>
              </w:rPr>
              <w:t>модела увођења вештачке интелигенције (AI) у поштанску индустрију</w:t>
            </w:r>
          </w:p>
        </w:tc>
      </w:tr>
      <w:tr w:rsidR="006A28D3" w:rsidRPr="00B3123E" w14:paraId="1BA17746" w14:textId="77777777" w:rsidTr="00D9213E">
        <w:tc>
          <w:tcPr>
            <w:tcW w:w="706" w:type="dxa"/>
          </w:tcPr>
          <w:p w14:paraId="27864027" w14:textId="77777777" w:rsidR="006A28D3" w:rsidRPr="00B3123E" w:rsidRDefault="006A28D3" w:rsidP="006A28D3">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3.</w:t>
            </w:r>
            <w:r w:rsidR="00D9213E" w:rsidRPr="00B3123E">
              <w:rPr>
                <w:rFonts w:ascii="Times New Roman" w:hAnsi="Times New Roman" w:cs="Times New Roman"/>
                <w:szCs w:val="24"/>
                <w:lang w:val="sr-Cyrl-RS"/>
              </w:rPr>
              <w:t>4</w:t>
            </w:r>
          </w:p>
        </w:tc>
        <w:tc>
          <w:tcPr>
            <w:tcW w:w="8310" w:type="dxa"/>
          </w:tcPr>
          <w:p w14:paraId="6457E963" w14:textId="77777777" w:rsidR="006A28D3" w:rsidRPr="00B3123E" w:rsidRDefault="00867694" w:rsidP="006A28D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Унапређење сајбер безбедности у поштанском ИТ систему</w:t>
            </w:r>
          </w:p>
        </w:tc>
      </w:tr>
    </w:tbl>
    <w:p w14:paraId="1C697905" w14:textId="77777777" w:rsidR="00867694" w:rsidRPr="00B3123E" w:rsidRDefault="00867694" w:rsidP="00F862C6">
      <w:pPr>
        <w:tabs>
          <w:tab w:val="left" w:pos="1440"/>
        </w:tabs>
        <w:rPr>
          <w:rFonts w:ascii="Times New Roman" w:hAnsi="Times New Roman" w:cs="Times New Roman"/>
          <w:szCs w:val="24"/>
          <w:lang w:val="sr-Cyrl-RS"/>
        </w:rPr>
      </w:pPr>
    </w:p>
    <w:p w14:paraId="15547E53" w14:textId="25FE3949" w:rsidR="000F5581" w:rsidRPr="00B3123E" w:rsidRDefault="00C8641C"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Планско у</w:t>
      </w:r>
      <w:r w:rsidR="000F5581" w:rsidRPr="00B3123E">
        <w:rPr>
          <w:rFonts w:ascii="Times New Roman" w:hAnsi="Times New Roman" w:cs="Times New Roman"/>
          <w:szCs w:val="24"/>
          <w:lang w:val="sr-Cyrl-RS"/>
        </w:rPr>
        <w:t>напређење комерцијалних поштанских услуга кроз систематску анализу тржишта, идентификацију трендова, потреба и понашања корисника, као и развој интегрисаних услуга које комбинују традиционалне и дигиталне канале, логистичка решења и партнерстава са другим операторима има за циљ</w:t>
      </w:r>
      <w:r w:rsidRPr="00B3123E">
        <w:rPr>
          <w:rFonts w:ascii="Times New Roman" w:hAnsi="Times New Roman" w:cs="Times New Roman"/>
          <w:szCs w:val="24"/>
          <w:lang w:val="sr-Cyrl-RS"/>
        </w:rPr>
        <w:t>:</w:t>
      </w:r>
      <w:r w:rsidR="000F5581" w:rsidRPr="00B3123E">
        <w:rPr>
          <w:rFonts w:ascii="Times New Roman" w:hAnsi="Times New Roman" w:cs="Times New Roman"/>
          <w:szCs w:val="24"/>
          <w:lang w:val="sr-Cyrl-RS"/>
        </w:rPr>
        <w:t xml:space="preserve"> </w:t>
      </w:r>
    </w:p>
    <w:p w14:paraId="657EF0E5" w14:textId="31BA6C67"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повећање </w:t>
      </w:r>
      <w:r w:rsidR="000F5581" w:rsidRPr="00B3123E">
        <w:rPr>
          <w:rFonts w:ascii="Times New Roman" w:hAnsi="Times New Roman" w:cs="Times New Roman"/>
          <w:szCs w:val="24"/>
          <w:lang w:val="sr-Cyrl-RS"/>
        </w:rPr>
        <w:t>конкурентност</w:t>
      </w:r>
      <w:r w:rsidR="00C8641C" w:rsidRPr="00B3123E">
        <w:rPr>
          <w:rFonts w:ascii="Times New Roman" w:hAnsi="Times New Roman" w:cs="Times New Roman"/>
          <w:szCs w:val="24"/>
          <w:lang w:val="sr-Cyrl-RS"/>
        </w:rPr>
        <w:t>и</w:t>
      </w:r>
      <w:r w:rsidR="000F5581" w:rsidRPr="00B3123E">
        <w:rPr>
          <w:rFonts w:ascii="Times New Roman" w:hAnsi="Times New Roman" w:cs="Times New Roman"/>
          <w:szCs w:val="24"/>
          <w:lang w:val="sr-Cyrl-RS"/>
        </w:rPr>
        <w:t xml:space="preserve"> и иновативности комерцијалних поштанских услуга</w:t>
      </w:r>
      <w:r w:rsidR="001B69E7" w:rsidRPr="00B3123E">
        <w:rPr>
          <w:rFonts w:ascii="Times New Roman" w:hAnsi="Times New Roman" w:cs="Times New Roman"/>
          <w:szCs w:val="24"/>
          <w:lang w:val="sr-Cyrl-RS"/>
        </w:rPr>
        <w:t>;</w:t>
      </w:r>
    </w:p>
    <w:p w14:paraId="51EC6A9D" w14:textId="7ABA752E"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бољу </w:t>
      </w:r>
      <w:r w:rsidR="000F5581" w:rsidRPr="00B3123E">
        <w:rPr>
          <w:rFonts w:ascii="Times New Roman" w:hAnsi="Times New Roman" w:cs="Times New Roman"/>
          <w:szCs w:val="24"/>
          <w:lang w:val="sr-Cyrl-RS"/>
        </w:rPr>
        <w:t>покривеност и квалитет услуга прилагођених потребама корисника</w:t>
      </w:r>
      <w:r w:rsidR="001B69E7" w:rsidRPr="00B3123E">
        <w:rPr>
          <w:rFonts w:ascii="Times New Roman" w:hAnsi="Times New Roman" w:cs="Times New Roman"/>
          <w:szCs w:val="24"/>
          <w:lang w:val="sr-Cyrl-RS"/>
        </w:rPr>
        <w:t>;</w:t>
      </w:r>
    </w:p>
    <w:p w14:paraId="75C2F8AD" w14:textId="27652150"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ефикаснију </w:t>
      </w:r>
      <w:r w:rsidR="000F5581" w:rsidRPr="00B3123E">
        <w:rPr>
          <w:rFonts w:ascii="Times New Roman" w:hAnsi="Times New Roman" w:cs="Times New Roman"/>
          <w:szCs w:val="24"/>
          <w:lang w:val="sr-Cyrl-RS"/>
        </w:rPr>
        <w:t>комбинацију различитих канала испоруке и логистичких решења</w:t>
      </w:r>
      <w:r w:rsidR="001B69E7" w:rsidRPr="00B3123E">
        <w:rPr>
          <w:rFonts w:ascii="Times New Roman" w:hAnsi="Times New Roman" w:cs="Times New Roman"/>
          <w:szCs w:val="24"/>
          <w:lang w:val="sr-Cyrl-RS"/>
        </w:rPr>
        <w:t>;</w:t>
      </w:r>
    </w:p>
    <w:p w14:paraId="53CAF76A" w14:textId="713419F1"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стварање </w:t>
      </w:r>
      <w:r w:rsidR="000F5581" w:rsidRPr="00B3123E">
        <w:rPr>
          <w:rFonts w:ascii="Times New Roman" w:hAnsi="Times New Roman" w:cs="Times New Roman"/>
          <w:szCs w:val="24"/>
          <w:lang w:val="sr-Cyrl-RS"/>
        </w:rPr>
        <w:t>интегрисаних услуга које унапређују корисничко искуство и повећавају задовољство клијената</w:t>
      </w:r>
      <w:r w:rsidR="001B69E7" w:rsidRPr="00B3123E">
        <w:rPr>
          <w:rFonts w:ascii="Times New Roman" w:hAnsi="Times New Roman" w:cs="Times New Roman"/>
          <w:szCs w:val="24"/>
          <w:lang w:val="sr-Cyrl-RS"/>
        </w:rPr>
        <w:t>;</w:t>
      </w:r>
    </w:p>
    <w:p w14:paraId="2C826D02" w14:textId="1FB346E8"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јачање </w:t>
      </w:r>
      <w:r w:rsidR="005230C8" w:rsidRPr="00B3123E">
        <w:rPr>
          <w:rFonts w:ascii="Times New Roman" w:hAnsi="Times New Roman" w:cs="Times New Roman"/>
          <w:szCs w:val="24"/>
          <w:lang w:val="sr-Cyrl-RS"/>
        </w:rPr>
        <w:t>програмског</w:t>
      </w:r>
      <w:r w:rsidR="000F5581" w:rsidRPr="00B3123E">
        <w:rPr>
          <w:rFonts w:ascii="Times New Roman" w:hAnsi="Times New Roman" w:cs="Times New Roman"/>
          <w:szCs w:val="24"/>
          <w:lang w:val="sr-Cyrl-RS"/>
        </w:rPr>
        <w:t xml:space="preserve"> планирања и праћења тржишних трендова у поштанском сектору.</w:t>
      </w:r>
    </w:p>
    <w:p w14:paraId="229CB4DA" w14:textId="77777777" w:rsidR="000F5581" w:rsidRPr="00B3123E" w:rsidRDefault="000F5581"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Развој алата за унапређење конкуренције на тржишту поштанских услуга има за циљ јачање конкурентности поштанског тржишта кроз развој и примену аналитичких, регулаторних и пословних алата који омогућавају транспарентно, ефикасно и праведно функционисање сектора.</w:t>
      </w:r>
    </w:p>
    <w:p w14:paraId="70D2E1D7" w14:textId="4F5F6B5E" w:rsidR="00D9213E" w:rsidRPr="00B3123E" w:rsidRDefault="00D9213E" w:rsidP="005A6112">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 xml:space="preserve">Примена нових решења и технологија у области поштанског саобраћаја подразумева и имплементацију еколошких стандарда у пружању поштанских услуга. </w:t>
      </w:r>
      <w:r w:rsidR="00445752" w:rsidRPr="00B3123E">
        <w:rPr>
          <w:rFonts w:ascii="Times New Roman" w:hAnsi="Times New Roman" w:cs="Times New Roman"/>
          <w:lang w:val="sr-Cyrl-RS"/>
        </w:rPr>
        <w:t>У циљу</w:t>
      </w:r>
      <w:r w:rsidRPr="00B3123E">
        <w:rPr>
          <w:rFonts w:ascii="Times New Roman" w:hAnsi="Times New Roman" w:cs="Times New Roman"/>
          <w:lang w:val="sr-Cyrl-RS"/>
        </w:rPr>
        <w:t xml:space="preserve"> смањења негативног утицаја поштанског тржишта на животну средину</w:t>
      </w:r>
      <w:r w:rsidR="00445752" w:rsidRPr="00B3123E">
        <w:rPr>
          <w:rFonts w:ascii="Times New Roman" w:hAnsi="Times New Roman" w:cs="Times New Roman"/>
          <w:lang w:val="sr-Cyrl-RS"/>
        </w:rPr>
        <w:t xml:space="preserve"> планира се</w:t>
      </w:r>
      <w:r w:rsidRPr="00B3123E">
        <w:rPr>
          <w:rFonts w:ascii="Times New Roman" w:hAnsi="Times New Roman" w:cs="Times New Roman"/>
          <w:lang w:val="sr-Cyrl-RS"/>
        </w:rPr>
        <w:t>:</w:t>
      </w:r>
    </w:p>
    <w:p w14:paraId="652EDC5B" w14:textId="3ABAD852" w:rsidR="00D9213E" w:rsidRPr="00B3123E" w:rsidRDefault="00EB28B4" w:rsidP="00300FB0">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r w:rsidR="00D9213E" w:rsidRPr="00B3123E">
        <w:rPr>
          <w:rFonts w:ascii="Times New Roman" w:hAnsi="Times New Roman" w:cs="Times New Roman"/>
          <w:szCs w:val="24"/>
          <w:lang w:val="sr-Cyrl-RS"/>
        </w:rPr>
        <w:t>и примен</w:t>
      </w:r>
      <w:r w:rsidRPr="00B3123E">
        <w:rPr>
          <w:rFonts w:ascii="Times New Roman" w:hAnsi="Times New Roman" w:cs="Times New Roman"/>
          <w:szCs w:val="24"/>
          <w:lang w:val="sr-Cyrl-RS"/>
        </w:rPr>
        <w:t>а</w:t>
      </w:r>
      <w:r w:rsidR="00D9213E" w:rsidRPr="00B3123E">
        <w:rPr>
          <w:rFonts w:ascii="Times New Roman" w:hAnsi="Times New Roman" w:cs="Times New Roman"/>
          <w:szCs w:val="24"/>
          <w:lang w:val="sr-Cyrl-RS"/>
        </w:rPr>
        <w:t xml:space="preserve"> политика и стандарда за смањење емисије</w:t>
      </w:r>
      <w:r w:rsidR="00445752" w:rsidRPr="00B3123E">
        <w:rPr>
          <w:rFonts w:ascii="Times New Roman" w:hAnsi="Times New Roman" w:cs="Times New Roman"/>
          <w:szCs w:val="24"/>
          <w:lang w:val="sr-Cyrl-RS"/>
        </w:rPr>
        <w:t xml:space="preserve"> штетних гасова</w:t>
      </w:r>
      <w:r w:rsidR="00D9213E" w:rsidRPr="00B3123E">
        <w:rPr>
          <w:rFonts w:ascii="Times New Roman" w:hAnsi="Times New Roman" w:cs="Times New Roman"/>
          <w:szCs w:val="24"/>
          <w:lang w:val="sr-Cyrl-RS"/>
        </w:rPr>
        <w:t xml:space="preserve"> и других загађујућих материја у процесу поштанског саобраћаја</w:t>
      </w:r>
      <w:r w:rsidR="001B69E7" w:rsidRPr="00B3123E">
        <w:rPr>
          <w:rFonts w:ascii="Times New Roman" w:hAnsi="Times New Roman" w:cs="Times New Roman"/>
          <w:szCs w:val="24"/>
          <w:lang w:val="sr-Cyrl-RS"/>
        </w:rPr>
        <w:t>;</w:t>
      </w:r>
    </w:p>
    <w:p w14:paraId="51C87496" w14:textId="2AC9FB7F" w:rsidR="00D9213E" w:rsidRPr="00B3123E" w:rsidRDefault="00EB28B4" w:rsidP="00300FB0">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подстицање </w:t>
      </w:r>
      <w:r w:rsidR="00D9213E" w:rsidRPr="00B3123E">
        <w:rPr>
          <w:rFonts w:ascii="Times New Roman" w:hAnsi="Times New Roman" w:cs="Times New Roman"/>
          <w:szCs w:val="24"/>
          <w:lang w:val="sr-Cyrl-RS"/>
        </w:rPr>
        <w:t>употребе еколошки прихватљивих технологија, укључујући возила на алтернативна горива, енергетски ефикасне објекте и дигиталне системе</w:t>
      </w:r>
      <w:r w:rsidR="001B69E7" w:rsidRPr="00B3123E">
        <w:rPr>
          <w:rFonts w:ascii="Times New Roman" w:hAnsi="Times New Roman" w:cs="Times New Roman"/>
          <w:szCs w:val="24"/>
          <w:lang w:val="sr-Cyrl-RS"/>
        </w:rPr>
        <w:t>;</w:t>
      </w:r>
    </w:p>
    <w:p w14:paraId="122D7D0E" w14:textId="104972FD" w:rsidR="00D9213E" w:rsidRPr="00B3123E" w:rsidRDefault="00EB28B4" w:rsidP="00300FB0">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институционална </w:t>
      </w:r>
      <w:r w:rsidR="00D9213E" w:rsidRPr="00B3123E">
        <w:rPr>
          <w:rFonts w:ascii="Times New Roman" w:hAnsi="Times New Roman" w:cs="Times New Roman"/>
          <w:szCs w:val="24"/>
          <w:lang w:val="sr-Cyrl-RS"/>
        </w:rPr>
        <w:t>сарадња са националним и међународним организацијама ради размене знања</w:t>
      </w:r>
      <w:r w:rsidR="00133C01" w:rsidRPr="00B3123E">
        <w:rPr>
          <w:rFonts w:ascii="Times New Roman" w:hAnsi="Times New Roman" w:cs="Times New Roman"/>
          <w:szCs w:val="24"/>
          <w:lang w:val="sr-Cyrl-RS"/>
        </w:rPr>
        <w:t xml:space="preserve"> и добрих еколошких пракси</w:t>
      </w:r>
      <w:r w:rsidR="00445752" w:rsidRPr="00B3123E">
        <w:rPr>
          <w:rFonts w:ascii="Times New Roman" w:hAnsi="Times New Roman" w:cs="Times New Roman"/>
          <w:szCs w:val="24"/>
          <w:lang w:val="sr-Cyrl-RS"/>
        </w:rPr>
        <w:t>.</w:t>
      </w:r>
    </w:p>
    <w:p w14:paraId="45C33ECD" w14:textId="32EC3801" w:rsidR="000B036C" w:rsidRPr="00B3123E" w:rsidRDefault="000B036C"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Географски информациони систем омогућава праћење просторно-географске доступности поштанских услуга, идентификацију празнина у покривености и подршку конкурентности. Унапређење Портала цена омогућава корисницима 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има да упоређују услуге и услове, подстичући фер конкуренцију.</w:t>
      </w:r>
      <w:r w:rsidR="0047413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Стварање аналитичких модела и алата за континуирано праћење тржишних тенденција, позиције оператора и перформанси услуга омогућава регулаторима да доносе одлуке </w:t>
      </w:r>
      <w:r w:rsidR="003B3A83" w:rsidRPr="00B3123E">
        <w:rPr>
          <w:rFonts w:ascii="Times New Roman" w:hAnsi="Times New Roman" w:cs="Times New Roman"/>
          <w:szCs w:val="24"/>
          <w:lang w:val="sr-Cyrl-RS"/>
        </w:rPr>
        <w:t xml:space="preserve">базиране на дубљим истраживањима новијег датума </w:t>
      </w:r>
      <w:r w:rsidRPr="00B3123E">
        <w:rPr>
          <w:rFonts w:ascii="Times New Roman" w:hAnsi="Times New Roman" w:cs="Times New Roman"/>
          <w:szCs w:val="24"/>
          <w:lang w:val="sr-Cyrl-RS"/>
        </w:rPr>
        <w:t>и да брзо реагују на промене тржишта.</w:t>
      </w:r>
    </w:p>
    <w:p w14:paraId="6E4D2246" w14:textId="72A01FC4" w:rsidR="000B036C" w:rsidRPr="00B3123E" w:rsidRDefault="000B036C"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Укључивање истраживача и стручњака из академске заједнице у анализу тржишта, развој модела и процену ефеката мера за конкурентност обезбеди ће примену научних метода у пракси поштанског сектора а самим тим и подстицање иновација и</w:t>
      </w:r>
      <w:r w:rsidR="00840A2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размену знања између академског и практичног сектора што може бити од великог значаја за даљи развој поштанског сектора. </w:t>
      </w:r>
    </w:p>
    <w:p w14:paraId="2028D589" w14:textId="77777777" w:rsidR="00A02496" w:rsidRPr="00B3123E" w:rsidRDefault="00A02496"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Увођење вештачке интелигенције (AI) у поштански сектор омогућава значајно унапређење оперативне ефикасности, предиктивне анализе, корисничке подршке и управљања ресурсима. Израда модела подразумева дефинисање начина примене AI у кључним процесима као што су:</w:t>
      </w:r>
    </w:p>
    <w:p w14:paraId="5994B738" w14:textId="51823C8A" w:rsidR="00A02496" w:rsidRPr="00B3123E" w:rsidRDefault="00A02496" w:rsidP="00961167">
      <w:pPr>
        <w:pStyle w:val="ListParagraph"/>
        <w:numPr>
          <w:ilvl w:val="0"/>
          <w:numId w:val="37"/>
        </w:numPr>
        <w:tabs>
          <w:tab w:val="left" w:pos="1560"/>
        </w:tabs>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аутоматизација сортирања и класификације пошиљака</w:t>
      </w:r>
      <w:r w:rsidR="001B69E7" w:rsidRPr="00B3123E">
        <w:rPr>
          <w:rFonts w:ascii="Times New Roman" w:hAnsi="Times New Roman" w:cs="Times New Roman"/>
          <w:szCs w:val="24"/>
          <w:lang w:val="sr-Cyrl-RS"/>
        </w:rPr>
        <w:t>;</w:t>
      </w:r>
    </w:p>
    <w:p w14:paraId="3945C001" w14:textId="589E58A6" w:rsidR="00A02496" w:rsidRPr="00B3123E" w:rsidRDefault="00A02496" w:rsidP="00121375">
      <w:pPr>
        <w:pStyle w:val="ListParagraph"/>
        <w:numPr>
          <w:ilvl w:val="0"/>
          <w:numId w:val="37"/>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оптимизација рута доставе (на основу саобраћаја, временских услова, обима пошиљака)</w:t>
      </w:r>
      <w:r w:rsidR="001B69E7" w:rsidRPr="00B3123E">
        <w:rPr>
          <w:rFonts w:ascii="Times New Roman" w:hAnsi="Times New Roman" w:cs="Times New Roman"/>
          <w:szCs w:val="24"/>
          <w:lang w:val="sr-Cyrl-RS"/>
        </w:rPr>
        <w:t>;</w:t>
      </w:r>
    </w:p>
    <w:p w14:paraId="43E3A5FA" w14:textId="32C25E61" w:rsidR="00A02496" w:rsidRPr="00B3123E" w:rsidRDefault="00A02496" w:rsidP="00121375">
      <w:pPr>
        <w:pStyle w:val="ListParagraph"/>
        <w:numPr>
          <w:ilvl w:val="0"/>
          <w:numId w:val="37"/>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интелигентни системи за корисничку подршку (</w:t>
      </w:r>
      <w:r w:rsidR="001B69E7" w:rsidRPr="00B3123E">
        <w:rPr>
          <w:rFonts w:ascii="Times New Roman" w:hAnsi="Times New Roman" w:cs="Times New Roman"/>
          <w:szCs w:val="24"/>
          <w:lang w:val="sr-Cyrl-RS"/>
        </w:rPr>
        <w:t>chat</w:t>
      </w:r>
      <w:r w:rsidRPr="00B3123E">
        <w:rPr>
          <w:rFonts w:ascii="Times New Roman" w:hAnsi="Times New Roman" w:cs="Times New Roman"/>
          <w:szCs w:val="24"/>
          <w:lang w:val="sr-Cyrl-RS"/>
        </w:rPr>
        <w:t>-ботови, гласовни асистенти)</w:t>
      </w:r>
      <w:r w:rsidR="001B69E7" w:rsidRPr="00B3123E">
        <w:rPr>
          <w:rFonts w:ascii="Times New Roman" w:hAnsi="Times New Roman" w:cs="Times New Roman"/>
          <w:szCs w:val="24"/>
          <w:lang w:val="sr-Cyrl-RS"/>
        </w:rPr>
        <w:t>;</w:t>
      </w:r>
    </w:p>
    <w:p w14:paraId="0F6349D4" w14:textId="2A39B22D" w:rsidR="00A02496" w:rsidRPr="00B3123E" w:rsidRDefault="00A02496" w:rsidP="00121375">
      <w:pPr>
        <w:pStyle w:val="ListParagraph"/>
        <w:numPr>
          <w:ilvl w:val="0"/>
          <w:numId w:val="37"/>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анализа великих података (</w:t>
      </w:r>
      <w:r w:rsidR="00C315F3" w:rsidRPr="00B3123E">
        <w:rPr>
          <w:rFonts w:ascii="Times New Roman" w:hAnsi="Times New Roman" w:cs="Times New Roman"/>
          <w:i/>
          <w:iCs/>
          <w:szCs w:val="24"/>
          <w:lang w:val="sr-Cyrl-RS"/>
        </w:rPr>
        <w:t>Big Data analytics</w:t>
      </w:r>
      <w:r w:rsidRPr="00B3123E">
        <w:rPr>
          <w:rFonts w:ascii="Times New Roman" w:hAnsi="Times New Roman" w:cs="Times New Roman"/>
          <w:szCs w:val="24"/>
          <w:lang w:val="sr-Cyrl-RS"/>
        </w:rPr>
        <w:t>) за управљање капацитетима и пројекцију тражње.</w:t>
      </w:r>
    </w:p>
    <w:p w14:paraId="6F1413F8" w14:textId="77777777" w:rsidR="00A02496" w:rsidRPr="00B3123E" w:rsidRDefault="00A02496" w:rsidP="00961167">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Циљ је развој практичног, правно и технолошки одрживог модела који може бити постепено уведен у реално пословање, уз поштовање етичких и безбедносних стандарда.</w:t>
      </w:r>
    </w:p>
    <w:p w14:paraId="704EF5A5" w14:textId="77777777" w:rsidR="00F407A9" w:rsidRPr="00B3123E" w:rsidRDefault="00F407A9" w:rsidP="00961167">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Са растом дигитализације, поузданост поштанских информационих система и заштита података корисника постају стратешки приоритет. Улагања у сајбер безбедност подразумевају:</w:t>
      </w:r>
    </w:p>
    <w:p w14:paraId="2032B228" w14:textId="2B33C7F3" w:rsidR="00F407A9" w:rsidRPr="00B3123E" w:rsidRDefault="00EB28B4" w:rsidP="00DD3C1F">
      <w:pPr>
        <w:pStyle w:val="ListParagraph"/>
        <w:numPr>
          <w:ilvl w:val="0"/>
          <w:numId w:val="37"/>
        </w:numPr>
        <w:tabs>
          <w:tab w:val="left" w:pos="426"/>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r w:rsidR="00F407A9" w:rsidRPr="00B3123E">
        <w:rPr>
          <w:rFonts w:ascii="Times New Roman" w:hAnsi="Times New Roman" w:cs="Times New Roman"/>
          <w:szCs w:val="24"/>
          <w:lang w:val="sr-Cyrl-RS"/>
        </w:rPr>
        <w:t>и одржавање заштићених ИКТ инфраструктура;</w:t>
      </w:r>
    </w:p>
    <w:p w14:paraId="53E95BB5" w14:textId="094A651E" w:rsidR="00F407A9" w:rsidRPr="00B3123E" w:rsidRDefault="00EB28B4" w:rsidP="00DD3C1F">
      <w:pPr>
        <w:pStyle w:val="ListParagraph"/>
        <w:numPr>
          <w:ilvl w:val="0"/>
          <w:numId w:val="37"/>
        </w:numPr>
        <w:tabs>
          <w:tab w:val="left" w:pos="709"/>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редовно </w:t>
      </w:r>
      <w:r w:rsidR="00F407A9" w:rsidRPr="00B3123E">
        <w:rPr>
          <w:rFonts w:ascii="Times New Roman" w:hAnsi="Times New Roman" w:cs="Times New Roman"/>
          <w:szCs w:val="24"/>
          <w:lang w:val="sr-Cyrl-RS"/>
        </w:rPr>
        <w:t>тестирање отпорности система на безбедносне претње;</w:t>
      </w:r>
    </w:p>
    <w:p w14:paraId="3A700AEB" w14:textId="12800DBF" w:rsidR="00F407A9" w:rsidRPr="00B3123E" w:rsidRDefault="00EB28B4" w:rsidP="00DD3C1F">
      <w:pPr>
        <w:pStyle w:val="ListParagraph"/>
        <w:numPr>
          <w:ilvl w:val="0"/>
          <w:numId w:val="37"/>
        </w:numPr>
        <w:tabs>
          <w:tab w:val="left" w:pos="709"/>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обуку </w:t>
      </w:r>
      <w:r w:rsidR="00F407A9" w:rsidRPr="00B3123E">
        <w:rPr>
          <w:rFonts w:ascii="Times New Roman" w:hAnsi="Times New Roman" w:cs="Times New Roman"/>
          <w:szCs w:val="24"/>
          <w:lang w:val="sr-Cyrl-RS"/>
        </w:rPr>
        <w:t>запослених у препознавању и спречавању сајбер инцидената;</w:t>
      </w:r>
    </w:p>
    <w:p w14:paraId="775F9CE1" w14:textId="722DA158" w:rsidR="00F407A9" w:rsidRPr="00B3123E" w:rsidRDefault="00EB28B4" w:rsidP="00DD3C1F">
      <w:pPr>
        <w:pStyle w:val="ListParagraph"/>
        <w:numPr>
          <w:ilvl w:val="0"/>
          <w:numId w:val="37"/>
        </w:numPr>
        <w:tabs>
          <w:tab w:val="left" w:pos="709"/>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усклађивање </w:t>
      </w:r>
      <w:r w:rsidR="00F407A9" w:rsidRPr="00B3123E">
        <w:rPr>
          <w:rFonts w:ascii="Times New Roman" w:hAnsi="Times New Roman" w:cs="Times New Roman"/>
          <w:szCs w:val="24"/>
          <w:lang w:val="sr-Cyrl-RS"/>
        </w:rPr>
        <w:t>са европским и међународним стандардима у области информационе безбедности као нпр. успостављање система контроле приступа и управљања подацима (GDPR, ISO 27001) и сл</w:t>
      </w:r>
      <w:r w:rsidR="001B69E7" w:rsidRPr="00B3123E">
        <w:rPr>
          <w:rFonts w:ascii="Times New Roman" w:hAnsi="Times New Roman" w:cs="Times New Roman"/>
          <w:szCs w:val="24"/>
          <w:lang w:val="sr-Cyrl-RS"/>
        </w:rPr>
        <w:t>;</w:t>
      </w:r>
    </w:p>
    <w:p w14:paraId="4911D1D0" w14:textId="5D281356" w:rsidR="00E97BC7" w:rsidRPr="008D70CB" w:rsidRDefault="00EB28B4" w:rsidP="00E97BC7">
      <w:pPr>
        <w:pStyle w:val="ListParagraph"/>
        <w:numPr>
          <w:ilvl w:val="0"/>
          <w:numId w:val="37"/>
        </w:numPr>
        <w:tabs>
          <w:tab w:val="left" w:pos="709"/>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подизање </w:t>
      </w:r>
      <w:r w:rsidR="00F407A9" w:rsidRPr="00B3123E">
        <w:rPr>
          <w:rFonts w:ascii="Times New Roman" w:hAnsi="Times New Roman" w:cs="Times New Roman"/>
          <w:szCs w:val="24"/>
          <w:lang w:val="sr-Cyrl-RS"/>
        </w:rPr>
        <w:t>свести запослених и корисника о сајбер ризицима и безбедном понашању.</w:t>
      </w:r>
    </w:p>
    <w:p w14:paraId="348EA77F" w14:textId="1E4E3819" w:rsidR="00121375" w:rsidRPr="00B3123E" w:rsidRDefault="00121375" w:rsidP="00121375">
      <w:pPr>
        <w:pStyle w:val="ListParagraph"/>
        <w:tabs>
          <w:tab w:val="left" w:pos="1560"/>
        </w:tabs>
        <w:ind w:left="1134"/>
        <w:rPr>
          <w:rFonts w:ascii="Times New Roman" w:hAnsi="Times New Roman" w:cs="Times New Roman"/>
          <w:szCs w:val="24"/>
          <w:lang w:val="sr-Cyrl-RS"/>
        </w:rPr>
      </w:pPr>
    </w:p>
    <w:p w14:paraId="39CADD24" w14:textId="745CAB35" w:rsidR="006211A8" w:rsidRDefault="006211A8" w:rsidP="00121375">
      <w:pPr>
        <w:pStyle w:val="ListParagraph"/>
        <w:tabs>
          <w:tab w:val="left" w:pos="1560"/>
        </w:tabs>
        <w:ind w:left="1134"/>
        <w:rPr>
          <w:rFonts w:ascii="Times New Roman" w:hAnsi="Times New Roman" w:cs="Times New Roman"/>
          <w:szCs w:val="24"/>
          <w:lang w:val="sr-Cyrl-RS"/>
        </w:rPr>
      </w:pPr>
    </w:p>
    <w:p w14:paraId="22210764" w14:textId="5147B6E5" w:rsidR="00F6112B" w:rsidRDefault="00F6112B" w:rsidP="00121375">
      <w:pPr>
        <w:pStyle w:val="ListParagraph"/>
        <w:tabs>
          <w:tab w:val="left" w:pos="1560"/>
        </w:tabs>
        <w:ind w:left="1134"/>
        <w:rPr>
          <w:rFonts w:ascii="Times New Roman" w:hAnsi="Times New Roman" w:cs="Times New Roman"/>
          <w:szCs w:val="24"/>
          <w:lang w:val="sr-Cyrl-RS"/>
        </w:rPr>
      </w:pPr>
    </w:p>
    <w:p w14:paraId="474049A1" w14:textId="2D3D0A86" w:rsidR="00F6112B" w:rsidRDefault="00F6112B" w:rsidP="00121375">
      <w:pPr>
        <w:pStyle w:val="ListParagraph"/>
        <w:tabs>
          <w:tab w:val="left" w:pos="1560"/>
        </w:tabs>
        <w:ind w:left="1134"/>
        <w:rPr>
          <w:rFonts w:ascii="Times New Roman" w:hAnsi="Times New Roman" w:cs="Times New Roman"/>
          <w:szCs w:val="24"/>
          <w:lang w:val="sr-Cyrl-RS"/>
        </w:rPr>
      </w:pPr>
    </w:p>
    <w:p w14:paraId="19C980B6" w14:textId="091065A1" w:rsidR="00F6112B" w:rsidRDefault="00F6112B" w:rsidP="00121375">
      <w:pPr>
        <w:pStyle w:val="ListParagraph"/>
        <w:tabs>
          <w:tab w:val="left" w:pos="1560"/>
        </w:tabs>
        <w:ind w:left="1134"/>
        <w:rPr>
          <w:rFonts w:ascii="Times New Roman" w:hAnsi="Times New Roman" w:cs="Times New Roman"/>
          <w:szCs w:val="24"/>
          <w:lang w:val="sr-Cyrl-RS"/>
        </w:rPr>
      </w:pPr>
    </w:p>
    <w:p w14:paraId="5517821E" w14:textId="0094B3E3" w:rsidR="00F6112B" w:rsidRDefault="00F6112B" w:rsidP="00121375">
      <w:pPr>
        <w:pStyle w:val="ListParagraph"/>
        <w:tabs>
          <w:tab w:val="left" w:pos="1560"/>
        </w:tabs>
        <w:ind w:left="1134"/>
        <w:rPr>
          <w:rFonts w:ascii="Times New Roman" w:hAnsi="Times New Roman" w:cs="Times New Roman"/>
          <w:szCs w:val="24"/>
          <w:lang w:val="sr-Cyrl-RS"/>
        </w:rPr>
      </w:pPr>
    </w:p>
    <w:p w14:paraId="63C5AFA7" w14:textId="77777777" w:rsidR="00F6112B" w:rsidRPr="00B3123E" w:rsidRDefault="00F6112B" w:rsidP="00121375">
      <w:pPr>
        <w:pStyle w:val="ListParagraph"/>
        <w:tabs>
          <w:tab w:val="left" w:pos="1560"/>
        </w:tabs>
        <w:ind w:left="1134"/>
        <w:rPr>
          <w:rFonts w:ascii="Times New Roman" w:hAnsi="Times New Roman" w:cs="Times New Roman"/>
          <w:szCs w:val="24"/>
          <w:lang w:val="sr-Cyrl-RS"/>
        </w:rPr>
      </w:pPr>
    </w:p>
    <w:p w14:paraId="368302A9" w14:textId="77777777" w:rsidR="006211A8" w:rsidRPr="00B3123E" w:rsidRDefault="006211A8" w:rsidP="00121375">
      <w:pPr>
        <w:pStyle w:val="ListParagraph"/>
        <w:tabs>
          <w:tab w:val="left" w:pos="1560"/>
        </w:tabs>
        <w:ind w:left="1134"/>
        <w:rPr>
          <w:rFonts w:ascii="Times New Roman" w:hAnsi="Times New Roman" w:cs="Times New Roman"/>
          <w:szCs w:val="24"/>
          <w:lang w:val="sr-Cyrl-RS"/>
        </w:rPr>
      </w:pPr>
    </w:p>
    <w:p w14:paraId="12EC0587" w14:textId="7BE30BAE" w:rsidR="00A00993" w:rsidRPr="00B3123E" w:rsidRDefault="00604795" w:rsidP="00604795">
      <w:pPr>
        <w:pStyle w:val="ListParagraph"/>
        <w:numPr>
          <w:ilvl w:val="0"/>
          <w:numId w:val="1"/>
        </w:numPr>
        <w:rPr>
          <w:rFonts w:ascii="Times New Roman" w:hAnsi="Times New Roman" w:cs="Times New Roman"/>
          <w:szCs w:val="24"/>
          <w:lang w:val="sr-Cyrl-RS"/>
        </w:rPr>
      </w:pPr>
      <w:r w:rsidRPr="00B3123E">
        <w:rPr>
          <w:rFonts w:ascii="Times New Roman" w:hAnsi="Times New Roman" w:cs="Times New Roman"/>
          <w:szCs w:val="24"/>
          <w:lang w:val="sr-Cyrl-RS"/>
        </w:rPr>
        <w:lastRenderedPageBreak/>
        <w:t>МЕРЕ ЗА ОСТВАРИВАЊЕ ЦИЉЕВА И АНАЛИЗА ЊИХОВИХ ЕФЕКАТА</w:t>
      </w:r>
    </w:p>
    <w:p w14:paraId="2B7C8DDF" w14:textId="2D7B4723" w:rsidR="008E7186" w:rsidRPr="00B3123E" w:rsidRDefault="004A308E" w:rsidP="00066A72">
      <w:pPr>
        <w:pStyle w:val="Heading1"/>
        <w:numPr>
          <w:ilvl w:val="2"/>
          <w:numId w:val="1"/>
        </w:numPr>
        <w:rPr>
          <w:rFonts w:ascii="Times New Roman" w:hAnsi="Times New Roman"/>
          <w:sz w:val="24"/>
          <w:u w:val="single"/>
          <w:lang w:val="sr-Cyrl-RS"/>
        </w:rPr>
      </w:pPr>
      <w:r w:rsidRPr="00B3123E">
        <w:rPr>
          <w:rFonts w:ascii="Times New Roman" w:hAnsi="Times New Roman"/>
          <w:sz w:val="24"/>
          <w:u w:val="single"/>
          <w:lang w:val="sr-Cyrl-RS"/>
        </w:rPr>
        <w:t xml:space="preserve"> Опис мера </w:t>
      </w:r>
    </w:p>
    <w:p w14:paraId="024A13B6" w14:textId="510E4511" w:rsidR="00624DE8" w:rsidRPr="00B3123E" w:rsidRDefault="00624DE8" w:rsidP="00310E31">
      <w:pPr>
        <w:pStyle w:val="Heading1"/>
        <w:ind w:firstLine="720"/>
        <w:rPr>
          <w:rFonts w:ascii="Times New Roman" w:hAnsi="Times New Roman"/>
          <w:sz w:val="24"/>
          <w:lang w:val="sr-Cyrl-RS"/>
        </w:rPr>
      </w:pPr>
      <w:r w:rsidRPr="00B3123E">
        <w:rPr>
          <w:rFonts w:ascii="Times New Roman" w:hAnsi="Times New Roman"/>
          <w:sz w:val="24"/>
          <w:lang w:val="sr-Cyrl-RS"/>
        </w:rPr>
        <w:t>Мера 1.1.1: Модернизована поштанска мрежа у складу са тржишним потребама</w:t>
      </w:r>
    </w:p>
    <w:p w14:paraId="588F9E06" w14:textId="39EB938C" w:rsidR="00624DE8"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Мера подразумева технолошку модернизацију поштанско-логистичких центара, увођење аутоматизације и дигитализације процеса пријема, обраде и дистрибуције поштанских пошиљака. </w:t>
      </w:r>
      <w:r w:rsidR="00BF2121" w:rsidRPr="00B3123E">
        <w:rPr>
          <w:rFonts w:ascii="Times New Roman" w:hAnsi="Times New Roman" w:cs="Times New Roman"/>
          <w:szCs w:val="24"/>
          <w:lang w:val="sr-Cyrl-RS"/>
        </w:rPr>
        <w:t>Сврха ј</w:t>
      </w:r>
      <w:r w:rsidRPr="00B3123E">
        <w:rPr>
          <w:rFonts w:ascii="Times New Roman" w:hAnsi="Times New Roman" w:cs="Times New Roman"/>
          <w:szCs w:val="24"/>
          <w:lang w:val="sr-Cyrl-RS"/>
        </w:rPr>
        <w:t xml:space="preserve">е повећање ефикасности рада, унапређење квалитета услуга и смањење оперативних трошкова у складу са растућим потребама корисника и тржишта. </w:t>
      </w:r>
    </w:p>
    <w:p w14:paraId="12EDA412" w14:textId="3F7FBA99" w:rsidR="003B0920"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Орган јавне управе надлежан за спровођење мере је </w:t>
      </w:r>
      <w:r w:rsidR="00D51D55" w:rsidRPr="00B3123E">
        <w:rPr>
          <w:rFonts w:ascii="Times New Roman" w:hAnsi="Times New Roman" w:cs="Times New Roman"/>
          <w:bCs/>
          <w:szCs w:val="24"/>
          <w:lang w:val="sr-Cyrl-RS"/>
        </w:rPr>
        <w:t>ЈПО</w:t>
      </w:r>
      <w:r w:rsidRPr="00B3123E">
        <w:rPr>
          <w:rFonts w:ascii="Times New Roman" w:hAnsi="Times New Roman" w:cs="Times New Roman"/>
          <w:szCs w:val="24"/>
          <w:lang w:val="sr-Cyrl-RS"/>
        </w:rPr>
        <w:t>.</w:t>
      </w:r>
    </w:p>
    <w:p w14:paraId="0E6214D5" w14:textId="77777777" w:rsidR="00624DE8" w:rsidRPr="00B3123E" w:rsidRDefault="00624DE8" w:rsidP="00310E31">
      <w:pPr>
        <w:pStyle w:val="Heading2"/>
        <w:ind w:firstLine="720"/>
        <w:rPr>
          <w:rFonts w:ascii="Times New Roman" w:hAnsi="Times New Roman" w:cs="Times New Roman"/>
          <w:b w:val="0"/>
          <w:szCs w:val="24"/>
          <w:lang w:val="sr-Cyrl-RS"/>
        </w:rPr>
      </w:pPr>
      <w:r w:rsidRPr="00B3123E">
        <w:rPr>
          <w:rFonts w:ascii="Times New Roman" w:hAnsi="Times New Roman" w:cs="Times New Roman"/>
          <w:b w:val="0"/>
          <w:szCs w:val="24"/>
          <w:lang w:val="sr-Cyrl-RS"/>
        </w:rPr>
        <w:t>Мера 1.1.2: Обезбеђење одрживости пружања УПУ као поузданог и доступног сервиса за друштво и привреду</w:t>
      </w:r>
    </w:p>
    <w:p w14:paraId="33613C95" w14:textId="574F0C44" w:rsidR="00624DE8"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Мера обухвата редизајн модела пружања универзалне поштанске услуге (УПУ), унапређење методологије финансирања и развој нових услуга од посебног интереса. </w:t>
      </w:r>
      <w:r w:rsidR="00BF2121" w:rsidRPr="00B3123E">
        <w:rPr>
          <w:rFonts w:ascii="Times New Roman" w:hAnsi="Times New Roman" w:cs="Times New Roman"/>
          <w:szCs w:val="24"/>
          <w:lang w:val="sr-Cyrl-RS"/>
        </w:rPr>
        <w:t>Сврха је</w:t>
      </w:r>
      <w:r w:rsidRPr="00B3123E">
        <w:rPr>
          <w:rFonts w:ascii="Times New Roman" w:hAnsi="Times New Roman" w:cs="Times New Roman"/>
          <w:szCs w:val="24"/>
          <w:lang w:val="sr-Cyrl-RS"/>
        </w:rPr>
        <w:t xml:space="preserve"> обезбеђење дугорочне економске и друштвене одрживости УПУ кроз модернизацију пословања и интеграцију електронских услуга јавне управе. </w:t>
      </w:r>
    </w:p>
    <w:p w14:paraId="63C5DAE9" w14:textId="6D9E6274" w:rsidR="00624DE8"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Орган јавне управе надлежан за спровођење мере је Министарство</w:t>
      </w:r>
      <w:r w:rsidR="00F52F27" w:rsidRPr="00B3123E">
        <w:rPr>
          <w:rFonts w:ascii="Times New Roman" w:hAnsi="Times New Roman" w:cs="Times New Roman"/>
          <w:szCs w:val="24"/>
          <w:lang w:val="sr-Cyrl-RS"/>
        </w:rPr>
        <w:t>.</w:t>
      </w:r>
    </w:p>
    <w:p w14:paraId="16E6DD36" w14:textId="77777777" w:rsidR="006B5AF3" w:rsidRPr="00B3123E" w:rsidRDefault="006B5AF3" w:rsidP="00624DE8">
      <w:pPr>
        <w:rPr>
          <w:rFonts w:ascii="Times New Roman" w:hAnsi="Times New Roman" w:cs="Times New Roman"/>
          <w:szCs w:val="24"/>
          <w:lang w:val="sr-Cyrl-RS"/>
        </w:rPr>
      </w:pPr>
    </w:p>
    <w:p w14:paraId="386C0AF1" w14:textId="7146A6E0" w:rsidR="00624DE8" w:rsidRPr="00B3123E" w:rsidRDefault="00624DE8" w:rsidP="00310E31">
      <w:pPr>
        <w:pStyle w:val="Heading2"/>
        <w:ind w:firstLine="720"/>
        <w:rPr>
          <w:rFonts w:ascii="Times New Roman" w:hAnsi="Times New Roman" w:cs="Times New Roman"/>
          <w:b w:val="0"/>
          <w:szCs w:val="24"/>
          <w:lang w:val="sr-Cyrl-RS"/>
        </w:rPr>
      </w:pPr>
      <w:r w:rsidRPr="00B3123E">
        <w:rPr>
          <w:rFonts w:ascii="Times New Roman" w:hAnsi="Times New Roman" w:cs="Times New Roman"/>
          <w:b w:val="0"/>
          <w:szCs w:val="24"/>
          <w:lang w:val="sr-Cyrl-RS"/>
        </w:rPr>
        <w:t xml:space="preserve">Мера 1.1.3: Успостављање системског праћења имплементираних стандарда </w:t>
      </w:r>
      <w:r w:rsidR="00247985" w:rsidRPr="00B3123E">
        <w:rPr>
          <w:rFonts w:ascii="Times New Roman" w:hAnsi="Times New Roman" w:cs="Times New Roman"/>
          <w:b w:val="0"/>
          <w:szCs w:val="24"/>
          <w:lang w:val="sr-Cyrl-RS"/>
        </w:rPr>
        <w:t>EN</w:t>
      </w:r>
      <w:r w:rsidRPr="00B3123E">
        <w:rPr>
          <w:rFonts w:ascii="Times New Roman" w:hAnsi="Times New Roman" w:cs="Times New Roman"/>
          <w:b w:val="0"/>
          <w:szCs w:val="24"/>
          <w:lang w:val="sr-Cyrl-RS"/>
        </w:rPr>
        <w:t xml:space="preserve">13850, </w:t>
      </w:r>
      <w:r w:rsidR="00247985" w:rsidRPr="00B3123E">
        <w:rPr>
          <w:rFonts w:ascii="Times New Roman" w:hAnsi="Times New Roman" w:cs="Times New Roman"/>
          <w:b w:val="0"/>
          <w:szCs w:val="24"/>
          <w:lang w:val="sr-Cyrl-RS"/>
        </w:rPr>
        <w:t>EN</w:t>
      </w:r>
      <w:r w:rsidRPr="00B3123E">
        <w:rPr>
          <w:rFonts w:ascii="Times New Roman" w:hAnsi="Times New Roman" w:cs="Times New Roman"/>
          <w:b w:val="0"/>
          <w:szCs w:val="24"/>
          <w:lang w:val="sr-Cyrl-RS"/>
        </w:rPr>
        <w:t xml:space="preserve">14508 и </w:t>
      </w:r>
      <w:r w:rsidR="00247985" w:rsidRPr="00B3123E">
        <w:rPr>
          <w:rFonts w:ascii="Times New Roman" w:hAnsi="Times New Roman" w:cs="Times New Roman"/>
          <w:b w:val="0"/>
          <w:szCs w:val="24"/>
          <w:lang w:val="sr-Cyrl-RS"/>
        </w:rPr>
        <w:t>EN</w:t>
      </w:r>
      <w:r w:rsidRPr="00B3123E">
        <w:rPr>
          <w:rFonts w:ascii="Times New Roman" w:hAnsi="Times New Roman" w:cs="Times New Roman"/>
          <w:b w:val="0"/>
          <w:szCs w:val="24"/>
          <w:lang w:val="sr-Cyrl-RS"/>
        </w:rPr>
        <w:t>14012 у циљу заштите корисника</w:t>
      </w:r>
    </w:p>
    <w:p w14:paraId="4812E671" w14:textId="65650CC3" w:rsidR="00624DE8" w:rsidRPr="00B3123E" w:rsidRDefault="007B3714" w:rsidP="00310E31">
      <w:pPr>
        <w:ind w:firstLine="720"/>
        <w:rPr>
          <w:rFonts w:ascii="Times New Roman" w:hAnsi="Times New Roman" w:cs="Times New Roman"/>
          <w:szCs w:val="24"/>
          <w:lang w:val="sr-Cyrl-RS"/>
        </w:rPr>
      </w:pPr>
      <w:bookmarkStart w:id="57" w:name="_Hlk214358648"/>
      <w:r w:rsidRPr="00B3123E">
        <w:rPr>
          <w:rFonts w:ascii="Times New Roman" w:hAnsi="Times New Roman" w:cs="Times New Roman"/>
          <w:szCs w:val="24"/>
          <w:lang w:val="sr-Cyrl-RS"/>
        </w:rPr>
        <w:t>Сврха ове мере је</w:t>
      </w:r>
      <w:r w:rsidR="00624DE8" w:rsidRPr="00B3123E">
        <w:rPr>
          <w:rFonts w:ascii="Times New Roman" w:hAnsi="Times New Roman" w:cs="Times New Roman"/>
          <w:szCs w:val="24"/>
          <w:lang w:val="sr-Cyrl-RS"/>
        </w:rPr>
        <w:t xml:space="preserve"> </w:t>
      </w:r>
      <w:bookmarkEnd w:id="57"/>
      <w:r w:rsidR="00624DE8" w:rsidRPr="00B3123E">
        <w:rPr>
          <w:rFonts w:ascii="Times New Roman" w:hAnsi="Times New Roman" w:cs="Times New Roman"/>
          <w:szCs w:val="24"/>
          <w:lang w:val="sr-Cyrl-RS"/>
        </w:rPr>
        <w:t xml:space="preserve">унапређење система квалитета и заштите корисника поштанских услуга у складу са међународним стандардима. Обухвата унапређење мерења времена преноса пошиљака, ефикасности решавања рекламација и модернизацију опреме за контролу квалитета. </w:t>
      </w:r>
    </w:p>
    <w:p w14:paraId="639B7B50" w14:textId="551E1E0A" w:rsidR="003B0920"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Орган јавне управе надлежан за спровођење мере </w:t>
      </w:r>
      <w:r w:rsidR="001B0120" w:rsidRPr="00B3123E">
        <w:rPr>
          <w:rFonts w:ascii="Times New Roman" w:hAnsi="Times New Roman" w:cs="Times New Roman"/>
          <w:szCs w:val="24"/>
          <w:lang w:val="sr-Cyrl-RS"/>
        </w:rPr>
        <w:t xml:space="preserve">је </w:t>
      </w:r>
      <w:bookmarkStart w:id="58" w:name="_Hlk214277105"/>
      <w:r w:rsidR="00D51D55" w:rsidRPr="00B3123E">
        <w:rPr>
          <w:rFonts w:ascii="Times New Roman" w:hAnsi="Times New Roman" w:cs="Times New Roman"/>
          <w:szCs w:val="24"/>
          <w:lang w:val="sr-Cyrl-RS"/>
        </w:rPr>
        <w:t>РАТЕЛ</w:t>
      </w:r>
      <w:r w:rsidR="004673DD" w:rsidRPr="00B3123E">
        <w:rPr>
          <w:rFonts w:ascii="Times New Roman" w:hAnsi="Times New Roman" w:cs="Times New Roman"/>
          <w:szCs w:val="24"/>
          <w:lang w:val="sr-Cyrl-RS"/>
        </w:rPr>
        <w:t>.</w:t>
      </w:r>
      <w:bookmarkEnd w:id="58"/>
    </w:p>
    <w:p w14:paraId="432D8C62"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1.1.4: Унапређење заштите и интереса корисника УПУ</w:t>
      </w:r>
    </w:p>
    <w:p w14:paraId="3F61C3BD" w14:textId="77777777" w:rsidR="00624DE8"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подразумева активности усмерене на унапређење задовољства корисника универзалних поштанских услуга. Спроводи се кроз систематска истраживања, сарадњу јавног поштанског оператора са локалним самоуправама и мере за побољшање просторне и временске доступности услуга. </w:t>
      </w:r>
    </w:p>
    <w:p w14:paraId="24BB1AF6" w14:textId="47A9313B" w:rsidR="004673DD"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Орган надлежан за спровођење мере је</w:t>
      </w:r>
      <w:r w:rsidR="003206DC" w:rsidRPr="00B3123E">
        <w:rPr>
          <w:rFonts w:ascii="Times New Roman" w:hAnsi="Times New Roman" w:cs="Times New Roman"/>
          <w:bCs/>
          <w:szCs w:val="24"/>
          <w:lang w:val="sr-Cyrl-RS"/>
        </w:rPr>
        <w:t xml:space="preserve"> </w:t>
      </w:r>
      <w:r w:rsidR="00D51D55" w:rsidRPr="00B3123E">
        <w:rPr>
          <w:rFonts w:ascii="Times New Roman" w:hAnsi="Times New Roman" w:cs="Times New Roman"/>
          <w:szCs w:val="24"/>
          <w:lang w:val="sr-Cyrl-RS"/>
        </w:rPr>
        <w:t>РАТЕЛ</w:t>
      </w:r>
      <w:r w:rsidR="003206DC" w:rsidRPr="00B3123E">
        <w:rPr>
          <w:rFonts w:ascii="Times New Roman" w:hAnsi="Times New Roman" w:cs="Times New Roman"/>
          <w:bCs/>
          <w:szCs w:val="24"/>
          <w:lang w:val="sr-Cyrl-RS"/>
        </w:rPr>
        <w:t>.</w:t>
      </w:r>
    </w:p>
    <w:p w14:paraId="5FAA19AB"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1.2.1: Развој међународне сарадње са глобалним и регионалним организацијама из области поштанског саобраћаја</w:t>
      </w:r>
    </w:p>
    <w:p w14:paraId="7E58E51E" w14:textId="6E454708" w:rsidR="00624DE8" w:rsidRPr="00B3123E" w:rsidRDefault="00993D37"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Сврха ове мере је</w:t>
      </w:r>
      <w:r w:rsidR="00624DE8" w:rsidRPr="00B3123E">
        <w:rPr>
          <w:rFonts w:ascii="Times New Roman" w:hAnsi="Times New Roman" w:cs="Times New Roman"/>
          <w:bCs/>
          <w:szCs w:val="24"/>
          <w:lang w:val="sr-Cyrl-RS"/>
        </w:rPr>
        <w:t xml:space="preserve"> јачање међународног положаја поштанског сектора Републике Србије кроз активно учешће у раду тела Светског поштанског савеза и других регионалних организација. Спроводи се путем припремних активности за чланство у комитетима и примене усвојених препорука. </w:t>
      </w:r>
    </w:p>
    <w:p w14:paraId="2C4D0366" w14:textId="674A8610"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Органи надлежни за спровођење мере </w:t>
      </w:r>
      <w:r w:rsidR="003206DC" w:rsidRPr="00B3123E">
        <w:rPr>
          <w:rFonts w:ascii="Times New Roman" w:hAnsi="Times New Roman" w:cs="Times New Roman"/>
          <w:bCs/>
          <w:szCs w:val="24"/>
          <w:lang w:val="sr-Cyrl-RS"/>
        </w:rPr>
        <w:t xml:space="preserve">је </w:t>
      </w:r>
      <w:r w:rsidR="00D51D55" w:rsidRPr="00B3123E">
        <w:rPr>
          <w:rFonts w:ascii="Times New Roman" w:hAnsi="Times New Roman" w:cs="Times New Roman"/>
          <w:bCs/>
          <w:szCs w:val="24"/>
          <w:lang w:val="sr-Cyrl-RS"/>
        </w:rPr>
        <w:t>ЈПО</w:t>
      </w:r>
      <w:r w:rsidRPr="00B3123E">
        <w:rPr>
          <w:rFonts w:ascii="Times New Roman" w:hAnsi="Times New Roman" w:cs="Times New Roman"/>
          <w:bCs/>
          <w:szCs w:val="24"/>
          <w:lang w:val="sr-Cyrl-RS"/>
        </w:rPr>
        <w:t>.</w:t>
      </w:r>
    </w:p>
    <w:p w14:paraId="062FC487"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1.2.2: Усклађивање регулативе са законодавством Европске уније и Светског поштанског савеза</w:t>
      </w:r>
    </w:p>
    <w:p w14:paraId="2F071535" w14:textId="1E9B9236" w:rsidR="00624DE8" w:rsidRPr="00B3123E" w:rsidRDefault="00624DE8" w:rsidP="00624DE8">
      <w:pPr>
        <w:rPr>
          <w:rFonts w:ascii="Times New Roman" w:hAnsi="Times New Roman" w:cs="Times New Roman"/>
          <w:szCs w:val="24"/>
          <w:lang w:val="sr-Cyrl-RS"/>
        </w:rPr>
      </w:pPr>
      <w:r w:rsidRPr="00B3123E">
        <w:rPr>
          <w:rFonts w:ascii="Times New Roman" w:hAnsi="Times New Roman" w:cs="Times New Roman"/>
          <w:bCs/>
          <w:szCs w:val="24"/>
          <w:lang w:val="sr-Cyrl-RS"/>
        </w:rPr>
        <w:t>Мера подразумева континуирано унапређење правног оквира поштанских</w:t>
      </w:r>
      <w:r w:rsidRPr="00B3123E">
        <w:rPr>
          <w:rFonts w:ascii="Times New Roman" w:hAnsi="Times New Roman" w:cs="Times New Roman"/>
          <w:szCs w:val="24"/>
          <w:lang w:val="sr-Cyrl-RS"/>
        </w:rPr>
        <w:t xml:space="preserve"> услуга кроз доношење подзаконских аката, измене Закона и усвајање аката Светског поштанског </w:t>
      </w:r>
      <w:r w:rsidRPr="00B3123E">
        <w:rPr>
          <w:rFonts w:ascii="Times New Roman" w:hAnsi="Times New Roman" w:cs="Times New Roman"/>
          <w:szCs w:val="24"/>
          <w:lang w:val="sr-Cyrl-RS"/>
        </w:rPr>
        <w:lastRenderedPageBreak/>
        <w:t xml:space="preserve">савеза. Циљ је потпуна хармонизација националне регулативе са правним тековинама ЕУ и међународним стандардима. </w:t>
      </w:r>
    </w:p>
    <w:p w14:paraId="015E60A9" w14:textId="3293A36B" w:rsidR="003B0920"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Орган јавне управе надлежан за спровођење мере је Министарство</w:t>
      </w:r>
      <w:r w:rsidR="003206DC" w:rsidRPr="00B3123E">
        <w:rPr>
          <w:rFonts w:ascii="Times New Roman" w:hAnsi="Times New Roman" w:cs="Times New Roman"/>
          <w:szCs w:val="24"/>
          <w:lang w:val="sr-Cyrl-RS"/>
        </w:rPr>
        <w:t>.</w:t>
      </w:r>
    </w:p>
    <w:p w14:paraId="32167738" w14:textId="77777777" w:rsidR="00624DE8" w:rsidRPr="00B3123E" w:rsidRDefault="00624DE8" w:rsidP="00310E31">
      <w:pPr>
        <w:pStyle w:val="Heading2"/>
        <w:ind w:firstLine="720"/>
        <w:rPr>
          <w:rFonts w:ascii="Times New Roman" w:hAnsi="Times New Roman" w:cs="Times New Roman"/>
          <w:b w:val="0"/>
          <w:szCs w:val="24"/>
          <w:lang w:val="sr-Cyrl-RS"/>
        </w:rPr>
      </w:pPr>
      <w:r w:rsidRPr="00B3123E">
        <w:rPr>
          <w:rFonts w:ascii="Times New Roman" w:hAnsi="Times New Roman" w:cs="Times New Roman"/>
          <w:b w:val="0"/>
          <w:szCs w:val="24"/>
          <w:lang w:val="sr-Cyrl-RS"/>
        </w:rPr>
        <w:t>Мера 1.2.3: Унапређење заштите и интереса корисника експрес услуга</w:t>
      </w:r>
    </w:p>
    <w:p w14:paraId="6E0F4EBB" w14:textId="613F2220" w:rsidR="00624DE8" w:rsidRPr="00B3123E" w:rsidRDefault="007B3714" w:rsidP="00624DE8">
      <w:pPr>
        <w:rPr>
          <w:rFonts w:ascii="Times New Roman" w:hAnsi="Times New Roman" w:cs="Times New Roman"/>
          <w:szCs w:val="24"/>
          <w:lang w:val="sr-Cyrl-RS"/>
        </w:rPr>
      </w:pPr>
      <w:r w:rsidRPr="00B3123E">
        <w:rPr>
          <w:rFonts w:ascii="Times New Roman" w:hAnsi="Times New Roman" w:cs="Times New Roman"/>
          <w:szCs w:val="24"/>
          <w:lang w:val="sr-Cyrl-RS"/>
        </w:rPr>
        <w:t xml:space="preserve">Сврха ове мере је </w:t>
      </w:r>
      <w:r w:rsidR="00901E50" w:rsidRPr="00B3123E">
        <w:rPr>
          <w:rFonts w:ascii="Times New Roman" w:hAnsi="Times New Roman" w:cs="Times New Roman"/>
          <w:szCs w:val="24"/>
          <w:lang w:val="sr-Cyrl-RS"/>
        </w:rPr>
        <w:t>унапређење методологије мерења времена преноса</w:t>
      </w:r>
      <w:r w:rsidRPr="00B3123E">
        <w:rPr>
          <w:rFonts w:ascii="Times New Roman" w:hAnsi="Times New Roman" w:cs="Times New Roman"/>
          <w:szCs w:val="24"/>
          <w:lang w:val="sr-Cyrl-RS"/>
        </w:rPr>
        <w:t xml:space="preserve"> ради</w:t>
      </w:r>
      <w:r w:rsidR="00624DE8" w:rsidRPr="00B3123E">
        <w:rPr>
          <w:rFonts w:ascii="Times New Roman" w:hAnsi="Times New Roman" w:cs="Times New Roman"/>
          <w:szCs w:val="24"/>
          <w:lang w:val="sr-Cyrl-RS"/>
        </w:rPr>
        <w:t xml:space="preserve"> повећањ</w:t>
      </w:r>
      <w:r w:rsidRPr="00B3123E">
        <w:rPr>
          <w:rFonts w:ascii="Times New Roman" w:hAnsi="Times New Roman" w:cs="Times New Roman"/>
          <w:szCs w:val="24"/>
          <w:lang w:val="sr-Cyrl-RS"/>
        </w:rPr>
        <w:t>а</w:t>
      </w:r>
      <w:r w:rsidR="00624DE8" w:rsidRPr="00B3123E">
        <w:rPr>
          <w:rFonts w:ascii="Times New Roman" w:hAnsi="Times New Roman" w:cs="Times New Roman"/>
          <w:szCs w:val="24"/>
          <w:lang w:val="sr-Cyrl-RS"/>
        </w:rPr>
        <w:t xml:space="preserve"> квалитета и поузданости експрес услуга путем унапређења методологије мерења времена преноса и задовољства корисника. Активности обухватају анализу параметара квалитета и увођење мера за побољшање перформанси оператора. </w:t>
      </w:r>
    </w:p>
    <w:p w14:paraId="22E85D03" w14:textId="25D53A13" w:rsidR="00624DE8"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Орган јавне управе надлежан за спровођење мере је</w:t>
      </w:r>
      <w:r w:rsidR="00CB5484" w:rsidRPr="00B3123E">
        <w:rPr>
          <w:rFonts w:ascii="Times New Roman" w:hAnsi="Times New Roman" w:cs="Times New Roman"/>
          <w:szCs w:val="24"/>
          <w:lang w:val="sr-Cyrl-RS"/>
        </w:rPr>
        <w:t xml:space="preserve"> </w:t>
      </w:r>
      <w:r w:rsidR="00D51D55" w:rsidRPr="00B3123E">
        <w:rPr>
          <w:rFonts w:ascii="Times New Roman" w:hAnsi="Times New Roman" w:cs="Times New Roman"/>
          <w:szCs w:val="24"/>
          <w:lang w:val="sr-Cyrl-RS"/>
        </w:rPr>
        <w:t>РАТЕЛ</w:t>
      </w:r>
      <w:r w:rsidR="00CB5484" w:rsidRPr="00B3123E">
        <w:rPr>
          <w:rFonts w:ascii="Times New Roman" w:hAnsi="Times New Roman" w:cs="Times New Roman"/>
          <w:szCs w:val="24"/>
          <w:lang w:val="sr-Cyrl-RS"/>
        </w:rPr>
        <w:t>.</w:t>
      </w:r>
      <w:r w:rsidR="006A140E" w:rsidRPr="00B3123E">
        <w:rPr>
          <w:rFonts w:ascii="Times New Roman" w:hAnsi="Times New Roman" w:cs="Times New Roman"/>
          <w:szCs w:val="24"/>
          <w:lang w:val="sr-Cyrl-RS"/>
        </w:rPr>
        <w:t xml:space="preserve"> </w:t>
      </w:r>
    </w:p>
    <w:p w14:paraId="4745025F"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1.2.4: Подстицање развоја прекограничне доставе пошиљака</w:t>
      </w:r>
    </w:p>
    <w:p w14:paraId="4F05DE45" w14:textId="77777777" w:rsidR="00624DE8" w:rsidRPr="00B3123E" w:rsidRDefault="00624DE8" w:rsidP="00624DE8">
      <w:pPr>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усмерена на јачање логистичке повезаности и сарадње између јавног поштанског оператора и е-трговинских платформи ради повећања обима прекограничне доставе. Обухвата развој међународних партнерстава, оптимизацију процеса царињења и примену дигиталних решења за праћење пошиљака. </w:t>
      </w:r>
    </w:p>
    <w:p w14:paraId="7E8AF748" w14:textId="49D5B7F5"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Орган надлеж</w:t>
      </w:r>
      <w:r w:rsidR="00435EED" w:rsidRPr="00B3123E">
        <w:rPr>
          <w:rFonts w:ascii="Times New Roman" w:hAnsi="Times New Roman" w:cs="Times New Roman"/>
          <w:bCs/>
          <w:szCs w:val="24"/>
          <w:lang w:val="sr-Cyrl-RS"/>
        </w:rPr>
        <w:t>ан</w:t>
      </w:r>
      <w:r w:rsidRPr="00B3123E">
        <w:rPr>
          <w:rFonts w:ascii="Times New Roman" w:hAnsi="Times New Roman" w:cs="Times New Roman"/>
          <w:bCs/>
          <w:szCs w:val="24"/>
          <w:lang w:val="sr-Cyrl-RS"/>
        </w:rPr>
        <w:t xml:space="preserve"> за спровођење мере </w:t>
      </w:r>
      <w:r w:rsidR="003A0117" w:rsidRPr="00B3123E">
        <w:rPr>
          <w:rFonts w:ascii="Times New Roman" w:hAnsi="Times New Roman" w:cs="Times New Roman"/>
          <w:bCs/>
          <w:szCs w:val="24"/>
          <w:lang w:val="sr-Cyrl-RS"/>
        </w:rPr>
        <w:t xml:space="preserve">је </w:t>
      </w:r>
      <w:r w:rsidR="00D51D55" w:rsidRPr="00B3123E">
        <w:rPr>
          <w:rFonts w:ascii="Times New Roman" w:hAnsi="Times New Roman" w:cs="Times New Roman"/>
          <w:bCs/>
          <w:szCs w:val="24"/>
          <w:lang w:val="sr-Cyrl-RS"/>
        </w:rPr>
        <w:t>ЈПО</w:t>
      </w:r>
      <w:r w:rsidRPr="00B3123E">
        <w:rPr>
          <w:rFonts w:ascii="Times New Roman" w:hAnsi="Times New Roman" w:cs="Times New Roman"/>
          <w:bCs/>
          <w:szCs w:val="24"/>
          <w:lang w:val="sr-Cyrl-RS"/>
        </w:rPr>
        <w:t>.</w:t>
      </w:r>
    </w:p>
    <w:p w14:paraId="610B8547"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1.2.5: Оснаживање сектора кроз едукацију и кампање о савременим поштанским трендовима</w:t>
      </w:r>
    </w:p>
    <w:p w14:paraId="3E2602B4" w14:textId="77777777" w:rsidR="00624DE8"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подразумева спровођење едукативних програма, семинара и јавних кампања ради јачања капацитета поштанских оператора, запослених и корисника. Циљ је промоција иновација, нових технологија и одрживих пословних модела у поштанском сектору. </w:t>
      </w:r>
    </w:p>
    <w:p w14:paraId="383330A2" w14:textId="5671FB8B"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 јавне управе надлежан за спровођење мере је </w:t>
      </w:r>
      <w:r w:rsidR="00D51D55" w:rsidRPr="00B3123E">
        <w:rPr>
          <w:rFonts w:ascii="Times New Roman" w:hAnsi="Times New Roman" w:cs="Times New Roman"/>
          <w:bCs/>
          <w:szCs w:val="24"/>
          <w:lang w:val="sr-Cyrl-RS"/>
        </w:rPr>
        <w:t>ЈПО</w:t>
      </w:r>
      <w:r w:rsidRPr="00B3123E">
        <w:rPr>
          <w:rFonts w:ascii="Times New Roman" w:hAnsi="Times New Roman" w:cs="Times New Roman"/>
          <w:bCs/>
          <w:szCs w:val="24"/>
          <w:lang w:val="sr-Cyrl-RS"/>
        </w:rPr>
        <w:t>.</w:t>
      </w:r>
    </w:p>
    <w:p w14:paraId="5E5264B1"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1.2.6: Унапређење радних стандарда и промоција једнаких услова рада у поштанском сектору</w:t>
      </w:r>
    </w:p>
    <w:p w14:paraId="32FC5F62" w14:textId="34188174" w:rsidR="003B0920" w:rsidRPr="00B3123E" w:rsidRDefault="009D4009"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Сврха ове мере је </w:t>
      </w:r>
      <w:r w:rsidR="00624DE8" w:rsidRPr="00B3123E">
        <w:rPr>
          <w:rFonts w:ascii="Times New Roman" w:hAnsi="Times New Roman" w:cs="Times New Roman"/>
          <w:bCs/>
          <w:szCs w:val="24"/>
          <w:lang w:val="sr-Cyrl-RS"/>
        </w:rPr>
        <w:t xml:space="preserve">унапређење услова рада запослених у поштанским услугама кроз дефинисање и примену савремених радних стандарда. Активности обухватају промоцију једнаких могућности, безбедности на раду и подизање нивоа професионалних компетенција запослених. </w:t>
      </w:r>
    </w:p>
    <w:p w14:paraId="4279A25B" w14:textId="4DFC2F82"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Орган јавне управе надлежан за спровођење мере је Министарство</w:t>
      </w:r>
      <w:r w:rsidR="005F25C2" w:rsidRPr="00B3123E">
        <w:rPr>
          <w:rFonts w:ascii="Times New Roman" w:hAnsi="Times New Roman" w:cs="Times New Roman"/>
          <w:bCs/>
          <w:szCs w:val="24"/>
          <w:lang w:val="sr-Cyrl-RS"/>
        </w:rPr>
        <w:t>.</w:t>
      </w:r>
    </w:p>
    <w:p w14:paraId="53E1A42C"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1.3.1: Унапређење комерцијалних поштанских услуга интеграцијом нових технологија</w:t>
      </w:r>
    </w:p>
    <w:p w14:paraId="2B57D2DB" w14:textId="77777777" w:rsidR="00624DE8"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усмерена на дигиталну трансформацију комерцијалних поштанских услуга путем примене савремених ИКТ решења. Циљ је повећање квалитета, брзине и доступности услуга уз унапређење корисничког искуства и пословне ефикасности. </w:t>
      </w:r>
    </w:p>
    <w:p w14:paraId="3FBD96CD" w14:textId="5DBADCE1"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Орган јавне управе надлежан за спровођење мере је</w:t>
      </w:r>
      <w:r w:rsidR="00781D24" w:rsidRPr="00B3123E">
        <w:rPr>
          <w:rFonts w:ascii="Times New Roman" w:hAnsi="Times New Roman" w:cs="Times New Roman"/>
          <w:bCs/>
          <w:szCs w:val="24"/>
          <w:lang w:val="sr-Cyrl-RS"/>
        </w:rPr>
        <w:t xml:space="preserve"> </w:t>
      </w:r>
      <w:r w:rsidR="00D51D55" w:rsidRPr="00B3123E">
        <w:rPr>
          <w:rFonts w:ascii="Times New Roman" w:hAnsi="Times New Roman" w:cs="Times New Roman"/>
          <w:szCs w:val="24"/>
          <w:lang w:val="sr-Cyrl-RS"/>
        </w:rPr>
        <w:t>РАТЕЛ</w:t>
      </w:r>
      <w:r w:rsidR="00781D24" w:rsidRPr="00B3123E">
        <w:rPr>
          <w:rFonts w:ascii="Times New Roman" w:hAnsi="Times New Roman" w:cs="Times New Roman"/>
          <w:bCs/>
          <w:szCs w:val="24"/>
          <w:lang w:val="sr-Cyrl-RS"/>
        </w:rPr>
        <w:t>.</w:t>
      </w:r>
    </w:p>
    <w:p w14:paraId="260615DF" w14:textId="77777777" w:rsidR="00624DE8" w:rsidRPr="00B3123E" w:rsidRDefault="00624DE8" w:rsidP="006E6CFA">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1.3.2: Развој алата за унапређење конкуренције на тржишту поштанских услуга</w:t>
      </w:r>
    </w:p>
    <w:p w14:paraId="35E963D2" w14:textId="66B5F0FB" w:rsidR="00624DE8" w:rsidRPr="00B3123E" w:rsidRDefault="00883B68" w:rsidP="006E6CFA">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Сврха ове мере је </w:t>
      </w:r>
      <w:r w:rsidR="00624DE8" w:rsidRPr="00B3123E">
        <w:rPr>
          <w:rFonts w:ascii="Times New Roman" w:hAnsi="Times New Roman" w:cs="Times New Roman"/>
          <w:bCs/>
          <w:szCs w:val="24"/>
          <w:lang w:val="sr-Cyrl-RS"/>
        </w:rPr>
        <w:t xml:space="preserve">развој аналитичких и регулаторних алата за праћење и подстицање конкуренције на поштанском тржишту. Обухвата успостављање база података, транспарентних механизама надзора и системских анализа тржишних кретања. </w:t>
      </w:r>
    </w:p>
    <w:p w14:paraId="5281E1CE" w14:textId="04061D79" w:rsidR="00624DE8" w:rsidRPr="00B3123E" w:rsidRDefault="00624DE8" w:rsidP="006E6CFA">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 надлежан за спровођење мере је </w:t>
      </w:r>
      <w:r w:rsidR="00D51D55" w:rsidRPr="00B3123E">
        <w:rPr>
          <w:rFonts w:ascii="Times New Roman" w:hAnsi="Times New Roman" w:cs="Times New Roman"/>
          <w:szCs w:val="24"/>
          <w:lang w:val="sr-Cyrl-RS"/>
        </w:rPr>
        <w:t>РАТЕЛ</w:t>
      </w:r>
      <w:r w:rsidR="00781D24" w:rsidRPr="00B3123E">
        <w:rPr>
          <w:rFonts w:ascii="Times New Roman" w:hAnsi="Times New Roman" w:cs="Times New Roman"/>
          <w:bCs/>
          <w:szCs w:val="24"/>
          <w:lang w:val="sr-Cyrl-RS"/>
        </w:rPr>
        <w:t>.</w:t>
      </w:r>
    </w:p>
    <w:p w14:paraId="5BC074D9"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lastRenderedPageBreak/>
        <w:t>Мера 1.3.3: Утврђивање модела увођења AI у поштанску индустрију</w:t>
      </w:r>
    </w:p>
    <w:p w14:paraId="7A62A7F9" w14:textId="77777777" w:rsidR="00624DE8"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подразумева израду студија и пилот пројеката који анализирају могућности примене вештачке интелигенције у поштанском сектору. Циљ је оптимизација процеса, унапређење логистике и аутоматизација корисничких услуга кроз безбедну и етичку примену AI технологија. </w:t>
      </w:r>
    </w:p>
    <w:p w14:paraId="612E67D8" w14:textId="78CD2EA2"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 јавне управе надлежан за спровођење мере је </w:t>
      </w:r>
      <w:r w:rsidR="00D51D55" w:rsidRPr="00B3123E">
        <w:rPr>
          <w:rFonts w:ascii="Times New Roman" w:hAnsi="Times New Roman" w:cs="Times New Roman"/>
          <w:szCs w:val="24"/>
          <w:lang w:val="sr-Cyrl-RS"/>
        </w:rPr>
        <w:t>РАТЕЛ</w:t>
      </w:r>
      <w:r w:rsidR="003E0F0A" w:rsidRPr="00B3123E">
        <w:rPr>
          <w:rFonts w:ascii="Times New Roman" w:hAnsi="Times New Roman" w:cs="Times New Roman"/>
          <w:bCs/>
          <w:szCs w:val="24"/>
          <w:lang w:val="sr-Cyrl-RS"/>
        </w:rPr>
        <w:t>.</w:t>
      </w:r>
    </w:p>
    <w:p w14:paraId="66DE1DE8"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1.3.4: Унапређење сајбер безбедности у поштанском ИТ систему</w:t>
      </w:r>
    </w:p>
    <w:p w14:paraId="5820769F" w14:textId="239DED1A" w:rsidR="00624DE8" w:rsidRPr="00B3123E" w:rsidRDefault="0047102B"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Сврха ове мере је </w:t>
      </w:r>
      <w:r w:rsidR="00624DE8" w:rsidRPr="00B3123E">
        <w:rPr>
          <w:rFonts w:ascii="Times New Roman" w:hAnsi="Times New Roman" w:cs="Times New Roman"/>
          <w:bCs/>
          <w:szCs w:val="24"/>
          <w:lang w:val="sr-Cyrl-RS"/>
        </w:rPr>
        <w:t xml:space="preserve">подизање нивоа сајбер безбедности у поштанском сектору кроз успостављање система заштите података, процену ризика и јачање ИТ инфраструктуре. Спроводи се у складу са националним прописима и стандардима ЕУ у области информационе безбедности. </w:t>
      </w:r>
    </w:p>
    <w:p w14:paraId="2057E012" w14:textId="61F77F3C" w:rsidR="007F7FF4"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 јавне управе надлежан за спровођење мере је </w:t>
      </w:r>
      <w:r w:rsidR="00D51D55" w:rsidRPr="00B3123E">
        <w:rPr>
          <w:rFonts w:ascii="Times New Roman" w:hAnsi="Times New Roman" w:cs="Times New Roman"/>
          <w:szCs w:val="24"/>
          <w:lang w:val="sr-Cyrl-RS"/>
        </w:rPr>
        <w:t>РАТЕЛ</w:t>
      </w:r>
      <w:r w:rsidR="003E0F0A" w:rsidRPr="00B3123E">
        <w:rPr>
          <w:rFonts w:ascii="Times New Roman" w:hAnsi="Times New Roman" w:cs="Times New Roman"/>
          <w:bCs/>
          <w:szCs w:val="24"/>
          <w:lang w:val="sr-Cyrl-RS"/>
        </w:rPr>
        <w:t>.</w:t>
      </w:r>
    </w:p>
    <w:p w14:paraId="5B88C155" w14:textId="77777777" w:rsidR="005948E8" w:rsidRPr="00B3123E" w:rsidRDefault="005948E8" w:rsidP="00624DE8">
      <w:pPr>
        <w:rPr>
          <w:rFonts w:ascii="Times New Roman" w:hAnsi="Times New Roman" w:cs="Times New Roman"/>
          <w:bCs/>
          <w:sz w:val="6"/>
          <w:szCs w:val="6"/>
          <w:lang w:val="sr-Cyrl-RS"/>
        </w:rPr>
      </w:pPr>
    </w:p>
    <w:p w14:paraId="00D1C384" w14:textId="59AB0DAE" w:rsidR="00A00993" w:rsidRPr="00B3123E" w:rsidRDefault="00252E1F" w:rsidP="00252E1F">
      <w:pPr>
        <w:pStyle w:val="ListParagraph"/>
        <w:numPr>
          <w:ilvl w:val="1"/>
          <w:numId w:val="1"/>
        </w:numPr>
        <w:rPr>
          <w:rFonts w:ascii="Times New Roman" w:hAnsi="Times New Roman" w:cs="Times New Roman"/>
          <w:bCs/>
          <w:szCs w:val="24"/>
          <w:u w:val="single"/>
          <w:lang w:val="sr-Cyrl-RS"/>
        </w:rPr>
      </w:pPr>
      <w:r w:rsidRPr="00B3123E">
        <w:rPr>
          <w:rFonts w:ascii="Times New Roman" w:hAnsi="Times New Roman" w:cs="Times New Roman"/>
          <w:bCs/>
          <w:szCs w:val="24"/>
          <w:u w:val="single"/>
          <w:lang w:val="sr-Cyrl-RS"/>
        </w:rPr>
        <w:t xml:space="preserve"> Показатељи учинка на нивоу мера</w:t>
      </w:r>
    </w:p>
    <w:p w14:paraId="17AEEBA5" w14:textId="77777777" w:rsidR="003123A4" w:rsidRPr="00B3123E" w:rsidRDefault="003123A4" w:rsidP="003123A4">
      <w:pPr>
        <w:pStyle w:val="ListParagraph"/>
        <w:rPr>
          <w:rFonts w:ascii="Times New Roman" w:hAnsi="Times New Roman" w:cs="Times New Roman"/>
          <w:bCs/>
          <w:sz w:val="6"/>
          <w:szCs w:val="6"/>
          <w:u w:val="single"/>
          <w:lang w:val="sr-Cyrl-RS"/>
        </w:rPr>
      </w:pPr>
    </w:p>
    <w:p w14:paraId="4A546891" w14:textId="0237CEAC" w:rsidR="001368C3" w:rsidRPr="00B3123E" w:rsidRDefault="001368C3" w:rsidP="00DD3C1F">
      <w:pPr>
        <w:tabs>
          <w:tab w:val="left" w:pos="1440"/>
        </w:tabs>
        <w:ind w:firstLine="709"/>
        <w:rPr>
          <w:rFonts w:ascii="Times New Roman" w:hAnsi="Times New Roman" w:cs="Times New Roman"/>
          <w:szCs w:val="24"/>
          <w:lang w:val="sr-Cyrl-RS"/>
        </w:rPr>
      </w:pPr>
      <w:r w:rsidRPr="00B3123E">
        <w:rPr>
          <w:rFonts w:ascii="Times New Roman" w:hAnsi="Times New Roman" w:cs="Times New Roman"/>
          <w:bCs/>
          <w:szCs w:val="24"/>
          <w:lang w:val="sr-Cyrl-RS"/>
        </w:rPr>
        <w:t xml:space="preserve">У складу са чланом 8. и чланом 20. став 1. тачка 6) Уредбе о методологији израде докумената јавних политика </w:t>
      </w:r>
      <w:r w:rsidR="005948E8" w:rsidRPr="00B3123E">
        <w:rPr>
          <w:rFonts w:ascii="Times New Roman" w:hAnsi="Times New Roman" w:cs="Times New Roman"/>
          <w:bCs/>
          <w:color w:val="000000"/>
          <w:szCs w:val="24"/>
          <w:lang w:val="sr-Cyrl-RS"/>
        </w:rPr>
        <w:t>(„Службени гласник PC”, број</w:t>
      </w:r>
      <w:r w:rsidRPr="00B3123E">
        <w:rPr>
          <w:rFonts w:ascii="Times New Roman" w:hAnsi="Times New Roman" w:cs="Times New Roman"/>
          <w:bCs/>
          <w:szCs w:val="24"/>
          <w:lang w:val="sr-Cyrl-RS"/>
        </w:rPr>
        <w:t xml:space="preserve"> </w:t>
      </w:r>
      <w:r w:rsidR="00BA6BC3" w:rsidRPr="00B3123E">
        <w:rPr>
          <w:rFonts w:ascii="Times New Roman" w:hAnsi="Times New Roman" w:cs="Times New Roman"/>
          <w:bCs/>
          <w:szCs w:val="24"/>
          <w:lang w:val="sr-Cyrl-RS"/>
        </w:rPr>
        <w:t>20</w:t>
      </w:r>
      <w:r w:rsidRPr="00B3123E">
        <w:rPr>
          <w:rFonts w:ascii="Times New Roman" w:hAnsi="Times New Roman" w:cs="Times New Roman"/>
          <w:bCs/>
          <w:szCs w:val="24"/>
          <w:lang w:val="sr-Cyrl-RS"/>
        </w:rPr>
        <w:t>/</w:t>
      </w:r>
      <w:r w:rsidR="00BA6BC3" w:rsidRPr="00B3123E">
        <w:rPr>
          <w:rFonts w:ascii="Times New Roman" w:hAnsi="Times New Roman" w:cs="Times New Roman"/>
          <w:bCs/>
          <w:szCs w:val="24"/>
          <w:lang w:val="sr-Cyrl-RS"/>
        </w:rPr>
        <w:t>25</w:t>
      </w:r>
      <w:r w:rsidRPr="00B3123E">
        <w:rPr>
          <w:rFonts w:ascii="Times New Roman" w:hAnsi="Times New Roman" w:cs="Times New Roman"/>
          <w:bCs/>
          <w:szCs w:val="24"/>
          <w:lang w:val="sr-Cyrl-RS"/>
        </w:rPr>
        <w:t>), у оквиру Програма утврђују се показатељи учинка на нивоу мера, којима се прати степен остварене</w:t>
      </w:r>
      <w:r w:rsidRPr="00B3123E">
        <w:rPr>
          <w:rFonts w:ascii="Times New Roman" w:hAnsi="Times New Roman" w:cs="Times New Roman"/>
          <w:szCs w:val="24"/>
          <w:lang w:val="sr-Cyrl-RS"/>
        </w:rPr>
        <w:t xml:space="preserve"> промене између почетног стања и стања након спровођења Програма.</w:t>
      </w:r>
    </w:p>
    <w:p w14:paraId="6828474D" w14:textId="5DDA1067" w:rsidR="001368C3" w:rsidRPr="00B3123E" w:rsidRDefault="00310E31" w:rsidP="00310E31">
      <w:pPr>
        <w:rPr>
          <w:rFonts w:ascii="Times New Roman" w:hAnsi="Times New Roman" w:cs="Times New Roman"/>
          <w:szCs w:val="24"/>
          <w:lang w:val="sr-Cyrl-RS"/>
        </w:rPr>
      </w:pPr>
      <w:r w:rsidRPr="00B3123E">
        <w:rPr>
          <w:rFonts w:ascii="Times New Roman" w:hAnsi="Times New Roman" w:cs="Times New Roman"/>
          <w:szCs w:val="24"/>
          <w:lang w:val="sr-Cyrl-RS"/>
        </w:rPr>
        <w:tab/>
      </w:r>
      <w:r w:rsidR="001368C3" w:rsidRPr="00B3123E">
        <w:rPr>
          <w:rFonts w:ascii="Times New Roman" w:hAnsi="Times New Roman" w:cs="Times New Roman"/>
          <w:szCs w:val="24"/>
          <w:lang w:val="sr-Cyrl-RS"/>
        </w:rPr>
        <w:t>За сваку меру дефинисани су:</w:t>
      </w:r>
    </w:p>
    <w:p w14:paraId="1131974E" w14:textId="77777777" w:rsidR="001368C3" w:rsidRPr="00B3123E" w:rsidRDefault="001368C3" w:rsidP="005948E8">
      <w:pPr>
        <w:pStyle w:val="ListParagraph"/>
        <w:numPr>
          <w:ilvl w:val="0"/>
          <w:numId w:val="40"/>
        </w:numPr>
        <w:tabs>
          <w:tab w:val="left" w:pos="1440"/>
        </w:tabs>
        <w:ind w:left="0" w:firstLine="720"/>
        <w:rPr>
          <w:rFonts w:ascii="Times New Roman" w:hAnsi="Times New Roman" w:cs="Times New Roman"/>
          <w:szCs w:val="24"/>
          <w:lang w:val="sr-Cyrl-RS"/>
        </w:rPr>
      </w:pPr>
      <w:r w:rsidRPr="00B3123E">
        <w:rPr>
          <w:rFonts w:ascii="Times New Roman" w:hAnsi="Times New Roman" w:cs="Times New Roman"/>
          <w:szCs w:val="24"/>
          <w:lang w:val="sr-Cyrl-RS"/>
        </w:rPr>
        <w:t>Почетна вредност (ПВ) – стање показатеља у години која претходи почетку спровођења Програма,</w:t>
      </w:r>
    </w:p>
    <w:p w14:paraId="60022EC6" w14:textId="77777777" w:rsidR="00F52F27" w:rsidRPr="00B3123E" w:rsidRDefault="001368C3" w:rsidP="005948E8">
      <w:pPr>
        <w:pStyle w:val="ListParagraph"/>
        <w:numPr>
          <w:ilvl w:val="0"/>
          <w:numId w:val="40"/>
        </w:numPr>
        <w:tabs>
          <w:tab w:val="left" w:pos="1440"/>
        </w:tabs>
        <w:ind w:left="0" w:firstLine="720"/>
        <w:rPr>
          <w:rFonts w:ascii="Times New Roman" w:hAnsi="Times New Roman" w:cs="Times New Roman"/>
          <w:szCs w:val="24"/>
          <w:lang w:val="sr-Cyrl-RS"/>
        </w:rPr>
      </w:pPr>
      <w:r w:rsidRPr="00B3123E">
        <w:rPr>
          <w:rFonts w:ascii="Times New Roman" w:hAnsi="Times New Roman" w:cs="Times New Roman"/>
          <w:szCs w:val="24"/>
          <w:lang w:val="sr-Cyrl-RS"/>
        </w:rPr>
        <w:t>Циљана вредност (ЦВ) – вредност која се очекује да ће бити постигнута до истека планског периода,</w:t>
      </w:r>
    </w:p>
    <w:p w14:paraId="691D1FC3" w14:textId="4E936F10" w:rsidR="001368C3" w:rsidRPr="00B3123E" w:rsidRDefault="001368C3" w:rsidP="005948E8">
      <w:pPr>
        <w:pStyle w:val="ListParagraph"/>
        <w:numPr>
          <w:ilvl w:val="0"/>
          <w:numId w:val="40"/>
        </w:numPr>
        <w:tabs>
          <w:tab w:val="left" w:pos="1440"/>
        </w:tabs>
        <w:ind w:left="0"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Извор верификације – релевантни статистички, административни или аналитички извор података, као што су извештаји </w:t>
      </w:r>
      <w:r w:rsidR="00F52F27" w:rsidRPr="00B3123E">
        <w:rPr>
          <w:rFonts w:ascii="Times New Roman" w:hAnsi="Times New Roman" w:cs="Times New Roman"/>
          <w:szCs w:val="24"/>
          <w:lang w:val="sr-Cyrl-RS"/>
        </w:rPr>
        <w:t>Регулатора</w:t>
      </w:r>
      <w:r w:rsidRPr="00B3123E">
        <w:rPr>
          <w:rFonts w:ascii="Times New Roman" w:hAnsi="Times New Roman" w:cs="Times New Roman"/>
          <w:szCs w:val="24"/>
          <w:lang w:val="sr-Cyrl-RS"/>
        </w:rPr>
        <w:t>,</w:t>
      </w:r>
      <w:r w:rsidR="00F52F27" w:rsidRPr="00B3123E">
        <w:rPr>
          <w:rFonts w:ascii="Times New Roman" w:hAnsi="Times New Roman" w:cs="Times New Roman"/>
          <w:szCs w:val="24"/>
          <w:lang w:val="sr-Cyrl-RS"/>
        </w:rPr>
        <w:t xml:space="preserve"> надлежног </w:t>
      </w:r>
      <w:r w:rsidR="005948E8" w:rsidRPr="00B3123E">
        <w:rPr>
          <w:rFonts w:ascii="Times New Roman" w:hAnsi="Times New Roman" w:cs="Times New Roman"/>
          <w:szCs w:val="24"/>
          <w:lang w:val="sr-Cyrl-RS"/>
        </w:rPr>
        <w:t>Министарства</w:t>
      </w:r>
      <w:r w:rsidR="00F52F27" w:rsidRPr="00B3123E">
        <w:rPr>
          <w:rFonts w:ascii="Times New Roman" w:hAnsi="Times New Roman" w:cs="Times New Roman"/>
          <w:szCs w:val="24"/>
          <w:lang w:val="sr-Cyrl-RS"/>
        </w:rPr>
        <w:t xml:space="preserve">, поштанских оператора </w:t>
      </w:r>
      <w:r w:rsidRPr="00B3123E">
        <w:rPr>
          <w:rFonts w:ascii="Times New Roman" w:hAnsi="Times New Roman" w:cs="Times New Roman"/>
          <w:szCs w:val="24"/>
          <w:lang w:val="sr-Cyrl-RS"/>
        </w:rPr>
        <w:t>и званичне статистике.</w:t>
      </w:r>
      <w:r w:rsidR="0067147E" w:rsidRPr="00B3123E">
        <w:rPr>
          <w:rFonts w:ascii="Times New Roman" w:hAnsi="Times New Roman" w:cs="Times New Roman"/>
          <w:szCs w:val="24"/>
          <w:lang w:val="sr-Cyrl-RS"/>
        </w:rPr>
        <w:t xml:space="preserve"> </w:t>
      </w:r>
    </w:p>
    <w:p w14:paraId="2964515F" w14:textId="376FB6EA" w:rsidR="007E0986" w:rsidRPr="00B3123E" w:rsidRDefault="001368C3" w:rsidP="006211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Показатељи учинка на нивоу мера омогућавају систематично праћење спровођења Програма, редовно извештавање и вредновање резултата у контексту развоја тржишта поштанских услуга, као и усклађеност са циљевима одрживог развоја и европским стандардима у области поштанског сектора.</w:t>
      </w:r>
    </w:p>
    <w:p w14:paraId="67B1C4AE" w14:textId="27A083EC" w:rsidR="00A10C5D" w:rsidRPr="00B3123E" w:rsidRDefault="00A10C5D" w:rsidP="00A10C5D">
      <w:pPr>
        <w:pStyle w:val="Caption"/>
        <w:spacing w:before="240" w:after="0"/>
        <w:rPr>
          <w:rFonts w:ascii="Times New Roman" w:hAnsi="Times New Roman" w:cs="Times New Roman"/>
          <w:b w:val="0"/>
          <w:color w:val="auto"/>
          <w:lang w:val="sr-Cyrl-RS"/>
        </w:rPr>
      </w:pPr>
      <w:r w:rsidRPr="00B3123E">
        <w:rPr>
          <w:rFonts w:ascii="Times New Roman" w:hAnsi="Times New Roman" w:cs="Times New Roman"/>
          <w:color w:val="auto"/>
          <w:lang w:val="sr-Cyrl-RS"/>
        </w:rPr>
        <w:t xml:space="preserve">Табела </w:t>
      </w:r>
      <w:r w:rsidR="00A833F0" w:rsidRPr="00B3123E">
        <w:rPr>
          <w:rFonts w:ascii="Times New Roman" w:hAnsi="Times New Roman" w:cs="Times New Roman"/>
          <w:color w:val="auto"/>
          <w:lang w:val="sr-Cyrl-RS"/>
        </w:rPr>
        <w:t>7</w:t>
      </w:r>
      <w:r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Показатељи учинка мера Програма развоја поштанских услуга у Републици Србији</w:t>
      </w:r>
    </w:p>
    <w:tbl>
      <w:tblPr>
        <w:tblW w:w="9190" w:type="dxa"/>
        <w:tblLook w:val="04A0" w:firstRow="1" w:lastRow="0" w:firstColumn="1" w:lastColumn="0" w:noHBand="0" w:noVBand="1"/>
      </w:tblPr>
      <w:tblGrid>
        <w:gridCol w:w="1946"/>
        <w:gridCol w:w="1778"/>
        <w:gridCol w:w="1144"/>
        <w:gridCol w:w="1402"/>
        <w:gridCol w:w="1102"/>
        <w:gridCol w:w="1818"/>
      </w:tblGrid>
      <w:tr w:rsidR="000513A1" w:rsidRPr="00B3123E" w14:paraId="1517215B" w14:textId="77777777" w:rsidTr="00DB72FD">
        <w:trPr>
          <w:tblHeader/>
        </w:trPr>
        <w:tc>
          <w:tcPr>
            <w:tcW w:w="1946" w:type="dxa"/>
            <w:shd w:val="clear" w:color="auto" w:fill="44546A" w:themeFill="text2"/>
            <w:vAlign w:val="center"/>
          </w:tcPr>
          <w:p w14:paraId="77A41182"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Назив мере</w:t>
            </w:r>
          </w:p>
        </w:tc>
        <w:tc>
          <w:tcPr>
            <w:tcW w:w="1778" w:type="dxa"/>
            <w:shd w:val="clear" w:color="auto" w:fill="44546A" w:themeFill="text2"/>
            <w:vAlign w:val="center"/>
          </w:tcPr>
          <w:p w14:paraId="6C409FF6"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Показатељ учинка</w:t>
            </w:r>
          </w:p>
        </w:tc>
        <w:tc>
          <w:tcPr>
            <w:tcW w:w="1144" w:type="dxa"/>
            <w:shd w:val="clear" w:color="auto" w:fill="44546A" w:themeFill="text2"/>
            <w:vAlign w:val="center"/>
          </w:tcPr>
          <w:p w14:paraId="06458466"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Јединица мере</w:t>
            </w:r>
          </w:p>
        </w:tc>
        <w:tc>
          <w:tcPr>
            <w:tcW w:w="1402" w:type="dxa"/>
            <w:shd w:val="clear" w:color="auto" w:fill="44546A" w:themeFill="text2"/>
            <w:vAlign w:val="center"/>
          </w:tcPr>
          <w:p w14:paraId="33F5036A"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Почетна вредност (2025)</w:t>
            </w:r>
          </w:p>
        </w:tc>
        <w:tc>
          <w:tcPr>
            <w:tcW w:w="1102" w:type="dxa"/>
            <w:shd w:val="clear" w:color="auto" w:fill="44546A" w:themeFill="text2"/>
            <w:vAlign w:val="center"/>
          </w:tcPr>
          <w:p w14:paraId="5990C27D"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Циљна вредност (2030)</w:t>
            </w:r>
          </w:p>
        </w:tc>
        <w:tc>
          <w:tcPr>
            <w:tcW w:w="1818" w:type="dxa"/>
            <w:shd w:val="clear" w:color="auto" w:fill="44546A" w:themeFill="text2"/>
            <w:vAlign w:val="center"/>
          </w:tcPr>
          <w:p w14:paraId="21820C1B"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Извор верификације</w:t>
            </w:r>
          </w:p>
        </w:tc>
      </w:tr>
      <w:tr w:rsidR="000513A1" w:rsidRPr="00B3123E" w14:paraId="4BB6A82A" w14:textId="77777777" w:rsidTr="00DB72FD">
        <w:tc>
          <w:tcPr>
            <w:tcW w:w="1946" w:type="dxa"/>
            <w:tcBorders>
              <w:bottom w:val="dotted" w:sz="4" w:space="0" w:color="ACB9CA" w:themeColor="text2" w:themeTint="66"/>
              <w:right w:val="dotted" w:sz="4" w:space="0" w:color="ACB9CA" w:themeColor="text2" w:themeTint="66"/>
            </w:tcBorders>
          </w:tcPr>
          <w:p w14:paraId="336766B8" w14:textId="676C6986"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1.1.1 Модернизована поштанска мрежа </w:t>
            </w:r>
            <w:r w:rsidRPr="00B3123E">
              <w:rPr>
                <w:rFonts w:ascii="Times New Roman" w:hAnsi="Times New Roman" w:cs="Times New Roman"/>
                <w:sz w:val="18"/>
                <w:szCs w:val="18"/>
                <w:lang w:val="sr-Cyrl-RS"/>
              </w:rPr>
              <w:t>у складу са тржишним потребама</w:t>
            </w:r>
          </w:p>
        </w:tc>
        <w:tc>
          <w:tcPr>
            <w:tcW w:w="1778" w:type="dxa"/>
            <w:tcBorders>
              <w:left w:val="dotted" w:sz="4" w:space="0" w:color="ACB9CA" w:themeColor="text2" w:themeTint="66"/>
              <w:bottom w:val="dotted" w:sz="4" w:space="0" w:color="ACB9CA" w:themeColor="text2" w:themeTint="66"/>
              <w:right w:val="dotted" w:sz="4" w:space="0" w:color="ACB9CA" w:themeColor="text2" w:themeTint="66"/>
            </w:tcBorders>
          </w:tcPr>
          <w:p w14:paraId="20DC5F56" w14:textId="23061351"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 модернизованих поштанско-логистичких центара</w:t>
            </w:r>
            <w:r w:rsidR="00D90B9E" w:rsidRPr="00B3123E">
              <w:rPr>
                <w:rFonts w:ascii="Times New Roman" w:eastAsia="MS Mincho" w:hAnsi="Times New Roman" w:cs="Times New Roman"/>
                <w:sz w:val="18"/>
                <w:szCs w:val="18"/>
                <w:lang w:val="sr-Cyrl-RS"/>
              </w:rPr>
              <w:t>, укупно</w:t>
            </w:r>
          </w:p>
        </w:tc>
        <w:tc>
          <w:tcPr>
            <w:tcW w:w="1144" w:type="dxa"/>
            <w:tcBorders>
              <w:left w:val="dotted" w:sz="4" w:space="0" w:color="ACB9CA" w:themeColor="text2" w:themeTint="66"/>
              <w:bottom w:val="dotted" w:sz="4" w:space="0" w:color="ACB9CA" w:themeColor="text2" w:themeTint="66"/>
              <w:right w:val="dotted" w:sz="4" w:space="0" w:color="ACB9CA" w:themeColor="text2" w:themeTint="66"/>
            </w:tcBorders>
          </w:tcPr>
          <w:p w14:paraId="41422C73"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left w:val="dotted" w:sz="4" w:space="0" w:color="ACB9CA" w:themeColor="text2" w:themeTint="66"/>
              <w:bottom w:val="dotted" w:sz="4" w:space="0" w:color="ACB9CA" w:themeColor="text2" w:themeTint="66"/>
              <w:right w:val="dotted" w:sz="4" w:space="0" w:color="ACB9CA" w:themeColor="text2" w:themeTint="66"/>
            </w:tcBorders>
          </w:tcPr>
          <w:p w14:paraId="22B01930"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left w:val="dotted" w:sz="4" w:space="0" w:color="ACB9CA" w:themeColor="text2" w:themeTint="66"/>
              <w:bottom w:val="dotted" w:sz="4" w:space="0" w:color="ACB9CA" w:themeColor="text2" w:themeTint="66"/>
              <w:right w:val="dotted" w:sz="4" w:space="0" w:color="ACB9CA" w:themeColor="text2" w:themeTint="66"/>
            </w:tcBorders>
          </w:tcPr>
          <w:p w14:paraId="58C2FF02"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10</w:t>
            </w:r>
          </w:p>
        </w:tc>
        <w:tc>
          <w:tcPr>
            <w:tcW w:w="1818" w:type="dxa"/>
            <w:tcBorders>
              <w:left w:val="dotted" w:sz="4" w:space="0" w:color="ACB9CA" w:themeColor="text2" w:themeTint="66"/>
              <w:bottom w:val="dotted" w:sz="4" w:space="0" w:color="ACB9CA" w:themeColor="text2" w:themeTint="66"/>
            </w:tcBorders>
          </w:tcPr>
          <w:p w14:paraId="4BBDCEE3" w14:textId="77777777"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Извештаји ЈПО и ПО</w:t>
            </w:r>
          </w:p>
        </w:tc>
      </w:tr>
      <w:tr w:rsidR="00DB72FD" w:rsidRPr="00B3123E" w14:paraId="1D3E3CAB" w14:textId="77777777" w:rsidTr="00F972B3">
        <w:tc>
          <w:tcPr>
            <w:tcW w:w="1946" w:type="dxa"/>
            <w:vMerge w:val="restart"/>
            <w:tcBorders>
              <w:top w:val="dotted" w:sz="4" w:space="0" w:color="ACB9CA" w:themeColor="text2" w:themeTint="66"/>
              <w:right w:val="dotted" w:sz="4" w:space="0" w:color="ACB9CA" w:themeColor="text2" w:themeTint="66"/>
            </w:tcBorders>
            <w:shd w:val="clear" w:color="auto" w:fill="D5DCE4" w:themeFill="text2" w:themeFillTint="33"/>
          </w:tcPr>
          <w:p w14:paraId="395E3AF6" w14:textId="34B57EDB"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1.1.2 </w:t>
            </w:r>
            <w:r w:rsidRPr="00B3123E">
              <w:rPr>
                <w:rFonts w:ascii="Times New Roman" w:hAnsi="Times New Roman" w:cs="Times New Roman"/>
                <w:sz w:val="18"/>
                <w:szCs w:val="18"/>
                <w:lang w:val="sr-Cyrl-RS"/>
              </w:rPr>
              <w:t>Обезбеђење одрживости пружања УПУ као поузданог и доступног сервиса за друштво и привреду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F08B1D3" w14:textId="77777777"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Унапређена методологија финансирања УПУ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B9AF047" w14:textId="77777777"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Да/Не</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2009AC0" w14:textId="77777777"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Не</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C3D921D" w14:textId="77777777"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Да</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511B3E9F" w14:textId="77777777"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Правилник о нето трошку УПУ - РАТЕЛ</w:t>
            </w:r>
          </w:p>
        </w:tc>
      </w:tr>
      <w:tr w:rsidR="00DB72FD" w:rsidRPr="00B3123E" w14:paraId="17223530" w14:textId="77777777" w:rsidTr="00F972B3">
        <w:tc>
          <w:tcPr>
            <w:tcW w:w="1946" w:type="dxa"/>
            <w:vMerge/>
            <w:tcBorders>
              <w:bottom w:val="dotted" w:sz="4" w:space="0" w:color="ACB9CA" w:themeColor="text2" w:themeTint="66"/>
              <w:right w:val="dotted" w:sz="4" w:space="0" w:color="ACB9CA" w:themeColor="text2" w:themeTint="66"/>
            </w:tcBorders>
            <w:shd w:val="clear" w:color="auto" w:fill="D5DCE4" w:themeFill="text2" w:themeFillTint="33"/>
          </w:tcPr>
          <w:p w14:paraId="0800E7CC" w14:textId="77777777"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5C9269F" w14:textId="7D498A15"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 xml:space="preserve">Електронске услуге које пружа РС </w:t>
            </w:r>
            <w:r w:rsidRPr="00B3123E">
              <w:rPr>
                <w:rFonts w:ascii="Times New Roman" w:hAnsi="Times New Roman" w:cs="Times New Roman"/>
                <w:sz w:val="18"/>
                <w:szCs w:val="18"/>
                <w:lang w:val="sr-Cyrl-RS"/>
              </w:rPr>
              <w:lastRenderedPageBreak/>
              <w:t>доступне преко поштанске мреже ЈПО</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0DB6D5E" w14:textId="784C97AD"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lastRenderedPageBreak/>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CFF6D30" w14:textId="53B0B87E"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1E0CB390" w14:textId="3DA290EA"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6</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2D3A5B07" w14:textId="77777777" w:rsidR="00DB72FD" w:rsidRPr="00B3123E" w:rsidRDefault="00DB72FD" w:rsidP="00876373">
            <w:pPr>
              <w:spacing w:before="120" w:after="120" w:line="276" w:lineRule="auto"/>
              <w:jc w:val="left"/>
              <w:rPr>
                <w:rFonts w:ascii="Times New Roman" w:hAnsi="Times New Roman" w:cs="Times New Roman"/>
                <w:sz w:val="18"/>
                <w:szCs w:val="18"/>
                <w:lang w:val="sr-Cyrl-RS"/>
              </w:rPr>
            </w:pPr>
          </w:p>
          <w:p w14:paraId="68516F28" w14:textId="71F05D5B"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lastRenderedPageBreak/>
              <w:t>Извештај ЈПО</w:t>
            </w:r>
          </w:p>
        </w:tc>
      </w:tr>
      <w:tr w:rsidR="000513A1" w:rsidRPr="00B3123E" w14:paraId="70A15978"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77AA3CF7" w14:textId="1D6885F7"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lastRenderedPageBreak/>
              <w:t xml:space="preserve">1.1.3 </w:t>
            </w:r>
            <w:r w:rsidRPr="00B3123E">
              <w:rPr>
                <w:rFonts w:ascii="Times New Roman" w:hAnsi="Times New Roman" w:cs="Times New Roman"/>
                <w:sz w:val="18"/>
                <w:szCs w:val="18"/>
                <w:lang w:val="sr-Cyrl-RS"/>
              </w:rPr>
              <w:t>Успостављање системског праћења имплементираних стандарда УПУ</w:t>
            </w:r>
            <w:r w:rsidRPr="00B3123E">
              <w:rPr>
                <w:rFonts w:ascii="Times New Roman" w:hAnsi="Times New Roman" w:cs="Times New Roman"/>
                <w:color w:val="FF0000"/>
                <w:sz w:val="18"/>
                <w:szCs w:val="18"/>
                <w:lang w:val="sr-Cyrl-RS"/>
              </w:rPr>
              <w:t xml:space="preserve"> </w:t>
            </w:r>
            <w:r w:rsidR="00CB1458" w:rsidRPr="00B3123E">
              <w:rPr>
                <w:rFonts w:ascii="Times New Roman" w:hAnsi="Times New Roman" w:cs="Times New Roman"/>
                <w:sz w:val="18"/>
                <w:szCs w:val="18"/>
                <w:lang w:val="sr-Cyrl-RS"/>
              </w:rPr>
              <w:t>EN</w:t>
            </w:r>
            <w:r w:rsidRPr="00B3123E">
              <w:rPr>
                <w:rFonts w:ascii="Times New Roman" w:hAnsi="Times New Roman" w:cs="Times New Roman"/>
                <w:sz w:val="18"/>
                <w:szCs w:val="18"/>
                <w:lang w:val="sr-Cyrl-RS"/>
              </w:rPr>
              <w:t>13850</w:t>
            </w:r>
            <w:r w:rsidR="00F20707" w:rsidRPr="00B3123E">
              <w:rPr>
                <w:rFonts w:ascii="Times New Roman" w:hAnsi="Times New Roman" w:cs="Times New Roman"/>
                <w:sz w:val="18"/>
                <w:szCs w:val="18"/>
                <w:lang w:val="sr-Cyrl-RS"/>
              </w:rPr>
              <w:t>,</w:t>
            </w:r>
            <w:r w:rsidRPr="00B3123E">
              <w:rPr>
                <w:rFonts w:ascii="Times New Roman" w:hAnsi="Times New Roman" w:cs="Times New Roman"/>
                <w:sz w:val="18"/>
                <w:szCs w:val="18"/>
                <w:lang w:val="sr-Cyrl-RS"/>
              </w:rPr>
              <w:t xml:space="preserve"> </w:t>
            </w:r>
            <w:r w:rsidR="00CB1458" w:rsidRPr="00B3123E">
              <w:rPr>
                <w:rFonts w:ascii="Times New Roman" w:hAnsi="Times New Roman" w:cs="Times New Roman"/>
                <w:sz w:val="18"/>
                <w:szCs w:val="18"/>
                <w:lang w:val="sr-Cyrl-RS"/>
              </w:rPr>
              <w:t>EN</w:t>
            </w:r>
            <w:r w:rsidRPr="00B3123E">
              <w:rPr>
                <w:rFonts w:ascii="Times New Roman" w:hAnsi="Times New Roman" w:cs="Times New Roman"/>
                <w:sz w:val="18"/>
                <w:szCs w:val="18"/>
                <w:lang w:val="sr-Cyrl-RS"/>
              </w:rPr>
              <w:t xml:space="preserve">14508 и </w:t>
            </w:r>
            <w:r w:rsidR="00CB1458" w:rsidRPr="00B3123E">
              <w:rPr>
                <w:rFonts w:ascii="Times New Roman" w:hAnsi="Times New Roman" w:cs="Times New Roman"/>
                <w:sz w:val="18"/>
                <w:szCs w:val="18"/>
                <w:lang w:val="sr-Cyrl-RS"/>
              </w:rPr>
              <w:t>EN</w:t>
            </w:r>
            <w:r w:rsidRPr="00B3123E">
              <w:rPr>
                <w:rFonts w:ascii="Times New Roman" w:hAnsi="Times New Roman" w:cs="Times New Roman"/>
                <w:sz w:val="18"/>
                <w:szCs w:val="18"/>
                <w:lang w:val="sr-Cyrl-RS"/>
              </w:rPr>
              <w:t>14012 у циљу заштите корисника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6698EDA0" w14:textId="1B9C282E" w:rsidR="001368C3" w:rsidRPr="00B3123E" w:rsidRDefault="00592E0B"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Проценат </w:t>
            </w:r>
            <w:r w:rsidR="00EC1D35" w:rsidRPr="00B3123E">
              <w:rPr>
                <w:rFonts w:ascii="Times New Roman" w:eastAsia="MS Mincho" w:hAnsi="Times New Roman" w:cs="Times New Roman"/>
                <w:sz w:val="18"/>
                <w:szCs w:val="18"/>
                <w:lang w:val="sr-Cyrl-RS"/>
              </w:rPr>
              <w:t xml:space="preserve">нерегистрованих писмоносних </w:t>
            </w:r>
            <w:r w:rsidR="001F20C2" w:rsidRPr="00B3123E">
              <w:rPr>
                <w:rFonts w:ascii="Times New Roman" w:eastAsia="MS Mincho" w:hAnsi="Times New Roman" w:cs="Times New Roman"/>
                <w:sz w:val="18"/>
                <w:szCs w:val="18"/>
                <w:lang w:val="sr-Cyrl-RS"/>
              </w:rPr>
              <w:t>п</w:t>
            </w:r>
            <w:r w:rsidR="001368C3" w:rsidRPr="00B3123E">
              <w:rPr>
                <w:rFonts w:ascii="Times New Roman" w:eastAsia="MS Mincho" w:hAnsi="Times New Roman" w:cs="Times New Roman"/>
                <w:sz w:val="18"/>
                <w:szCs w:val="18"/>
                <w:lang w:val="sr-Cyrl-RS"/>
              </w:rPr>
              <w:t>ошиљака испоручених у року (Д+2)</w:t>
            </w:r>
          </w:p>
          <w:p w14:paraId="0C35F0DD" w14:textId="77777777" w:rsidR="007A20DD" w:rsidRPr="00B3123E" w:rsidRDefault="007A20D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(Д+3)</w:t>
            </w:r>
          </w:p>
          <w:p w14:paraId="58F1CF8F" w14:textId="0319C57B" w:rsidR="00F22613" w:rsidRPr="00B3123E" w:rsidRDefault="00F2261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(Д+5)</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54629400" w14:textId="77777777" w:rsidR="00866DB0" w:rsidRPr="00B3123E" w:rsidRDefault="00866DB0" w:rsidP="00F22613">
            <w:pPr>
              <w:spacing w:before="120" w:after="120" w:line="276" w:lineRule="auto"/>
              <w:jc w:val="center"/>
              <w:rPr>
                <w:rFonts w:ascii="Times New Roman" w:eastAsia="MS Mincho" w:hAnsi="Times New Roman" w:cs="Times New Roman"/>
                <w:sz w:val="18"/>
                <w:szCs w:val="18"/>
                <w:lang w:val="sr-Cyrl-RS"/>
              </w:rPr>
            </w:pPr>
          </w:p>
          <w:p w14:paraId="4F332AB0" w14:textId="77777777" w:rsidR="00866DB0" w:rsidRPr="00B3123E" w:rsidRDefault="00866DB0" w:rsidP="00F22613">
            <w:pPr>
              <w:spacing w:before="120" w:after="120" w:line="276" w:lineRule="auto"/>
              <w:jc w:val="center"/>
              <w:rPr>
                <w:rFonts w:ascii="Times New Roman" w:eastAsia="MS Mincho" w:hAnsi="Times New Roman" w:cs="Times New Roman"/>
                <w:sz w:val="18"/>
                <w:szCs w:val="18"/>
                <w:lang w:val="sr-Cyrl-RS"/>
              </w:rPr>
            </w:pPr>
          </w:p>
          <w:p w14:paraId="5B5A5377" w14:textId="77777777" w:rsidR="00EC1D35" w:rsidRPr="00B3123E" w:rsidRDefault="00EC1D35" w:rsidP="00F22613">
            <w:pPr>
              <w:spacing w:before="120" w:after="120" w:line="276" w:lineRule="auto"/>
              <w:jc w:val="center"/>
              <w:rPr>
                <w:rFonts w:ascii="Times New Roman" w:eastAsia="MS Mincho" w:hAnsi="Times New Roman" w:cs="Times New Roman"/>
                <w:sz w:val="18"/>
                <w:szCs w:val="18"/>
                <w:lang w:val="sr-Cyrl-RS"/>
              </w:rPr>
            </w:pPr>
          </w:p>
          <w:p w14:paraId="4FB4764B" w14:textId="28E7B011" w:rsidR="001368C3" w:rsidRPr="00B3123E" w:rsidRDefault="001368C3" w:rsidP="00F2261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06EF887E" w14:textId="77777777" w:rsidR="00F22613" w:rsidRPr="00B3123E" w:rsidRDefault="00F22613" w:rsidP="00876373">
            <w:pPr>
              <w:spacing w:before="120" w:after="120" w:line="276" w:lineRule="auto"/>
              <w:jc w:val="center"/>
              <w:rPr>
                <w:rFonts w:ascii="Times New Roman" w:eastAsia="MS Mincho" w:hAnsi="Times New Roman" w:cs="Times New Roman"/>
                <w:sz w:val="18"/>
                <w:szCs w:val="18"/>
                <w:lang w:val="sr-Cyrl-RS"/>
              </w:rPr>
            </w:pPr>
          </w:p>
          <w:p w14:paraId="679A4CBF" w14:textId="77777777" w:rsidR="00F22613" w:rsidRPr="00B3123E" w:rsidRDefault="00F22613" w:rsidP="00876373">
            <w:pPr>
              <w:spacing w:before="120" w:after="120" w:line="276" w:lineRule="auto"/>
              <w:jc w:val="center"/>
              <w:rPr>
                <w:rFonts w:ascii="Times New Roman" w:eastAsia="MS Mincho" w:hAnsi="Times New Roman" w:cs="Times New Roman"/>
                <w:sz w:val="18"/>
                <w:szCs w:val="18"/>
                <w:lang w:val="sr-Cyrl-RS"/>
              </w:rPr>
            </w:pPr>
          </w:p>
          <w:p w14:paraId="55CD8FF0" w14:textId="77777777" w:rsidR="0047126A" w:rsidRPr="00B3123E" w:rsidRDefault="0047126A" w:rsidP="00876373">
            <w:pPr>
              <w:spacing w:before="120" w:after="120" w:line="276" w:lineRule="auto"/>
              <w:jc w:val="center"/>
              <w:rPr>
                <w:rFonts w:ascii="Times New Roman" w:eastAsia="MS Mincho" w:hAnsi="Times New Roman" w:cs="Times New Roman"/>
                <w:sz w:val="18"/>
                <w:szCs w:val="18"/>
                <w:lang w:val="sr-Cyrl-RS"/>
              </w:rPr>
            </w:pPr>
          </w:p>
          <w:p w14:paraId="24961331" w14:textId="114473D7" w:rsidR="001368C3" w:rsidRPr="00B3123E" w:rsidRDefault="0047126A" w:rsidP="0047126A">
            <w:pPr>
              <w:spacing w:before="120" w:after="120" w:line="276" w:lineRule="auto"/>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        </w:t>
            </w:r>
            <w:r w:rsidR="001368C3" w:rsidRPr="00B3123E">
              <w:rPr>
                <w:rFonts w:ascii="Times New Roman" w:eastAsia="MS Mincho" w:hAnsi="Times New Roman" w:cs="Times New Roman"/>
                <w:sz w:val="18"/>
                <w:szCs w:val="18"/>
                <w:lang w:val="sr-Cyrl-RS"/>
              </w:rPr>
              <w:t>43,</w:t>
            </w:r>
            <w:r w:rsidR="003F2D30" w:rsidRPr="00B3123E">
              <w:rPr>
                <w:rFonts w:ascii="Times New Roman" w:eastAsia="MS Mincho" w:hAnsi="Times New Roman" w:cs="Times New Roman"/>
                <w:sz w:val="18"/>
                <w:szCs w:val="18"/>
                <w:lang w:val="sr-Cyrl-RS"/>
              </w:rPr>
              <w:t>30</w:t>
            </w:r>
          </w:p>
          <w:p w14:paraId="1AB49E13" w14:textId="40AB5FF9" w:rsidR="00A73D04" w:rsidRPr="00B3123E" w:rsidRDefault="00A73D04"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60,</w:t>
            </w:r>
            <w:r w:rsidR="003F2D30" w:rsidRPr="00B3123E">
              <w:rPr>
                <w:rFonts w:ascii="Times New Roman" w:eastAsia="MS Mincho" w:hAnsi="Times New Roman" w:cs="Times New Roman"/>
                <w:sz w:val="18"/>
                <w:szCs w:val="18"/>
                <w:lang w:val="sr-Cyrl-RS"/>
              </w:rPr>
              <w:t>80</w:t>
            </w:r>
          </w:p>
          <w:p w14:paraId="592AF0D0" w14:textId="6BF720C3" w:rsidR="00A73D04" w:rsidRPr="00B3123E" w:rsidRDefault="003F2D30"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80,40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1C5C7526" w14:textId="77777777" w:rsidR="00770ECE" w:rsidRPr="00B3123E" w:rsidRDefault="00770ECE" w:rsidP="00876373">
            <w:pPr>
              <w:spacing w:before="120" w:after="120" w:line="276" w:lineRule="auto"/>
              <w:jc w:val="center"/>
              <w:rPr>
                <w:rFonts w:ascii="Times New Roman" w:eastAsia="MS Mincho" w:hAnsi="Times New Roman" w:cs="Times New Roman"/>
                <w:sz w:val="18"/>
                <w:szCs w:val="18"/>
                <w:lang w:val="sr-Cyrl-RS"/>
              </w:rPr>
            </w:pPr>
          </w:p>
          <w:p w14:paraId="013561DF" w14:textId="77777777" w:rsidR="00770ECE" w:rsidRPr="00B3123E" w:rsidRDefault="00770ECE" w:rsidP="00876373">
            <w:pPr>
              <w:spacing w:before="120" w:after="120" w:line="276" w:lineRule="auto"/>
              <w:jc w:val="center"/>
              <w:rPr>
                <w:rFonts w:ascii="Times New Roman" w:eastAsia="MS Mincho" w:hAnsi="Times New Roman" w:cs="Times New Roman"/>
                <w:sz w:val="18"/>
                <w:szCs w:val="18"/>
                <w:lang w:val="sr-Cyrl-RS"/>
              </w:rPr>
            </w:pPr>
          </w:p>
          <w:p w14:paraId="5CD600A2" w14:textId="77777777" w:rsidR="00646860" w:rsidRPr="00B3123E" w:rsidRDefault="00646860" w:rsidP="00876373">
            <w:pPr>
              <w:spacing w:before="120" w:after="120" w:line="276" w:lineRule="auto"/>
              <w:jc w:val="center"/>
              <w:rPr>
                <w:rFonts w:ascii="Times New Roman" w:eastAsia="MS Mincho" w:hAnsi="Times New Roman" w:cs="Times New Roman"/>
                <w:sz w:val="18"/>
                <w:szCs w:val="18"/>
                <w:lang w:val="sr-Cyrl-RS"/>
              </w:rPr>
            </w:pPr>
          </w:p>
          <w:p w14:paraId="55B1C3F7" w14:textId="702BD6A2" w:rsidR="001368C3" w:rsidRPr="00B3123E" w:rsidRDefault="003F2D30"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5</w:t>
            </w:r>
            <w:r w:rsidR="001368C3" w:rsidRPr="00B3123E">
              <w:rPr>
                <w:rFonts w:ascii="Times New Roman" w:eastAsia="MS Mincho" w:hAnsi="Times New Roman" w:cs="Times New Roman"/>
                <w:sz w:val="18"/>
                <w:szCs w:val="18"/>
                <w:lang w:val="sr-Cyrl-RS"/>
              </w:rPr>
              <w:t>0</w:t>
            </w:r>
          </w:p>
          <w:p w14:paraId="640A55BB" w14:textId="194FA487" w:rsidR="00866DB0" w:rsidRPr="00B3123E" w:rsidRDefault="003F2D30"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7</w:t>
            </w:r>
            <w:r w:rsidR="00866DB0" w:rsidRPr="00B3123E">
              <w:rPr>
                <w:rFonts w:ascii="Times New Roman" w:eastAsia="MS Mincho" w:hAnsi="Times New Roman" w:cs="Times New Roman"/>
                <w:sz w:val="18"/>
                <w:szCs w:val="18"/>
                <w:lang w:val="sr-Cyrl-RS"/>
              </w:rPr>
              <w:t>0</w:t>
            </w:r>
          </w:p>
          <w:p w14:paraId="5F654609" w14:textId="25C6D1E4" w:rsidR="00866DB0" w:rsidRPr="00B3123E" w:rsidRDefault="00866DB0"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97</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13FAFEDC" w14:textId="77777777" w:rsidR="00F20707" w:rsidRPr="00B3123E" w:rsidRDefault="00F20707" w:rsidP="00876373">
            <w:pPr>
              <w:spacing w:before="120" w:after="120" w:line="276" w:lineRule="auto"/>
              <w:jc w:val="left"/>
              <w:rPr>
                <w:rFonts w:ascii="Times New Roman" w:eastAsia="MS Mincho" w:hAnsi="Times New Roman" w:cs="Times New Roman"/>
                <w:sz w:val="18"/>
                <w:szCs w:val="18"/>
                <w:lang w:val="sr-Cyrl-RS"/>
              </w:rPr>
            </w:pPr>
          </w:p>
          <w:p w14:paraId="4B3CA561" w14:textId="2633AE85" w:rsidR="001368C3" w:rsidRPr="00B3123E" w:rsidRDefault="001368C3" w:rsidP="005948E8">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 о квалитету РАТЕЛ</w:t>
            </w:r>
          </w:p>
        </w:tc>
      </w:tr>
      <w:tr w:rsidR="009A13C2" w:rsidRPr="00B3123E" w14:paraId="10653B21" w14:textId="77777777" w:rsidTr="00F972B3">
        <w:tc>
          <w:tcPr>
            <w:tcW w:w="1946" w:type="dxa"/>
            <w:vMerge w:val="restart"/>
            <w:tcBorders>
              <w:top w:val="dotted" w:sz="4" w:space="0" w:color="ACB9CA" w:themeColor="text2" w:themeTint="66"/>
              <w:right w:val="dotted" w:sz="4" w:space="0" w:color="ACB9CA" w:themeColor="text2" w:themeTint="66"/>
            </w:tcBorders>
            <w:shd w:val="clear" w:color="auto" w:fill="D5DCE4" w:themeFill="text2" w:themeFillTint="33"/>
          </w:tcPr>
          <w:p w14:paraId="213EEDE4" w14:textId="7777777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p>
          <w:p w14:paraId="24C2F3AE" w14:textId="7777777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p>
          <w:p w14:paraId="78F24B9F" w14:textId="22C6193D"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1.1.4 </w:t>
            </w:r>
            <w:r w:rsidRPr="00B3123E">
              <w:rPr>
                <w:rFonts w:ascii="Times New Roman" w:hAnsi="Times New Roman" w:cs="Times New Roman"/>
                <w:sz w:val="18"/>
                <w:szCs w:val="18"/>
                <w:lang w:val="sr-Cyrl-RS"/>
              </w:rPr>
              <w:t>Унапређење заштите и интереса корисника УПУ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24C1CDC" w14:textId="16F6BE9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Просечно задовољство </w:t>
            </w:r>
            <w:r w:rsidRPr="00B3123E">
              <w:rPr>
                <w:rStyle w:val="CommentReference"/>
                <w:rFonts w:ascii="Times New Roman" w:hAnsi="Times New Roman"/>
                <w:lang w:val="sr-Cyrl-RS"/>
              </w:rPr>
              <w:t>к</w:t>
            </w:r>
            <w:r w:rsidRPr="00B3123E">
              <w:rPr>
                <w:rStyle w:val="CommentReference"/>
                <w:lang w:val="sr-Cyrl-RS"/>
              </w:rPr>
              <w:t xml:space="preserve">орисника (физичка лица) </w:t>
            </w:r>
            <w:r w:rsidRPr="00B3123E">
              <w:rPr>
                <w:rFonts w:ascii="Times New Roman" w:eastAsia="MS Mincho" w:hAnsi="Times New Roman" w:cs="Times New Roman"/>
                <w:sz w:val="18"/>
                <w:szCs w:val="18"/>
                <w:lang w:val="sr-Cyrl-RS"/>
              </w:rPr>
              <w:t>временском доступношћу УПУ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CFBCE68" w14:textId="77777777"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32A4540" w14:textId="77777777"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75,9%</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7AF6E16" w14:textId="77777777"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80%</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101F0090" w14:textId="080FEC7D" w:rsidR="009A13C2" w:rsidRPr="00B3123E" w:rsidRDefault="009A13C2" w:rsidP="005948E8">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Истраживање РАТЕЛ</w:t>
            </w:r>
          </w:p>
        </w:tc>
      </w:tr>
      <w:tr w:rsidR="009A13C2" w:rsidRPr="00B3123E" w14:paraId="20A22D9B" w14:textId="77777777" w:rsidTr="00F972B3">
        <w:tc>
          <w:tcPr>
            <w:tcW w:w="1946" w:type="dxa"/>
            <w:vMerge/>
            <w:tcBorders>
              <w:right w:val="dotted" w:sz="4" w:space="0" w:color="ACB9CA" w:themeColor="text2" w:themeTint="66"/>
            </w:tcBorders>
            <w:shd w:val="clear" w:color="auto" w:fill="D5DCE4" w:themeFill="text2" w:themeFillTint="33"/>
          </w:tcPr>
          <w:p w14:paraId="3163C4D1" w14:textId="7777777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B825BA4" w14:textId="2ED8F7E5"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Просечно задовољство корисника (правна лица) временском доступношћу УПУ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3029AFD" w14:textId="14FB28EA"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600B1C8" w14:textId="66F5974C"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86,7%</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3B0FF46" w14:textId="420420E2"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86,7%</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183E146C" w14:textId="2E71F1AB" w:rsidR="009A13C2"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Истраживање РАТЕЛ</w:t>
            </w:r>
          </w:p>
        </w:tc>
      </w:tr>
      <w:tr w:rsidR="009A13C2" w:rsidRPr="00B3123E" w14:paraId="6967D8D3" w14:textId="77777777" w:rsidTr="00F972B3">
        <w:tc>
          <w:tcPr>
            <w:tcW w:w="1946" w:type="dxa"/>
            <w:vMerge/>
            <w:tcBorders>
              <w:bottom w:val="dotted" w:sz="4" w:space="0" w:color="ACB9CA" w:themeColor="text2" w:themeTint="66"/>
              <w:right w:val="dotted" w:sz="4" w:space="0" w:color="ACB9CA" w:themeColor="text2" w:themeTint="66"/>
            </w:tcBorders>
            <w:shd w:val="clear" w:color="auto" w:fill="D5DCE4" w:themeFill="text2" w:themeFillTint="33"/>
          </w:tcPr>
          <w:p w14:paraId="3D290C36" w14:textId="7777777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AC637A6" w14:textId="2A6AF4EA"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Одржани састанци ЈПО са јединицама локалне самоуправе у циљу разматрања могућности повећања задовољства корисника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151D8CF" w14:textId="07479E78"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BF760A1" w14:textId="3C46C0E1"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C42DBC0" w14:textId="01625E3F"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5</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5BF537BB" w14:textId="3BE808D3"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Извештај ЈПО</w:t>
            </w:r>
          </w:p>
        </w:tc>
      </w:tr>
      <w:tr w:rsidR="000513A1" w:rsidRPr="00B3123E" w14:paraId="250D3EF9"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169A17EA" w14:textId="66D52948"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1.2.1 </w:t>
            </w:r>
            <w:r w:rsidR="00955866" w:rsidRPr="00B3123E">
              <w:rPr>
                <w:rFonts w:ascii="Times New Roman" w:hAnsi="Times New Roman" w:cs="Times New Roman"/>
                <w:sz w:val="18"/>
                <w:szCs w:val="18"/>
                <w:lang w:val="sr-Cyrl-RS"/>
              </w:rPr>
              <w:t>Развој међународне сарадње са глобалним и регионалним организацијама из области поштанског саобраћаја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09424F4" w14:textId="761B4663" w:rsidR="001368C3" w:rsidRPr="00B3123E" w:rsidRDefault="001368C3" w:rsidP="005948E8">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Верификовано чланство у најмање једном комитету POC</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E5A8047"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0F80341"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5A197D3"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134A50DF" w14:textId="28F62BB5"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Интернет страница </w:t>
            </w:r>
            <w:r w:rsidR="007D6F70" w:rsidRPr="00B3123E">
              <w:rPr>
                <w:rFonts w:ascii="Times New Roman" w:eastAsia="MS Mincho" w:hAnsi="Times New Roman" w:cs="Times New Roman"/>
                <w:sz w:val="18"/>
                <w:szCs w:val="18"/>
                <w:lang w:val="sr-Cyrl-RS"/>
              </w:rPr>
              <w:t>Светског поштанског савеза</w:t>
            </w:r>
          </w:p>
        </w:tc>
      </w:tr>
      <w:tr w:rsidR="000513A1" w:rsidRPr="00B3123E" w14:paraId="3A562BBE"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835A6A2" w14:textId="56517573"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1.2.2 </w:t>
            </w:r>
            <w:r w:rsidR="00955866" w:rsidRPr="00B3123E">
              <w:rPr>
                <w:rFonts w:ascii="Times New Roman" w:hAnsi="Times New Roman" w:cs="Times New Roman"/>
                <w:sz w:val="18"/>
                <w:szCs w:val="18"/>
                <w:lang w:val="sr-Cyrl-RS"/>
              </w:rPr>
              <w:t>Усклађивање регулативе са законодавством Европске уније и Светског поштанског савеза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D4655F8" w14:textId="7D52F47B" w:rsidR="001368C3" w:rsidRPr="00B3123E" w:rsidRDefault="00856EB0"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Укупан б</w:t>
            </w:r>
            <w:r w:rsidR="001368C3" w:rsidRPr="00B3123E">
              <w:rPr>
                <w:rFonts w:ascii="Times New Roman" w:eastAsia="MS Mincho" w:hAnsi="Times New Roman" w:cs="Times New Roman"/>
                <w:sz w:val="18"/>
                <w:szCs w:val="18"/>
                <w:lang w:val="sr-Cyrl-RS"/>
              </w:rPr>
              <w:t>рој донетих аката</w:t>
            </w:r>
            <w:r w:rsidR="00CC1A97" w:rsidRPr="00B3123E">
              <w:rPr>
                <w:rFonts w:ascii="Times New Roman" w:eastAsia="MS Mincho" w:hAnsi="Times New Roman" w:cs="Times New Roman"/>
                <w:sz w:val="18"/>
                <w:szCs w:val="18"/>
                <w:lang w:val="sr-Cyrl-RS"/>
              </w:rPr>
              <w:t xml:space="preserve"> за усклађивање регулативе са </w:t>
            </w:r>
            <w:r w:rsidR="000376A4" w:rsidRPr="00B3123E">
              <w:rPr>
                <w:rFonts w:ascii="Times New Roman" w:eastAsia="MS Mincho" w:hAnsi="Times New Roman" w:cs="Times New Roman"/>
                <w:sz w:val="18"/>
                <w:szCs w:val="18"/>
                <w:lang w:val="sr-Cyrl-RS"/>
              </w:rPr>
              <w:t>законодавством Е</w:t>
            </w:r>
            <w:r w:rsidR="00CF6987" w:rsidRPr="00B3123E">
              <w:rPr>
                <w:rFonts w:ascii="Times New Roman" w:eastAsia="MS Mincho" w:hAnsi="Times New Roman" w:cs="Times New Roman"/>
                <w:sz w:val="18"/>
                <w:szCs w:val="18"/>
                <w:lang w:val="sr-Cyrl-RS"/>
              </w:rPr>
              <w:t>вропске</w:t>
            </w:r>
            <w:r w:rsidR="000C7BAB" w:rsidRPr="00B3123E">
              <w:rPr>
                <w:rFonts w:ascii="Times New Roman" w:eastAsia="MS Mincho" w:hAnsi="Times New Roman" w:cs="Times New Roman"/>
                <w:sz w:val="18"/>
                <w:szCs w:val="18"/>
                <w:lang w:val="sr-Cyrl-RS"/>
              </w:rPr>
              <w:t xml:space="preserve"> Уније</w:t>
            </w:r>
            <w:r w:rsidR="000376A4" w:rsidRPr="00B3123E">
              <w:rPr>
                <w:rFonts w:ascii="Times New Roman" w:eastAsia="MS Mincho" w:hAnsi="Times New Roman" w:cs="Times New Roman"/>
                <w:sz w:val="18"/>
                <w:szCs w:val="18"/>
                <w:lang w:val="sr-Cyrl-RS"/>
              </w:rPr>
              <w:t xml:space="preserve"> и </w:t>
            </w:r>
            <w:r w:rsidR="000C7BAB" w:rsidRPr="00B3123E">
              <w:rPr>
                <w:rFonts w:ascii="Times New Roman" w:eastAsia="MS Mincho" w:hAnsi="Times New Roman" w:cs="Times New Roman"/>
                <w:sz w:val="18"/>
                <w:szCs w:val="18"/>
                <w:lang w:val="sr-Cyrl-RS"/>
              </w:rPr>
              <w:t>Светског поштанског савеза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E5CB8A6"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624A2EE"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68B4A24"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9</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08A84470" w14:textId="77777777"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Службени гласник РС; сајтови МИТ и РАТЕЛ</w:t>
            </w:r>
          </w:p>
        </w:tc>
      </w:tr>
      <w:tr w:rsidR="000513A1" w:rsidRPr="00B3123E" w14:paraId="3E451C42"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16D8F490" w14:textId="1B8B5FE8"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1.2.3 </w:t>
            </w:r>
            <w:r w:rsidR="00955866" w:rsidRPr="00B3123E">
              <w:rPr>
                <w:rFonts w:ascii="Times New Roman" w:hAnsi="Times New Roman" w:cs="Times New Roman"/>
                <w:sz w:val="18"/>
                <w:szCs w:val="18"/>
                <w:lang w:val="sr-Cyrl-RS"/>
              </w:rPr>
              <w:t xml:space="preserve">Унапређење заштите и интереса </w:t>
            </w:r>
            <w:r w:rsidR="00955866" w:rsidRPr="00B3123E">
              <w:rPr>
                <w:rFonts w:ascii="Times New Roman" w:hAnsi="Times New Roman" w:cs="Times New Roman"/>
                <w:sz w:val="18"/>
                <w:szCs w:val="18"/>
                <w:lang w:val="sr-Cyrl-RS"/>
              </w:rPr>
              <w:lastRenderedPageBreak/>
              <w:t>корисника експрес услуга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1C2AF84E" w14:textId="7CF47667" w:rsidR="001368C3" w:rsidRPr="00B3123E" w:rsidRDefault="00956B0B"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20"/>
                <w:szCs w:val="20"/>
                <w:lang w:val="sr-Cyrl-RS"/>
              </w:rPr>
              <w:lastRenderedPageBreak/>
              <w:t xml:space="preserve">Проценат квалитета </w:t>
            </w:r>
            <w:r w:rsidRPr="00B3123E">
              <w:rPr>
                <w:rFonts w:ascii="Times New Roman" w:hAnsi="Times New Roman" w:cs="Times New Roman"/>
                <w:sz w:val="20"/>
                <w:szCs w:val="20"/>
                <w:lang w:val="sr-Cyrl-RS"/>
              </w:rPr>
              <w:lastRenderedPageBreak/>
              <w:t>уручења</w:t>
            </w:r>
            <w:r w:rsidR="001F33AE" w:rsidRPr="00B3123E">
              <w:rPr>
                <w:rFonts w:ascii="Times New Roman" w:hAnsi="Times New Roman" w:cs="Times New Roman"/>
                <w:sz w:val="20"/>
                <w:szCs w:val="20"/>
                <w:lang w:val="sr-Cyrl-RS"/>
              </w:rPr>
              <w:t xml:space="preserve"> експрес пошиљака</w:t>
            </w:r>
            <w:r w:rsidRPr="00B3123E">
              <w:rPr>
                <w:rFonts w:ascii="Times New Roman" w:hAnsi="Times New Roman" w:cs="Times New Roman"/>
                <w:lang w:val="sr-Cyrl-RS"/>
              </w:rPr>
              <w:t xml:space="preserve"> </w:t>
            </w:r>
            <w:r w:rsidR="001368C3" w:rsidRPr="00B3123E">
              <w:rPr>
                <w:rFonts w:ascii="Times New Roman" w:eastAsia="MS Mincho" w:hAnsi="Times New Roman" w:cs="Times New Roman"/>
                <w:sz w:val="18"/>
                <w:szCs w:val="18"/>
                <w:lang w:val="sr-Cyrl-RS"/>
              </w:rPr>
              <w:t>(Д+1)</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7848075"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lastRenderedPageBreak/>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140E437"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83,31%</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617FF868"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88%</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05699350" w14:textId="61695778"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 РАТЕЛ</w:t>
            </w:r>
          </w:p>
        </w:tc>
      </w:tr>
      <w:tr w:rsidR="000513A1" w:rsidRPr="00B3123E" w14:paraId="1FBA3FE2"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7C59F2A7" w14:textId="0408C218"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1.2.4 </w:t>
            </w:r>
            <w:r w:rsidR="00955866" w:rsidRPr="00B3123E">
              <w:rPr>
                <w:rFonts w:ascii="Times New Roman" w:hAnsi="Times New Roman" w:cs="Times New Roman"/>
                <w:sz w:val="18"/>
                <w:szCs w:val="18"/>
                <w:lang w:val="sr-Cyrl-RS"/>
              </w:rPr>
              <w:t>Подстицање развоја прекограничне доставе пошиљака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F144BAC" w14:textId="77777777" w:rsidR="00A66827" w:rsidRPr="00B3123E" w:rsidRDefault="00A66827" w:rsidP="00A66827">
            <w:pPr>
              <w:jc w:val="left"/>
              <w:rPr>
                <w:rFonts w:ascii="Times New Roman" w:hAnsi="Times New Roman" w:cs="Times New Roman"/>
                <w:sz w:val="18"/>
                <w:szCs w:val="18"/>
                <w:lang w:val="sr-Cyrl-RS"/>
              </w:rPr>
            </w:pPr>
            <w:r w:rsidRPr="00B3123E">
              <w:rPr>
                <w:rFonts w:ascii="Times New Roman" w:hAnsi="Times New Roman" w:cs="Times New Roman"/>
                <w:sz w:val="18"/>
                <w:szCs w:val="18"/>
                <w:lang w:val="sr-Cyrl-RS"/>
              </w:rPr>
              <w:t>Повећање броја пошиљака са робом у међународном поштанском саобраћају у односу на сваку претходну годину</w:t>
            </w:r>
          </w:p>
          <w:p w14:paraId="21BEF957" w14:textId="18A7C507" w:rsidR="001368C3" w:rsidRPr="00B3123E" w:rsidRDefault="00A66827" w:rsidP="00A66827">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(почетна вредност 627.721 пошиљака)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6703E12"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B0A0C9D"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1B928EDF"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1,5%</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607FBE74" w14:textId="764CEAD5"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Годишњи преглед тржишта РАТЕЛ</w:t>
            </w:r>
          </w:p>
        </w:tc>
      </w:tr>
      <w:tr w:rsidR="000513A1" w:rsidRPr="00B3123E" w14:paraId="695D3926"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47318F7A" w14:textId="68986259"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1.2.5 </w:t>
            </w:r>
            <w:r w:rsidR="00955866" w:rsidRPr="00B3123E">
              <w:rPr>
                <w:rFonts w:ascii="Times New Roman" w:hAnsi="Times New Roman" w:cs="Times New Roman"/>
                <w:sz w:val="18"/>
                <w:szCs w:val="18"/>
                <w:lang w:val="sr-Cyrl-RS"/>
              </w:rPr>
              <w:t>Оснаживање сектора кроз едукацију и кампање о савременим поштанским трендовима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535A1502" w14:textId="6AA00EA9"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Укупан број едукативних активности</w:t>
            </w:r>
            <w:r w:rsidR="005F4592" w:rsidRPr="00B3123E">
              <w:rPr>
                <w:rFonts w:ascii="Times New Roman" w:eastAsia="MS Mincho" w:hAnsi="Times New Roman" w:cs="Times New Roman"/>
                <w:sz w:val="18"/>
                <w:szCs w:val="18"/>
                <w:lang w:val="sr-Cyrl-RS"/>
              </w:rPr>
              <w:t xml:space="preserve"> на тему савре</w:t>
            </w:r>
            <w:r w:rsidR="00B37773" w:rsidRPr="00B3123E">
              <w:rPr>
                <w:rFonts w:ascii="Times New Roman" w:eastAsia="MS Mincho" w:hAnsi="Times New Roman" w:cs="Times New Roman"/>
                <w:sz w:val="18"/>
                <w:szCs w:val="18"/>
                <w:lang w:val="sr-Cyrl-RS"/>
              </w:rPr>
              <w:t>м</w:t>
            </w:r>
            <w:r w:rsidR="005F4592" w:rsidRPr="00B3123E">
              <w:rPr>
                <w:rFonts w:ascii="Times New Roman" w:eastAsia="MS Mincho" w:hAnsi="Times New Roman" w:cs="Times New Roman"/>
                <w:sz w:val="18"/>
                <w:szCs w:val="18"/>
                <w:lang w:val="sr-Cyrl-RS"/>
              </w:rPr>
              <w:t>ених поштанских трендова</w:t>
            </w:r>
            <w:r w:rsidR="00A66827" w:rsidRPr="00B3123E">
              <w:rPr>
                <w:rFonts w:ascii="Times New Roman" w:eastAsia="MS Mincho" w:hAnsi="Times New Roman" w:cs="Times New Roman"/>
                <w:sz w:val="18"/>
                <w:szCs w:val="18"/>
                <w:lang w:val="sr-Cyrl-RS"/>
              </w:rPr>
              <w:t xml:space="preserve"> и спречавања прања новца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9E4C0F6" w14:textId="77777777" w:rsidR="00A66827" w:rsidRPr="00B3123E" w:rsidRDefault="00A66827" w:rsidP="00876373">
            <w:pPr>
              <w:spacing w:before="120" w:after="120" w:line="276" w:lineRule="auto"/>
              <w:jc w:val="center"/>
              <w:rPr>
                <w:rFonts w:ascii="Times New Roman" w:eastAsia="MS Mincho" w:hAnsi="Times New Roman" w:cs="Times New Roman"/>
                <w:sz w:val="18"/>
                <w:szCs w:val="18"/>
                <w:lang w:val="sr-Cyrl-RS"/>
              </w:rPr>
            </w:pPr>
          </w:p>
          <w:p w14:paraId="41E4D7D3" w14:textId="195F58F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87746A6" w14:textId="77777777" w:rsidR="00A66827" w:rsidRPr="00B3123E" w:rsidRDefault="00A66827" w:rsidP="00876373">
            <w:pPr>
              <w:spacing w:before="120" w:after="120" w:line="276" w:lineRule="auto"/>
              <w:jc w:val="center"/>
              <w:rPr>
                <w:rFonts w:ascii="Times New Roman" w:eastAsia="MS Mincho" w:hAnsi="Times New Roman" w:cs="Times New Roman"/>
                <w:sz w:val="18"/>
                <w:szCs w:val="18"/>
                <w:lang w:val="sr-Cyrl-RS"/>
              </w:rPr>
            </w:pPr>
          </w:p>
          <w:p w14:paraId="03389B4A" w14:textId="57CB9746"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0D37850" w14:textId="77777777" w:rsidR="00A66827" w:rsidRPr="00B3123E" w:rsidRDefault="00A66827" w:rsidP="00876373">
            <w:pPr>
              <w:spacing w:before="120" w:after="120" w:line="276" w:lineRule="auto"/>
              <w:jc w:val="center"/>
              <w:rPr>
                <w:rFonts w:ascii="Times New Roman" w:eastAsia="MS Mincho" w:hAnsi="Times New Roman" w:cs="Times New Roman"/>
                <w:sz w:val="18"/>
                <w:szCs w:val="18"/>
                <w:lang w:val="sr-Cyrl-RS"/>
              </w:rPr>
            </w:pPr>
          </w:p>
          <w:p w14:paraId="2DAA0CFF" w14:textId="52DE2F90" w:rsidR="001368C3" w:rsidRPr="00B3123E" w:rsidRDefault="00BD31B8"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12</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6FC1656F" w14:textId="718DB4C2"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 РАТЕЛ</w:t>
            </w:r>
          </w:p>
        </w:tc>
      </w:tr>
      <w:tr w:rsidR="000513A1" w:rsidRPr="00B3123E" w14:paraId="73688BA5"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8666150" w14:textId="7EB45591"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1.2.6 </w:t>
            </w:r>
            <w:r w:rsidR="00955866" w:rsidRPr="00B3123E">
              <w:rPr>
                <w:rFonts w:ascii="Times New Roman" w:hAnsi="Times New Roman" w:cs="Times New Roman"/>
                <w:sz w:val="18"/>
                <w:szCs w:val="18"/>
                <w:lang w:val="sr-Cyrl-RS"/>
              </w:rPr>
              <w:t>Унапређење радних стандарда и промоција једнаких услова рада у поштанском сектору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AB0133A" w14:textId="68342AFE"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Степен задовољства запослених</w:t>
            </w:r>
            <w:r w:rsidR="0065223A" w:rsidRPr="00B3123E">
              <w:rPr>
                <w:rFonts w:ascii="Times New Roman" w:eastAsia="MS Mincho" w:hAnsi="Times New Roman" w:cs="Times New Roman"/>
                <w:sz w:val="18"/>
                <w:szCs w:val="18"/>
                <w:lang w:val="sr-Cyrl-RS"/>
              </w:rPr>
              <w:t xml:space="preserve"> у </w:t>
            </w:r>
            <w:r w:rsidR="00A66827" w:rsidRPr="00B3123E">
              <w:rPr>
                <w:rFonts w:ascii="Times New Roman" w:eastAsia="MS Mincho" w:hAnsi="Times New Roman" w:cs="Times New Roman"/>
                <w:sz w:val="18"/>
                <w:szCs w:val="18"/>
                <w:lang w:val="sr-Cyrl-RS"/>
              </w:rPr>
              <w:t>ЈПО</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FDE77C1" w14:textId="7CC4F9CE" w:rsidR="001368C3" w:rsidRPr="00B3123E" w:rsidRDefault="00A66827"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Просечна оцена  од 1 до 5</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74A4FF3A"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3,79</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78E04549"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4,2</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45E2B91D" w14:textId="77777777"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Истраживања поштанских оператора</w:t>
            </w:r>
            <w:r w:rsidR="003934E3" w:rsidRPr="00B3123E">
              <w:rPr>
                <w:rFonts w:ascii="Times New Roman" w:eastAsia="MS Mincho" w:hAnsi="Times New Roman" w:cs="Times New Roman"/>
                <w:sz w:val="18"/>
                <w:szCs w:val="18"/>
                <w:lang w:val="sr-Cyrl-RS"/>
              </w:rPr>
              <w:t>,</w:t>
            </w:r>
          </w:p>
          <w:p w14:paraId="4ECEED0B" w14:textId="61427656" w:rsidR="0095231E" w:rsidRPr="00B3123E" w:rsidRDefault="0095231E" w:rsidP="00876373">
            <w:pPr>
              <w:spacing w:before="120" w:after="120" w:line="276" w:lineRule="auto"/>
              <w:jc w:val="left"/>
              <w:rPr>
                <w:rFonts w:ascii="Times New Roman" w:eastAsia="MS Mincho" w:hAnsi="Times New Roman" w:cs="Times New Roman"/>
                <w:sz w:val="18"/>
                <w:szCs w:val="18"/>
                <w:lang w:val="sr-Cyrl-RS"/>
              </w:rPr>
            </w:pPr>
          </w:p>
        </w:tc>
      </w:tr>
      <w:tr w:rsidR="004729AD" w:rsidRPr="00B3123E" w14:paraId="3FB46462" w14:textId="77777777" w:rsidTr="00F972B3">
        <w:tc>
          <w:tcPr>
            <w:tcW w:w="1946" w:type="dxa"/>
            <w:vMerge w:val="restart"/>
            <w:tcBorders>
              <w:top w:val="dotted" w:sz="4" w:space="0" w:color="ACB9CA" w:themeColor="text2" w:themeTint="66"/>
              <w:right w:val="dotted" w:sz="4" w:space="0" w:color="ACB9CA" w:themeColor="text2" w:themeTint="66"/>
            </w:tcBorders>
          </w:tcPr>
          <w:p w14:paraId="55B1CF7F" w14:textId="77777777"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p>
          <w:p w14:paraId="0CC2322E" w14:textId="0E1BA5BC"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1.3.1 </w:t>
            </w:r>
            <w:r w:rsidRPr="00B3123E">
              <w:rPr>
                <w:rFonts w:ascii="Times New Roman" w:hAnsi="Times New Roman" w:cs="Times New Roman"/>
                <w:color w:val="000000" w:themeColor="text1"/>
                <w:sz w:val="18"/>
                <w:szCs w:val="18"/>
                <w:lang w:val="sr-Cyrl-RS"/>
              </w:rPr>
              <w:t>Унапређење комерцијалних поштанских услуга интеграцијом нових технологија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110BBE4B" w14:textId="345F8DDE"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Повећање обима комерцијалних поштанских услуга у односу на сваку претходну годину (почетна вредност 56.851.000 пошиљака)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0A9003D6"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51EFF23F"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D2D3BFE" w14:textId="1DA0DE7C"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hAnsi="Times New Roman" w:cs="Times New Roman"/>
                <w:lang w:val="sr-Cyrl-RS"/>
              </w:rPr>
              <w:sym w:font="Symbol" w:char="F0B3"/>
            </w:r>
            <w:r w:rsidRPr="00B3123E">
              <w:rPr>
                <w:rFonts w:ascii="Times New Roman" w:eastAsia="MS Mincho" w:hAnsi="Times New Roman" w:cs="Times New Roman"/>
                <w:sz w:val="18"/>
                <w:szCs w:val="18"/>
                <w:lang w:val="sr-Cyrl-RS"/>
              </w:rPr>
              <w:t>2% годишње у односу на претходну годину</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4B6368B2" w14:textId="4F0DD152" w:rsidR="004729AD"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Годишњи преглед тржишта РАТЕЛ</w:t>
            </w:r>
          </w:p>
        </w:tc>
      </w:tr>
      <w:tr w:rsidR="004729AD" w:rsidRPr="00B3123E" w14:paraId="5816D674" w14:textId="77777777" w:rsidTr="00F972B3">
        <w:tc>
          <w:tcPr>
            <w:tcW w:w="1946" w:type="dxa"/>
            <w:vMerge/>
            <w:tcBorders>
              <w:bottom w:val="dotted" w:sz="4" w:space="0" w:color="ACB9CA" w:themeColor="text2" w:themeTint="66"/>
              <w:right w:val="dotted" w:sz="4" w:space="0" w:color="ACB9CA" w:themeColor="text2" w:themeTint="66"/>
            </w:tcBorders>
          </w:tcPr>
          <w:p w14:paraId="057E83F5" w14:textId="77777777"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619902AD" w14:textId="16206D5D" w:rsidR="004729AD" w:rsidRPr="00B3123E" w:rsidRDefault="004729AD" w:rsidP="004729AD">
            <w:pPr>
              <w:rPr>
                <w:rFonts w:ascii="Times New Roman" w:hAnsi="Times New Roman" w:cs="Times New Roman"/>
                <w:sz w:val="18"/>
                <w:szCs w:val="18"/>
                <w:lang w:val="sr-Cyrl-RS"/>
              </w:rPr>
            </w:pPr>
            <w:r w:rsidRPr="00B3123E">
              <w:rPr>
                <w:rFonts w:ascii="Times New Roman" w:hAnsi="Times New Roman" w:cs="Times New Roman"/>
                <w:sz w:val="18"/>
                <w:szCs w:val="18"/>
                <w:lang w:val="sr-Cyrl-RS"/>
              </w:rPr>
              <w:t>Број оператора који пружају више од 1% комерцијалних услуга у укупном обиму на тржишту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46089B49" w14:textId="0E62E4C0"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Број </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533A23B3" w14:textId="02EE492F"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6</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8785E3E" w14:textId="0A7A42BB" w:rsidR="004729AD" w:rsidRPr="00B3123E" w:rsidRDefault="004729AD" w:rsidP="00876373">
            <w:pPr>
              <w:spacing w:before="120" w:after="120" w:line="276" w:lineRule="auto"/>
              <w:jc w:val="center"/>
              <w:rPr>
                <w:rFonts w:ascii="Times New Roman" w:hAnsi="Times New Roman" w:cs="Times New Roman"/>
                <w:lang w:val="sr-Cyrl-RS"/>
              </w:rPr>
            </w:pPr>
            <w:r w:rsidRPr="00B3123E">
              <w:rPr>
                <w:rFonts w:ascii="Times New Roman" w:hAnsi="Times New Roman" w:cs="Times New Roman"/>
                <w:lang w:val="sr-Cyrl-RS"/>
              </w:rPr>
              <w:t>7</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3CC47705" w14:textId="00911497" w:rsidR="004729AD"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Годишњи преглед тржишта РАТЕЛ</w:t>
            </w:r>
          </w:p>
        </w:tc>
      </w:tr>
      <w:tr w:rsidR="000513A1" w:rsidRPr="00B3123E" w14:paraId="2D9C1493"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67BD6C7" w14:textId="38214DFC"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1.3.2 </w:t>
            </w:r>
            <w:r w:rsidR="00955866" w:rsidRPr="00B3123E">
              <w:rPr>
                <w:rFonts w:ascii="Times New Roman" w:hAnsi="Times New Roman" w:cs="Times New Roman"/>
                <w:sz w:val="18"/>
                <w:szCs w:val="18"/>
                <w:lang w:val="sr-Cyrl-RS"/>
              </w:rPr>
              <w:t>Развој алата за унапређење конкуренције на тржишту поштанских услуга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7EB353B" w14:textId="6080ABCA" w:rsidR="001368C3" w:rsidRPr="00B3123E" w:rsidRDefault="004729AD" w:rsidP="001F2258">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Унапређење транспарентног и динамичког праћења свих комерцијалних услуга и цена на тржишту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5355962"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p>
          <w:p w14:paraId="75660753" w14:textId="546BC36F"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Да/Не</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A432FC7"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p>
          <w:p w14:paraId="6633F4C2" w14:textId="2AB2D932"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Не</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5B8ED9E"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p>
          <w:p w14:paraId="7241AF2F" w14:textId="6E8CAC3F"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Да</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562C53E8" w14:textId="77777777"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p>
          <w:p w14:paraId="5CEA8FD0" w14:textId="0E10BACF"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 РАТЕЛ</w:t>
            </w:r>
          </w:p>
        </w:tc>
      </w:tr>
      <w:tr w:rsidR="000513A1" w:rsidRPr="00B3123E" w14:paraId="192FBBFC"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57CE2876" w14:textId="1791D300"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1.3.3 </w:t>
            </w:r>
            <w:r w:rsidR="00955866" w:rsidRPr="00B3123E">
              <w:rPr>
                <w:rFonts w:ascii="Times New Roman" w:eastAsia="MS Mincho" w:hAnsi="Times New Roman" w:cs="Times New Roman"/>
                <w:sz w:val="18"/>
                <w:szCs w:val="18"/>
                <w:lang w:val="sr-Cyrl-RS"/>
              </w:rPr>
              <w:t>Утврђивање модела увођења AI у поштанску индустрију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1AF327A3" w14:textId="1673AE6A" w:rsidR="001368C3" w:rsidRPr="00B3123E" w:rsidRDefault="001F225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Укупан б</w:t>
            </w:r>
            <w:r w:rsidR="001368C3" w:rsidRPr="00B3123E">
              <w:rPr>
                <w:rFonts w:ascii="Times New Roman" w:eastAsia="MS Mincho" w:hAnsi="Times New Roman" w:cs="Times New Roman"/>
                <w:sz w:val="18"/>
                <w:szCs w:val="18"/>
                <w:lang w:val="sr-Cyrl-RS"/>
              </w:rPr>
              <w:t>рој предложених AI решења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D4459D9"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4237DE88"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460D541"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2</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41E21440" w14:textId="5258ABF1"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w:t>
            </w:r>
            <w:r w:rsidR="00F94CEA" w:rsidRPr="00B3123E">
              <w:rPr>
                <w:rFonts w:ascii="Times New Roman" w:eastAsia="MS Mincho" w:hAnsi="Times New Roman" w:cs="Times New Roman"/>
                <w:sz w:val="18"/>
                <w:szCs w:val="18"/>
                <w:lang w:val="sr-Cyrl-RS"/>
              </w:rPr>
              <w:t>и</w:t>
            </w:r>
            <w:r w:rsidR="005948E8" w:rsidRPr="00B3123E">
              <w:rPr>
                <w:rFonts w:ascii="Times New Roman" w:eastAsia="MS Mincho" w:hAnsi="Times New Roman" w:cs="Times New Roman"/>
                <w:sz w:val="18"/>
                <w:szCs w:val="18"/>
                <w:lang w:val="sr-Cyrl-RS"/>
              </w:rPr>
              <w:t xml:space="preserve"> РАТЕЛ</w:t>
            </w:r>
            <w:r w:rsidR="004729AD" w:rsidRPr="00B3123E">
              <w:rPr>
                <w:rFonts w:ascii="Times New Roman" w:eastAsia="MS Mincho" w:hAnsi="Times New Roman" w:cs="Times New Roman"/>
                <w:sz w:val="18"/>
                <w:szCs w:val="18"/>
                <w:lang w:val="sr-Cyrl-RS"/>
              </w:rPr>
              <w:t xml:space="preserve"> </w:t>
            </w:r>
            <w:r w:rsidR="00F94CEA" w:rsidRPr="00B3123E">
              <w:rPr>
                <w:rFonts w:ascii="Times New Roman" w:eastAsia="MS Mincho" w:hAnsi="Times New Roman" w:cs="Times New Roman"/>
                <w:sz w:val="18"/>
                <w:szCs w:val="18"/>
                <w:lang w:val="sr-Cyrl-RS"/>
              </w:rPr>
              <w:t xml:space="preserve">и </w:t>
            </w:r>
            <w:r w:rsidR="004729AD" w:rsidRPr="00B3123E">
              <w:rPr>
                <w:rFonts w:ascii="Times New Roman" w:eastAsia="MS Mincho" w:hAnsi="Times New Roman" w:cs="Times New Roman"/>
                <w:sz w:val="18"/>
                <w:szCs w:val="18"/>
                <w:lang w:val="sr-Cyrl-RS"/>
              </w:rPr>
              <w:t>ЈПО</w:t>
            </w:r>
          </w:p>
        </w:tc>
      </w:tr>
      <w:tr w:rsidR="000513A1" w:rsidRPr="00B3123E" w14:paraId="57DE4638"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74B7921" w14:textId="0F29A5D5"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lastRenderedPageBreak/>
              <w:t xml:space="preserve">1.3.4 </w:t>
            </w:r>
            <w:r w:rsidR="00955866" w:rsidRPr="00B3123E">
              <w:rPr>
                <w:rFonts w:ascii="Times New Roman" w:eastAsia="MS Mincho" w:hAnsi="Times New Roman" w:cs="Times New Roman"/>
                <w:sz w:val="18"/>
                <w:szCs w:val="18"/>
                <w:lang w:val="sr-Cyrl-RS"/>
              </w:rPr>
              <w:t>Унапређење сајбер безбедности у поштанском ИТ систему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572C4E1" w14:textId="59A7A53C"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 реализованих обука и састанака</w:t>
            </w:r>
            <w:r w:rsidR="00310251" w:rsidRPr="00B3123E">
              <w:rPr>
                <w:rFonts w:ascii="Times New Roman" w:eastAsia="MS Mincho" w:hAnsi="Times New Roman" w:cs="Times New Roman"/>
                <w:sz w:val="18"/>
                <w:szCs w:val="18"/>
                <w:lang w:val="sr-Cyrl-RS"/>
              </w:rPr>
              <w:t xml:space="preserve"> на тему сајбер безбедности</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7CE7D9FE" w14:textId="77777777" w:rsidR="00F94CEA" w:rsidRPr="00B3123E" w:rsidRDefault="00F94CEA" w:rsidP="00876373">
            <w:pPr>
              <w:spacing w:before="120" w:after="120" w:line="276" w:lineRule="auto"/>
              <w:jc w:val="center"/>
              <w:rPr>
                <w:rFonts w:ascii="Times New Roman" w:eastAsia="MS Mincho" w:hAnsi="Times New Roman" w:cs="Times New Roman"/>
                <w:sz w:val="18"/>
                <w:szCs w:val="18"/>
                <w:lang w:val="sr-Cyrl-RS"/>
              </w:rPr>
            </w:pPr>
          </w:p>
          <w:p w14:paraId="1EF78FB5" w14:textId="416C904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3E5DB1B" w14:textId="77777777" w:rsidR="00F94CEA" w:rsidRPr="00B3123E" w:rsidRDefault="00F94CEA" w:rsidP="00876373">
            <w:pPr>
              <w:spacing w:before="120" w:after="120" w:line="276" w:lineRule="auto"/>
              <w:jc w:val="center"/>
              <w:rPr>
                <w:rFonts w:ascii="Times New Roman" w:eastAsia="MS Mincho" w:hAnsi="Times New Roman" w:cs="Times New Roman"/>
                <w:sz w:val="18"/>
                <w:szCs w:val="18"/>
                <w:lang w:val="sr-Cyrl-RS"/>
              </w:rPr>
            </w:pPr>
          </w:p>
          <w:p w14:paraId="1A50CD6D" w14:textId="65A2DC2F"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68097BB" w14:textId="77777777" w:rsidR="00F94CEA" w:rsidRPr="00B3123E" w:rsidRDefault="00F94CEA" w:rsidP="00876373">
            <w:pPr>
              <w:spacing w:before="120" w:after="120" w:line="276" w:lineRule="auto"/>
              <w:jc w:val="center"/>
              <w:rPr>
                <w:rFonts w:ascii="Times New Roman" w:eastAsia="MS Mincho" w:hAnsi="Times New Roman" w:cs="Times New Roman"/>
                <w:sz w:val="18"/>
                <w:szCs w:val="18"/>
                <w:lang w:val="sr-Cyrl-RS"/>
              </w:rPr>
            </w:pPr>
          </w:p>
          <w:p w14:paraId="28E58AB1" w14:textId="14136118" w:rsidR="001368C3" w:rsidRPr="00B3123E" w:rsidRDefault="003D2E6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9</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090675B5" w14:textId="4AE2EA4F"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Извештаји МИТ и РАТЕЛ</w:t>
            </w:r>
          </w:p>
        </w:tc>
      </w:tr>
    </w:tbl>
    <w:p w14:paraId="20AF4C23" w14:textId="5DD752D9" w:rsidR="005F221A" w:rsidRPr="00B3123E" w:rsidRDefault="005F221A" w:rsidP="005F221A">
      <w:pPr>
        <w:rPr>
          <w:rFonts w:ascii="Times New Roman" w:hAnsi="Times New Roman" w:cs="Times New Roman"/>
          <w:szCs w:val="24"/>
          <w:lang w:val="sr-Cyrl-RS"/>
        </w:rPr>
      </w:pPr>
      <w:bookmarkStart w:id="59" w:name="_Toc211545982"/>
    </w:p>
    <w:p w14:paraId="0008AF50" w14:textId="021B457A" w:rsidR="005F221A" w:rsidRPr="00B3123E" w:rsidRDefault="001C1F30" w:rsidP="00D51D55">
      <w:pPr>
        <w:suppressAutoHyphens/>
        <w:autoSpaceDN w:val="0"/>
        <w:spacing w:line="247" w:lineRule="auto"/>
        <w:ind w:firstLine="709"/>
        <w:rPr>
          <w:rFonts w:ascii="Times New Roman" w:eastAsia="Calibri" w:hAnsi="Times New Roman" w:cs="Times New Roman"/>
          <w:kern w:val="3"/>
          <w:szCs w:val="24"/>
          <w:u w:val="single"/>
          <w:lang w:val="sr-Cyrl-RS"/>
        </w:rPr>
      </w:pPr>
      <w:r w:rsidRPr="00B3123E">
        <w:rPr>
          <w:rFonts w:ascii="Times New Roman" w:eastAsia="Calibri" w:hAnsi="Times New Roman" w:cs="Times New Roman"/>
          <w:kern w:val="3"/>
          <w:szCs w:val="24"/>
          <w:u w:val="single"/>
          <w:lang w:val="sr-Cyrl-RS"/>
        </w:rPr>
        <w:t xml:space="preserve">5.3. </w:t>
      </w:r>
      <w:r w:rsidR="005F221A" w:rsidRPr="00B3123E">
        <w:rPr>
          <w:rFonts w:ascii="Times New Roman" w:eastAsia="Calibri" w:hAnsi="Times New Roman" w:cs="Times New Roman"/>
          <w:kern w:val="3"/>
          <w:szCs w:val="24"/>
          <w:u w:val="single"/>
          <w:lang w:val="sr-Cyrl-RS"/>
        </w:rPr>
        <w:t xml:space="preserve">Анализа ефеката мера </w:t>
      </w:r>
    </w:p>
    <w:p w14:paraId="683A464F" w14:textId="2F946917" w:rsidR="005F221A" w:rsidRPr="00B3123E" w:rsidRDefault="005F221A" w:rsidP="00DD3C1F">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Анализа ефеката се спроводи за интегрални пакет мера 1.1</w:t>
      </w:r>
      <w:r w:rsidR="009E7531"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6F70E1"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3.4 који има за циљ модернизацију поштанске мреже, обезбеђење одрживости пружања универзалне поштанске услуге (УПУ), унапређење заштите корисника, усклађивање са правним тековинама </w:t>
      </w:r>
      <w:r w:rsidR="005948E8"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и актима Светског поштанског савеза, као и јачање конкурентности поштанског тржишта кроз примену нових технологија, вештачке интелигенције и унапређење сајбер безбедности.</w:t>
      </w:r>
    </w:p>
    <w:p w14:paraId="1EA83206" w14:textId="3A36282D" w:rsidR="005F221A" w:rsidRPr="00B3123E" w:rsidRDefault="005F221A" w:rsidP="00DD3C1F">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Приликом анализе сагледани су директни и индиректни, позитивни и негативни ефекти, као и усклађеност са важећим документима јавних политика у релевантним областима (пошта</w:t>
      </w:r>
      <w:r w:rsidR="00D4150A" w:rsidRPr="00B3123E">
        <w:rPr>
          <w:rFonts w:ascii="Times New Roman" w:hAnsi="Times New Roman" w:cs="Times New Roman"/>
          <w:szCs w:val="24"/>
          <w:lang w:val="sr-Cyrl-RS"/>
        </w:rPr>
        <w:t>нске услуге</w:t>
      </w:r>
      <w:r w:rsidRPr="00B3123E">
        <w:rPr>
          <w:rFonts w:ascii="Times New Roman" w:hAnsi="Times New Roman" w:cs="Times New Roman"/>
          <w:szCs w:val="24"/>
          <w:lang w:val="sr-Cyrl-RS"/>
        </w:rPr>
        <w:t>, дигитална трансформација, заштита потрошача, заштита животне средине, политика запошљавања)</w:t>
      </w:r>
      <w:r w:rsidR="00D4150A" w:rsidRPr="00B3123E">
        <w:rPr>
          <w:rFonts w:ascii="Times New Roman" w:hAnsi="Times New Roman" w:cs="Times New Roman"/>
          <w:szCs w:val="24"/>
          <w:lang w:val="sr-Cyrl-RS"/>
        </w:rPr>
        <w:t>.</w:t>
      </w:r>
    </w:p>
    <w:p w14:paraId="52BA52FB" w14:textId="77777777" w:rsidR="008E7186" w:rsidRPr="00B3123E" w:rsidRDefault="008E7186" w:rsidP="008E7186">
      <w:pPr>
        <w:tabs>
          <w:tab w:val="left" w:pos="1440"/>
        </w:tabs>
        <w:ind w:firstLine="1276"/>
        <w:rPr>
          <w:rFonts w:ascii="Times New Roman" w:hAnsi="Times New Roman" w:cs="Times New Roman"/>
          <w:sz w:val="6"/>
          <w:szCs w:val="6"/>
          <w:lang w:val="sr-Cyrl-RS"/>
        </w:rPr>
      </w:pPr>
    </w:p>
    <w:p w14:paraId="3593D1D1" w14:textId="5C01F4C4" w:rsidR="005F221A" w:rsidRPr="00B3123E" w:rsidRDefault="00D51D55" w:rsidP="00D51D55">
      <w:pPr>
        <w:suppressAutoHyphens/>
        <w:autoSpaceDN w:val="0"/>
        <w:spacing w:line="247" w:lineRule="auto"/>
        <w:ind w:firstLine="709"/>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1</w:t>
      </w:r>
      <w:r w:rsidR="005F221A" w:rsidRPr="00B3123E">
        <w:rPr>
          <w:rFonts w:ascii="Times New Roman" w:eastAsia="Calibri" w:hAnsi="Times New Roman" w:cs="Times New Roman"/>
          <w:b/>
          <w:bCs/>
          <w:kern w:val="3"/>
          <w:szCs w:val="24"/>
          <w:lang w:val="sr-Cyrl-RS"/>
        </w:rPr>
        <w:t>) Економски ефекти</w:t>
      </w:r>
    </w:p>
    <w:p w14:paraId="02E51D44" w14:textId="77777777" w:rsidR="005F221A" w:rsidRPr="00B3123E" w:rsidRDefault="005F221A" w:rsidP="0050754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Предложени пакет мера очекује се да има значајне позитивне економске ефекте на:</w:t>
      </w:r>
    </w:p>
    <w:p w14:paraId="3F6EBA99" w14:textId="1BB03B83" w:rsidR="005F221A" w:rsidRPr="00B3123E" w:rsidRDefault="005F221A" w:rsidP="00FD417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Пословање привредних субјеката</w:t>
      </w:r>
      <w:r w:rsidR="008E7186"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Cs/>
          <w:kern w:val="3"/>
          <w:szCs w:val="24"/>
          <w:lang w:val="sr-Cyrl-RS"/>
        </w:rPr>
        <w:t>–</w:t>
      </w:r>
      <w:r w:rsidR="008E7186"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Модернизована поштанска мрежа у складу са тржишним потребама (мера 1.1) и Унапређење комерцијалних поштанских услуга интеграцијом нових технологија (мера 3.1) доприносе поузданијој и бржој достав</w:t>
      </w:r>
      <w:r w:rsidR="00D4150A" w:rsidRPr="00B3123E">
        <w:rPr>
          <w:rFonts w:ascii="Times New Roman" w:eastAsia="Calibri" w:hAnsi="Times New Roman" w:cs="Times New Roman"/>
          <w:kern w:val="3"/>
          <w:szCs w:val="24"/>
          <w:lang w:val="sr-Cyrl-RS"/>
        </w:rPr>
        <w:t>и</w:t>
      </w:r>
      <w:r w:rsidRPr="00B3123E">
        <w:rPr>
          <w:rFonts w:ascii="Times New Roman" w:eastAsia="Calibri" w:hAnsi="Times New Roman" w:cs="Times New Roman"/>
          <w:kern w:val="3"/>
          <w:szCs w:val="24"/>
          <w:lang w:val="sr-Cyrl-RS"/>
        </w:rPr>
        <w:t xml:space="preserve"> робе и докумената, што смањује трансакционе трошкове за привреду.</w:t>
      </w:r>
      <w:r w:rsidR="008E7186" w:rsidRPr="00B3123E">
        <w:rPr>
          <w:rFonts w:ascii="Times New Roman" w:eastAsia="Calibri" w:hAnsi="Times New Roman" w:cs="Times New Roman"/>
          <w:kern w:val="3"/>
          <w:szCs w:val="24"/>
          <w:lang w:val="sr-Cyrl-RS"/>
        </w:rPr>
        <w:t xml:space="preserve"> </w:t>
      </w:r>
      <w:bookmarkStart w:id="60" w:name="_Hlk213102995"/>
      <w:r w:rsidRPr="00B3123E">
        <w:rPr>
          <w:rFonts w:ascii="Times New Roman" w:eastAsia="Calibri" w:hAnsi="Times New Roman" w:cs="Times New Roman"/>
          <w:kern w:val="3"/>
          <w:szCs w:val="24"/>
          <w:lang w:val="sr-Cyrl-RS"/>
        </w:rPr>
        <w:t xml:space="preserve">Подстицање развоја прекограничне доставе пошиљака </w:t>
      </w:r>
      <w:bookmarkEnd w:id="60"/>
      <w:r w:rsidRPr="00B3123E">
        <w:rPr>
          <w:rFonts w:ascii="Times New Roman" w:eastAsia="Calibri" w:hAnsi="Times New Roman" w:cs="Times New Roman"/>
          <w:kern w:val="3"/>
          <w:szCs w:val="24"/>
          <w:lang w:val="sr-Cyrl-RS"/>
        </w:rPr>
        <w:t>(мера 2.4) олакшава излазак МСП на страна тржишта и подржава развој е-трговине.</w:t>
      </w:r>
    </w:p>
    <w:p w14:paraId="7386EAE6" w14:textId="1FF8316F" w:rsidR="005F221A" w:rsidRPr="00B3123E" w:rsidRDefault="005F221A" w:rsidP="00FD417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Инвестиције привредних субјеката</w:t>
      </w:r>
      <w:r w:rsidR="008E7186"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Cs/>
          <w:kern w:val="3"/>
          <w:szCs w:val="24"/>
          <w:lang w:val="sr-Cyrl-RS"/>
        </w:rPr>
        <w:t>–</w:t>
      </w:r>
      <w:r w:rsidR="008E7186"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Унапређење комерцијалних поштанских услуга интеграцијом нових технологија и Утврђивање модела увођења вештачке интелигенције (AI) у поштанску индустрију (мере 3.1 и 3.3) подстичу додатне инвестиције поштанских оператора у опрему, софтвер и ИТ инфраструктуру.</w:t>
      </w:r>
      <w:r w:rsidR="008E7186"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Развој алата за унапређење конкуренције на тржишту поштанских услуга (мера 3.2) ствара транспарентније и предвидљивије тржишно окружење, што је подстицај за улазак нових учесника и инвеститора.</w:t>
      </w:r>
    </w:p>
    <w:p w14:paraId="67850831" w14:textId="72B31B09" w:rsidR="005F221A" w:rsidRPr="00B3123E" w:rsidRDefault="005F221A" w:rsidP="00FD417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Продуктивност привредних субјеката</w:t>
      </w:r>
      <w:r w:rsidR="008E7186"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8E7186"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 xml:space="preserve">Модернизација логистичких процеса и интеграција нових технологија доприносе већој продуктивности </w:t>
      </w:r>
      <w:r w:rsidR="00D4150A" w:rsidRPr="00B3123E">
        <w:rPr>
          <w:rFonts w:ascii="Times New Roman" w:eastAsia="Calibri" w:hAnsi="Times New Roman" w:cs="Times New Roman"/>
          <w:kern w:val="3"/>
          <w:szCs w:val="24"/>
          <w:lang w:val="sr-Cyrl-RS"/>
        </w:rPr>
        <w:t>ЈПО</w:t>
      </w:r>
      <w:r w:rsidRPr="00B3123E">
        <w:rPr>
          <w:rFonts w:ascii="Times New Roman" w:eastAsia="Calibri" w:hAnsi="Times New Roman" w:cs="Times New Roman"/>
          <w:kern w:val="3"/>
          <w:szCs w:val="24"/>
          <w:lang w:val="sr-Cyrl-RS"/>
        </w:rPr>
        <w:t xml:space="preserve"> и осталих учесника на тржишту, смањењу кашњења, грешака и губитака пошиљака.</w:t>
      </w:r>
      <w:r w:rsidR="008E7186"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Унапређење радних стандарда и промоција једнаких услова рада у поштанском сектору (мера 2.6) могу дугорочно да допринесу већој продуктивности запослених и смањењу флуктуације радне снаге.</w:t>
      </w:r>
    </w:p>
    <w:p w14:paraId="11321F91" w14:textId="7086A21C" w:rsidR="008E7186" w:rsidRPr="00B3123E" w:rsidRDefault="005F221A" w:rsidP="005F221A">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Приступ тржишту</w:t>
      </w:r>
      <w:r w:rsidR="008E7186"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8E7186"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Развој алата за унапређење конкуренције на тржишту поштанских услуга (мера 3.2) и Подстицање развоја прекограничне доставе пошиљака (мера 2.4) могу да смање баријере за улазак нових оператора и платформи е-трговине.</w:t>
      </w:r>
      <w:r w:rsidR="008E7186"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Усклађивање регулативе са законодавством ЕУ и </w:t>
      </w:r>
      <w:r w:rsidR="00D4150A" w:rsidRPr="00B3123E">
        <w:rPr>
          <w:rFonts w:ascii="Times New Roman" w:eastAsia="Calibri" w:hAnsi="Times New Roman" w:cs="Times New Roman"/>
          <w:kern w:val="3"/>
          <w:szCs w:val="24"/>
          <w:lang w:val="sr-Cyrl-RS"/>
        </w:rPr>
        <w:t>Светског поштанског савеза</w:t>
      </w:r>
      <w:r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lastRenderedPageBreak/>
        <w:t>(</w:t>
      </w:r>
      <w:r w:rsidR="00F6112B">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2.2) </w:t>
      </w:r>
      <w:r w:rsidR="00D4150A" w:rsidRPr="00B3123E">
        <w:rPr>
          <w:rFonts w:ascii="Times New Roman" w:eastAsia="Calibri" w:hAnsi="Times New Roman" w:cs="Times New Roman"/>
          <w:kern w:val="3"/>
          <w:szCs w:val="24"/>
          <w:lang w:val="sr-Cyrl-RS"/>
        </w:rPr>
        <w:t>ојачава правну сигурност</w:t>
      </w:r>
      <w:r w:rsidRPr="00B3123E">
        <w:rPr>
          <w:rFonts w:ascii="Times New Roman" w:eastAsia="Calibri" w:hAnsi="Times New Roman" w:cs="Times New Roman"/>
          <w:kern w:val="3"/>
          <w:szCs w:val="24"/>
          <w:lang w:val="sr-Cyrl-RS"/>
        </w:rPr>
        <w:t xml:space="preserve"> и олакшава пословање домаћих и страних привредних субјеката.</w:t>
      </w:r>
    </w:p>
    <w:p w14:paraId="3DAF3A5E" w14:textId="40A4E6AC" w:rsidR="005F221A" w:rsidRPr="00B3123E" w:rsidRDefault="005F221A" w:rsidP="00D51D55">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Могући негативни ефекти и мере ублажавања:</w:t>
      </w:r>
    </w:p>
    <w:p w14:paraId="5C7459A6" w14:textId="3D0B4E97" w:rsidR="00BF7A1D" w:rsidRPr="00B3123E" w:rsidRDefault="005F221A" w:rsidP="00BB56BF">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Краткорочно повећање трошкова за операторе због улагања у технологију, AI и сајбер безбедност везаних за Унапређење комерцијалних поштанских услуга интеграцијом нових технологија, Утврђивање модела увођења вештачке интелигенције (AI) у поштанску индустрију и Унапређење сајбер безбедности у пошта</w:t>
      </w:r>
      <w:r w:rsidR="005948E8" w:rsidRPr="00B3123E">
        <w:rPr>
          <w:rFonts w:ascii="Times New Roman" w:eastAsia="Calibri" w:hAnsi="Times New Roman" w:cs="Times New Roman"/>
          <w:kern w:val="3"/>
          <w:szCs w:val="24"/>
          <w:lang w:val="sr-Cyrl-RS"/>
        </w:rPr>
        <w:t>нском ИТ систему (мере 3.1, 3.3 и</w:t>
      </w:r>
      <w:r w:rsidRPr="00B3123E">
        <w:rPr>
          <w:rFonts w:ascii="Times New Roman" w:eastAsia="Calibri" w:hAnsi="Times New Roman" w:cs="Times New Roman"/>
          <w:kern w:val="3"/>
          <w:szCs w:val="24"/>
          <w:lang w:val="sr-Cyrl-RS"/>
        </w:rPr>
        <w:t xml:space="preserve"> 3.4) може оптеретити финансије појединих учесника на тржишту.</w:t>
      </w:r>
      <w:r w:rsidR="00BF7A1D" w:rsidRPr="00B3123E">
        <w:rPr>
          <w:rFonts w:ascii="Times New Roman" w:eastAsia="Calibri" w:hAnsi="Times New Roman" w:cs="Times New Roman"/>
          <w:kern w:val="3"/>
          <w:szCs w:val="24"/>
          <w:lang w:val="sr-Cyrl-RS"/>
        </w:rPr>
        <w:t xml:space="preserve"> </w:t>
      </w:r>
    </w:p>
    <w:p w14:paraId="02C87C05" w14:textId="7B2F30E9" w:rsidR="005F221A" w:rsidRPr="00B3123E" w:rsidRDefault="005F221A" w:rsidP="00BB56BF">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Мера ублажавања:</w:t>
      </w:r>
      <w:r w:rsidRPr="00B3123E">
        <w:rPr>
          <w:rFonts w:ascii="Times New Roman" w:eastAsia="Calibri" w:hAnsi="Times New Roman" w:cs="Times New Roman"/>
          <w:kern w:val="3"/>
          <w:szCs w:val="24"/>
          <w:lang w:val="sr-Cyrl-RS"/>
        </w:rPr>
        <w:t xml:space="preserve"> фазна имплементација, могућност коришћења подстицајних програма и међународних фондова, техничка помоћ мањим операторима.</w:t>
      </w:r>
    </w:p>
    <w:p w14:paraId="3851563A" w14:textId="5D72405B" w:rsidR="00BF7A1D" w:rsidRPr="00B3123E" w:rsidRDefault="005F221A" w:rsidP="00BB56BF">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Модернизована поштанска мрежа у складу са тржишним потребама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1.1) може у појединим срединама значити промену структуре приступних тачака (консолидација, дигитални канали), што може утицати на локалне микро-привредне субјекте (нпр. уговорне поште).</w:t>
      </w:r>
      <w:r w:rsidR="00BF7A1D" w:rsidRPr="00B3123E">
        <w:rPr>
          <w:rFonts w:ascii="Times New Roman" w:eastAsia="Calibri" w:hAnsi="Times New Roman" w:cs="Times New Roman"/>
          <w:kern w:val="3"/>
          <w:szCs w:val="24"/>
          <w:lang w:val="sr-Cyrl-RS"/>
        </w:rPr>
        <w:t xml:space="preserve"> </w:t>
      </w:r>
    </w:p>
    <w:p w14:paraId="604A8F7A" w14:textId="67E0DB7E" w:rsidR="005F221A" w:rsidRPr="00B3123E" w:rsidRDefault="005F221A" w:rsidP="00BB56BF">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Мера ублажавања</w:t>
      </w:r>
      <w:r w:rsidRPr="00B3123E">
        <w:rPr>
          <w:rFonts w:ascii="Times New Roman" w:eastAsia="Calibri" w:hAnsi="Times New Roman" w:cs="Times New Roman"/>
          <w:kern w:val="3"/>
          <w:szCs w:val="24"/>
          <w:lang w:val="sr-Cyrl-RS"/>
        </w:rPr>
        <w:t>: пажљива просторна анализа, очување минималне доступности, развој алтернативних приступних тачака.</w:t>
      </w:r>
    </w:p>
    <w:p w14:paraId="01DFDF86" w14:textId="77777777" w:rsidR="00BF7A1D" w:rsidRPr="00B3123E" w:rsidRDefault="00BF7A1D" w:rsidP="005F221A">
      <w:pPr>
        <w:suppressAutoHyphens/>
        <w:autoSpaceDN w:val="0"/>
        <w:spacing w:line="247" w:lineRule="auto"/>
        <w:rPr>
          <w:rFonts w:ascii="Times New Roman" w:eastAsia="Calibri" w:hAnsi="Times New Roman" w:cs="Times New Roman"/>
          <w:b/>
          <w:bCs/>
          <w:kern w:val="3"/>
          <w:szCs w:val="24"/>
          <w:lang w:val="sr-Cyrl-RS"/>
        </w:rPr>
      </w:pPr>
    </w:p>
    <w:p w14:paraId="23641C24" w14:textId="068587C6" w:rsidR="005F221A" w:rsidRPr="00B3123E" w:rsidRDefault="00D51D55" w:rsidP="00D51D55">
      <w:pPr>
        <w:suppressAutoHyphens/>
        <w:autoSpaceDN w:val="0"/>
        <w:spacing w:line="247" w:lineRule="auto"/>
        <w:ind w:firstLine="709"/>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2</w:t>
      </w:r>
      <w:r w:rsidR="005F221A" w:rsidRPr="00B3123E">
        <w:rPr>
          <w:rFonts w:ascii="Times New Roman" w:eastAsia="Calibri" w:hAnsi="Times New Roman" w:cs="Times New Roman"/>
          <w:b/>
          <w:bCs/>
          <w:kern w:val="3"/>
          <w:szCs w:val="24"/>
          <w:lang w:val="sr-Cyrl-RS"/>
        </w:rPr>
        <w:t>)  Ефекти на друштво</w:t>
      </w:r>
    </w:p>
    <w:p w14:paraId="52986359" w14:textId="77777777" w:rsidR="005F221A" w:rsidRPr="00B3123E" w:rsidRDefault="005F221A" w:rsidP="0050754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Пакет мера има изражене друштвене ефекте, нарочито на осетљиве групе и становништво у руралним подручјима:</w:t>
      </w:r>
    </w:p>
    <w:p w14:paraId="1F332D49" w14:textId="00862714" w:rsidR="005F221A" w:rsidRPr="00B3123E" w:rsidRDefault="005F221A" w:rsidP="009C523D">
      <w:pPr>
        <w:numPr>
          <w:ilvl w:val="0"/>
          <w:numId w:val="41"/>
        </w:numPr>
        <w:suppressAutoHyphens/>
        <w:autoSpaceDN w:val="0"/>
        <w:spacing w:before="240"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Људска права, социјално укључивање и недискриминација</w:t>
      </w:r>
      <w:r w:rsidR="00BF7A1D"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Обез</w:t>
      </w:r>
      <w:r w:rsidR="00CF3006">
        <w:rPr>
          <w:rFonts w:ascii="Times New Roman" w:eastAsia="Calibri" w:hAnsi="Times New Roman" w:cs="Times New Roman"/>
          <w:kern w:val="3"/>
          <w:szCs w:val="24"/>
          <w:lang w:val="sr-Cyrl-RS"/>
        </w:rPr>
        <w:t>беђење одрживости пружања УПУ (M</w:t>
      </w:r>
      <w:r w:rsidRPr="00B3123E">
        <w:rPr>
          <w:rFonts w:ascii="Times New Roman" w:eastAsia="Calibri" w:hAnsi="Times New Roman" w:cs="Times New Roman"/>
          <w:kern w:val="3"/>
          <w:szCs w:val="24"/>
          <w:lang w:val="sr-Cyrl-RS"/>
        </w:rPr>
        <w:t>ера 1.2) и Унапређење заштите и интереса корисника УПУ и Унапређење заштите и интереса корисника експрес услуга (мере 1.4 и 2.3) доприносе једнаком третману корисника, доступности основних услуга и заштити права потрошача.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Успостављање системског праћења имплементираних стандарда УПУ</w:t>
      </w:r>
      <w:r w:rsidR="00684B71"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14508 и 14012 у циљу заштите корисника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1.3) јача позицију корисника кроз транспарентност квалитета услуга.</w:t>
      </w:r>
    </w:p>
    <w:p w14:paraId="24C03E74" w14:textId="738D9385" w:rsidR="005F221A" w:rsidRPr="00B3123E" w:rsidRDefault="005F221A" w:rsidP="009C523D">
      <w:pPr>
        <w:numPr>
          <w:ilvl w:val="0"/>
          <w:numId w:val="41"/>
        </w:numPr>
        <w:suppressAutoHyphens/>
        <w:autoSpaceDN w:val="0"/>
        <w:spacing w:before="240"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Тржиште рада, запошљавање и услови рада</w:t>
      </w:r>
      <w:r w:rsidR="00BF7A1D"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Унапређење радних стандарда и промоција једнаких услова рада у поштанском сектору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2.6) позитивно утиче на здравље и безбедност на раду, смањење неформалног рада и јачање социјалног дијалога.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Оснаживање сектора кроз едукацију и кампање о савременим поштанским трендовима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2.5) доприносе подизању нивоа компетенција радника и њиховој прилагодљивости технолошким променама.</w:t>
      </w:r>
    </w:p>
    <w:p w14:paraId="77A76567" w14:textId="460AF009" w:rsidR="005F221A" w:rsidRPr="00B3123E" w:rsidRDefault="005F221A" w:rsidP="009C523D">
      <w:pPr>
        <w:numPr>
          <w:ilvl w:val="0"/>
          <w:numId w:val="41"/>
        </w:numPr>
        <w:suppressAutoHyphens/>
        <w:autoSpaceDN w:val="0"/>
        <w:spacing w:before="240"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Квалитет и доступност јавних услуга</w:t>
      </w:r>
      <w:r w:rsidR="00BF7A1D"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Модернизована поштанска мрежа у складу са тржишним потребама и Обезбеђење одрживости пружања УПУ као поузданог и доступног сервиса за друштво и привреду као поузданог и доступног сервиса за друштво и привреду (мере 1.1 и 1.2) имају директан утицај на доступност јавних услуга становништву (плаћање рачуна, достављање докумената органа управе, приступ е-трговини).</w:t>
      </w:r>
    </w:p>
    <w:p w14:paraId="6BEA18AD" w14:textId="4CAB82A9" w:rsidR="005F221A" w:rsidRPr="00B3123E" w:rsidRDefault="005F221A" w:rsidP="009C523D">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Развој међународне сарадње са глобалним и регионалним организацијама из области поштанског саобраћаја и Усклађивање регулативе са законодавством ЕУ и </w:t>
      </w:r>
      <w:r w:rsidRPr="00B3123E">
        <w:rPr>
          <w:rFonts w:ascii="Times New Roman" w:eastAsia="Calibri" w:hAnsi="Times New Roman" w:cs="Times New Roman"/>
          <w:kern w:val="3"/>
          <w:szCs w:val="24"/>
          <w:lang w:val="sr-Cyrl-RS"/>
        </w:rPr>
        <w:lastRenderedPageBreak/>
        <w:t xml:space="preserve">Светског поштанског савеза (мере 2.1 и 2.2) могу проширити спектар услуга од јавног интереса на поштанским </w:t>
      </w:r>
      <w:r w:rsidR="003C426E" w:rsidRPr="00B3123E">
        <w:rPr>
          <w:rFonts w:ascii="Times New Roman" w:eastAsia="Calibri" w:hAnsi="Times New Roman" w:cs="Times New Roman"/>
          <w:kern w:val="3"/>
          <w:szCs w:val="24"/>
          <w:lang w:val="sr-Cyrl-RS"/>
        </w:rPr>
        <w:t>шалтерима</w:t>
      </w:r>
      <w:r w:rsidRPr="00B3123E">
        <w:rPr>
          <w:rFonts w:ascii="Times New Roman" w:eastAsia="Calibri" w:hAnsi="Times New Roman" w:cs="Times New Roman"/>
          <w:kern w:val="3"/>
          <w:szCs w:val="24"/>
          <w:lang w:val="sr-Cyrl-RS"/>
        </w:rPr>
        <w:t>.</w:t>
      </w:r>
    </w:p>
    <w:p w14:paraId="7590C449" w14:textId="77777777" w:rsidR="00BF7A1D" w:rsidRPr="00B3123E" w:rsidRDefault="00BF7A1D" w:rsidP="005F221A">
      <w:pPr>
        <w:suppressAutoHyphens/>
        <w:autoSpaceDN w:val="0"/>
        <w:spacing w:line="247" w:lineRule="auto"/>
        <w:rPr>
          <w:rFonts w:ascii="Times New Roman" w:eastAsia="Calibri" w:hAnsi="Times New Roman" w:cs="Times New Roman"/>
          <w:b/>
          <w:bCs/>
          <w:kern w:val="3"/>
          <w:szCs w:val="24"/>
          <w:lang w:val="sr-Cyrl-RS"/>
        </w:rPr>
      </w:pPr>
    </w:p>
    <w:p w14:paraId="0EC19338" w14:textId="75EBE3D8" w:rsidR="005F221A" w:rsidRPr="00B3123E" w:rsidRDefault="005F221A" w:rsidP="006211A8">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Могући негативни ефекти и мере ублажавања:</w:t>
      </w:r>
    </w:p>
    <w:p w14:paraId="12832833" w14:textId="77777777" w:rsidR="00BF7A1D" w:rsidRPr="00B3123E" w:rsidRDefault="005F221A" w:rsidP="009C523D">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Унапређење комерцијалних поштанских услуга интеграцијом нових технологија  и Утврђивање модела увођења вештачке интелигенције (AI) у поштанску индустрију (мере 3.1 и 3.3) могу довести до промене структура радних места и потенцијалног смањења потребе за одређеним профилима радника.</w:t>
      </w:r>
      <w:r w:rsidR="00BF7A1D" w:rsidRPr="00B3123E">
        <w:rPr>
          <w:rFonts w:ascii="Times New Roman" w:eastAsia="Calibri" w:hAnsi="Times New Roman" w:cs="Times New Roman"/>
          <w:kern w:val="3"/>
          <w:szCs w:val="24"/>
          <w:lang w:val="sr-Cyrl-RS"/>
        </w:rPr>
        <w:t xml:space="preserve"> </w:t>
      </w:r>
    </w:p>
    <w:p w14:paraId="33399440" w14:textId="2365C6AA" w:rsidR="005F221A" w:rsidRPr="00B3123E" w:rsidRDefault="005F221A" w:rsidP="009C523D">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ублажавања</w:t>
      </w:r>
      <w:r w:rsidRPr="00B3123E">
        <w:rPr>
          <w:rFonts w:ascii="Times New Roman" w:eastAsia="Calibri" w:hAnsi="Times New Roman" w:cs="Times New Roman"/>
          <w:kern w:val="3"/>
          <w:szCs w:val="24"/>
          <w:lang w:val="sr-Cyrl-RS"/>
        </w:rPr>
        <w:t>: програми преквалификације, интерне обуке, планови транзиције радне снаге, социјални дијалог са синдикатима.</w:t>
      </w:r>
    </w:p>
    <w:p w14:paraId="74C557DF" w14:textId="77777777" w:rsidR="00BF7A1D" w:rsidRPr="00B3123E" w:rsidRDefault="005F221A" w:rsidP="009C523D">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Повећано ослањање на дигиталне канале може продубити дигитални јаз за старије и социјално угрожене кориснике.</w:t>
      </w:r>
      <w:r w:rsidR="00BF7A1D" w:rsidRPr="00B3123E">
        <w:rPr>
          <w:rFonts w:ascii="Times New Roman" w:eastAsia="Calibri" w:hAnsi="Times New Roman" w:cs="Times New Roman"/>
          <w:kern w:val="3"/>
          <w:szCs w:val="24"/>
          <w:lang w:val="sr-Cyrl-RS"/>
        </w:rPr>
        <w:t xml:space="preserve"> </w:t>
      </w:r>
    </w:p>
    <w:p w14:paraId="6BF2767C" w14:textId="5DA9CB5A" w:rsidR="005F221A" w:rsidRPr="00B3123E" w:rsidRDefault="005F221A" w:rsidP="009C523D">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ублажавања:</w:t>
      </w:r>
      <w:r w:rsidRPr="00B3123E">
        <w:rPr>
          <w:rFonts w:ascii="Times New Roman" w:eastAsia="Calibri" w:hAnsi="Times New Roman" w:cs="Times New Roman"/>
          <w:kern w:val="3"/>
          <w:szCs w:val="24"/>
          <w:lang w:val="sr-Cyrl-RS"/>
        </w:rPr>
        <w:t xml:space="preserve"> задржавање минималне мреже физичких приступних тачака, посебни програми подршке и информисања ових група, прилагођени канали комуникације.</w:t>
      </w:r>
    </w:p>
    <w:p w14:paraId="0C637E90" w14:textId="77777777" w:rsidR="00A833F0" w:rsidRPr="00B3123E" w:rsidRDefault="00A833F0" w:rsidP="005F221A">
      <w:pPr>
        <w:suppressAutoHyphens/>
        <w:autoSpaceDN w:val="0"/>
        <w:spacing w:line="247" w:lineRule="auto"/>
        <w:rPr>
          <w:rFonts w:ascii="Times New Roman" w:eastAsia="Calibri" w:hAnsi="Times New Roman" w:cs="Times New Roman"/>
          <w:b/>
          <w:bCs/>
          <w:kern w:val="3"/>
          <w:szCs w:val="24"/>
          <w:lang w:val="sr-Cyrl-RS"/>
        </w:rPr>
      </w:pPr>
    </w:p>
    <w:p w14:paraId="4FB85FB1" w14:textId="29ACF410" w:rsidR="005F221A" w:rsidRPr="00B3123E" w:rsidRDefault="00D51D55" w:rsidP="00D51D55">
      <w:pPr>
        <w:suppressAutoHyphens/>
        <w:autoSpaceDN w:val="0"/>
        <w:spacing w:line="247" w:lineRule="auto"/>
        <w:ind w:firstLine="709"/>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3</w:t>
      </w:r>
      <w:r w:rsidR="005F221A" w:rsidRPr="00B3123E">
        <w:rPr>
          <w:rFonts w:ascii="Times New Roman" w:eastAsia="Calibri" w:hAnsi="Times New Roman" w:cs="Times New Roman"/>
          <w:b/>
          <w:bCs/>
          <w:kern w:val="3"/>
          <w:szCs w:val="24"/>
          <w:lang w:val="sr-Cyrl-RS"/>
        </w:rPr>
        <w:t>) Ефекти на животну средину</w:t>
      </w:r>
    </w:p>
    <w:p w14:paraId="6F3BF1D3" w14:textId="77777777" w:rsidR="005F221A" w:rsidRPr="00B3123E" w:rsidRDefault="005F221A" w:rsidP="0050754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Пакет мера има потенцијално значајне позитивне ефекте на животну средину, али и одређене ризике:</w:t>
      </w:r>
    </w:p>
    <w:p w14:paraId="5C3DBF83" w14:textId="286D87C6" w:rsidR="00FB2EF1" w:rsidRPr="00B3123E" w:rsidRDefault="00FB2EF1" w:rsidP="00520B0E">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 xml:space="preserve">Позитивни ефекти: </w:t>
      </w:r>
      <w:r w:rsidRPr="00B3123E">
        <w:rPr>
          <w:rFonts w:ascii="Times New Roman" w:eastAsia="Calibri" w:hAnsi="Times New Roman" w:cs="Times New Roman"/>
          <w:kern w:val="3"/>
          <w:szCs w:val="24"/>
          <w:lang w:val="sr-Cyrl-RS"/>
        </w:rPr>
        <w:t>Модернизована поштанска мрежа у складу са тржишним потребама, Унапређење комерцијалних поштанских услуга интеграцијом нових технологија  и Утврђивање модела увођења вештачке интелигенције (AI) у поштанску индустрију (мере 1.1, 3.1, 3.3), доприносе смањењу потрошње горива, оптимизацији логистике и смањењу емисија гасова са ефектом стаклене баште. Усклађивање регулативе са законодавством ЕУ и Светског поштанског савеза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2.2) омогућава лакшу интеграцију еколошких стандарда у поштанске операције (нпр. ефикасне руте, дигиталне услуге уместо папирне документације). </w:t>
      </w:r>
    </w:p>
    <w:p w14:paraId="47E8F62E" w14:textId="7BF133B0" w:rsidR="00FB2EF1" w:rsidRPr="00B3123E" w:rsidRDefault="00FB2EF1" w:rsidP="00520B0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Успостављање програма дигиталних и зелених вештина у сарадњи са образовним институцијама (активност 1.2.5.1) доприноси развоју еколошке свести и јачању капацитета запослених за примену енергетски ефикасних технологија, боље управљање ресурсима и примену одрживих логистичких пракси. Истовремено, примена еколошких стандарда у пружању поштанских услуга (активност 1.3.1.4) директно утиче на смањење негативних утицаја поштанских операција на животну средину кроз увођење одрживих модела руковања, транспорта и паковања, као и кроз смањење емисија CO₂.</w:t>
      </w:r>
    </w:p>
    <w:p w14:paraId="4F392AA3" w14:textId="2E2AACD3" w:rsidR="00FB2EF1" w:rsidRPr="00B3123E" w:rsidRDefault="00FB2EF1" w:rsidP="00520B0E">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Могући негативни ефекти</w:t>
      </w:r>
      <w:r w:rsidRPr="00B3123E">
        <w:rPr>
          <w:rFonts w:ascii="Times New Roman" w:eastAsia="Calibri" w:hAnsi="Times New Roman" w:cs="Times New Roman"/>
          <w:bCs/>
          <w:kern w:val="3"/>
          <w:szCs w:val="24"/>
          <w:lang w:val="sr-Cyrl-RS"/>
        </w:rPr>
        <w:t>:</w:t>
      </w:r>
      <w:r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Подстицање развоја прекограничне доставе пошиљака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2.4) може довести до раста обима саобраћаја и, у недостатку еколошких мера, до повећаних емисија и оптерећења инфраструктуре.</w:t>
      </w:r>
    </w:p>
    <w:p w14:paraId="5F258694" w14:textId="39F9BFCD" w:rsidR="00FB2EF1" w:rsidRPr="00B3123E" w:rsidRDefault="00FB2EF1" w:rsidP="00520B0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ублажавања</w:t>
      </w:r>
      <w:r w:rsidRPr="00B3123E">
        <w:rPr>
          <w:rFonts w:ascii="Times New Roman" w:eastAsia="Calibri" w:hAnsi="Times New Roman" w:cs="Times New Roman"/>
          <w:kern w:val="3"/>
          <w:szCs w:val="24"/>
          <w:lang w:val="sr-Cyrl-RS"/>
        </w:rPr>
        <w:t>: подстицање употребе енергетски ефикасних возила, оптимизација мрежа и рута, промоција консолидације пошиљака и коришћења PUDO</w:t>
      </w:r>
      <w:r w:rsidR="00FE1378" w:rsidRPr="00B3123E">
        <w:rPr>
          <w:rFonts w:ascii="Times New Roman" w:eastAsia="Calibri" w:hAnsi="Times New Roman" w:cs="Times New Roman"/>
          <w:kern w:val="3"/>
          <w:szCs w:val="24"/>
          <w:lang w:val="sr-Cyrl-RS"/>
        </w:rPr>
        <w:t xml:space="preserve"> (Pick -Up-Drop-Off) </w:t>
      </w:r>
      <w:r w:rsidRPr="00B3123E">
        <w:rPr>
          <w:rFonts w:ascii="Times New Roman" w:eastAsia="Calibri" w:hAnsi="Times New Roman" w:cs="Times New Roman"/>
          <w:kern w:val="3"/>
          <w:szCs w:val="24"/>
          <w:lang w:val="sr-Cyrl-RS"/>
        </w:rPr>
        <w:t>/пакетомат решења.</w:t>
      </w:r>
    </w:p>
    <w:p w14:paraId="5A577681" w14:textId="77777777" w:rsidR="005F221A" w:rsidRPr="00B3123E" w:rsidRDefault="005F221A" w:rsidP="005F221A">
      <w:pPr>
        <w:suppressAutoHyphens/>
        <w:autoSpaceDN w:val="0"/>
        <w:spacing w:line="247" w:lineRule="auto"/>
        <w:rPr>
          <w:rFonts w:ascii="Times New Roman" w:eastAsia="Calibri" w:hAnsi="Times New Roman" w:cs="Times New Roman"/>
          <w:b/>
          <w:bCs/>
          <w:kern w:val="3"/>
          <w:szCs w:val="24"/>
          <w:lang w:val="sr-Cyrl-RS"/>
        </w:rPr>
      </w:pPr>
    </w:p>
    <w:p w14:paraId="686A1D7C" w14:textId="0EBFAE68" w:rsidR="005F221A" w:rsidRPr="00B3123E" w:rsidRDefault="00D51D55" w:rsidP="00D51D55">
      <w:pPr>
        <w:suppressAutoHyphens/>
        <w:autoSpaceDN w:val="0"/>
        <w:spacing w:line="247" w:lineRule="auto"/>
        <w:ind w:firstLine="712"/>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4</w:t>
      </w:r>
      <w:r w:rsidR="005F221A" w:rsidRPr="00B3123E">
        <w:rPr>
          <w:rFonts w:ascii="Times New Roman" w:eastAsia="Calibri" w:hAnsi="Times New Roman" w:cs="Times New Roman"/>
          <w:b/>
          <w:bCs/>
          <w:kern w:val="3"/>
          <w:szCs w:val="24"/>
          <w:lang w:val="sr-Cyrl-RS"/>
        </w:rPr>
        <w:t>) Управљачки ефекти</w:t>
      </w:r>
    </w:p>
    <w:p w14:paraId="49FA0A18" w14:textId="77777777" w:rsidR="005F221A" w:rsidRPr="00B3123E" w:rsidRDefault="005F221A" w:rsidP="00BF7A1D">
      <w:pPr>
        <w:tabs>
          <w:tab w:val="left" w:pos="1440"/>
        </w:tabs>
        <w:ind w:firstLine="1276"/>
        <w:rPr>
          <w:rFonts w:ascii="Times New Roman" w:hAnsi="Times New Roman" w:cs="Times New Roman"/>
          <w:szCs w:val="24"/>
          <w:lang w:val="sr-Cyrl-RS"/>
        </w:rPr>
      </w:pPr>
      <w:r w:rsidRPr="00B3123E">
        <w:rPr>
          <w:rFonts w:ascii="Times New Roman" w:hAnsi="Times New Roman" w:cs="Times New Roman"/>
          <w:szCs w:val="24"/>
          <w:lang w:val="sr-Cyrl-RS"/>
        </w:rPr>
        <w:t>Мере у значајној мери утичу на начин функционисања надлежних органа, јавних оператора и регулатора:</w:t>
      </w:r>
    </w:p>
    <w:p w14:paraId="27418C4F" w14:textId="66BC169F" w:rsidR="005F221A" w:rsidRPr="00B3123E" w:rsidRDefault="005F221A" w:rsidP="00DD65A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Организационе и институционалне промене</w:t>
      </w:r>
      <w:r w:rsidR="00BF7A1D" w:rsidRPr="00B3123E">
        <w:rPr>
          <w:rFonts w:ascii="Times New Roman" w:eastAsia="Calibri" w:hAnsi="Times New Roman" w:cs="Times New Roman"/>
          <w:b/>
          <w:bCs/>
          <w:kern w:val="3"/>
          <w:szCs w:val="24"/>
          <w:lang w:val="sr-Cyrl-RS"/>
        </w:rPr>
        <w:t xml:space="preserve"> </w:t>
      </w:r>
      <w:r w:rsidR="00D51D55"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У</w:t>
      </w:r>
      <w:r w:rsidR="005D6CAB" w:rsidRPr="00B3123E">
        <w:rPr>
          <w:rFonts w:ascii="Times New Roman" w:eastAsia="Calibri" w:hAnsi="Times New Roman" w:cs="Times New Roman"/>
          <w:kern w:val="3"/>
          <w:szCs w:val="24"/>
          <w:lang w:val="sr-Cyrl-RS"/>
        </w:rPr>
        <w:t>напређење</w:t>
      </w:r>
      <w:r w:rsidRPr="00B3123E">
        <w:rPr>
          <w:rFonts w:ascii="Times New Roman" w:eastAsia="Calibri" w:hAnsi="Times New Roman" w:cs="Times New Roman"/>
          <w:kern w:val="3"/>
          <w:szCs w:val="24"/>
          <w:lang w:val="sr-Cyrl-RS"/>
        </w:rPr>
        <w:t xml:space="preserve"> системског праћења имплементираних стандарда УПУ, 14508 и 14012 у циљу заштите корисника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1.3) захтева јачање аналитичких капацитета регулатора и/или надлежног </w:t>
      </w:r>
      <w:r w:rsidR="00D7628E" w:rsidRPr="00B3123E">
        <w:rPr>
          <w:rFonts w:ascii="Times New Roman" w:eastAsia="Calibri" w:hAnsi="Times New Roman" w:cs="Times New Roman"/>
          <w:kern w:val="3"/>
          <w:szCs w:val="24"/>
          <w:lang w:val="sr-Cyrl-RS"/>
        </w:rPr>
        <w:t>М</w:t>
      </w:r>
      <w:r w:rsidRPr="00B3123E">
        <w:rPr>
          <w:rFonts w:ascii="Times New Roman" w:eastAsia="Calibri" w:hAnsi="Times New Roman" w:cs="Times New Roman"/>
          <w:kern w:val="3"/>
          <w:szCs w:val="24"/>
          <w:lang w:val="sr-Cyrl-RS"/>
        </w:rPr>
        <w:t>инистарства, као и унапређење механизама извештавања поштанских оператора.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Развој алата за унапређење конкуренције на тржишту поштанских услуга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3.2) подразумева успостављање нових аналитичких и надзорних функција.</w:t>
      </w:r>
    </w:p>
    <w:p w14:paraId="004612F3" w14:textId="0B144B84" w:rsidR="005F221A" w:rsidRPr="00B3123E" w:rsidRDefault="005F221A" w:rsidP="00DD65A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Капацитети за спровођење</w:t>
      </w:r>
      <w:r w:rsidR="00BF7A1D" w:rsidRPr="00B3123E">
        <w:rPr>
          <w:rFonts w:ascii="Times New Roman" w:eastAsia="Calibri" w:hAnsi="Times New Roman" w:cs="Times New Roman"/>
          <w:b/>
          <w:bCs/>
          <w:kern w:val="3"/>
          <w:szCs w:val="24"/>
          <w:lang w:val="sr-Cyrl-RS"/>
        </w:rPr>
        <w:t xml:space="preserve"> </w:t>
      </w:r>
      <w:r w:rsidR="00D51D55"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Развој међународне сарадње са глобалним и регионалним организацијама из области поштанског саобраћаја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2.1) и Усклађивање регулативе са законодавством ЕУ и Светског поштанског савеза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2.2) захтевају континуитет</w:t>
      </w:r>
      <w:r w:rsidR="00B656D8" w:rsidRPr="00B3123E">
        <w:rPr>
          <w:rFonts w:ascii="Times New Roman" w:eastAsia="Calibri" w:hAnsi="Times New Roman" w:cs="Times New Roman"/>
          <w:kern w:val="3"/>
          <w:szCs w:val="24"/>
          <w:lang w:val="sr-Cyrl-RS"/>
        </w:rPr>
        <w:t xml:space="preserve"> рада </w:t>
      </w:r>
      <w:r w:rsidRPr="00B3123E">
        <w:rPr>
          <w:rFonts w:ascii="Times New Roman" w:eastAsia="Calibri" w:hAnsi="Times New Roman" w:cs="Times New Roman"/>
          <w:kern w:val="3"/>
          <w:szCs w:val="24"/>
          <w:lang w:val="sr-Cyrl-RS"/>
        </w:rPr>
        <w:t>стручних капацитета у државној управи и регулаторним телима.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Унапређење сајбер безбедности у поштанском ИТ систему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3.4) захтева јасно дефинисане протоколе, техничка решења и сарадњу са националним институцијама надлежним за информациону безбедност.</w:t>
      </w:r>
    </w:p>
    <w:p w14:paraId="740855DA" w14:textId="77777777" w:rsidR="008E7186" w:rsidRPr="00B3123E" w:rsidRDefault="008E7186" w:rsidP="005F221A">
      <w:pPr>
        <w:suppressAutoHyphens/>
        <w:autoSpaceDN w:val="0"/>
        <w:spacing w:line="247" w:lineRule="auto"/>
        <w:rPr>
          <w:rFonts w:ascii="Times New Roman" w:eastAsia="Calibri" w:hAnsi="Times New Roman" w:cs="Times New Roman"/>
          <w:b/>
          <w:bCs/>
          <w:kern w:val="3"/>
          <w:szCs w:val="24"/>
          <w:lang w:val="sr-Cyrl-RS"/>
        </w:rPr>
      </w:pPr>
    </w:p>
    <w:p w14:paraId="1B51B458" w14:textId="04ACCB85" w:rsidR="005F221A" w:rsidRPr="00B3123E" w:rsidRDefault="005F221A" w:rsidP="00D51D55">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Могући негативни ефекти и мере ублажавања:</w:t>
      </w:r>
    </w:p>
    <w:p w14:paraId="08004B6A" w14:textId="77777777" w:rsidR="00BF7A1D" w:rsidRPr="00B3123E" w:rsidRDefault="005F221A" w:rsidP="005624D6">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Постојећи институционални капацитети могу бити недовољни за брзу имплементацију свих мера (нарочито AI, сајбер безбедност, сложене анализе тржишта).</w:t>
      </w:r>
      <w:r w:rsidR="00BF7A1D" w:rsidRPr="00B3123E">
        <w:rPr>
          <w:rFonts w:ascii="Times New Roman" w:eastAsia="Calibri" w:hAnsi="Times New Roman" w:cs="Times New Roman"/>
          <w:kern w:val="3"/>
          <w:szCs w:val="24"/>
          <w:lang w:val="sr-Cyrl-RS"/>
        </w:rPr>
        <w:t xml:space="preserve"> </w:t>
      </w:r>
    </w:p>
    <w:p w14:paraId="5DFF4C6D" w14:textId="5012DEE6" w:rsidR="005F221A" w:rsidRPr="00B3123E" w:rsidRDefault="005F221A" w:rsidP="00D51D55">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ублажавања:</w:t>
      </w:r>
      <w:r w:rsidRPr="00B3123E">
        <w:rPr>
          <w:rFonts w:ascii="Times New Roman" w:eastAsia="Calibri" w:hAnsi="Times New Roman" w:cs="Times New Roman"/>
          <w:kern w:val="3"/>
          <w:szCs w:val="24"/>
          <w:lang w:val="sr-Cyrl-RS"/>
        </w:rPr>
        <w:t xml:space="preserve"> планирање фазне имплементације, програми обуке, могућност ангажовања спољних стручњака, међународна техничка помоћ.</w:t>
      </w:r>
    </w:p>
    <w:p w14:paraId="2623D39B" w14:textId="2DA20D1E" w:rsidR="005F221A" w:rsidRPr="00B3123E" w:rsidRDefault="00D51D55" w:rsidP="00D51D55">
      <w:pPr>
        <w:suppressAutoHyphens/>
        <w:autoSpaceDN w:val="0"/>
        <w:spacing w:line="247" w:lineRule="auto"/>
        <w:ind w:firstLine="712"/>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5</w:t>
      </w:r>
      <w:r w:rsidR="005F221A" w:rsidRPr="00B3123E">
        <w:rPr>
          <w:rFonts w:ascii="Times New Roman" w:eastAsia="Calibri" w:hAnsi="Times New Roman" w:cs="Times New Roman"/>
          <w:b/>
          <w:bCs/>
          <w:kern w:val="3"/>
          <w:szCs w:val="24"/>
          <w:lang w:val="sr-Cyrl-RS"/>
        </w:rPr>
        <w:t>) Финансијски ефекти</w:t>
      </w:r>
    </w:p>
    <w:p w14:paraId="4779AB43" w14:textId="77777777" w:rsidR="005F221A" w:rsidRPr="00B3123E" w:rsidRDefault="005F221A" w:rsidP="00BF7A1D">
      <w:pPr>
        <w:tabs>
          <w:tab w:val="left" w:pos="1440"/>
        </w:tabs>
        <w:ind w:firstLine="1276"/>
        <w:rPr>
          <w:rFonts w:ascii="Times New Roman" w:hAnsi="Times New Roman" w:cs="Times New Roman"/>
          <w:szCs w:val="24"/>
          <w:lang w:val="sr-Cyrl-RS"/>
        </w:rPr>
      </w:pPr>
      <w:r w:rsidRPr="00B3123E">
        <w:rPr>
          <w:rFonts w:ascii="Times New Roman" w:hAnsi="Times New Roman" w:cs="Times New Roman"/>
          <w:szCs w:val="24"/>
          <w:lang w:val="sr-Cyrl-RS"/>
        </w:rPr>
        <w:t>Пакет мера подразумева и финансијске импликације на буџет и на пословање поштанских оператора:</w:t>
      </w:r>
    </w:p>
    <w:p w14:paraId="22E3285C" w14:textId="2135F59C" w:rsidR="005F221A" w:rsidRPr="00B3123E" w:rsidRDefault="005F221A" w:rsidP="005624D6">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Потребна финансијска средства</w:t>
      </w:r>
      <w:r w:rsidR="00BF7A1D"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За модернизацију поштанске мреже, дигитализацију, увођење AI и унапређење сајбер безбедности неопходна су улагања у инфраструктуру, опрему, софтвер и обуке.</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Оснаживање сектора кроз едукацију и кампање о савременим поштанским трендовима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2.5) захтевају намењене </w:t>
      </w:r>
      <w:r w:rsidR="005F247B" w:rsidRPr="00B3123E">
        <w:rPr>
          <w:rFonts w:ascii="Times New Roman" w:eastAsia="Calibri" w:hAnsi="Times New Roman" w:cs="Times New Roman"/>
          <w:kern w:val="3"/>
          <w:szCs w:val="24"/>
          <w:lang w:val="sr-Cyrl-RS"/>
        </w:rPr>
        <w:t>буџетске или донаторске ресурсе;</w:t>
      </w:r>
    </w:p>
    <w:p w14:paraId="24540E5D" w14:textId="6CC90EA4" w:rsidR="005F221A" w:rsidRPr="00B3123E" w:rsidRDefault="005F221A" w:rsidP="005624D6">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Извори финансирања</w:t>
      </w:r>
      <w:r w:rsidR="00BF7A1D"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 xml:space="preserve">Средства </w:t>
      </w:r>
      <w:r w:rsidR="00B656D8" w:rsidRPr="00B3123E">
        <w:rPr>
          <w:rFonts w:ascii="Times New Roman" w:eastAsia="Calibri" w:hAnsi="Times New Roman" w:cs="Times New Roman"/>
          <w:kern w:val="3"/>
          <w:szCs w:val="24"/>
          <w:lang w:val="sr-Cyrl-RS"/>
        </w:rPr>
        <w:t>ЈПО</w:t>
      </w:r>
      <w:r w:rsidRPr="00B3123E">
        <w:rPr>
          <w:rFonts w:ascii="Times New Roman" w:eastAsia="Calibri" w:hAnsi="Times New Roman" w:cs="Times New Roman"/>
          <w:kern w:val="3"/>
          <w:szCs w:val="24"/>
          <w:lang w:val="sr-Cyrl-RS"/>
        </w:rPr>
        <w:t xml:space="preserve"> (сопствени приходи, кредити</w:t>
      </w:r>
      <w:r w:rsidR="00B656D8" w:rsidRPr="00B3123E">
        <w:rPr>
          <w:rFonts w:ascii="Times New Roman" w:eastAsia="Calibri" w:hAnsi="Times New Roman" w:cs="Times New Roman"/>
          <w:kern w:val="3"/>
          <w:szCs w:val="24"/>
          <w:lang w:val="sr-Cyrl-RS"/>
        </w:rPr>
        <w:t>рање и сл.</w:t>
      </w:r>
      <w:r w:rsidRPr="00B3123E">
        <w:rPr>
          <w:rFonts w:ascii="Times New Roman" w:eastAsia="Calibri" w:hAnsi="Times New Roman" w:cs="Times New Roman"/>
          <w:kern w:val="3"/>
          <w:szCs w:val="24"/>
          <w:lang w:val="sr-Cyrl-RS"/>
        </w:rPr>
        <w:t xml:space="preserve">), буџетска средства (у складу са системом субвенција за УПУ, </w:t>
      </w:r>
      <w:r w:rsidR="00B656D8" w:rsidRPr="00B3123E">
        <w:rPr>
          <w:rFonts w:ascii="Times New Roman" w:eastAsia="Calibri" w:hAnsi="Times New Roman" w:cs="Times New Roman"/>
          <w:kern w:val="3"/>
          <w:szCs w:val="24"/>
          <w:lang w:val="sr-Cyrl-RS"/>
        </w:rPr>
        <w:t>уколико буде</w:t>
      </w:r>
      <w:r w:rsidRPr="00B3123E">
        <w:rPr>
          <w:rFonts w:ascii="Times New Roman" w:eastAsia="Calibri" w:hAnsi="Times New Roman" w:cs="Times New Roman"/>
          <w:kern w:val="3"/>
          <w:szCs w:val="24"/>
          <w:lang w:val="sr-Cyrl-RS"/>
        </w:rPr>
        <w:t xml:space="preserve"> применљиво), међународни фондови и програми подршке, као и приватне инвестиције других оператора.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Потенцијална јавнo-приватна партнерства у домену инфраструктуре, дигиталних</w:t>
      </w:r>
      <w:r w:rsidR="005F247B" w:rsidRPr="00B3123E">
        <w:rPr>
          <w:rFonts w:ascii="Times New Roman" w:eastAsia="Calibri" w:hAnsi="Times New Roman" w:cs="Times New Roman"/>
          <w:kern w:val="3"/>
          <w:szCs w:val="24"/>
          <w:lang w:val="sr-Cyrl-RS"/>
        </w:rPr>
        <w:t xml:space="preserve"> платформи и логистичких решења;</w:t>
      </w:r>
    </w:p>
    <w:p w14:paraId="0D6291DA" w14:textId="7214BE93" w:rsidR="005F221A" w:rsidRPr="00B3123E" w:rsidRDefault="005F221A" w:rsidP="005624D6">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Ефекти на јавне приходе и расходе</w:t>
      </w:r>
      <w:r w:rsidR="00BF7A1D"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Краткорочно, могуће је повећање расхода због улагања; дугорочно, очекује се раст прихода од побољшаних поштанских и логистичких услуга, као и позитиван утицај на економску активност (и тиме на јавне приходе).</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Уколико се у оквиру политике УПУ примењују механизми </w:t>
      </w:r>
      <w:r w:rsidR="00B656D8" w:rsidRPr="00B3123E">
        <w:rPr>
          <w:rFonts w:ascii="Times New Roman" w:eastAsia="Calibri" w:hAnsi="Times New Roman" w:cs="Times New Roman"/>
          <w:kern w:val="3"/>
          <w:szCs w:val="24"/>
          <w:lang w:val="sr-Cyrl-RS"/>
        </w:rPr>
        <w:t>надокнаде</w:t>
      </w:r>
      <w:r w:rsidRPr="00B3123E">
        <w:rPr>
          <w:rFonts w:ascii="Times New Roman" w:eastAsia="Calibri" w:hAnsi="Times New Roman" w:cs="Times New Roman"/>
          <w:kern w:val="3"/>
          <w:szCs w:val="24"/>
          <w:lang w:val="sr-Cyrl-RS"/>
        </w:rPr>
        <w:t xml:space="preserve"> нето трошка, модернизација и већа ефикасност могу допринети смањењу потребе за буџетским издвајањима.</w:t>
      </w:r>
    </w:p>
    <w:p w14:paraId="58E83467" w14:textId="77777777" w:rsidR="00BF7A1D" w:rsidRPr="00B3123E" w:rsidRDefault="00BF7A1D" w:rsidP="005F221A">
      <w:pPr>
        <w:suppressAutoHyphens/>
        <w:autoSpaceDN w:val="0"/>
        <w:spacing w:line="247" w:lineRule="auto"/>
        <w:rPr>
          <w:rFonts w:ascii="Times New Roman" w:eastAsia="Calibri" w:hAnsi="Times New Roman" w:cs="Times New Roman"/>
          <w:b/>
          <w:bCs/>
          <w:kern w:val="3"/>
          <w:szCs w:val="24"/>
          <w:lang w:val="sr-Cyrl-RS"/>
        </w:rPr>
      </w:pPr>
    </w:p>
    <w:p w14:paraId="198218DC" w14:textId="202C2731" w:rsidR="005F221A" w:rsidRPr="00B3123E" w:rsidRDefault="005F221A" w:rsidP="00D51D55">
      <w:pPr>
        <w:suppressAutoHyphens/>
        <w:autoSpaceDN w:val="0"/>
        <w:spacing w:line="247" w:lineRule="auto"/>
        <w:ind w:firstLine="712"/>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lastRenderedPageBreak/>
        <w:t>Анализа ризика</w:t>
      </w:r>
    </w:p>
    <w:p w14:paraId="2F008065" w14:textId="4BC7AD3E" w:rsidR="005F221A" w:rsidRPr="00B3123E" w:rsidRDefault="005F221A" w:rsidP="006211A8">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Кључни ризици за спровођење пакета мера 1.1</w:t>
      </w:r>
      <w:r w:rsidR="005F247B"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w:t>
      </w:r>
      <w:r w:rsidR="005F247B"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3.4 обухватају:</w:t>
      </w:r>
    </w:p>
    <w:p w14:paraId="40461B10" w14:textId="119DDA62" w:rsidR="005F221A" w:rsidRPr="00B3123E" w:rsidRDefault="005F221A"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Регулаторни и институционални ризици</w:t>
      </w:r>
      <w:r w:rsidR="00F57385"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F57385" w:rsidRPr="00B3123E">
        <w:rPr>
          <w:rFonts w:ascii="Times New Roman" w:eastAsia="Calibri" w:hAnsi="Times New Roman" w:cs="Times New Roman"/>
          <w:b/>
          <w:bCs/>
          <w:kern w:val="3"/>
          <w:szCs w:val="24"/>
          <w:lang w:val="sr-Cyrl-RS"/>
        </w:rPr>
        <w:t xml:space="preserve"> </w:t>
      </w:r>
      <w:r w:rsidR="00726A5A" w:rsidRPr="00B3123E">
        <w:rPr>
          <w:rFonts w:ascii="Times New Roman" w:eastAsia="Calibri" w:hAnsi="Times New Roman" w:cs="Times New Roman"/>
          <w:kern w:val="3"/>
          <w:szCs w:val="24"/>
          <w:lang w:val="sr-Cyrl-RS"/>
        </w:rPr>
        <w:t>Могућност настанка кашњења</w:t>
      </w:r>
      <w:r w:rsidRPr="00B3123E">
        <w:rPr>
          <w:rFonts w:ascii="Times New Roman" w:eastAsia="Calibri" w:hAnsi="Times New Roman" w:cs="Times New Roman"/>
          <w:kern w:val="3"/>
          <w:szCs w:val="24"/>
          <w:lang w:val="sr-Cyrl-RS"/>
        </w:rPr>
        <w:t xml:space="preserve"> у доношењу </w:t>
      </w:r>
      <w:r w:rsidR="00726A5A" w:rsidRPr="00B3123E">
        <w:rPr>
          <w:rFonts w:ascii="Times New Roman" w:eastAsia="Calibri" w:hAnsi="Times New Roman" w:cs="Times New Roman"/>
          <w:kern w:val="3"/>
          <w:szCs w:val="24"/>
          <w:lang w:val="sr-Cyrl-RS"/>
        </w:rPr>
        <w:t>прописа</w:t>
      </w:r>
      <w:r w:rsidRPr="00B3123E">
        <w:rPr>
          <w:rFonts w:ascii="Times New Roman" w:eastAsia="Calibri" w:hAnsi="Times New Roman" w:cs="Times New Roman"/>
          <w:kern w:val="3"/>
          <w:szCs w:val="24"/>
          <w:lang w:val="sr-Cyrl-RS"/>
        </w:rPr>
        <w:t xml:space="preserve"> неопходних за имплементацију.</w:t>
      </w:r>
      <w:r w:rsidR="00F57385"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Недовољна координација између </w:t>
      </w:r>
      <w:r w:rsidR="00726A5A" w:rsidRPr="00B3123E">
        <w:rPr>
          <w:rFonts w:ascii="Times New Roman" w:eastAsia="Calibri" w:hAnsi="Times New Roman" w:cs="Times New Roman"/>
          <w:kern w:val="3"/>
          <w:szCs w:val="24"/>
          <w:lang w:val="sr-Cyrl-RS"/>
        </w:rPr>
        <w:t>кључних учесника</w:t>
      </w:r>
      <w:r w:rsidR="005F247B" w:rsidRPr="00B3123E">
        <w:rPr>
          <w:rFonts w:ascii="Times New Roman" w:eastAsia="Calibri" w:hAnsi="Times New Roman" w:cs="Times New Roman"/>
          <w:kern w:val="3"/>
          <w:szCs w:val="24"/>
          <w:lang w:val="sr-Cyrl-RS"/>
        </w:rPr>
        <w:t>;</w:t>
      </w:r>
    </w:p>
    <w:p w14:paraId="0FFC18FC" w14:textId="172534C8" w:rsidR="005F221A" w:rsidRPr="00B3123E" w:rsidRDefault="005F221A"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Финансијски ризици</w:t>
      </w:r>
      <w:r w:rsidR="00F57385"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F57385"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Недовољна средства за комплетну имплементацију технолошких и организационих промена.</w:t>
      </w:r>
      <w:r w:rsidR="006F65AB"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Повећани трошкови у односу на планиране (ин</w:t>
      </w:r>
      <w:r w:rsidR="005F247B" w:rsidRPr="00B3123E">
        <w:rPr>
          <w:rFonts w:ascii="Times New Roman" w:eastAsia="Calibri" w:hAnsi="Times New Roman" w:cs="Times New Roman"/>
          <w:kern w:val="3"/>
          <w:szCs w:val="24"/>
          <w:lang w:val="sr-Cyrl-RS"/>
        </w:rPr>
        <w:t>флација, раст цена технологије);</w:t>
      </w:r>
    </w:p>
    <w:p w14:paraId="0E0CBB56" w14:textId="489096C6" w:rsidR="005F221A" w:rsidRPr="00B3123E" w:rsidRDefault="005F221A"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Технолошки и сајбер ризици</w:t>
      </w:r>
      <w:r w:rsidR="00F57385"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F57385" w:rsidRPr="00B3123E">
        <w:rPr>
          <w:rFonts w:ascii="Times New Roman" w:eastAsia="Calibri" w:hAnsi="Times New Roman" w:cs="Times New Roman"/>
          <w:bCs/>
          <w:kern w:val="3"/>
          <w:szCs w:val="24"/>
          <w:lang w:val="sr-Cyrl-RS"/>
        </w:rPr>
        <w:t xml:space="preserve"> </w:t>
      </w:r>
      <w:r w:rsidRPr="00B3123E">
        <w:rPr>
          <w:rFonts w:ascii="Times New Roman" w:eastAsia="Calibri" w:hAnsi="Times New Roman" w:cs="Times New Roman"/>
          <w:kern w:val="3"/>
          <w:szCs w:val="24"/>
          <w:lang w:val="sr-Cyrl-RS"/>
        </w:rPr>
        <w:t>Неуспех или кашњење у имплементацији ИТ решења, као и повећани ризик од сајбер напада током периода преласка на нове системе</w:t>
      </w:r>
      <w:r w:rsidR="005F247B" w:rsidRPr="00B3123E">
        <w:rPr>
          <w:rFonts w:ascii="Times New Roman" w:eastAsia="Calibri" w:hAnsi="Times New Roman" w:cs="Times New Roman"/>
          <w:kern w:val="3"/>
          <w:szCs w:val="24"/>
          <w:lang w:val="sr-Cyrl-RS"/>
        </w:rPr>
        <w:t>;</w:t>
      </w:r>
    </w:p>
    <w:p w14:paraId="33556F0D" w14:textId="155C7816" w:rsidR="005F221A" w:rsidRPr="00B3123E" w:rsidRDefault="005F221A"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Друштвени ризици</w:t>
      </w:r>
      <w:r w:rsidR="00F57385"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F57385"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Отпор запослених променама (аутоматизација, AI), као и могуће незадовољство корисника у случају промена мреже приступних тачака или привремених поремећаја у квалитету услуге.</w:t>
      </w:r>
    </w:p>
    <w:p w14:paraId="7506C39A" w14:textId="77777777" w:rsidR="00F57385" w:rsidRPr="00B3123E" w:rsidRDefault="00F57385" w:rsidP="005F221A">
      <w:pPr>
        <w:suppressAutoHyphens/>
        <w:autoSpaceDN w:val="0"/>
        <w:spacing w:line="247" w:lineRule="auto"/>
        <w:rPr>
          <w:rFonts w:ascii="Times New Roman" w:eastAsia="Calibri" w:hAnsi="Times New Roman" w:cs="Times New Roman"/>
          <w:b/>
          <w:bCs/>
          <w:kern w:val="3"/>
          <w:szCs w:val="24"/>
          <w:lang w:val="sr-Cyrl-RS"/>
        </w:rPr>
      </w:pPr>
    </w:p>
    <w:p w14:paraId="6F9210E0" w14:textId="0A86EB8A" w:rsidR="005F221A" w:rsidRPr="00B3123E" w:rsidRDefault="005F221A" w:rsidP="00D51D55">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за управљање ризицима:</w:t>
      </w:r>
    </w:p>
    <w:p w14:paraId="519E4255" w14:textId="3E9C0514" w:rsidR="005F221A" w:rsidRPr="00B3123E" w:rsidRDefault="006211A8" w:rsidP="00D92B1E">
      <w:pPr>
        <w:pStyle w:val="ListParagraph"/>
        <w:numPr>
          <w:ilvl w:val="0"/>
          <w:numId w:val="41"/>
        </w:numPr>
        <w:suppressAutoHyphens/>
        <w:autoSpaceDN w:val="0"/>
        <w:spacing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успостављање </w:t>
      </w:r>
      <w:r w:rsidR="005F221A" w:rsidRPr="00B3123E">
        <w:rPr>
          <w:rFonts w:ascii="Times New Roman" w:eastAsia="Calibri" w:hAnsi="Times New Roman" w:cs="Times New Roman"/>
          <w:kern w:val="3"/>
          <w:szCs w:val="24"/>
          <w:lang w:val="sr-Cyrl-RS"/>
        </w:rPr>
        <w:t>јасног плана управљања ризицима са носиоцима, роковима и индикаторима праћења</w:t>
      </w:r>
      <w:r w:rsidR="005F247B" w:rsidRPr="00B3123E">
        <w:rPr>
          <w:rFonts w:ascii="Times New Roman" w:eastAsia="Calibri" w:hAnsi="Times New Roman" w:cs="Times New Roman"/>
          <w:kern w:val="3"/>
          <w:szCs w:val="24"/>
          <w:lang w:val="sr-Cyrl-RS"/>
        </w:rPr>
        <w:t>;</w:t>
      </w:r>
    </w:p>
    <w:p w14:paraId="3F639284" w14:textId="34678421" w:rsidR="005F221A" w:rsidRPr="00B3123E" w:rsidRDefault="006211A8" w:rsidP="00D92B1E">
      <w:pPr>
        <w:pStyle w:val="ListParagraph"/>
        <w:numPr>
          <w:ilvl w:val="0"/>
          <w:numId w:val="41"/>
        </w:numPr>
        <w:suppressAutoHyphens/>
        <w:autoSpaceDN w:val="0"/>
        <w:spacing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фазна </w:t>
      </w:r>
      <w:r w:rsidR="005F221A" w:rsidRPr="00B3123E">
        <w:rPr>
          <w:rFonts w:ascii="Times New Roman" w:eastAsia="Calibri" w:hAnsi="Times New Roman" w:cs="Times New Roman"/>
          <w:kern w:val="3"/>
          <w:szCs w:val="24"/>
          <w:lang w:val="sr-Cyrl-RS"/>
        </w:rPr>
        <w:t>имплементација кључних технолошких мера, пилот-пројекти пре шире примене</w:t>
      </w:r>
      <w:r w:rsidR="005F247B" w:rsidRPr="00B3123E">
        <w:rPr>
          <w:rFonts w:ascii="Times New Roman" w:eastAsia="Calibri" w:hAnsi="Times New Roman" w:cs="Times New Roman"/>
          <w:kern w:val="3"/>
          <w:szCs w:val="24"/>
          <w:lang w:val="sr-Cyrl-RS"/>
        </w:rPr>
        <w:t>;</w:t>
      </w:r>
    </w:p>
    <w:p w14:paraId="69F8B169" w14:textId="68C5D0F0" w:rsidR="005F221A" w:rsidRPr="00B3123E" w:rsidRDefault="006211A8" w:rsidP="00D92B1E">
      <w:pPr>
        <w:pStyle w:val="ListParagraph"/>
        <w:numPr>
          <w:ilvl w:val="0"/>
          <w:numId w:val="41"/>
        </w:numPr>
        <w:suppressAutoHyphens/>
        <w:autoSpaceDN w:val="0"/>
        <w:spacing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континуирана </w:t>
      </w:r>
      <w:r w:rsidR="005F221A" w:rsidRPr="00B3123E">
        <w:rPr>
          <w:rFonts w:ascii="Times New Roman" w:eastAsia="Calibri" w:hAnsi="Times New Roman" w:cs="Times New Roman"/>
          <w:kern w:val="3"/>
          <w:szCs w:val="24"/>
          <w:lang w:val="sr-Cyrl-RS"/>
        </w:rPr>
        <w:t>комуникација са корисницима и запосленима, укључујући информативне кампање и консултације са социјалним партнерима</w:t>
      </w:r>
      <w:r w:rsidR="005F247B" w:rsidRPr="00B3123E">
        <w:rPr>
          <w:rFonts w:ascii="Times New Roman" w:eastAsia="Calibri" w:hAnsi="Times New Roman" w:cs="Times New Roman"/>
          <w:kern w:val="3"/>
          <w:szCs w:val="24"/>
          <w:lang w:val="sr-Cyrl-RS"/>
        </w:rPr>
        <w:t>;</w:t>
      </w:r>
    </w:p>
    <w:p w14:paraId="04BAF2B9" w14:textId="7836F9B7" w:rsidR="005F221A" w:rsidRPr="00B3123E" w:rsidRDefault="006211A8"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редовно </w:t>
      </w:r>
      <w:r w:rsidR="005F221A" w:rsidRPr="00B3123E">
        <w:rPr>
          <w:rFonts w:ascii="Times New Roman" w:eastAsia="Calibri" w:hAnsi="Times New Roman" w:cs="Times New Roman"/>
          <w:kern w:val="3"/>
          <w:szCs w:val="24"/>
          <w:lang w:val="sr-Cyrl-RS"/>
        </w:rPr>
        <w:t>извештавање о напретку и ревизија плана имплементације у складу са идентификованим ризицима и променама у спољном окружењу.</w:t>
      </w:r>
    </w:p>
    <w:p w14:paraId="74B37D6B" w14:textId="68CBD6E7" w:rsidR="00AD207E" w:rsidRPr="00B3123E" w:rsidRDefault="00AD207E" w:rsidP="00AD207E">
      <w:pPr>
        <w:suppressAutoHyphens/>
        <w:autoSpaceDN w:val="0"/>
        <w:spacing w:line="247" w:lineRule="auto"/>
        <w:rPr>
          <w:rFonts w:ascii="Times New Roman" w:eastAsia="Calibri" w:hAnsi="Times New Roman" w:cs="Times New Roman"/>
          <w:kern w:val="3"/>
          <w:szCs w:val="24"/>
          <w:lang w:val="sr-Cyrl-RS"/>
        </w:rPr>
      </w:pPr>
    </w:p>
    <w:p w14:paraId="27726F30" w14:textId="72F7B246" w:rsidR="00AD207E" w:rsidRPr="00B3123E" w:rsidRDefault="00AD207E" w:rsidP="00AD207E">
      <w:pPr>
        <w:suppressAutoHyphens/>
        <w:autoSpaceDN w:val="0"/>
        <w:spacing w:line="247" w:lineRule="auto"/>
        <w:rPr>
          <w:rFonts w:ascii="Times New Roman" w:eastAsia="Calibri" w:hAnsi="Times New Roman" w:cs="Times New Roman"/>
          <w:kern w:val="3"/>
          <w:szCs w:val="24"/>
          <w:lang w:val="sr-Cyrl-RS"/>
        </w:rPr>
      </w:pPr>
    </w:p>
    <w:p w14:paraId="12FE5410" w14:textId="1FFBA140" w:rsidR="005F221A" w:rsidRPr="00B3123E" w:rsidRDefault="005F221A" w:rsidP="005F221A">
      <w:pPr>
        <w:pStyle w:val="Caption"/>
        <w:spacing w:before="240" w:after="0"/>
        <w:rPr>
          <w:rFonts w:ascii="Times New Roman" w:hAnsi="Times New Roman" w:cs="Times New Roman"/>
          <w:b w:val="0"/>
          <w:color w:val="auto"/>
          <w:lang w:val="sr-Cyrl-RS"/>
        </w:rPr>
      </w:pPr>
      <w:r w:rsidRPr="00B3123E">
        <w:rPr>
          <w:rFonts w:ascii="Times New Roman" w:hAnsi="Times New Roman" w:cs="Times New Roman"/>
          <w:color w:val="auto"/>
          <w:lang w:val="sr-Cyrl-RS"/>
        </w:rPr>
        <w:t xml:space="preserve">Табела </w:t>
      </w:r>
      <w:r w:rsidR="00A833F0" w:rsidRPr="00B3123E">
        <w:rPr>
          <w:rFonts w:ascii="Times New Roman" w:hAnsi="Times New Roman" w:cs="Times New Roman"/>
          <w:color w:val="auto"/>
          <w:lang w:val="sr-Cyrl-RS"/>
        </w:rPr>
        <w:t>8</w:t>
      </w:r>
      <w:r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 xml:space="preserve">Ефекти мера за остваривање циљева Програма </w:t>
      </w:r>
    </w:p>
    <w:tbl>
      <w:tblPr>
        <w:tblW w:w="9351" w:type="dxa"/>
        <w:tblCellMar>
          <w:left w:w="10" w:type="dxa"/>
          <w:right w:w="10" w:type="dxa"/>
        </w:tblCellMar>
        <w:tblLook w:val="0000" w:firstRow="0" w:lastRow="0" w:firstColumn="0" w:lastColumn="0" w:noHBand="0" w:noVBand="0"/>
      </w:tblPr>
      <w:tblGrid>
        <w:gridCol w:w="1129"/>
        <w:gridCol w:w="3402"/>
        <w:gridCol w:w="2552"/>
        <w:gridCol w:w="2268"/>
      </w:tblGrid>
      <w:tr w:rsidR="005F221A" w:rsidRPr="00B3123E" w14:paraId="2E71934B" w14:textId="77777777" w:rsidTr="00F972B3">
        <w:trPr>
          <w:tblHeader/>
        </w:trPr>
        <w:tc>
          <w:tcPr>
            <w:tcW w:w="1129" w:type="dxa"/>
            <w:shd w:val="clear" w:color="auto" w:fill="44546A" w:themeFill="text2"/>
            <w:tcMar>
              <w:top w:w="15" w:type="dxa"/>
              <w:left w:w="15" w:type="dxa"/>
              <w:bottom w:w="15" w:type="dxa"/>
              <w:right w:w="15" w:type="dxa"/>
            </w:tcMar>
            <w:vAlign w:val="center"/>
          </w:tcPr>
          <w:p w14:paraId="41EBADC6" w14:textId="77777777" w:rsidR="005F221A" w:rsidRPr="00B3123E" w:rsidRDefault="005F221A" w:rsidP="00F972B3">
            <w:pPr>
              <w:autoSpaceDN w:val="0"/>
              <w:spacing w:after="0"/>
              <w:jc w:val="center"/>
              <w:rPr>
                <w:rFonts w:ascii="Calibri" w:eastAsia="Times New Roman" w:hAnsi="Calibri" w:cs="Calibri"/>
                <w:b/>
                <w:bCs/>
                <w:color w:val="FFFFFF" w:themeColor="background1"/>
                <w:sz w:val="18"/>
                <w:szCs w:val="18"/>
                <w:lang w:val="sr-Cyrl-RS" w:eastAsia="hr-HR"/>
              </w:rPr>
            </w:pPr>
            <w:r w:rsidRPr="00B3123E">
              <w:rPr>
                <w:rFonts w:ascii="Calibri" w:eastAsia="Times New Roman" w:hAnsi="Calibri" w:cs="Calibri"/>
                <w:b/>
                <w:bCs/>
                <w:color w:val="FFFFFF" w:themeColor="background1"/>
                <w:sz w:val="18"/>
                <w:szCs w:val="18"/>
                <w:lang w:val="sr-Cyrl-RS" w:eastAsia="hr-HR"/>
              </w:rPr>
              <w:t>Врста ефеката</w:t>
            </w:r>
          </w:p>
        </w:tc>
        <w:tc>
          <w:tcPr>
            <w:tcW w:w="3402" w:type="dxa"/>
            <w:shd w:val="clear" w:color="auto" w:fill="44546A" w:themeFill="text2"/>
            <w:tcMar>
              <w:top w:w="15" w:type="dxa"/>
              <w:left w:w="15" w:type="dxa"/>
              <w:bottom w:w="15" w:type="dxa"/>
              <w:right w:w="15" w:type="dxa"/>
            </w:tcMar>
            <w:vAlign w:val="center"/>
          </w:tcPr>
          <w:p w14:paraId="0976551B" w14:textId="77777777" w:rsidR="005F221A" w:rsidRPr="00B3123E" w:rsidRDefault="005F221A" w:rsidP="00F972B3">
            <w:pPr>
              <w:autoSpaceDN w:val="0"/>
              <w:spacing w:after="0"/>
              <w:jc w:val="center"/>
              <w:rPr>
                <w:rFonts w:ascii="Calibri" w:eastAsia="Times New Roman" w:hAnsi="Calibri" w:cs="Calibri"/>
                <w:b/>
                <w:bCs/>
                <w:color w:val="FFFFFF" w:themeColor="background1"/>
                <w:sz w:val="18"/>
                <w:szCs w:val="18"/>
                <w:lang w:val="sr-Cyrl-RS" w:eastAsia="hr-HR"/>
              </w:rPr>
            </w:pPr>
            <w:r w:rsidRPr="00B3123E">
              <w:rPr>
                <w:rFonts w:ascii="Calibri" w:eastAsia="Times New Roman" w:hAnsi="Calibri" w:cs="Calibri"/>
                <w:b/>
                <w:bCs/>
                <w:color w:val="FFFFFF" w:themeColor="background1"/>
                <w:sz w:val="18"/>
                <w:szCs w:val="18"/>
                <w:lang w:val="sr-Cyrl-RS" w:eastAsia="hr-HR"/>
              </w:rPr>
              <w:t>Позитивни ефекти</w:t>
            </w:r>
          </w:p>
        </w:tc>
        <w:tc>
          <w:tcPr>
            <w:tcW w:w="2552" w:type="dxa"/>
            <w:shd w:val="clear" w:color="auto" w:fill="44546A" w:themeFill="text2"/>
            <w:tcMar>
              <w:top w:w="15" w:type="dxa"/>
              <w:left w:w="15" w:type="dxa"/>
              <w:bottom w:w="15" w:type="dxa"/>
              <w:right w:w="15" w:type="dxa"/>
            </w:tcMar>
            <w:vAlign w:val="center"/>
          </w:tcPr>
          <w:p w14:paraId="1BABADEC" w14:textId="77777777" w:rsidR="005F221A" w:rsidRPr="00B3123E" w:rsidRDefault="005F221A" w:rsidP="00F972B3">
            <w:pPr>
              <w:autoSpaceDN w:val="0"/>
              <w:spacing w:after="0"/>
              <w:jc w:val="center"/>
              <w:rPr>
                <w:rFonts w:ascii="Calibri" w:eastAsia="Times New Roman" w:hAnsi="Calibri" w:cs="Calibri"/>
                <w:b/>
                <w:bCs/>
                <w:color w:val="FFFFFF" w:themeColor="background1"/>
                <w:sz w:val="18"/>
                <w:szCs w:val="18"/>
                <w:lang w:val="sr-Cyrl-RS" w:eastAsia="hr-HR"/>
              </w:rPr>
            </w:pPr>
            <w:r w:rsidRPr="00B3123E">
              <w:rPr>
                <w:rFonts w:ascii="Calibri" w:eastAsia="Times New Roman" w:hAnsi="Calibri" w:cs="Calibri"/>
                <w:b/>
                <w:bCs/>
                <w:color w:val="FFFFFF" w:themeColor="background1"/>
                <w:sz w:val="18"/>
                <w:szCs w:val="18"/>
                <w:lang w:val="sr-Cyrl-RS" w:eastAsia="hr-HR"/>
              </w:rPr>
              <w:t>Могући негативни ефекти</w:t>
            </w:r>
          </w:p>
        </w:tc>
        <w:tc>
          <w:tcPr>
            <w:tcW w:w="2268" w:type="dxa"/>
            <w:shd w:val="clear" w:color="auto" w:fill="44546A" w:themeFill="text2"/>
            <w:tcMar>
              <w:top w:w="15" w:type="dxa"/>
              <w:left w:w="15" w:type="dxa"/>
              <w:bottom w:w="15" w:type="dxa"/>
              <w:right w:w="15" w:type="dxa"/>
            </w:tcMar>
            <w:vAlign w:val="center"/>
          </w:tcPr>
          <w:p w14:paraId="243C0AA8" w14:textId="77777777" w:rsidR="005F221A" w:rsidRPr="00B3123E" w:rsidRDefault="005F221A" w:rsidP="00F972B3">
            <w:pPr>
              <w:autoSpaceDN w:val="0"/>
              <w:spacing w:after="0"/>
              <w:jc w:val="center"/>
              <w:rPr>
                <w:rFonts w:ascii="Calibri" w:eastAsia="Times New Roman" w:hAnsi="Calibri" w:cs="Calibri"/>
                <w:b/>
                <w:bCs/>
                <w:color w:val="FFFFFF" w:themeColor="background1"/>
                <w:sz w:val="18"/>
                <w:szCs w:val="18"/>
                <w:lang w:val="sr-Cyrl-RS" w:eastAsia="hr-HR"/>
              </w:rPr>
            </w:pPr>
            <w:r w:rsidRPr="00B3123E">
              <w:rPr>
                <w:rFonts w:ascii="Calibri" w:eastAsia="Times New Roman" w:hAnsi="Calibri" w:cs="Calibri"/>
                <w:b/>
                <w:bCs/>
                <w:color w:val="FFFFFF" w:themeColor="background1"/>
                <w:sz w:val="18"/>
                <w:szCs w:val="18"/>
                <w:lang w:val="sr-Cyrl-RS" w:eastAsia="hr-HR"/>
              </w:rPr>
              <w:t>Мере ублажавања / додатне мере</w:t>
            </w:r>
          </w:p>
        </w:tc>
      </w:tr>
      <w:tr w:rsidR="005F221A" w:rsidRPr="00B3123E" w14:paraId="0862157F" w14:textId="77777777" w:rsidTr="00F972B3">
        <w:trPr>
          <w:trHeight w:val="2259"/>
        </w:trPr>
        <w:tc>
          <w:tcPr>
            <w:tcW w:w="1129" w:type="dxa"/>
            <w:tcBorders>
              <w:right w:val="dotted" w:sz="4" w:space="0" w:color="auto"/>
            </w:tcBorders>
            <w:tcMar>
              <w:top w:w="15" w:type="dxa"/>
              <w:left w:w="15" w:type="dxa"/>
              <w:bottom w:w="15" w:type="dxa"/>
              <w:right w:w="15" w:type="dxa"/>
            </w:tcMar>
            <w:vAlign w:val="center"/>
          </w:tcPr>
          <w:p w14:paraId="562C69EE"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1. Економски ефекти</w:t>
            </w:r>
          </w:p>
        </w:tc>
        <w:tc>
          <w:tcPr>
            <w:tcW w:w="3402" w:type="dxa"/>
            <w:tcBorders>
              <w:left w:val="dotted" w:sz="4" w:space="0" w:color="auto"/>
            </w:tcBorders>
            <w:tcMar>
              <w:top w:w="15" w:type="dxa"/>
              <w:left w:w="15" w:type="dxa"/>
              <w:bottom w:w="15" w:type="dxa"/>
              <w:right w:w="15" w:type="dxa"/>
            </w:tcMar>
          </w:tcPr>
          <w:p w14:paraId="00E8A675"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Повећана ефикасност пословања поштанских оператора кроз модернизацију мреже и дигитализацију процеса (1.1, 3.1).</w:t>
            </w:r>
            <w:r w:rsidRPr="00B3123E">
              <w:rPr>
                <w:rFonts w:ascii="Calibri" w:eastAsia="Times New Roman" w:hAnsi="Calibri" w:cs="Calibri"/>
                <w:sz w:val="18"/>
                <w:szCs w:val="18"/>
                <w:lang w:val="sr-Cyrl-RS" w:eastAsia="hr-HR"/>
              </w:rPr>
              <w:br/>
              <w:t>• Већа конкурентност тржишта и развој нових пословних модела кроз дигиталне и AI алате (3.2, 3.3).</w:t>
            </w:r>
            <w:r w:rsidRPr="00B3123E">
              <w:rPr>
                <w:rFonts w:ascii="Calibri" w:eastAsia="Times New Roman" w:hAnsi="Calibri" w:cs="Calibri"/>
                <w:sz w:val="18"/>
                <w:szCs w:val="18"/>
                <w:lang w:val="sr-Cyrl-RS" w:eastAsia="hr-HR"/>
              </w:rPr>
              <w:br/>
              <w:t>• Раст инвестиција у инфраструктуру и ИТ опрему.</w:t>
            </w:r>
            <w:r w:rsidRPr="00B3123E">
              <w:rPr>
                <w:rFonts w:ascii="Calibri" w:eastAsia="Times New Roman" w:hAnsi="Calibri" w:cs="Calibri"/>
                <w:sz w:val="18"/>
                <w:szCs w:val="18"/>
                <w:lang w:val="sr-Cyrl-RS" w:eastAsia="hr-HR"/>
              </w:rPr>
              <w:br/>
              <w:t>• Подстицај е-трговини и прекограничним токовима (2.4).</w:t>
            </w:r>
          </w:p>
        </w:tc>
        <w:tc>
          <w:tcPr>
            <w:tcW w:w="2552" w:type="dxa"/>
            <w:tcMar>
              <w:top w:w="15" w:type="dxa"/>
              <w:left w:w="15" w:type="dxa"/>
              <w:bottom w:w="15" w:type="dxa"/>
              <w:right w:w="15" w:type="dxa"/>
            </w:tcMar>
          </w:tcPr>
          <w:p w14:paraId="7846858E"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Привремено повећање трошкова оператора због улагања у нове технологије и безбедносне системе.</w:t>
            </w:r>
            <w:r w:rsidRPr="00B3123E">
              <w:rPr>
                <w:rFonts w:ascii="Calibri" w:eastAsia="Times New Roman" w:hAnsi="Calibri" w:cs="Calibri"/>
                <w:sz w:val="18"/>
                <w:szCs w:val="18"/>
                <w:lang w:val="sr-Cyrl-RS" w:eastAsia="hr-HR"/>
              </w:rPr>
              <w:br/>
              <w:t>• Могући притисак на микро-предузетнике (уговорне поште) услед реорганизације мреже.</w:t>
            </w:r>
          </w:p>
        </w:tc>
        <w:tc>
          <w:tcPr>
            <w:tcW w:w="2268" w:type="dxa"/>
            <w:tcMar>
              <w:top w:w="15" w:type="dxa"/>
              <w:left w:w="15" w:type="dxa"/>
              <w:bottom w:w="15" w:type="dxa"/>
              <w:right w:w="15" w:type="dxa"/>
            </w:tcMar>
          </w:tcPr>
          <w:p w14:paraId="447E9B7D"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Фазна имплементација и коришћење доступних ЕУ фондова и кредитних линија.</w:t>
            </w:r>
            <w:r w:rsidRPr="00B3123E">
              <w:rPr>
                <w:rFonts w:ascii="Calibri" w:eastAsia="Times New Roman" w:hAnsi="Calibri" w:cs="Calibri"/>
                <w:sz w:val="18"/>
                <w:szCs w:val="18"/>
                <w:lang w:val="sr-Cyrl-RS" w:eastAsia="hr-HR"/>
              </w:rPr>
              <w:br/>
              <w:t>• Техничка помоћ мањим операторима.</w:t>
            </w:r>
            <w:r w:rsidRPr="00B3123E">
              <w:rPr>
                <w:rFonts w:ascii="Calibri" w:eastAsia="Times New Roman" w:hAnsi="Calibri" w:cs="Calibri"/>
                <w:sz w:val="18"/>
                <w:szCs w:val="18"/>
                <w:lang w:val="sr-Cyrl-RS" w:eastAsia="hr-HR"/>
              </w:rPr>
              <w:br/>
              <w:t>• Анализа територијалног утицаја и очување минималне доступности услуга.</w:t>
            </w:r>
          </w:p>
          <w:p w14:paraId="481FD603"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r>
      <w:tr w:rsidR="005F221A" w:rsidRPr="00B3123E" w14:paraId="465B4F44" w14:textId="77777777" w:rsidTr="00F972B3">
        <w:tc>
          <w:tcPr>
            <w:tcW w:w="1129" w:type="dxa"/>
            <w:tcBorders>
              <w:right w:val="dotted" w:sz="4" w:space="0" w:color="auto"/>
            </w:tcBorders>
            <w:shd w:val="clear" w:color="auto" w:fill="D5DCE4" w:themeFill="text2" w:themeFillTint="33"/>
            <w:tcMar>
              <w:top w:w="15" w:type="dxa"/>
              <w:left w:w="15" w:type="dxa"/>
              <w:bottom w:w="15" w:type="dxa"/>
              <w:right w:w="15" w:type="dxa"/>
            </w:tcMar>
            <w:vAlign w:val="center"/>
          </w:tcPr>
          <w:p w14:paraId="35DF6BE6"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2. Ефекти на друштво</w:t>
            </w:r>
          </w:p>
        </w:tc>
        <w:tc>
          <w:tcPr>
            <w:tcW w:w="3402" w:type="dxa"/>
            <w:tcBorders>
              <w:left w:val="dotted" w:sz="4" w:space="0" w:color="auto"/>
            </w:tcBorders>
            <w:shd w:val="clear" w:color="auto" w:fill="D5DCE4" w:themeFill="text2" w:themeFillTint="33"/>
            <w:tcMar>
              <w:top w:w="15" w:type="dxa"/>
              <w:left w:w="15" w:type="dxa"/>
              <w:bottom w:w="15" w:type="dxa"/>
              <w:right w:w="15" w:type="dxa"/>
            </w:tcMar>
          </w:tcPr>
          <w:p w14:paraId="573B2A53" w14:textId="7C96AF0A"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xml:space="preserve">• Већа доступност и поузданост </w:t>
            </w:r>
            <w:r w:rsidR="000414AE" w:rsidRPr="00B3123E">
              <w:rPr>
                <w:rFonts w:ascii="Calibri" w:eastAsia="Times New Roman" w:hAnsi="Calibri" w:cs="Calibri"/>
                <w:sz w:val="18"/>
                <w:szCs w:val="18"/>
                <w:lang w:val="sr-Cyrl-RS" w:eastAsia="hr-HR"/>
              </w:rPr>
              <w:t>УПУ</w:t>
            </w:r>
            <w:r w:rsidRPr="00B3123E">
              <w:rPr>
                <w:rFonts w:ascii="Calibri" w:eastAsia="Times New Roman" w:hAnsi="Calibri" w:cs="Calibri"/>
                <w:sz w:val="18"/>
                <w:szCs w:val="18"/>
                <w:lang w:val="sr-Cyrl-RS" w:eastAsia="hr-HR"/>
              </w:rPr>
              <w:t xml:space="preserve"> (1.2).</w:t>
            </w:r>
            <w:r w:rsidRPr="00B3123E">
              <w:rPr>
                <w:rFonts w:ascii="Calibri" w:eastAsia="Times New Roman" w:hAnsi="Calibri" w:cs="Calibri"/>
                <w:sz w:val="18"/>
                <w:szCs w:val="18"/>
                <w:lang w:val="sr-Cyrl-RS" w:eastAsia="hr-HR"/>
              </w:rPr>
              <w:br/>
              <w:t>• Повећана заштита корисника и транспарентност квалитета (1.3, 1.4, 2.3).</w:t>
            </w:r>
            <w:r w:rsidRPr="00B3123E">
              <w:rPr>
                <w:rFonts w:ascii="Calibri" w:eastAsia="Times New Roman" w:hAnsi="Calibri" w:cs="Calibri"/>
                <w:sz w:val="18"/>
                <w:szCs w:val="18"/>
                <w:lang w:val="sr-Cyrl-RS" w:eastAsia="hr-HR"/>
              </w:rPr>
              <w:br/>
              <w:t>• Јачање социјалне укључености кроз приступ основним услугама у руралним подручјима.</w:t>
            </w:r>
            <w:r w:rsidRPr="00B3123E">
              <w:rPr>
                <w:rFonts w:ascii="Calibri" w:eastAsia="Times New Roman" w:hAnsi="Calibri" w:cs="Calibri"/>
                <w:sz w:val="18"/>
                <w:szCs w:val="18"/>
                <w:lang w:val="sr-Cyrl-RS" w:eastAsia="hr-HR"/>
              </w:rPr>
              <w:br/>
              <w:t>• Побољшање радних стандарда и родне равноправности (2.6).</w:t>
            </w:r>
            <w:r w:rsidRPr="00B3123E">
              <w:rPr>
                <w:rFonts w:ascii="Calibri" w:eastAsia="Times New Roman" w:hAnsi="Calibri" w:cs="Calibri"/>
                <w:sz w:val="18"/>
                <w:szCs w:val="18"/>
                <w:lang w:val="sr-Cyrl-RS" w:eastAsia="hr-HR"/>
              </w:rPr>
              <w:br/>
            </w:r>
            <w:r w:rsidRPr="00B3123E">
              <w:rPr>
                <w:rFonts w:ascii="Calibri" w:eastAsia="Times New Roman" w:hAnsi="Calibri" w:cs="Calibri"/>
                <w:sz w:val="18"/>
                <w:szCs w:val="18"/>
                <w:lang w:val="sr-Cyrl-RS" w:eastAsia="hr-HR"/>
              </w:rPr>
              <w:lastRenderedPageBreak/>
              <w:t>• Јачање знања и свести о савременим поштанским трендовима (2.5).</w:t>
            </w:r>
          </w:p>
          <w:p w14:paraId="13D38ED7"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c>
          <w:tcPr>
            <w:tcW w:w="2552" w:type="dxa"/>
            <w:shd w:val="clear" w:color="auto" w:fill="D5DCE4" w:themeFill="text2" w:themeFillTint="33"/>
            <w:tcMar>
              <w:top w:w="15" w:type="dxa"/>
              <w:left w:w="15" w:type="dxa"/>
              <w:bottom w:w="15" w:type="dxa"/>
              <w:right w:w="15" w:type="dxa"/>
            </w:tcMar>
          </w:tcPr>
          <w:p w14:paraId="361B9C08"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lastRenderedPageBreak/>
              <w:t>• Потенцијално смањење појединих радних места услед аутоматизације и примене AI.</w:t>
            </w:r>
            <w:r w:rsidRPr="00B3123E">
              <w:rPr>
                <w:rFonts w:ascii="Calibri" w:eastAsia="Times New Roman" w:hAnsi="Calibri" w:cs="Calibri"/>
                <w:sz w:val="18"/>
                <w:szCs w:val="18"/>
                <w:lang w:val="sr-Cyrl-RS" w:eastAsia="hr-HR"/>
              </w:rPr>
              <w:br/>
              <w:t>• Ризик дигиталног јаза (старије и осетљиве групе).</w:t>
            </w:r>
          </w:p>
        </w:tc>
        <w:tc>
          <w:tcPr>
            <w:tcW w:w="2268" w:type="dxa"/>
            <w:shd w:val="clear" w:color="auto" w:fill="D5DCE4" w:themeFill="text2" w:themeFillTint="33"/>
            <w:tcMar>
              <w:top w:w="15" w:type="dxa"/>
              <w:left w:w="15" w:type="dxa"/>
              <w:bottom w:w="15" w:type="dxa"/>
              <w:right w:w="15" w:type="dxa"/>
            </w:tcMar>
          </w:tcPr>
          <w:p w14:paraId="5C3DB526"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Програми преквалификације и интерних обука.</w:t>
            </w:r>
            <w:r w:rsidRPr="00B3123E">
              <w:rPr>
                <w:rFonts w:ascii="Calibri" w:eastAsia="Times New Roman" w:hAnsi="Calibri" w:cs="Calibri"/>
                <w:sz w:val="18"/>
                <w:szCs w:val="18"/>
                <w:lang w:val="sr-Cyrl-RS" w:eastAsia="hr-HR"/>
              </w:rPr>
              <w:br/>
              <w:t>• Успостављање социјалног дијалога са синдикатима.</w:t>
            </w:r>
            <w:r w:rsidRPr="00B3123E">
              <w:rPr>
                <w:rFonts w:ascii="Calibri" w:eastAsia="Times New Roman" w:hAnsi="Calibri" w:cs="Calibri"/>
                <w:sz w:val="18"/>
                <w:szCs w:val="18"/>
                <w:lang w:val="sr-Cyrl-RS" w:eastAsia="hr-HR"/>
              </w:rPr>
              <w:br/>
              <w:t>• Одржавање минималне мреже физичких приступних тачака.</w:t>
            </w:r>
            <w:r w:rsidRPr="00B3123E">
              <w:rPr>
                <w:rFonts w:ascii="Calibri" w:eastAsia="Times New Roman" w:hAnsi="Calibri" w:cs="Calibri"/>
                <w:sz w:val="18"/>
                <w:szCs w:val="18"/>
                <w:lang w:val="sr-Cyrl-RS" w:eastAsia="hr-HR"/>
              </w:rPr>
              <w:br/>
              <w:t xml:space="preserve">• Посебне информативне </w:t>
            </w:r>
            <w:r w:rsidRPr="00B3123E">
              <w:rPr>
                <w:rFonts w:ascii="Calibri" w:eastAsia="Times New Roman" w:hAnsi="Calibri" w:cs="Calibri"/>
                <w:sz w:val="18"/>
                <w:szCs w:val="18"/>
                <w:lang w:val="sr-Cyrl-RS" w:eastAsia="hr-HR"/>
              </w:rPr>
              <w:lastRenderedPageBreak/>
              <w:t>кампање за осетљиве друштвене групе.</w:t>
            </w:r>
          </w:p>
        </w:tc>
      </w:tr>
      <w:tr w:rsidR="005F221A" w:rsidRPr="00B3123E" w14:paraId="52055687" w14:textId="77777777" w:rsidTr="00F972B3">
        <w:tc>
          <w:tcPr>
            <w:tcW w:w="1129" w:type="dxa"/>
            <w:tcBorders>
              <w:right w:val="dotted" w:sz="4" w:space="0" w:color="auto"/>
            </w:tcBorders>
            <w:tcMar>
              <w:top w:w="15" w:type="dxa"/>
              <w:left w:w="15" w:type="dxa"/>
              <w:bottom w:w="15" w:type="dxa"/>
              <w:right w:w="15" w:type="dxa"/>
            </w:tcMar>
            <w:vAlign w:val="center"/>
          </w:tcPr>
          <w:p w14:paraId="37FCC316"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lastRenderedPageBreak/>
              <w:t xml:space="preserve">3. Ефекти на животну </w:t>
            </w:r>
          </w:p>
          <w:p w14:paraId="76D50598"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средину</w:t>
            </w:r>
          </w:p>
        </w:tc>
        <w:tc>
          <w:tcPr>
            <w:tcW w:w="3402" w:type="dxa"/>
            <w:tcBorders>
              <w:left w:val="dotted" w:sz="4" w:space="0" w:color="auto"/>
            </w:tcBorders>
            <w:tcMar>
              <w:top w:w="15" w:type="dxa"/>
              <w:left w:w="15" w:type="dxa"/>
              <w:bottom w:w="15" w:type="dxa"/>
              <w:right w:w="15" w:type="dxa"/>
            </w:tcMar>
          </w:tcPr>
          <w:p w14:paraId="654499EB" w14:textId="41D91481"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Оптимизација рута, дигитализација и увођење AI доприносе смањењу емисија CO₂ и потрошње горива (1.1, 3.1, 3.3).</w:t>
            </w:r>
            <w:r w:rsidRPr="00B3123E">
              <w:rPr>
                <w:rFonts w:ascii="Calibri" w:eastAsia="Times New Roman" w:hAnsi="Calibri" w:cs="Calibri"/>
                <w:sz w:val="18"/>
                <w:szCs w:val="18"/>
                <w:lang w:val="sr-Cyrl-RS" w:eastAsia="hr-HR"/>
              </w:rPr>
              <w:br/>
              <w:t>• Повећана енергетска ефикасност и мања употреба папира.</w:t>
            </w:r>
            <w:r w:rsidRPr="00B3123E">
              <w:rPr>
                <w:rFonts w:ascii="Calibri" w:eastAsia="Times New Roman" w:hAnsi="Calibri" w:cs="Calibri"/>
                <w:sz w:val="18"/>
                <w:szCs w:val="18"/>
                <w:lang w:val="sr-Cyrl-RS" w:eastAsia="hr-HR"/>
              </w:rPr>
              <w:br/>
            </w:r>
          </w:p>
        </w:tc>
        <w:tc>
          <w:tcPr>
            <w:tcW w:w="2552" w:type="dxa"/>
            <w:tcMar>
              <w:top w:w="15" w:type="dxa"/>
              <w:left w:w="15" w:type="dxa"/>
              <w:bottom w:w="15" w:type="dxa"/>
              <w:right w:w="15" w:type="dxa"/>
            </w:tcMar>
          </w:tcPr>
          <w:p w14:paraId="13D1B666"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Раст обима пакета и оптерећење инфраструктуре услед развоја прекограничне доставе (2.4).</w:t>
            </w:r>
          </w:p>
        </w:tc>
        <w:tc>
          <w:tcPr>
            <w:tcW w:w="2268" w:type="dxa"/>
            <w:tcMar>
              <w:top w:w="15" w:type="dxa"/>
              <w:left w:w="15" w:type="dxa"/>
              <w:bottom w:w="15" w:type="dxa"/>
              <w:right w:w="15" w:type="dxa"/>
            </w:tcMar>
          </w:tcPr>
          <w:p w14:paraId="12DD5F37" w14:textId="77777777" w:rsidR="000414AE" w:rsidRPr="00B3123E" w:rsidRDefault="005F221A" w:rsidP="000414AE">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Оптимизација мреже достава и приступних тачака.</w:t>
            </w:r>
            <w:r w:rsidRPr="00B3123E">
              <w:rPr>
                <w:rFonts w:ascii="Calibri" w:eastAsia="Times New Roman" w:hAnsi="Calibri" w:cs="Calibri"/>
                <w:sz w:val="18"/>
                <w:szCs w:val="18"/>
                <w:lang w:val="sr-Cyrl-RS" w:eastAsia="hr-HR"/>
              </w:rPr>
              <w:br/>
              <w:t>• Коришћење паметних решења (ПУДО пунктови, пакетомати)</w:t>
            </w:r>
          </w:p>
          <w:p w14:paraId="6F4F1B5A" w14:textId="049FDE4A" w:rsidR="005F221A" w:rsidRPr="00B3123E" w:rsidRDefault="000414AE" w:rsidP="000414AE">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Промоција веће употребе електричних и хибридних достав</w:t>
            </w:r>
            <w:r w:rsidR="004111D3" w:rsidRPr="00B3123E">
              <w:rPr>
                <w:rFonts w:ascii="Calibri" w:eastAsia="Times New Roman" w:hAnsi="Calibri" w:cs="Calibri"/>
                <w:sz w:val="18"/>
                <w:szCs w:val="18"/>
                <w:lang w:val="sr-Cyrl-RS" w:eastAsia="hr-HR"/>
              </w:rPr>
              <w:t>н</w:t>
            </w:r>
            <w:r w:rsidRPr="00B3123E">
              <w:rPr>
                <w:rFonts w:ascii="Calibri" w:eastAsia="Times New Roman" w:hAnsi="Calibri" w:cs="Calibri"/>
                <w:sz w:val="18"/>
                <w:szCs w:val="18"/>
                <w:lang w:val="sr-Cyrl-RS" w:eastAsia="hr-HR"/>
              </w:rPr>
              <w:t>их средстава.</w:t>
            </w:r>
            <w:r w:rsidR="005F221A" w:rsidRPr="00B3123E">
              <w:rPr>
                <w:rFonts w:ascii="Calibri" w:eastAsia="Times New Roman" w:hAnsi="Calibri" w:cs="Calibri"/>
                <w:sz w:val="18"/>
                <w:szCs w:val="18"/>
                <w:lang w:val="sr-Cyrl-RS" w:eastAsia="hr-HR"/>
              </w:rPr>
              <w:br/>
            </w:r>
          </w:p>
          <w:p w14:paraId="48D943A8"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r>
      <w:tr w:rsidR="005F221A" w:rsidRPr="00B3123E" w14:paraId="26D87F50" w14:textId="77777777" w:rsidTr="00F972B3">
        <w:tc>
          <w:tcPr>
            <w:tcW w:w="1129" w:type="dxa"/>
            <w:tcBorders>
              <w:right w:val="dotted" w:sz="4" w:space="0" w:color="auto"/>
            </w:tcBorders>
            <w:shd w:val="clear" w:color="auto" w:fill="D5DCE4" w:themeFill="text2" w:themeFillTint="33"/>
            <w:tcMar>
              <w:top w:w="15" w:type="dxa"/>
              <w:left w:w="15" w:type="dxa"/>
              <w:bottom w:w="15" w:type="dxa"/>
              <w:right w:w="15" w:type="dxa"/>
            </w:tcMar>
            <w:vAlign w:val="center"/>
          </w:tcPr>
          <w:p w14:paraId="31D5525C"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 xml:space="preserve">4. Управљачки </w:t>
            </w:r>
          </w:p>
          <w:p w14:paraId="5FC55AAD"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ефекти</w:t>
            </w:r>
          </w:p>
        </w:tc>
        <w:tc>
          <w:tcPr>
            <w:tcW w:w="3402" w:type="dxa"/>
            <w:tcBorders>
              <w:left w:val="dotted" w:sz="4" w:space="0" w:color="auto"/>
            </w:tcBorders>
            <w:shd w:val="clear" w:color="auto" w:fill="D5DCE4" w:themeFill="text2" w:themeFillTint="33"/>
            <w:tcMar>
              <w:top w:w="15" w:type="dxa"/>
              <w:left w:w="15" w:type="dxa"/>
              <w:bottom w:w="15" w:type="dxa"/>
              <w:right w:w="15" w:type="dxa"/>
            </w:tcMar>
          </w:tcPr>
          <w:p w14:paraId="31349516"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Јачање капацитета министарства и регулатора за праћење стандарда (1.3).</w:t>
            </w:r>
            <w:r w:rsidRPr="00B3123E">
              <w:rPr>
                <w:rFonts w:ascii="Calibri" w:eastAsia="Times New Roman" w:hAnsi="Calibri" w:cs="Calibri"/>
                <w:sz w:val="18"/>
                <w:szCs w:val="18"/>
                <w:lang w:val="sr-Cyrl-RS" w:eastAsia="hr-HR"/>
              </w:rPr>
              <w:br/>
              <w:t>• Унапређење институционалне сарадње и међународних односа (2.1, 2.2).</w:t>
            </w:r>
            <w:r w:rsidRPr="00B3123E">
              <w:rPr>
                <w:rFonts w:ascii="Calibri" w:eastAsia="Times New Roman" w:hAnsi="Calibri" w:cs="Calibri"/>
                <w:sz w:val="18"/>
                <w:szCs w:val="18"/>
                <w:lang w:val="sr-Cyrl-RS" w:eastAsia="hr-HR"/>
              </w:rPr>
              <w:br/>
              <w:t>• Увођење нових управљачких и аналитичких функција (AI, конкуренција).</w:t>
            </w:r>
          </w:p>
        </w:tc>
        <w:tc>
          <w:tcPr>
            <w:tcW w:w="2552" w:type="dxa"/>
            <w:shd w:val="clear" w:color="auto" w:fill="D5DCE4" w:themeFill="text2" w:themeFillTint="33"/>
            <w:tcMar>
              <w:top w:w="15" w:type="dxa"/>
              <w:left w:w="15" w:type="dxa"/>
              <w:bottom w:w="15" w:type="dxa"/>
              <w:right w:w="15" w:type="dxa"/>
            </w:tcMar>
          </w:tcPr>
          <w:p w14:paraId="49483898"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Недовољни институционални и кадровски капацитети за спровођење сложених реформи.</w:t>
            </w:r>
            <w:r w:rsidRPr="00B3123E">
              <w:rPr>
                <w:rFonts w:ascii="Calibri" w:eastAsia="Times New Roman" w:hAnsi="Calibri" w:cs="Calibri"/>
                <w:sz w:val="18"/>
                <w:szCs w:val="18"/>
                <w:lang w:val="sr-Cyrl-RS" w:eastAsia="hr-HR"/>
              </w:rPr>
              <w:br/>
              <w:t>• Ризик преклапања надлежности између органа.</w:t>
            </w:r>
          </w:p>
        </w:tc>
        <w:tc>
          <w:tcPr>
            <w:tcW w:w="2268" w:type="dxa"/>
            <w:shd w:val="clear" w:color="auto" w:fill="D5DCE4" w:themeFill="text2" w:themeFillTint="33"/>
            <w:tcMar>
              <w:top w:w="15" w:type="dxa"/>
              <w:left w:w="15" w:type="dxa"/>
              <w:bottom w:w="15" w:type="dxa"/>
              <w:right w:w="15" w:type="dxa"/>
            </w:tcMar>
          </w:tcPr>
          <w:p w14:paraId="72B0039F"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План обука и јачања административних капацитета.</w:t>
            </w:r>
            <w:r w:rsidRPr="00B3123E">
              <w:rPr>
                <w:rFonts w:ascii="Calibri" w:eastAsia="Times New Roman" w:hAnsi="Calibri" w:cs="Calibri"/>
                <w:sz w:val="18"/>
                <w:szCs w:val="18"/>
                <w:lang w:val="sr-Cyrl-RS" w:eastAsia="hr-HR"/>
              </w:rPr>
              <w:br/>
              <w:t>• Ангажовање спољних стручњака и међународне техничке помоћи.</w:t>
            </w:r>
            <w:r w:rsidRPr="00B3123E">
              <w:rPr>
                <w:rFonts w:ascii="Calibri" w:eastAsia="Times New Roman" w:hAnsi="Calibri" w:cs="Calibri"/>
                <w:sz w:val="18"/>
                <w:szCs w:val="18"/>
                <w:lang w:val="sr-Cyrl-RS" w:eastAsia="hr-HR"/>
              </w:rPr>
              <w:br/>
              <w:t>• Јасно дефинисање надлежности и успостављање координационих тела.</w:t>
            </w:r>
          </w:p>
          <w:p w14:paraId="6587D3E2"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r>
      <w:tr w:rsidR="005F221A" w:rsidRPr="00B3123E" w14:paraId="56516082" w14:textId="77777777" w:rsidTr="00F972B3">
        <w:tc>
          <w:tcPr>
            <w:tcW w:w="1129" w:type="dxa"/>
            <w:tcBorders>
              <w:right w:val="dotted" w:sz="4" w:space="0" w:color="auto"/>
            </w:tcBorders>
            <w:tcMar>
              <w:top w:w="15" w:type="dxa"/>
              <w:left w:w="15" w:type="dxa"/>
              <w:bottom w:w="15" w:type="dxa"/>
              <w:right w:w="15" w:type="dxa"/>
            </w:tcMar>
            <w:vAlign w:val="center"/>
          </w:tcPr>
          <w:p w14:paraId="5A98DD5A"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5. Финансијски ефекти</w:t>
            </w:r>
          </w:p>
        </w:tc>
        <w:tc>
          <w:tcPr>
            <w:tcW w:w="3402" w:type="dxa"/>
            <w:tcBorders>
              <w:left w:val="dotted" w:sz="4" w:space="0" w:color="auto"/>
            </w:tcBorders>
            <w:tcMar>
              <w:top w:w="15" w:type="dxa"/>
              <w:left w:w="15" w:type="dxa"/>
              <w:bottom w:w="15" w:type="dxa"/>
              <w:right w:w="15" w:type="dxa"/>
            </w:tcMar>
          </w:tcPr>
          <w:p w14:paraId="3570B5DD"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Дугорочно повећање прихода кроз ефикасније и конкурентније поштанске и логистичке услуге.</w:t>
            </w:r>
            <w:r w:rsidRPr="00B3123E">
              <w:rPr>
                <w:rFonts w:ascii="Calibri" w:eastAsia="Times New Roman" w:hAnsi="Calibri" w:cs="Calibri"/>
                <w:sz w:val="18"/>
                <w:szCs w:val="18"/>
                <w:lang w:val="sr-Cyrl-RS" w:eastAsia="hr-HR"/>
              </w:rPr>
              <w:br/>
              <w:t>• Раст јавних прихода кроз јачање економске активности и е-трговине.</w:t>
            </w:r>
            <w:r w:rsidRPr="00B3123E">
              <w:rPr>
                <w:rFonts w:ascii="Calibri" w:eastAsia="Times New Roman" w:hAnsi="Calibri" w:cs="Calibri"/>
                <w:sz w:val="18"/>
                <w:szCs w:val="18"/>
                <w:lang w:val="sr-Cyrl-RS" w:eastAsia="hr-HR"/>
              </w:rPr>
              <w:br/>
              <w:t>• Могућност финансирања из ЕУ фондова и јавно-приватних партнерстава.</w:t>
            </w:r>
          </w:p>
        </w:tc>
        <w:tc>
          <w:tcPr>
            <w:tcW w:w="2552" w:type="dxa"/>
            <w:tcMar>
              <w:top w:w="15" w:type="dxa"/>
              <w:left w:w="15" w:type="dxa"/>
              <w:bottom w:w="15" w:type="dxa"/>
              <w:right w:w="15" w:type="dxa"/>
            </w:tcMar>
          </w:tcPr>
          <w:p w14:paraId="3FFDB5E7"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Краткорочно повећање расхода (инвестиције у опрему, обуке, ИТ системе).</w:t>
            </w:r>
            <w:r w:rsidRPr="00B3123E">
              <w:rPr>
                <w:rFonts w:ascii="Calibri" w:eastAsia="Times New Roman" w:hAnsi="Calibri" w:cs="Calibri"/>
                <w:sz w:val="18"/>
                <w:szCs w:val="18"/>
                <w:lang w:val="sr-Cyrl-RS" w:eastAsia="hr-HR"/>
              </w:rPr>
              <w:br/>
              <w:t>• Ризик ограничених буџетских средстава.</w:t>
            </w:r>
          </w:p>
        </w:tc>
        <w:tc>
          <w:tcPr>
            <w:tcW w:w="2268" w:type="dxa"/>
            <w:tcMar>
              <w:top w:w="15" w:type="dxa"/>
              <w:left w:w="15" w:type="dxa"/>
              <w:bottom w:w="15" w:type="dxa"/>
              <w:right w:w="15" w:type="dxa"/>
            </w:tcMar>
          </w:tcPr>
          <w:p w14:paraId="033837DD"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Комбинација извора финансирања (буџет, оператори, донатори).</w:t>
            </w:r>
            <w:r w:rsidRPr="00B3123E">
              <w:rPr>
                <w:rFonts w:ascii="Calibri" w:eastAsia="Times New Roman" w:hAnsi="Calibri" w:cs="Calibri"/>
                <w:sz w:val="18"/>
                <w:szCs w:val="18"/>
                <w:lang w:val="sr-Cyrl-RS" w:eastAsia="hr-HR"/>
              </w:rPr>
              <w:br/>
              <w:t>• Фазна реализација инвестиција.</w:t>
            </w:r>
            <w:r w:rsidRPr="00B3123E">
              <w:rPr>
                <w:rFonts w:ascii="Calibri" w:eastAsia="Times New Roman" w:hAnsi="Calibri" w:cs="Calibri"/>
                <w:sz w:val="18"/>
                <w:szCs w:val="18"/>
                <w:lang w:val="sr-Cyrl-RS" w:eastAsia="hr-HR"/>
              </w:rPr>
              <w:br/>
              <w:t>• Успостављање механизама контроле трошкова и праћења ефеката.</w:t>
            </w:r>
          </w:p>
          <w:p w14:paraId="1EC3BDB4"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r>
      <w:tr w:rsidR="005F221A" w:rsidRPr="00B3123E" w14:paraId="6B58AB4C" w14:textId="77777777" w:rsidTr="00F972B3">
        <w:tc>
          <w:tcPr>
            <w:tcW w:w="1129" w:type="dxa"/>
            <w:tcBorders>
              <w:right w:val="dotted" w:sz="4" w:space="0" w:color="auto"/>
            </w:tcBorders>
            <w:shd w:val="clear" w:color="auto" w:fill="D5DCE4" w:themeFill="text2" w:themeFillTint="33"/>
            <w:tcMar>
              <w:top w:w="15" w:type="dxa"/>
              <w:left w:w="15" w:type="dxa"/>
              <w:bottom w:w="15" w:type="dxa"/>
              <w:right w:w="15" w:type="dxa"/>
            </w:tcMar>
            <w:vAlign w:val="center"/>
          </w:tcPr>
          <w:p w14:paraId="0AF03BF6"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6. Ризици</w:t>
            </w:r>
          </w:p>
        </w:tc>
        <w:tc>
          <w:tcPr>
            <w:tcW w:w="3402" w:type="dxa"/>
            <w:tcBorders>
              <w:left w:val="dotted" w:sz="4" w:space="0" w:color="auto"/>
            </w:tcBorders>
            <w:shd w:val="clear" w:color="auto" w:fill="D5DCE4" w:themeFill="text2" w:themeFillTint="33"/>
            <w:tcMar>
              <w:top w:w="15" w:type="dxa"/>
              <w:left w:w="15" w:type="dxa"/>
              <w:bottom w:w="15" w:type="dxa"/>
              <w:right w:w="15" w:type="dxa"/>
            </w:tcMar>
          </w:tcPr>
          <w:p w14:paraId="3D3912F3"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Висок ниво подршке заинтересованих страна (министарство, регулатор, јавни и приватни оператори).</w:t>
            </w:r>
            <w:r w:rsidRPr="00B3123E">
              <w:rPr>
                <w:rFonts w:ascii="Calibri" w:eastAsia="Calibri" w:hAnsi="Calibri" w:cs="Calibri"/>
                <w:kern w:val="3"/>
                <w:sz w:val="18"/>
                <w:szCs w:val="18"/>
                <w:lang w:val="sr-Cyrl-RS"/>
              </w:rPr>
              <w:br/>
              <w:t>• Мере у складу са приоритетима Владе и процесом европских интеграција.</w:t>
            </w:r>
            <w:r w:rsidRPr="00B3123E">
              <w:rPr>
                <w:rFonts w:ascii="Calibri" w:eastAsia="Calibri" w:hAnsi="Calibri" w:cs="Calibri"/>
                <w:kern w:val="3"/>
                <w:sz w:val="18"/>
                <w:szCs w:val="18"/>
                <w:lang w:val="sr-Cyrl-RS"/>
              </w:rPr>
              <w:br/>
              <w:t>• Идентификовани главни ризици: финансијска ограничења, отпор променама, технолошки и сајбер ризици, кашњења у процедурама.</w:t>
            </w:r>
          </w:p>
        </w:tc>
        <w:tc>
          <w:tcPr>
            <w:tcW w:w="2552" w:type="dxa"/>
            <w:shd w:val="clear" w:color="auto" w:fill="D5DCE4" w:themeFill="text2" w:themeFillTint="33"/>
            <w:tcMar>
              <w:top w:w="15" w:type="dxa"/>
              <w:left w:w="15" w:type="dxa"/>
              <w:bottom w:w="15" w:type="dxa"/>
              <w:right w:w="15" w:type="dxa"/>
            </w:tcMar>
          </w:tcPr>
          <w:p w14:paraId="5198D229"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Недовољна средства или одложена реализација јавних набавки.</w:t>
            </w:r>
          </w:p>
          <w:p w14:paraId="6EC35F96"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Технички проблеми током увођења ИТ и AI система.</w:t>
            </w:r>
          </w:p>
          <w:p w14:paraId="5836DE86"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Отпор запослених и губитак поверења корисника у транзицији.</w:t>
            </w:r>
          </w:p>
        </w:tc>
        <w:tc>
          <w:tcPr>
            <w:tcW w:w="2268" w:type="dxa"/>
            <w:shd w:val="clear" w:color="auto" w:fill="D5DCE4" w:themeFill="text2" w:themeFillTint="33"/>
            <w:tcMar>
              <w:top w:w="15" w:type="dxa"/>
              <w:left w:w="15" w:type="dxa"/>
              <w:bottom w:w="15" w:type="dxa"/>
              <w:right w:w="15" w:type="dxa"/>
            </w:tcMar>
          </w:tcPr>
          <w:p w14:paraId="4C039D36"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Успостављање оперативног тима за управљање ризицима.</w:t>
            </w:r>
          </w:p>
          <w:p w14:paraId="41B2F4FD"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Годишње ревизије приоритета и ажурирање акционих планова.</w:t>
            </w:r>
          </w:p>
          <w:p w14:paraId="096D559F"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Редовно извештавање и ревизија буџета.</w:t>
            </w:r>
          </w:p>
          <w:p w14:paraId="427A61B8"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Пилот-тестирање мера пре пуне примене.</w:t>
            </w:r>
          </w:p>
          <w:p w14:paraId="6C03A915"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Успостављање кризног плана реаговања и комуникационе стратегије.</w:t>
            </w:r>
          </w:p>
          <w:p w14:paraId="637A7147"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Континуирана комуникација са запосленима и корисницима</w:t>
            </w:r>
          </w:p>
        </w:tc>
      </w:tr>
      <w:bookmarkEnd w:id="59"/>
    </w:tbl>
    <w:p w14:paraId="26B4848D" w14:textId="0C47ED58" w:rsidR="006211A8" w:rsidRPr="00B3123E" w:rsidRDefault="006211A8" w:rsidP="000D50CA">
      <w:pPr>
        <w:tabs>
          <w:tab w:val="left" w:pos="1440"/>
        </w:tabs>
        <w:rPr>
          <w:rFonts w:ascii="Times New Roman" w:hAnsi="Times New Roman" w:cs="Times New Roman"/>
          <w:szCs w:val="24"/>
          <w:lang w:val="sr-Cyrl-RS"/>
        </w:rPr>
      </w:pPr>
    </w:p>
    <w:p w14:paraId="36ACE411" w14:textId="0FA0CBBB" w:rsidR="00A833F0" w:rsidRPr="00B3123E" w:rsidRDefault="00A833F0"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Мере предвиђене Програмом допринеће, кроз развијену и лако доступну поштанску мрежу, одрживом развоју локалних заједница, нарочито у руралним подручјима. Поред своје економске вредности, поштанске услуге и мрежа носе и огромну социјалну вредност, стварајући услове за побољшање живота појединаца и друштва у целини. Ово укључује бољу повезаност, приступ услугама и унапређење опште добробити.</w:t>
      </w:r>
    </w:p>
    <w:p w14:paraId="21B640B0" w14:textId="77777777" w:rsidR="00A833F0" w:rsidRPr="00B3123E" w:rsidRDefault="00A833F0"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Континуирани развој тржишта поштанских услуга, његова интеграција у глобалне поштанске мреже, подстицање иновација, те подизање квалитета услуга, директно доприносе бољем задовољењу потреба корисника. Осигуравање одрживости УПУ додатно гарантује стабилност и доступност кључних сервиса за све.</w:t>
      </w:r>
    </w:p>
    <w:p w14:paraId="67DC519D" w14:textId="77777777" w:rsidR="00A833F0" w:rsidRPr="00B3123E" w:rsidRDefault="00A833F0"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Шира примена еколошких аспеката у поштанској делатности ће се позитивно одразити на стање животне средине. Поштанске услуге у које су укључени еколошки аспекти подразумева  набавку добара, услуга и радова који минимално утичу на животну средину. Кроз ширу примену еколошких аспеката на поштанском тржишту јавни сектор истовремено утиче и на подизање свести привредних субјеката, али и грађана о значају и потреби очувања и заштите животе средине.</w:t>
      </w:r>
    </w:p>
    <w:p w14:paraId="0A33DE49" w14:textId="77777777" w:rsidR="00A833F0" w:rsidRPr="00B3123E" w:rsidRDefault="00A833F0"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Појава нових поштанских услуга, насталих синергијом са информационо-комуникационим технологијама (ИКТ) и саобраћајном инфраструктуром, посебно кроз процес дигитализације, отвара нове могућности. Ово укључује проширење спектра услуга и повећање обима поштанског саобраћаја, што последично води ка повећању капацитета и прихода поштанских оператора, подстичући њихов раст и развој.</w:t>
      </w:r>
    </w:p>
    <w:p w14:paraId="0C1405DF" w14:textId="5C8F0DEE" w:rsidR="00AD207E" w:rsidRPr="00B3123E" w:rsidRDefault="00A833F0" w:rsidP="006211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Развој поштанског сектора има велики значај за целу привреду. Велики пословни системи могу да препусте значајан део споредних делатности поштанским операторима, омогућавајући им да се фокусирају на основну делатност. Истовремено, за мала и средња предузећа, поштанска делатност пружањем поштанских, логистичких и маркетиншких услуга, као и потпуно нових е-поштанских услуга, омогућава да комплетирају свој ланац вредности. Квалитетне и ефикасне поштанске услуге су такође кључне за брже пласирање њихових производа, како на локалном, тако и на глобалном тржишту, путем е-трговине и ефикасне доставе ро</w:t>
      </w:r>
      <w:r w:rsidR="007E0986" w:rsidRPr="00B3123E">
        <w:rPr>
          <w:rFonts w:ascii="Times New Roman" w:hAnsi="Times New Roman" w:cs="Times New Roman"/>
          <w:szCs w:val="24"/>
          <w:lang w:val="sr-Cyrl-RS"/>
        </w:rPr>
        <w:t>бе.</w:t>
      </w:r>
    </w:p>
    <w:p w14:paraId="2594D901" w14:textId="77777777" w:rsidR="00AD207E" w:rsidRPr="00B3123E" w:rsidRDefault="00AD207E" w:rsidP="007E0986">
      <w:pPr>
        <w:tabs>
          <w:tab w:val="left" w:pos="1440"/>
        </w:tabs>
        <w:ind w:firstLine="709"/>
        <w:rPr>
          <w:rFonts w:ascii="Times New Roman" w:hAnsi="Times New Roman" w:cs="Times New Roman"/>
          <w:szCs w:val="24"/>
          <w:lang w:val="sr-Cyrl-RS"/>
        </w:rPr>
      </w:pPr>
    </w:p>
    <w:p w14:paraId="314E2064" w14:textId="1AC3DEFA" w:rsidR="00834B43" w:rsidRPr="00B3123E" w:rsidRDefault="006C7241" w:rsidP="00F771C7">
      <w:pPr>
        <w:pStyle w:val="Heading1"/>
        <w:numPr>
          <w:ilvl w:val="0"/>
          <w:numId w:val="1"/>
        </w:numPr>
        <w:jc w:val="center"/>
        <w:rPr>
          <w:rFonts w:ascii="Times New Roman" w:hAnsi="Times New Roman"/>
          <w:sz w:val="24"/>
          <w:lang w:val="sr-Cyrl-RS"/>
        </w:rPr>
      </w:pPr>
      <w:bookmarkStart w:id="61" w:name="_Toc23941327"/>
      <w:bookmarkStart w:id="62" w:name="_Toc211545987"/>
      <w:r w:rsidRPr="00B3123E">
        <w:rPr>
          <w:rFonts w:ascii="Times New Roman" w:hAnsi="Times New Roman"/>
          <w:sz w:val="24"/>
          <w:lang w:val="sr-Cyrl-RS"/>
        </w:rPr>
        <w:t xml:space="preserve"> </w:t>
      </w:r>
      <w:r w:rsidR="002E28D1" w:rsidRPr="00B3123E">
        <w:rPr>
          <w:rFonts w:ascii="Times New Roman" w:hAnsi="Times New Roman"/>
          <w:sz w:val="24"/>
          <w:lang w:val="sr-Cyrl-RS"/>
        </w:rPr>
        <w:t xml:space="preserve">МЕХАНИЗАМ ЗА СПРОВОЂЕЊЕ </w:t>
      </w:r>
      <w:r w:rsidR="00FF297A" w:rsidRPr="00B3123E">
        <w:rPr>
          <w:rFonts w:ascii="Times New Roman" w:hAnsi="Times New Roman"/>
          <w:sz w:val="24"/>
          <w:lang w:val="sr-Cyrl-RS"/>
        </w:rPr>
        <w:t>ПРОГРАМА</w:t>
      </w:r>
      <w:r w:rsidR="002E28D1" w:rsidRPr="00B3123E">
        <w:rPr>
          <w:rFonts w:ascii="Times New Roman" w:hAnsi="Times New Roman"/>
          <w:sz w:val="24"/>
          <w:lang w:val="sr-Cyrl-RS"/>
        </w:rPr>
        <w:t xml:space="preserve"> И НАЧИН ИЗВЕШТАВАЊА О РЕЗУЛТАТИМА СПРОВОЂЕЊА</w:t>
      </w:r>
      <w:bookmarkEnd w:id="61"/>
      <w:bookmarkEnd w:id="62"/>
    </w:p>
    <w:p w14:paraId="09867009" w14:textId="37D24E82" w:rsidR="00A6462B" w:rsidRPr="00B3123E" w:rsidRDefault="00A6462B"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Ради његове ефикасније примене, усвајање овог документа јавне политике биће праћено усвајањем Акционог плана за спровођење Програма, којим ће бити прецизиране активности, рокови, надлежни </w:t>
      </w:r>
      <w:r w:rsidR="00F2675B" w:rsidRPr="00B3123E">
        <w:rPr>
          <w:rFonts w:ascii="Times New Roman" w:hAnsi="Times New Roman" w:cs="Times New Roman"/>
          <w:szCs w:val="24"/>
          <w:lang w:val="sr-Cyrl-RS"/>
        </w:rPr>
        <w:t>органи</w:t>
      </w:r>
      <w:r w:rsidRPr="00B3123E">
        <w:rPr>
          <w:rFonts w:ascii="Times New Roman" w:hAnsi="Times New Roman" w:cs="Times New Roman"/>
          <w:szCs w:val="24"/>
          <w:lang w:val="sr-Cyrl-RS"/>
        </w:rPr>
        <w:t xml:space="preserve"> и показатељи </w:t>
      </w:r>
      <w:r w:rsidR="00F2675B" w:rsidRPr="00B3123E">
        <w:rPr>
          <w:rFonts w:ascii="Times New Roman" w:hAnsi="Times New Roman" w:cs="Times New Roman"/>
          <w:szCs w:val="24"/>
          <w:lang w:val="sr-Cyrl-RS"/>
        </w:rPr>
        <w:t>остварења резултата</w:t>
      </w:r>
      <w:r w:rsidRPr="00B3123E">
        <w:rPr>
          <w:rFonts w:ascii="Times New Roman" w:hAnsi="Times New Roman" w:cs="Times New Roman"/>
          <w:szCs w:val="24"/>
          <w:lang w:val="sr-Cyrl-RS"/>
        </w:rPr>
        <w:t xml:space="preserve">. Акционим планом ће бити обухваћен цео период реализације </w:t>
      </w:r>
      <w:r w:rsidR="00D51D55" w:rsidRPr="00B3123E">
        <w:rPr>
          <w:rFonts w:ascii="Times New Roman" w:hAnsi="Times New Roman" w:cs="Times New Roman"/>
          <w:szCs w:val="24"/>
          <w:lang w:val="sr-Cyrl-RS"/>
        </w:rPr>
        <w:t xml:space="preserve">Програма </w:t>
      </w:r>
      <w:r w:rsidRPr="00B3123E">
        <w:rPr>
          <w:rFonts w:ascii="Times New Roman" w:hAnsi="Times New Roman" w:cs="Times New Roman"/>
          <w:szCs w:val="24"/>
          <w:lang w:val="sr-Cyrl-RS"/>
        </w:rPr>
        <w:t>од 2026. до 2030. године.</w:t>
      </w:r>
    </w:p>
    <w:p w14:paraId="5F790544" w14:textId="06F9C82F" w:rsidR="00A6462B" w:rsidRPr="00B3123E" w:rsidRDefault="00A6462B"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Праћење испуњености општег и посебних циљева вршиће се кроз праћење и вредновање учинака и ефеката примене Акционог плана који је саставни део овог</w:t>
      </w:r>
      <w:r w:rsidR="00F104D7" w:rsidRPr="00B3123E">
        <w:rPr>
          <w:rFonts w:ascii="Times New Roman" w:hAnsi="Times New Roman" w:cs="Times New Roman"/>
          <w:szCs w:val="24"/>
          <w:lang w:val="sr-Cyrl-RS"/>
        </w:rPr>
        <w:t xml:space="preserve"> </w:t>
      </w:r>
      <w:r w:rsidR="00B41C77">
        <w:rPr>
          <w:rFonts w:ascii="Times New Roman" w:hAnsi="Times New Roman" w:cs="Times New Roman"/>
          <w:szCs w:val="24"/>
          <w:lang w:val="sr-Cyrl-RS"/>
        </w:rPr>
        <w:t>п</w:t>
      </w:r>
      <w:r w:rsidRPr="00B3123E">
        <w:rPr>
          <w:rFonts w:ascii="Times New Roman" w:hAnsi="Times New Roman" w:cs="Times New Roman"/>
          <w:szCs w:val="24"/>
          <w:lang w:val="sr-Cyrl-RS"/>
        </w:rPr>
        <w:t xml:space="preserve">рограма, </w:t>
      </w:r>
      <w:r w:rsidR="00F104D7" w:rsidRPr="00B3123E">
        <w:rPr>
          <w:rFonts w:ascii="Times New Roman" w:hAnsi="Times New Roman" w:cs="Times New Roman"/>
          <w:szCs w:val="24"/>
          <w:lang w:val="sr-Cyrl-RS"/>
        </w:rPr>
        <w:t>као и кроз</w:t>
      </w:r>
      <w:r w:rsidRPr="00B3123E">
        <w:rPr>
          <w:rFonts w:ascii="Times New Roman" w:hAnsi="Times New Roman" w:cs="Times New Roman"/>
          <w:szCs w:val="24"/>
          <w:lang w:val="sr-Cyrl-RS"/>
        </w:rPr>
        <w:t xml:space="preserve"> извештавање о постигнутим резултатима.</w:t>
      </w:r>
    </w:p>
    <w:p w14:paraId="330DA422" w14:textId="490EAB3E" w:rsidR="00834B43" w:rsidRPr="00B3123E" w:rsidRDefault="00834B43"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Праћење спровођења и извештавање о резултатима спровођења Програма</w:t>
      </w:r>
      <w:r w:rsidR="002202E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врши се у складу са чл. 43. и 46. Закона о планском систему Републике Србије</w:t>
      </w:r>
      <w:r w:rsidR="00D563B4" w:rsidRPr="00B3123E">
        <w:rPr>
          <w:rFonts w:ascii="Times New Roman" w:hAnsi="Times New Roman" w:cs="Times New Roman"/>
          <w:szCs w:val="24"/>
          <w:lang w:val="sr-Cyrl-RS"/>
        </w:rPr>
        <w:t xml:space="preserve"> и</w:t>
      </w:r>
      <w:r w:rsidR="00543E12" w:rsidRPr="00B3123E">
        <w:rPr>
          <w:rFonts w:ascii="Times New Roman" w:hAnsi="Times New Roman" w:cs="Times New Roman"/>
          <w:szCs w:val="24"/>
          <w:lang w:val="sr-Cyrl-RS"/>
        </w:rPr>
        <w:t xml:space="preserve"> </w:t>
      </w:r>
      <w:r w:rsidR="00F104D7" w:rsidRPr="00B3123E">
        <w:rPr>
          <w:rFonts w:ascii="Times New Roman" w:hAnsi="Times New Roman" w:cs="Times New Roman"/>
          <w:szCs w:val="24"/>
          <w:lang w:val="sr-Cyrl-RS"/>
        </w:rPr>
        <w:t xml:space="preserve">у складу са </w:t>
      </w:r>
      <w:r w:rsidR="00543E12" w:rsidRPr="00B3123E">
        <w:rPr>
          <w:rFonts w:ascii="Times New Roman" w:hAnsi="Times New Roman" w:cs="Times New Roman"/>
          <w:szCs w:val="24"/>
          <w:lang w:val="sr-Cyrl-RS"/>
        </w:rPr>
        <w:t>одредбама</w:t>
      </w:r>
      <w:r w:rsidR="00D563B4" w:rsidRPr="00B3123E">
        <w:rPr>
          <w:rFonts w:ascii="Times New Roman" w:hAnsi="Times New Roman" w:cs="Times New Roman"/>
          <w:szCs w:val="24"/>
          <w:lang w:val="sr-Cyrl-RS"/>
        </w:rPr>
        <w:t xml:space="preserve"> Уредбе о методологији </w:t>
      </w:r>
      <w:r w:rsidR="004947B8" w:rsidRPr="00B3123E">
        <w:rPr>
          <w:rFonts w:ascii="Times New Roman" w:hAnsi="Times New Roman" w:cs="Times New Roman"/>
          <w:szCs w:val="24"/>
          <w:lang w:val="sr-Cyrl-RS"/>
        </w:rPr>
        <w:t>израде докумената јавних политика</w:t>
      </w:r>
      <w:r w:rsidRPr="00B3123E">
        <w:rPr>
          <w:rFonts w:ascii="Times New Roman" w:hAnsi="Times New Roman" w:cs="Times New Roman"/>
          <w:szCs w:val="24"/>
          <w:lang w:val="sr-Cyrl-RS"/>
        </w:rPr>
        <w:t>. Праћење спровођења Програма састоји се из редовног прикупљања података о остварењу циљева и спровођењу мера, о спровођењу активности дефинисаних у Акционом плану Програма у односу на планирану динамику, као и поређењу остварених и циљних вредности показатеља. Праћење такође обухвата и прибављање информација о ризицима који могу одложити или угрозити спровођење Акционог плана за спровођење Програма.</w:t>
      </w:r>
    </w:p>
    <w:p w14:paraId="2D5E73E9" w14:textId="19035C49" w:rsidR="00834B43" w:rsidRDefault="00A6462B" w:rsidP="00D92B1E">
      <w:pPr>
        <w:tabs>
          <w:tab w:val="left" w:pos="709"/>
        </w:tabs>
        <w:ind w:firstLine="709"/>
        <w:rPr>
          <w:rFonts w:ascii="Times New Roman" w:hAnsi="Times New Roman" w:cs="Times New Roman"/>
          <w:szCs w:val="24"/>
          <w:lang w:val="sr-Cyrl-RS"/>
        </w:rPr>
      </w:pPr>
      <w:r w:rsidRPr="00B3123E">
        <w:rPr>
          <w:rFonts w:ascii="Times New Roman" w:hAnsi="Times New Roman" w:cs="Times New Roman"/>
          <w:szCs w:val="24"/>
          <w:lang w:val="sr-Cyrl-RS"/>
        </w:rPr>
        <w:tab/>
      </w:r>
      <w:r w:rsidR="00834B43" w:rsidRPr="00B3123E">
        <w:rPr>
          <w:rFonts w:ascii="Times New Roman" w:hAnsi="Times New Roman" w:cs="Times New Roman"/>
          <w:szCs w:val="24"/>
          <w:lang w:val="sr-Cyrl-RS"/>
        </w:rPr>
        <w:t xml:space="preserve">Одговорне институције утврђене као носиоци активности у Акционом плану за спровођење Програма континуирано прате спровођење активности. Носиоци активности дужни су да наведене податке и информације редовно достављају </w:t>
      </w:r>
      <w:r w:rsidR="003B0920" w:rsidRPr="00B3123E">
        <w:rPr>
          <w:rFonts w:ascii="Times New Roman" w:hAnsi="Times New Roman" w:cs="Times New Roman"/>
          <w:szCs w:val="24"/>
          <w:lang w:val="sr-Cyrl-RS"/>
        </w:rPr>
        <w:t>Министарству</w:t>
      </w:r>
      <w:r w:rsidR="00834B43" w:rsidRPr="00B3123E">
        <w:rPr>
          <w:rFonts w:ascii="Times New Roman" w:hAnsi="Times New Roman" w:cs="Times New Roman"/>
          <w:szCs w:val="24"/>
          <w:lang w:val="sr-Cyrl-RS"/>
        </w:rPr>
        <w:t xml:space="preserve">. У случају одлагања или одустајања од планираних активности, носиоци </w:t>
      </w:r>
      <w:r w:rsidR="00834B43" w:rsidRPr="00B3123E">
        <w:rPr>
          <w:rFonts w:ascii="Times New Roman" w:hAnsi="Times New Roman" w:cs="Times New Roman"/>
          <w:szCs w:val="24"/>
          <w:lang w:val="sr-Cyrl-RS"/>
        </w:rPr>
        <w:lastRenderedPageBreak/>
        <w:t>активности о томе обавештавају Министарств</w:t>
      </w:r>
      <w:r w:rsidR="00543E12" w:rsidRPr="00B3123E">
        <w:rPr>
          <w:rFonts w:ascii="Times New Roman" w:hAnsi="Times New Roman" w:cs="Times New Roman"/>
          <w:szCs w:val="24"/>
          <w:lang w:val="sr-Cyrl-RS"/>
        </w:rPr>
        <w:t>о</w:t>
      </w:r>
      <w:r w:rsidR="00834B43" w:rsidRPr="00B3123E">
        <w:rPr>
          <w:rFonts w:ascii="Times New Roman" w:hAnsi="Times New Roman" w:cs="Times New Roman"/>
          <w:szCs w:val="24"/>
          <w:lang w:val="sr-Cyrl-RS"/>
        </w:rPr>
        <w:t>, како би се предузеле неопходне активности за ублажавање препрека у спровођењу.</w:t>
      </w:r>
    </w:p>
    <w:p w14:paraId="1B917708" w14:textId="76E51A17" w:rsidR="00834B43" w:rsidRPr="00B3123E" w:rsidRDefault="00834B43"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Спровођење Програма пратиће </w:t>
      </w:r>
      <w:r w:rsidR="003B0920" w:rsidRPr="00B3123E">
        <w:rPr>
          <w:rFonts w:ascii="Times New Roman" w:hAnsi="Times New Roman" w:cs="Times New Roman"/>
          <w:szCs w:val="24"/>
          <w:lang w:val="sr-Cyrl-RS"/>
        </w:rPr>
        <w:t xml:space="preserve">Министарство </w:t>
      </w:r>
      <w:r w:rsidRPr="00B3123E">
        <w:rPr>
          <w:rFonts w:ascii="Times New Roman" w:hAnsi="Times New Roman" w:cs="Times New Roman"/>
          <w:szCs w:val="24"/>
          <w:lang w:val="sr-Cyrl-RS"/>
        </w:rPr>
        <w:t xml:space="preserve">као координационо тело, а мере за остварење дефинисаних циљева спроводиће се у сарадњи са надлежним институцијама. </w:t>
      </w:r>
    </w:p>
    <w:p w14:paraId="36902907" w14:textId="09CC8E81" w:rsidR="00834B43" w:rsidRPr="00B3123E" w:rsidRDefault="00834B43"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На оперативном нивоу, </w:t>
      </w:r>
      <w:r w:rsidR="000416F7" w:rsidRPr="00B3123E">
        <w:rPr>
          <w:rFonts w:ascii="Times New Roman" w:hAnsi="Times New Roman" w:cs="Times New Roman"/>
          <w:szCs w:val="24"/>
          <w:lang w:val="sr-Cyrl-RS"/>
        </w:rPr>
        <w:t>П</w:t>
      </w:r>
      <w:r w:rsidRPr="00B3123E">
        <w:rPr>
          <w:rFonts w:ascii="Times New Roman" w:hAnsi="Times New Roman" w:cs="Times New Roman"/>
          <w:szCs w:val="24"/>
          <w:lang w:val="sr-Cyrl-RS"/>
        </w:rPr>
        <w:t xml:space="preserve">рограм </w:t>
      </w:r>
      <w:r w:rsidR="00532475" w:rsidRPr="00B3123E">
        <w:rPr>
          <w:rFonts w:ascii="Times New Roman" w:hAnsi="Times New Roman" w:cs="Times New Roman"/>
          <w:szCs w:val="24"/>
          <w:lang w:val="sr-Cyrl-RS"/>
        </w:rPr>
        <w:t xml:space="preserve">ће се </w:t>
      </w:r>
      <w:r w:rsidRPr="00B3123E">
        <w:rPr>
          <w:rFonts w:ascii="Times New Roman" w:hAnsi="Times New Roman" w:cs="Times New Roman"/>
          <w:szCs w:val="24"/>
          <w:lang w:val="sr-Cyrl-RS"/>
        </w:rPr>
        <w:t>реализова</w:t>
      </w:r>
      <w:r w:rsidR="00532475" w:rsidRPr="00B3123E">
        <w:rPr>
          <w:rFonts w:ascii="Times New Roman" w:hAnsi="Times New Roman" w:cs="Times New Roman"/>
          <w:szCs w:val="24"/>
          <w:lang w:val="sr-Cyrl-RS"/>
        </w:rPr>
        <w:t>ти</w:t>
      </w:r>
      <w:r w:rsidRPr="00B3123E">
        <w:rPr>
          <w:rFonts w:ascii="Times New Roman" w:hAnsi="Times New Roman" w:cs="Times New Roman"/>
          <w:szCs w:val="24"/>
          <w:lang w:val="sr-Cyrl-RS"/>
        </w:rPr>
        <w:t xml:space="preserve"> на основу Акционог плана</w:t>
      </w:r>
      <w:r w:rsidR="00532475" w:rsidRPr="00B3123E">
        <w:rPr>
          <w:rFonts w:ascii="Times New Roman" w:hAnsi="Times New Roman" w:cs="Times New Roman"/>
          <w:szCs w:val="24"/>
          <w:lang w:val="sr-Cyrl-RS"/>
        </w:rPr>
        <w:t xml:space="preserve"> за његово спровођење</w:t>
      </w:r>
      <w:r w:rsidRPr="00B3123E">
        <w:rPr>
          <w:rFonts w:ascii="Times New Roman" w:hAnsi="Times New Roman" w:cs="Times New Roman"/>
          <w:szCs w:val="24"/>
          <w:lang w:val="sr-Cyrl-RS"/>
        </w:rPr>
        <w:t xml:space="preserve">. </w:t>
      </w:r>
    </w:p>
    <w:p w14:paraId="297FCA2F" w14:textId="1FA4E287" w:rsidR="00D9213E" w:rsidRPr="00B3123E" w:rsidRDefault="00834B43" w:rsidP="006211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Извештавање о спровођењу Програма и пратећег Акционог плана спроводиће се у складу са чланом 43. Закона о планском систему Републике Србије</w:t>
      </w:r>
      <w:r w:rsidR="00F104D7" w:rsidRPr="00B3123E">
        <w:rPr>
          <w:rFonts w:ascii="Times New Roman" w:hAnsi="Times New Roman" w:cs="Times New Roman"/>
          <w:szCs w:val="24"/>
          <w:lang w:val="sr-Cyrl-RS"/>
        </w:rPr>
        <w:t>, као</w:t>
      </w:r>
      <w:r w:rsidR="009F41E3" w:rsidRPr="00B3123E">
        <w:rPr>
          <w:rFonts w:ascii="Times New Roman" w:hAnsi="Times New Roman" w:cs="Times New Roman"/>
          <w:szCs w:val="24"/>
          <w:lang w:val="sr-Cyrl-RS"/>
        </w:rPr>
        <w:t xml:space="preserve"> и</w:t>
      </w:r>
      <w:r w:rsidR="00F104D7" w:rsidRPr="00B3123E">
        <w:rPr>
          <w:rFonts w:ascii="Times New Roman" w:hAnsi="Times New Roman" w:cs="Times New Roman"/>
          <w:szCs w:val="24"/>
          <w:lang w:val="sr-Cyrl-RS"/>
        </w:rPr>
        <w:t xml:space="preserve"> </w:t>
      </w:r>
      <w:r w:rsidR="00543E12" w:rsidRPr="00B3123E">
        <w:rPr>
          <w:rFonts w:ascii="Times New Roman" w:hAnsi="Times New Roman" w:cs="Times New Roman"/>
          <w:szCs w:val="24"/>
          <w:lang w:val="sr-Cyrl-RS"/>
        </w:rPr>
        <w:t>чланом 32.</w:t>
      </w:r>
      <w:r w:rsidR="009F41E3" w:rsidRPr="00B3123E">
        <w:rPr>
          <w:rFonts w:ascii="Times New Roman" w:hAnsi="Times New Roman" w:cs="Times New Roman"/>
          <w:szCs w:val="24"/>
          <w:lang w:val="sr-Cyrl-RS"/>
        </w:rPr>
        <w:t xml:space="preserve"> Уредбе о методологији израде докумената јавних политика</w:t>
      </w:r>
      <w:r w:rsidR="000F44D5" w:rsidRPr="00B3123E">
        <w:rPr>
          <w:rFonts w:ascii="Times New Roman" w:hAnsi="Times New Roman" w:cs="Times New Roman"/>
          <w:szCs w:val="24"/>
          <w:lang w:val="sr-Cyrl-RS"/>
        </w:rPr>
        <w:t>.</w:t>
      </w:r>
    </w:p>
    <w:p w14:paraId="0479B5D9" w14:textId="77777777" w:rsidR="00580D6E" w:rsidRPr="00B3123E" w:rsidRDefault="00580D6E" w:rsidP="00032CF6">
      <w:pPr>
        <w:tabs>
          <w:tab w:val="left" w:pos="1440"/>
        </w:tabs>
        <w:ind w:firstLine="1276"/>
        <w:rPr>
          <w:rFonts w:ascii="Times New Roman" w:hAnsi="Times New Roman" w:cs="Times New Roman"/>
          <w:szCs w:val="24"/>
          <w:lang w:val="sr-Cyrl-RS"/>
        </w:rPr>
      </w:pPr>
    </w:p>
    <w:p w14:paraId="4C6DE676" w14:textId="67CDE13A" w:rsidR="00F771C7" w:rsidRPr="00B3123E" w:rsidRDefault="0005410B" w:rsidP="0005410B">
      <w:pPr>
        <w:pStyle w:val="Heading1"/>
        <w:ind w:left="709" w:firstLine="720"/>
        <w:rPr>
          <w:rFonts w:ascii="Times New Roman" w:hAnsi="Times New Roman"/>
          <w:sz w:val="24"/>
          <w:lang w:val="sr-Cyrl-RS"/>
        </w:rPr>
      </w:pPr>
      <w:bookmarkStart w:id="63" w:name="_Toc23941331"/>
      <w:bookmarkStart w:id="64" w:name="_Toc211545989"/>
      <w:r>
        <w:rPr>
          <w:rFonts w:ascii="Times New Roman" w:hAnsi="Times New Roman"/>
          <w:sz w:val="24"/>
        </w:rPr>
        <w:t xml:space="preserve">VII. </w:t>
      </w:r>
      <w:r w:rsidR="00E83094" w:rsidRPr="00B3123E">
        <w:rPr>
          <w:rFonts w:ascii="Times New Roman" w:hAnsi="Times New Roman"/>
          <w:sz w:val="24"/>
          <w:lang w:val="sr-Cyrl-RS"/>
        </w:rPr>
        <w:t xml:space="preserve">ПРОЦЕНА ФИНАНСИЈСКИХ СРЕДСТАВА ПОТРЕБНИХ ЗА СПРОВОЂЕЊЕ </w:t>
      </w:r>
      <w:r w:rsidR="00324B6C" w:rsidRPr="00B3123E">
        <w:rPr>
          <w:rFonts w:ascii="Times New Roman" w:hAnsi="Times New Roman"/>
          <w:sz w:val="24"/>
          <w:lang w:val="sr-Cyrl-RS"/>
        </w:rPr>
        <w:t>ПРОГРАМА</w:t>
      </w:r>
      <w:r w:rsidR="00E83094" w:rsidRPr="00B3123E">
        <w:rPr>
          <w:rFonts w:ascii="Times New Roman" w:hAnsi="Times New Roman"/>
          <w:sz w:val="24"/>
          <w:lang w:val="sr-Cyrl-RS"/>
        </w:rPr>
        <w:t xml:space="preserve"> И АНАЛИЗА ФИНАНСИЈСКИХ ЕФЕКАТА</w:t>
      </w:r>
      <w:bookmarkEnd w:id="63"/>
      <w:bookmarkEnd w:id="64"/>
    </w:p>
    <w:p w14:paraId="350ABF01" w14:textId="66CDB84E" w:rsidR="00CA0A11" w:rsidRPr="00B3123E" w:rsidRDefault="00C11196"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З</w:t>
      </w:r>
      <w:r w:rsidR="00CA0A11" w:rsidRPr="00B3123E">
        <w:rPr>
          <w:rFonts w:ascii="Times New Roman" w:hAnsi="Times New Roman" w:cs="Times New Roman"/>
          <w:szCs w:val="24"/>
          <w:lang w:val="sr-Cyrl-RS"/>
        </w:rPr>
        <w:t xml:space="preserve">а спровођење активности планираних </w:t>
      </w:r>
      <w:r w:rsidRPr="00B3123E">
        <w:rPr>
          <w:rFonts w:ascii="Times New Roman" w:hAnsi="Times New Roman" w:cs="Times New Roman"/>
          <w:szCs w:val="24"/>
          <w:lang w:val="sr-Cyrl-RS"/>
        </w:rPr>
        <w:t>П</w:t>
      </w:r>
      <w:r w:rsidR="00CA0A11" w:rsidRPr="00B3123E">
        <w:rPr>
          <w:rFonts w:ascii="Times New Roman" w:hAnsi="Times New Roman" w:cs="Times New Roman"/>
          <w:szCs w:val="24"/>
          <w:lang w:val="sr-Cyrl-RS"/>
        </w:rPr>
        <w:t>рограмом</w:t>
      </w:r>
      <w:r w:rsidRPr="00B3123E">
        <w:rPr>
          <w:rFonts w:ascii="Times New Roman" w:hAnsi="Times New Roman" w:cs="Times New Roman"/>
          <w:szCs w:val="24"/>
          <w:lang w:val="sr-Cyrl-RS"/>
        </w:rPr>
        <w:t xml:space="preserve"> за чију реализацију је</w:t>
      </w:r>
      <w:r w:rsidR="00CA0A11" w:rsidRPr="00B3123E">
        <w:rPr>
          <w:rFonts w:ascii="Times New Roman" w:hAnsi="Times New Roman" w:cs="Times New Roman"/>
          <w:szCs w:val="24"/>
          <w:lang w:val="sr-Cyrl-RS"/>
        </w:rPr>
        <w:t xml:space="preserve"> </w:t>
      </w:r>
      <w:r w:rsidR="000F5282" w:rsidRPr="00B3123E">
        <w:rPr>
          <w:rFonts w:ascii="Times New Roman" w:hAnsi="Times New Roman" w:cs="Times New Roman"/>
          <w:szCs w:val="24"/>
          <w:lang w:val="sr-Cyrl-RS"/>
        </w:rPr>
        <w:t xml:space="preserve">одговорно </w:t>
      </w:r>
      <w:r w:rsidR="00CA0A11" w:rsidRPr="00B3123E">
        <w:rPr>
          <w:rFonts w:ascii="Times New Roman" w:hAnsi="Times New Roman" w:cs="Times New Roman"/>
          <w:szCs w:val="24"/>
          <w:lang w:val="sr-Cyrl-RS"/>
        </w:rPr>
        <w:t xml:space="preserve">Министарство </w:t>
      </w:r>
      <w:r w:rsidR="000F5282" w:rsidRPr="00B3123E">
        <w:rPr>
          <w:rFonts w:ascii="Times New Roman" w:hAnsi="Times New Roman" w:cs="Times New Roman"/>
          <w:szCs w:val="24"/>
          <w:lang w:val="sr-Cyrl-RS"/>
        </w:rPr>
        <w:t xml:space="preserve">нису потребна </w:t>
      </w:r>
      <w:r w:rsidR="0093225F" w:rsidRPr="00B3123E">
        <w:rPr>
          <w:rFonts w:ascii="Times New Roman" w:hAnsi="Times New Roman" w:cs="Times New Roman"/>
          <w:szCs w:val="24"/>
          <w:lang w:val="sr-Cyrl-RS"/>
        </w:rPr>
        <w:t xml:space="preserve">додатна </w:t>
      </w:r>
      <w:r w:rsidR="000F5282" w:rsidRPr="00B3123E">
        <w:rPr>
          <w:rFonts w:ascii="Times New Roman" w:hAnsi="Times New Roman" w:cs="Times New Roman"/>
          <w:szCs w:val="24"/>
          <w:lang w:val="sr-Cyrl-RS"/>
        </w:rPr>
        <w:t>финансијска средства.</w:t>
      </w:r>
    </w:p>
    <w:p w14:paraId="34E93906" w14:textId="002AD336" w:rsidR="000F5282" w:rsidRPr="00B3123E" w:rsidRDefault="000F5282"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З</w:t>
      </w:r>
      <w:r w:rsidR="00A10557" w:rsidRPr="00B3123E">
        <w:rPr>
          <w:rFonts w:ascii="Times New Roman" w:hAnsi="Times New Roman" w:cs="Times New Roman"/>
          <w:szCs w:val="24"/>
          <w:lang w:val="sr-Cyrl-RS"/>
        </w:rPr>
        <w:t xml:space="preserve">а спровођење активности планираних </w:t>
      </w:r>
      <w:r w:rsidRPr="00B3123E">
        <w:rPr>
          <w:rFonts w:ascii="Times New Roman" w:hAnsi="Times New Roman" w:cs="Times New Roman"/>
          <w:szCs w:val="24"/>
          <w:lang w:val="sr-Cyrl-RS"/>
        </w:rPr>
        <w:t>П</w:t>
      </w:r>
      <w:r w:rsidR="00A10557" w:rsidRPr="00B3123E">
        <w:rPr>
          <w:rFonts w:ascii="Times New Roman" w:hAnsi="Times New Roman" w:cs="Times New Roman"/>
          <w:szCs w:val="24"/>
          <w:lang w:val="sr-Cyrl-RS"/>
        </w:rPr>
        <w:t>рограмом</w:t>
      </w:r>
      <w:r w:rsidR="00532475" w:rsidRPr="00B3123E">
        <w:rPr>
          <w:rFonts w:ascii="Times New Roman" w:hAnsi="Times New Roman" w:cs="Times New Roman"/>
          <w:szCs w:val="24"/>
          <w:lang w:val="sr-Cyrl-RS"/>
        </w:rPr>
        <w:t xml:space="preserve"> за чију реализацију</w:t>
      </w:r>
      <w:r w:rsidRPr="00B3123E">
        <w:rPr>
          <w:rFonts w:ascii="Times New Roman" w:hAnsi="Times New Roman" w:cs="Times New Roman"/>
          <w:szCs w:val="24"/>
          <w:lang w:val="sr-Cyrl-RS"/>
        </w:rPr>
        <w:t xml:space="preserve"> је одговор</w:t>
      </w:r>
      <w:r w:rsidR="004E0C75" w:rsidRPr="00B3123E">
        <w:rPr>
          <w:rFonts w:ascii="Times New Roman" w:hAnsi="Times New Roman" w:cs="Times New Roman"/>
          <w:szCs w:val="24"/>
          <w:lang w:val="sr-Cyrl-RS"/>
        </w:rPr>
        <w:t>aн</w:t>
      </w:r>
      <w:r w:rsidRPr="00B3123E">
        <w:rPr>
          <w:rFonts w:ascii="Times New Roman" w:hAnsi="Times New Roman" w:cs="Times New Roman"/>
          <w:szCs w:val="24"/>
          <w:lang w:val="sr-Cyrl-RS"/>
        </w:rPr>
        <w:t xml:space="preserve"> </w:t>
      </w:r>
      <w:r w:rsidR="004E0C75" w:rsidRPr="00B3123E">
        <w:rPr>
          <w:rFonts w:ascii="Times New Roman" w:hAnsi="Times New Roman" w:cs="Times New Roman"/>
          <w:szCs w:val="24"/>
          <w:lang w:val="sr-Cyrl-RS"/>
        </w:rPr>
        <w:t>РАТЕЛ</w:t>
      </w:r>
      <w:r w:rsidRPr="00B3123E">
        <w:rPr>
          <w:rFonts w:ascii="Times New Roman" w:hAnsi="Times New Roman" w:cs="Times New Roman"/>
          <w:szCs w:val="24"/>
          <w:lang w:val="sr-Cyrl-RS"/>
        </w:rPr>
        <w:t xml:space="preserve"> планирана су у укупном износу од</w:t>
      </w:r>
      <w:r w:rsidR="005852D8" w:rsidRPr="00B3123E">
        <w:rPr>
          <w:rFonts w:ascii="Times New Roman" w:hAnsi="Times New Roman" w:cs="Times New Roman"/>
          <w:szCs w:val="24"/>
          <w:lang w:val="sr-Cyrl-RS"/>
        </w:rPr>
        <w:t xml:space="preserve"> </w:t>
      </w:r>
      <w:r w:rsidR="000A6E0B" w:rsidRPr="00B3123E">
        <w:rPr>
          <w:rFonts w:ascii="Times New Roman" w:hAnsi="Times New Roman" w:cs="Times New Roman"/>
          <w:szCs w:val="24"/>
          <w:lang w:val="sr-Cyrl-RS"/>
        </w:rPr>
        <w:t>8</w:t>
      </w:r>
      <w:r w:rsidR="00636CF0" w:rsidRPr="00B3123E">
        <w:rPr>
          <w:rFonts w:ascii="Times New Roman" w:hAnsi="Times New Roman" w:cs="Times New Roman"/>
          <w:szCs w:val="24"/>
          <w:lang w:val="sr-Cyrl-RS"/>
        </w:rPr>
        <w:t>9</w:t>
      </w:r>
      <w:r w:rsidR="00B13F70" w:rsidRPr="00B3123E">
        <w:rPr>
          <w:rFonts w:ascii="Times New Roman" w:hAnsi="Times New Roman" w:cs="Times New Roman"/>
          <w:szCs w:val="24"/>
          <w:lang w:val="sr-Cyrl-RS"/>
        </w:rPr>
        <w:t>.340.000</w:t>
      </w:r>
      <w:r w:rsidR="005852D8" w:rsidRPr="00B3123E">
        <w:rPr>
          <w:rFonts w:ascii="Times New Roman" w:hAnsi="Times New Roman" w:cs="Times New Roman"/>
          <w:szCs w:val="24"/>
          <w:lang w:val="sr-Cyrl-RS"/>
        </w:rPr>
        <w:t xml:space="preserve">,00 динара </w:t>
      </w:r>
      <w:r w:rsidRPr="00B3123E">
        <w:rPr>
          <w:rFonts w:ascii="Times New Roman" w:hAnsi="Times New Roman" w:cs="Times New Roman"/>
          <w:szCs w:val="24"/>
          <w:lang w:val="sr-Cyrl-RS"/>
        </w:rPr>
        <w:t>за период 2026</w:t>
      </w:r>
      <w:r w:rsidR="00532475" w:rsidRPr="00B3123E">
        <w:rPr>
          <w:rFonts w:ascii="Times New Roman" w:hAnsi="Times New Roman" w:cs="Times New Roman"/>
          <w:szCs w:val="24"/>
          <w:lang w:val="sr-Cyrl-RS"/>
        </w:rPr>
        <w:t xml:space="preserve"> – </w:t>
      </w:r>
      <w:r w:rsidRPr="00B3123E">
        <w:rPr>
          <w:rFonts w:ascii="Times New Roman" w:hAnsi="Times New Roman" w:cs="Times New Roman"/>
          <w:szCs w:val="24"/>
          <w:lang w:val="sr-Cyrl-RS"/>
        </w:rPr>
        <w:t>2030. године.</w:t>
      </w:r>
    </w:p>
    <w:p w14:paraId="18FA6BB5" w14:textId="2E14D784" w:rsidR="000F5282" w:rsidRPr="00B3123E" w:rsidRDefault="000F5282"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Средства у укупном износу од</w:t>
      </w:r>
      <w:r w:rsidR="00B13F70" w:rsidRPr="00B3123E">
        <w:rPr>
          <w:rFonts w:ascii="Times New Roman" w:hAnsi="Times New Roman" w:cs="Times New Roman"/>
          <w:szCs w:val="24"/>
          <w:lang w:val="sr-Cyrl-RS"/>
        </w:rPr>
        <w:t xml:space="preserve"> 2.</w:t>
      </w:r>
      <w:r w:rsidR="00E53FBB" w:rsidRPr="00B3123E">
        <w:rPr>
          <w:rFonts w:ascii="Times New Roman" w:hAnsi="Times New Roman" w:cs="Times New Roman"/>
          <w:szCs w:val="24"/>
          <w:lang w:val="sr-Cyrl-RS"/>
        </w:rPr>
        <w:t>258</w:t>
      </w:r>
      <w:r w:rsidR="00B13F70" w:rsidRPr="00B3123E">
        <w:rPr>
          <w:rFonts w:ascii="Times New Roman" w:hAnsi="Times New Roman" w:cs="Times New Roman"/>
          <w:szCs w:val="24"/>
          <w:lang w:val="sr-Cyrl-RS"/>
        </w:rPr>
        <w:t>.</w:t>
      </w:r>
      <w:r w:rsidR="00E53FBB" w:rsidRPr="00B3123E">
        <w:rPr>
          <w:rFonts w:ascii="Times New Roman" w:hAnsi="Times New Roman" w:cs="Times New Roman"/>
          <w:szCs w:val="24"/>
          <w:lang w:val="sr-Cyrl-RS"/>
        </w:rPr>
        <w:t>851</w:t>
      </w:r>
      <w:r w:rsidR="00B13F70" w:rsidRPr="00B3123E">
        <w:rPr>
          <w:rFonts w:ascii="Times New Roman" w:hAnsi="Times New Roman" w:cs="Times New Roman"/>
          <w:szCs w:val="24"/>
          <w:lang w:val="sr-Cyrl-RS"/>
        </w:rPr>
        <w:t>.000</w:t>
      </w:r>
      <w:r w:rsidR="00AF2EA9" w:rsidRPr="00B3123E">
        <w:rPr>
          <w:rFonts w:ascii="Times New Roman" w:hAnsi="Times New Roman" w:cs="Times New Roman"/>
          <w:szCs w:val="24"/>
          <w:lang w:val="sr-Cyrl-RS"/>
        </w:rPr>
        <w:t>,00</w:t>
      </w:r>
      <w:r w:rsidR="00B13F70" w:rsidRPr="00B3123E">
        <w:rPr>
          <w:rFonts w:ascii="Times New Roman" w:hAnsi="Times New Roman" w:cs="Times New Roman"/>
          <w:szCs w:val="24"/>
          <w:lang w:val="sr-Cyrl-RS"/>
        </w:rPr>
        <w:t xml:space="preserve"> </w:t>
      </w:r>
      <w:r w:rsidR="00F5613C" w:rsidRPr="00B3123E">
        <w:rPr>
          <w:rFonts w:ascii="Times New Roman" w:hAnsi="Times New Roman" w:cs="Times New Roman"/>
          <w:szCs w:val="24"/>
          <w:lang w:val="sr-Cyrl-RS"/>
        </w:rPr>
        <w:t xml:space="preserve">динара </w:t>
      </w:r>
      <w:r w:rsidRPr="00B3123E">
        <w:rPr>
          <w:rFonts w:ascii="Times New Roman" w:hAnsi="Times New Roman" w:cs="Times New Roman"/>
          <w:szCs w:val="24"/>
          <w:lang w:val="sr-Cyrl-RS"/>
        </w:rPr>
        <w:t>планирана су за спровођење активности предвиђених Програмом за чију реализацију  је одговоран ЈПО (</w:t>
      </w:r>
      <w:r w:rsidR="00EA7FE9" w:rsidRPr="00B3123E">
        <w:rPr>
          <w:rFonts w:ascii="Times New Roman" w:hAnsi="Times New Roman" w:cs="Times New Roman"/>
          <w:szCs w:val="24"/>
          <w:lang w:val="sr-Cyrl-RS"/>
        </w:rPr>
        <w:t>„</w:t>
      </w:r>
      <w:r w:rsidRPr="00B3123E">
        <w:rPr>
          <w:rFonts w:ascii="Times New Roman" w:hAnsi="Times New Roman" w:cs="Times New Roman"/>
          <w:szCs w:val="24"/>
          <w:lang w:val="sr-Cyrl-RS"/>
        </w:rPr>
        <w:t>Пошта Србије</w:t>
      </w:r>
      <w:r w:rsidR="006815FC" w:rsidRPr="00B3123E">
        <w:rPr>
          <w:rFonts w:ascii="Times New Roman" w:hAnsi="Times New Roman" w:cs="Times New Roman"/>
          <w:szCs w:val="24"/>
          <w:lang w:val="sr-Cyrl-RS"/>
        </w:rPr>
        <w:t>” д.о.о.</w:t>
      </w:r>
      <w:r w:rsidRPr="00B3123E">
        <w:rPr>
          <w:rFonts w:ascii="Times New Roman" w:hAnsi="Times New Roman" w:cs="Times New Roman"/>
          <w:szCs w:val="24"/>
          <w:lang w:val="sr-Cyrl-RS"/>
        </w:rPr>
        <w:t>).</w:t>
      </w:r>
    </w:p>
    <w:p w14:paraId="1D757906" w14:textId="5FA6A309" w:rsidR="00824044" w:rsidRPr="00B3123E" w:rsidRDefault="00824044" w:rsidP="0005410B">
      <w:pPr>
        <w:tabs>
          <w:tab w:val="left" w:pos="1440"/>
        </w:tabs>
        <w:ind w:firstLine="1276"/>
        <w:jc w:val="center"/>
        <w:rPr>
          <w:rFonts w:ascii="Times New Roman" w:hAnsi="Times New Roman" w:cs="Times New Roman"/>
          <w:szCs w:val="24"/>
          <w:lang w:val="sr-Cyrl-RS"/>
        </w:rPr>
      </w:pPr>
    </w:p>
    <w:p w14:paraId="31A2CDA0" w14:textId="0FCD32B8" w:rsidR="002E28D1" w:rsidRPr="0005410B" w:rsidRDefault="0005410B" w:rsidP="0005410B">
      <w:pPr>
        <w:tabs>
          <w:tab w:val="left" w:pos="1440"/>
        </w:tabs>
        <w:ind w:firstLine="1276"/>
        <w:jc w:val="center"/>
        <w:rPr>
          <w:rFonts w:ascii="Times New Roman" w:hAnsi="Times New Roman" w:cs="Times New Roman"/>
          <w:szCs w:val="24"/>
          <w:lang w:val="sr-Cyrl-RS"/>
        </w:rPr>
      </w:pPr>
      <w:bookmarkStart w:id="65" w:name="_Toc23941332"/>
      <w:bookmarkStart w:id="66" w:name="_Toc211545991"/>
      <w:r>
        <w:rPr>
          <w:rFonts w:ascii="Times New Roman" w:hAnsi="Times New Roman" w:cs="Times New Roman"/>
          <w:szCs w:val="24"/>
        </w:rPr>
        <w:t xml:space="preserve">VIII. </w:t>
      </w:r>
      <w:r w:rsidR="00047E74" w:rsidRPr="00B3123E">
        <w:rPr>
          <w:rFonts w:ascii="Times New Roman" w:hAnsi="Times New Roman"/>
          <w:lang w:val="sr-Cyrl-RS"/>
        </w:rPr>
        <w:t>АКЦИОНИ ПЛАН</w:t>
      </w:r>
      <w:bookmarkEnd w:id="65"/>
      <w:bookmarkEnd w:id="66"/>
      <w:r w:rsidR="009D6DD6" w:rsidRPr="00B3123E">
        <w:rPr>
          <w:rFonts w:ascii="Times New Roman" w:hAnsi="Times New Roman"/>
          <w:lang w:val="sr-Cyrl-RS"/>
        </w:rPr>
        <w:t xml:space="preserve"> ЗА </w:t>
      </w:r>
      <w:r w:rsidR="00E15A95" w:rsidRPr="00B3123E">
        <w:rPr>
          <w:rFonts w:ascii="Times New Roman" w:hAnsi="Times New Roman"/>
          <w:lang w:val="sr-Cyrl-RS"/>
        </w:rPr>
        <w:t>СПРОВОЂЕЊЕ</w:t>
      </w:r>
      <w:r w:rsidR="009D6DD6" w:rsidRPr="00B3123E">
        <w:rPr>
          <w:rFonts w:ascii="Times New Roman" w:hAnsi="Times New Roman"/>
          <w:lang w:val="sr-Cyrl-RS"/>
        </w:rPr>
        <w:t xml:space="preserve"> ПРОГРАМА РАЗВОЈА ПОШТАНСКИХ УСЛУГА ЗА ПЕРИОД 2026</w:t>
      </w:r>
      <w:r w:rsidR="00532475" w:rsidRPr="00B3123E">
        <w:rPr>
          <w:rFonts w:ascii="Times New Roman" w:hAnsi="Times New Roman"/>
          <w:lang w:val="sr-Cyrl-RS"/>
        </w:rPr>
        <w:t xml:space="preserve"> – </w:t>
      </w:r>
      <w:r w:rsidR="009D6DD6" w:rsidRPr="00B3123E">
        <w:rPr>
          <w:rFonts w:ascii="Times New Roman" w:hAnsi="Times New Roman"/>
          <w:lang w:val="sr-Cyrl-RS"/>
        </w:rPr>
        <w:t>2030. ГОДИНЕ</w:t>
      </w:r>
    </w:p>
    <w:p w14:paraId="4DB7392F" w14:textId="0A329D93" w:rsidR="00047E74" w:rsidRPr="00B3123E" w:rsidRDefault="00047E74" w:rsidP="00D92B1E">
      <w:pPr>
        <w:tabs>
          <w:tab w:val="left" w:pos="1440"/>
        </w:tabs>
        <w:ind w:firstLine="709"/>
        <w:rPr>
          <w:rFonts w:ascii="Times New Roman" w:hAnsi="Times New Roman" w:cs="Times New Roman"/>
          <w:szCs w:val="24"/>
          <w:lang w:val="sr-Cyrl-RS"/>
        </w:rPr>
      </w:pPr>
      <w:bookmarkStart w:id="67" w:name="anchor-anchor"/>
      <w:r w:rsidRPr="00B3123E">
        <w:rPr>
          <w:rFonts w:ascii="Times New Roman" w:hAnsi="Times New Roman" w:cs="Times New Roman"/>
          <w:szCs w:val="24"/>
          <w:lang w:val="sr-Cyrl-RS"/>
        </w:rPr>
        <w:t>Акционим планом</w:t>
      </w:r>
      <w:r w:rsidR="00E15A95" w:rsidRPr="00B3123E">
        <w:rPr>
          <w:rFonts w:ascii="Times New Roman" w:hAnsi="Times New Roman" w:cs="Times New Roman"/>
          <w:szCs w:val="24"/>
          <w:lang w:val="sr-Cyrl-RS"/>
        </w:rPr>
        <w:t xml:space="preserve"> за спровођење</w:t>
      </w:r>
      <w:r w:rsidRPr="00B3123E">
        <w:rPr>
          <w:rFonts w:ascii="Times New Roman" w:hAnsi="Times New Roman" w:cs="Times New Roman"/>
          <w:szCs w:val="24"/>
          <w:lang w:val="sr-Cyrl-RS"/>
        </w:rPr>
        <w:t xml:space="preserve"> </w:t>
      </w:r>
      <w:r w:rsidR="00E15A95" w:rsidRPr="00B3123E">
        <w:rPr>
          <w:rFonts w:ascii="Times New Roman" w:hAnsi="Times New Roman" w:cs="Times New Roman"/>
          <w:szCs w:val="24"/>
          <w:lang w:val="sr-Cyrl-RS"/>
        </w:rPr>
        <w:t>Програм</w:t>
      </w:r>
      <w:r w:rsidR="00BF651F" w:rsidRPr="00B3123E">
        <w:rPr>
          <w:rFonts w:ascii="Times New Roman" w:hAnsi="Times New Roman" w:cs="Times New Roman"/>
          <w:szCs w:val="24"/>
          <w:lang w:val="sr-Cyrl-RS"/>
        </w:rPr>
        <w:t>а</w:t>
      </w:r>
      <w:r w:rsidR="00E15A95" w:rsidRPr="00B3123E">
        <w:rPr>
          <w:rFonts w:ascii="Times New Roman" w:hAnsi="Times New Roman" w:cs="Times New Roman"/>
          <w:szCs w:val="24"/>
          <w:lang w:val="sr-Cyrl-RS"/>
        </w:rPr>
        <w:t xml:space="preserve"> развоја поштанских услуга у Републици Србији за период 2026</w:t>
      </w:r>
      <w:r w:rsidR="00003043" w:rsidRPr="00B3123E">
        <w:rPr>
          <w:rFonts w:ascii="Times New Roman" w:hAnsi="Times New Roman" w:cs="Times New Roman"/>
          <w:szCs w:val="24"/>
          <w:lang w:val="sr-Cyrl-RS"/>
        </w:rPr>
        <w:t xml:space="preserve"> – </w:t>
      </w:r>
      <w:r w:rsidR="00E15A95" w:rsidRPr="00B3123E">
        <w:rPr>
          <w:rFonts w:ascii="Times New Roman" w:hAnsi="Times New Roman" w:cs="Times New Roman"/>
          <w:szCs w:val="24"/>
          <w:lang w:val="sr-Cyrl-RS"/>
        </w:rPr>
        <w:t xml:space="preserve">2030. године </w:t>
      </w:r>
      <w:r w:rsidRPr="00B3123E">
        <w:rPr>
          <w:rFonts w:ascii="Times New Roman" w:hAnsi="Times New Roman" w:cs="Times New Roman"/>
          <w:szCs w:val="24"/>
          <w:lang w:val="sr-Cyrl-RS"/>
        </w:rPr>
        <w:t xml:space="preserve">предвиђене су конкретне мере и активности које ће се предузети ради обезбеђења услова да се циљеви </w:t>
      </w:r>
      <w:r w:rsidR="00FF297A" w:rsidRPr="00B3123E">
        <w:rPr>
          <w:rFonts w:ascii="Times New Roman" w:hAnsi="Times New Roman" w:cs="Times New Roman"/>
          <w:szCs w:val="24"/>
          <w:lang w:val="sr-Cyrl-RS"/>
        </w:rPr>
        <w:t>Програма</w:t>
      </w:r>
      <w:r w:rsidRPr="00B3123E">
        <w:rPr>
          <w:rFonts w:ascii="Times New Roman" w:hAnsi="Times New Roman" w:cs="Times New Roman"/>
          <w:szCs w:val="24"/>
          <w:lang w:val="sr-Cyrl-RS"/>
        </w:rPr>
        <w:t xml:space="preserve"> реализују, одређени су носиоци и партнери за спровођење тих мера, као и рокови и средства за њихово спровођење.</w:t>
      </w:r>
    </w:p>
    <w:p w14:paraId="4B2BC0E9" w14:textId="2290E3CE" w:rsidR="00003043" w:rsidRPr="00B3123E" w:rsidRDefault="00047E74" w:rsidP="006211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Акциони план за </w:t>
      </w:r>
      <w:r w:rsidR="000F44D5" w:rsidRPr="00B3123E">
        <w:rPr>
          <w:rFonts w:ascii="Times New Roman" w:hAnsi="Times New Roman" w:cs="Times New Roman"/>
          <w:szCs w:val="24"/>
          <w:lang w:val="sr-Cyrl-RS"/>
        </w:rPr>
        <w:t xml:space="preserve">спровођење Програма развоја поштанских услуга у Републици Србији </w:t>
      </w:r>
      <w:r w:rsidR="00580D6E" w:rsidRPr="00B3123E">
        <w:rPr>
          <w:rFonts w:ascii="Times New Roman" w:hAnsi="Times New Roman" w:cs="Times New Roman"/>
          <w:szCs w:val="24"/>
          <w:lang w:val="sr-Cyrl-RS"/>
        </w:rPr>
        <w:t xml:space="preserve">за </w:t>
      </w:r>
      <w:r w:rsidRPr="00B3123E">
        <w:rPr>
          <w:rFonts w:ascii="Times New Roman" w:hAnsi="Times New Roman" w:cs="Times New Roman"/>
          <w:szCs w:val="24"/>
          <w:lang w:val="sr-Cyrl-RS"/>
        </w:rPr>
        <w:t>период 20</w:t>
      </w:r>
      <w:r w:rsidR="00421C94" w:rsidRPr="00B3123E">
        <w:rPr>
          <w:rFonts w:ascii="Times New Roman" w:hAnsi="Times New Roman" w:cs="Times New Roman"/>
          <w:szCs w:val="24"/>
          <w:lang w:val="sr-Cyrl-RS"/>
        </w:rPr>
        <w:t>2</w:t>
      </w:r>
      <w:r w:rsidR="00FF297A" w:rsidRPr="00B3123E">
        <w:rPr>
          <w:rFonts w:ascii="Times New Roman" w:hAnsi="Times New Roman" w:cs="Times New Roman"/>
          <w:szCs w:val="24"/>
          <w:lang w:val="sr-Cyrl-RS"/>
        </w:rPr>
        <w:t>6</w:t>
      </w:r>
      <w:r w:rsidR="0000304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00304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20</w:t>
      </w:r>
      <w:r w:rsidR="00FF297A" w:rsidRPr="00B3123E">
        <w:rPr>
          <w:rFonts w:ascii="Times New Roman" w:hAnsi="Times New Roman" w:cs="Times New Roman"/>
          <w:szCs w:val="24"/>
          <w:lang w:val="sr-Cyrl-RS"/>
        </w:rPr>
        <w:t>30</w:t>
      </w:r>
      <w:r w:rsidRPr="00B3123E">
        <w:rPr>
          <w:rFonts w:ascii="Times New Roman" w:hAnsi="Times New Roman" w:cs="Times New Roman"/>
          <w:szCs w:val="24"/>
          <w:lang w:val="sr-Cyrl-RS"/>
        </w:rPr>
        <w:t xml:space="preserve">. године одштампан је уз </w:t>
      </w:r>
      <w:r w:rsidR="000F44D5" w:rsidRPr="00B3123E">
        <w:rPr>
          <w:rFonts w:ascii="Times New Roman" w:hAnsi="Times New Roman" w:cs="Times New Roman"/>
          <w:szCs w:val="24"/>
          <w:lang w:val="sr-Cyrl-RS"/>
        </w:rPr>
        <w:t xml:space="preserve">овај </w:t>
      </w:r>
      <w:r w:rsidR="00003043" w:rsidRPr="00B3123E">
        <w:rPr>
          <w:rFonts w:ascii="Times New Roman" w:hAnsi="Times New Roman" w:cs="Times New Roman"/>
          <w:szCs w:val="24"/>
          <w:lang w:val="sr-Cyrl-RS"/>
        </w:rPr>
        <w:t xml:space="preserve">програм </w:t>
      </w:r>
      <w:r w:rsidRPr="00B3123E">
        <w:rPr>
          <w:rFonts w:ascii="Times New Roman" w:hAnsi="Times New Roman" w:cs="Times New Roman"/>
          <w:szCs w:val="24"/>
          <w:lang w:val="sr-Cyrl-RS"/>
        </w:rPr>
        <w:t>и чини ње</w:t>
      </w:r>
      <w:r w:rsidR="00592FB9" w:rsidRPr="00B3123E">
        <w:rPr>
          <w:rFonts w:ascii="Times New Roman" w:hAnsi="Times New Roman" w:cs="Times New Roman"/>
          <w:szCs w:val="24"/>
          <w:lang w:val="sr-Cyrl-RS"/>
        </w:rPr>
        <w:t>гов</w:t>
      </w:r>
      <w:r w:rsidRPr="00B3123E">
        <w:rPr>
          <w:rFonts w:ascii="Times New Roman" w:hAnsi="Times New Roman" w:cs="Times New Roman"/>
          <w:szCs w:val="24"/>
          <w:lang w:val="sr-Cyrl-RS"/>
        </w:rPr>
        <w:t xml:space="preserve"> саставни део.</w:t>
      </w:r>
    </w:p>
    <w:p w14:paraId="2B8028A2" w14:textId="6C4E4F18" w:rsidR="00580D6E" w:rsidRPr="00B3123E" w:rsidRDefault="00580D6E" w:rsidP="006211A8">
      <w:pPr>
        <w:tabs>
          <w:tab w:val="left" w:pos="1440"/>
        </w:tabs>
        <w:ind w:firstLine="709"/>
        <w:rPr>
          <w:rFonts w:ascii="Times New Roman" w:hAnsi="Times New Roman" w:cs="Times New Roman"/>
          <w:szCs w:val="24"/>
          <w:lang w:val="sr-Cyrl-RS"/>
        </w:rPr>
      </w:pPr>
    </w:p>
    <w:p w14:paraId="133D47BB" w14:textId="5FCB7C5C" w:rsidR="00580D6E" w:rsidRDefault="00580D6E" w:rsidP="006211A8">
      <w:pPr>
        <w:tabs>
          <w:tab w:val="left" w:pos="1440"/>
        </w:tabs>
        <w:ind w:firstLine="709"/>
        <w:rPr>
          <w:rFonts w:ascii="Times New Roman" w:hAnsi="Times New Roman" w:cs="Times New Roman"/>
          <w:szCs w:val="24"/>
          <w:lang w:val="sr-Cyrl-RS"/>
        </w:rPr>
      </w:pPr>
    </w:p>
    <w:p w14:paraId="1C6ED208" w14:textId="6FCD5DFD" w:rsidR="0005410B" w:rsidRDefault="0005410B" w:rsidP="006211A8">
      <w:pPr>
        <w:tabs>
          <w:tab w:val="left" w:pos="1440"/>
        </w:tabs>
        <w:ind w:firstLine="709"/>
        <w:rPr>
          <w:rFonts w:ascii="Times New Roman" w:hAnsi="Times New Roman" w:cs="Times New Roman"/>
          <w:szCs w:val="24"/>
          <w:lang w:val="sr-Cyrl-RS"/>
        </w:rPr>
      </w:pPr>
    </w:p>
    <w:p w14:paraId="349BB49D" w14:textId="1B94E116" w:rsidR="0005410B" w:rsidRDefault="0005410B" w:rsidP="006211A8">
      <w:pPr>
        <w:tabs>
          <w:tab w:val="left" w:pos="1440"/>
        </w:tabs>
        <w:ind w:firstLine="709"/>
        <w:rPr>
          <w:rFonts w:ascii="Times New Roman" w:hAnsi="Times New Roman" w:cs="Times New Roman"/>
          <w:szCs w:val="24"/>
          <w:lang w:val="sr-Cyrl-RS"/>
        </w:rPr>
      </w:pPr>
    </w:p>
    <w:p w14:paraId="398BB952" w14:textId="40515EB3" w:rsidR="00CA65C7" w:rsidRDefault="00CA65C7" w:rsidP="006211A8">
      <w:pPr>
        <w:tabs>
          <w:tab w:val="left" w:pos="1440"/>
        </w:tabs>
        <w:ind w:firstLine="709"/>
        <w:rPr>
          <w:rFonts w:ascii="Times New Roman" w:hAnsi="Times New Roman" w:cs="Times New Roman"/>
          <w:szCs w:val="24"/>
          <w:lang w:val="sr-Cyrl-RS"/>
        </w:rPr>
      </w:pPr>
    </w:p>
    <w:p w14:paraId="0CAABFB0" w14:textId="0D88816E" w:rsidR="00CA65C7" w:rsidRDefault="00CA65C7" w:rsidP="006211A8">
      <w:pPr>
        <w:tabs>
          <w:tab w:val="left" w:pos="1440"/>
        </w:tabs>
        <w:ind w:firstLine="709"/>
        <w:rPr>
          <w:rFonts w:ascii="Times New Roman" w:hAnsi="Times New Roman" w:cs="Times New Roman"/>
          <w:szCs w:val="24"/>
          <w:lang w:val="sr-Cyrl-RS"/>
        </w:rPr>
      </w:pPr>
    </w:p>
    <w:p w14:paraId="5D7D828A" w14:textId="6DC1C0E4" w:rsidR="0005410B" w:rsidRDefault="0005410B" w:rsidP="00DB3C06">
      <w:pPr>
        <w:tabs>
          <w:tab w:val="left" w:pos="1440"/>
        </w:tabs>
        <w:rPr>
          <w:rFonts w:ascii="Times New Roman" w:hAnsi="Times New Roman" w:cs="Times New Roman"/>
          <w:szCs w:val="24"/>
          <w:lang w:val="sr-Cyrl-RS"/>
        </w:rPr>
      </w:pPr>
    </w:p>
    <w:p w14:paraId="3D11E1D1" w14:textId="77777777" w:rsidR="0005410B" w:rsidRPr="00B3123E" w:rsidRDefault="0005410B" w:rsidP="006211A8">
      <w:pPr>
        <w:tabs>
          <w:tab w:val="left" w:pos="1440"/>
        </w:tabs>
        <w:ind w:firstLine="709"/>
        <w:rPr>
          <w:rFonts w:ascii="Times New Roman" w:hAnsi="Times New Roman" w:cs="Times New Roman"/>
          <w:szCs w:val="24"/>
          <w:lang w:val="sr-Cyrl-RS"/>
        </w:rPr>
      </w:pPr>
    </w:p>
    <w:p w14:paraId="491CD20B" w14:textId="584CA7C6" w:rsidR="00A756CB" w:rsidRPr="00B3123E" w:rsidRDefault="0005410B" w:rsidP="0005410B">
      <w:pPr>
        <w:pStyle w:val="Heading1"/>
        <w:tabs>
          <w:tab w:val="left" w:pos="1440"/>
        </w:tabs>
        <w:ind w:left="502"/>
        <w:rPr>
          <w:rFonts w:ascii="Times New Roman" w:hAnsi="Times New Roman"/>
          <w:sz w:val="24"/>
          <w:lang w:val="sr-Cyrl-RS"/>
        </w:rPr>
      </w:pPr>
      <w:bookmarkStart w:id="68" w:name="_Toc45188738"/>
      <w:bookmarkStart w:id="69" w:name="_Toc211545993"/>
      <w:bookmarkEnd w:id="67"/>
      <w:r>
        <w:rPr>
          <w:rFonts w:ascii="Times New Roman" w:hAnsi="Times New Roman"/>
          <w:sz w:val="24"/>
          <w:shd w:val="clear" w:color="auto" w:fill="FFFFFF"/>
          <w:lang w:val="sr-Cyrl-RS"/>
        </w:rPr>
        <w:tab/>
      </w:r>
      <w:r>
        <w:rPr>
          <w:rFonts w:ascii="Times New Roman" w:hAnsi="Times New Roman"/>
          <w:sz w:val="24"/>
          <w:shd w:val="clear" w:color="auto" w:fill="FFFFFF"/>
          <w:lang w:val="sr-Cyrl-RS"/>
        </w:rPr>
        <w:tab/>
      </w:r>
      <w:r>
        <w:rPr>
          <w:rFonts w:ascii="Times New Roman" w:hAnsi="Times New Roman"/>
          <w:sz w:val="24"/>
          <w:shd w:val="clear" w:color="auto" w:fill="FFFFFF"/>
          <w:lang w:val="sr-Cyrl-RS"/>
        </w:rPr>
        <w:tab/>
      </w:r>
      <w:r>
        <w:rPr>
          <w:rFonts w:ascii="Times New Roman" w:hAnsi="Times New Roman"/>
          <w:sz w:val="24"/>
          <w:shd w:val="clear" w:color="auto" w:fill="FFFFFF"/>
        </w:rPr>
        <w:t xml:space="preserve">IX. </w:t>
      </w:r>
      <w:r w:rsidR="00E23B55" w:rsidRPr="00B3123E">
        <w:rPr>
          <w:rFonts w:ascii="Times New Roman" w:hAnsi="Times New Roman"/>
          <w:sz w:val="24"/>
          <w:shd w:val="clear" w:color="auto" w:fill="FFFFFF"/>
          <w:lang w:val="sr-Cyrl-RS"/>
        </w:rPr>
        <w:t xml:space="preserve">   </w:t>
      </w:r>
      <w:r w:rsidR="005C45B1" w:rsidRPr="00B3123E">
        <w:rPr>
          <w:rFonts w:ascii="Times New Roman" w:hAnsi="Times New Roman"/>
          <w:sz w:val="24"/>
          <w:lang w:val="sr-Cyrl-RS"/>
        </w:rPr>
        <w:t>ЗАВРШН</w:t>
      </w:r>
      <w:r w:rsidR="000E5112" w:rsidRPr="00B3123E">
        <w:rPr>
          <w:rFonts w:ascii="Times New Roman" w:hAnsi="Times New Roman"/>
          <w:sz w:val="24"/>
          <w:lang w:val="sr-Cyrl-RS"/>
        </w:rPr>
        <w:t>E</w:t>
      </w:r>
      <w:r w:rsidR="00A24584" w:rsidRPr="00B3123E">
        <w:rPr>
          <w:rFonts w:ascii="Times New Roman" w:hAnsi="Times New Roman"/>
          <w:sz w:val="24"/>
          <w:lang w:val="sr-Cyrl-RS"/>
        </w:rPr>
        <w:t xml:space="preserve"> ОДРЕДБ</w:t>
      </w:r>
      <w:bookmarkEnd w:id="68"/>
      <w:bookmarkEnd w:id="69"/>
      <w:r w:rsidR="000E5112" w:rsidRPr="00B3123E">
        <w:rPr>
          <w:rFonts w:ascii="Times New Roman" w:hAnsi="Times New Roman"/>
          <w:sz w:val="24"/>
          <w:lang w:val="sr-Cyrl-RS"/>
        </w:rPr>
        <w:t>E</w:t>
      </w:r>
      <w:r w:rsidR="00A756CB" w:rsidRPr="00B3123E">
        <w:rPr>
          <w:rFonts w:ascii="Times New Roman" w:hAnsi="Times New Roman"/>
          <w:lang w:val="sr-Cyrl-RS"/>
        </w:rPr>
        <w:t xml:space="preserve"> </w:t>
      </w:r>
    </w:p>
    <w:p w14:paraId="71B2C7E2" w14:textId="7ADE957B" w:rsidR="00A756CB" w:rsidRPr="00B3123E" w:rsidRDefault="00A756CB"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Овај програм објавити на интернет страници Владе, интернет страници Министарства информисања и телекомуникација и </w:t>
      </w:r>
      <w:r w:rsidR="00003043" w:rsidRPr="00B3123E">
        <w:rPr>
          <w:rFonts w:ascii="Times New Roman" w:hAnsi="Times New Roman" w:cs="Times New Roman"/>
          <w:szCs w:val="24"/>
          <w:lang w:val="sr-Cyrl-RS"/>
        </w:rPr>
        <w:t xml:space="preserve">на </w:t>
      </w:r>
      <w:r w:rsidRPr="00B3123E">
        <w:rPr>
          <w:rFonts w:ascii="Times New Roman" w:hAnsi="Times New Roman" w:cs="Times New Roman"/>
          <w:szCs w:val="24"/>
          <w:lang w:val="sr-Cyrl-RS"/>
        </w:rPr>
        <w:t>порталу е</w:t>
      </w:r>
      <w:r w:rsidR="00066282" w:rsidRPr="00B3123E">
        <w:rPr>
          <w:rFonts w:ascii="Times New Roman" w:hAnsi="Times New Roman" w:cs="Times New Roman"/>
          <w:szCs w:val="24"/>
          <w:lang w:val="sr-Cyrl-RS"/>
        </w:rPr>
        <w:t>-</w:t>
      </w:r>
      <w:r w:rsidRPr="00B3123E">
        <w:rPr>
          <w:rFonts w:ascii="Times New Roman" w:hAnsi="Times New Roman" w:cs="Times New Roman"/>
          <w:szCs w:val="24"/>
          <w:lang w:val="sr-Cyrl-RS"/>
        </w:rPr>
        <w:t>Управ</w:t>
      </w:r>
      <w:r w:rsidR="00066282" w:rsidRPr="00B3123E">
        <w:rPr>
          <w:rFonts w:ascii="Times New Roman" w:hAnsi="Times New Roman" w:cs="Times New Roman"/>
          <w:szCs w:val="24"/>
          <w:lang w:val="sr-Cyrl-RS"/>
        </w:rPr>
        <w:t>а</w:t>
      </w:r>
      <w:r w:rsidRPr="00B3123E">
        <w:rPr>
          <w:rFonts w:ascii="Times New Roman" w:hAnsi="Times New Roman" w:cs="Times New Roman"/>
          <w:szCs w:val="24"/>
          <w:lang w:val="sr-Cyrl-RS"/>
        </w:rPr>
        <w:t>, у року од седам радних дана од дана усвајања.</w:t>
      </w:r>
    </w:p>
    <w:p w14:paraId="06F34B55" w14:textId="04D8F278" w:rsidR="00833DE4" w:rsidRPr="00B3123E" w:rsidRDefault="00A756CB"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Овај програм објавити у </w:t>
      </w:r>
      <w:r w:rsidR="00EA7FE9"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Службеном гласнику Републике Србије”.</w:t>
      </w:r>
    </w:p>
    <w:p w14:paraId="11DAA609" w14:textId="77777777" w:rsidR="006211A8" w:rsidRPr="00B3123E" w:rsidRDefault="006211A8" w:rsidP="00D92B1E">
      <w:pPr>
        <w:tabs>
          <w:tab w:val="left" w:pos="1440"/>
        </w:tabs>
        <w:ind w:firstLine="709"/>
        <w:rPr>
          <w:rFonts w:ascii="Times New Roman" w:hAnsi="Times New Roman" w:cs="Times New Roman"/>
          <w:szCs w:val="24"/>
          <w:lang w:val="sr-Cyrl-RS"/>
        </w:rPr>
      </w:pPr>
    </w:p>
    <w:p w14:paraId="32FCC669" w14:textId="77777777" w:rsidR="00003043" w:rsidRPr="00B3123E" w:rsidRDefault="00003043" w:rsidP="00D92B1E">
      <w:pPr>
        <w:tabs>
          <w:tab w:val="left" w:pos="1440"/>
        </w:tabs>
        <w:ind w:firstLine="709"/>
        <w:rPr>
          <w:rFonts w:ascii="Times New Roman" w:hAnsi="Times New Roman" w:cs="Times New Roman"/>
          <w:szCs w:val="24"/>
          <w:lang w:val="sr-Cyrl-RS"/>
        </w:rPr>
      </w:pPr>
    </w:p>
    <w:p w14:paraId="08E42821" w14:textId="786A89D5" w:rsidR="00003043" w:rsidRPr="00B3123E" w:rsidRDefault="00003043" w:rsidP="00003043">
      <w:pPr>
        <w:spacing w:after="0"/>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05 Број:</w:t>
      </w:r>
      <w:r w:rsidR="00756D7E">
        <w:rPr>
          <w:rFonts w:ascii="Times New Roman" w:eastAsia="Times New Roman" w:hAnsi="Times New Roman" w:cs="Times New Roman"/>
          <w:szCs w:val="24"/>
          <w:lang w:val="sr-Cyrl-RS"/>
        </w:rPr>
        <w:t xml:space="preserve"> 345-1094/2026-1</w:t>
      </w:r>
    </w:p>
    <w:p w14:paraId="33E43662" w14:textId="77777777" w:rsidR="00003043" w:rsidRPr="00B3123E" w:rsidRDefault="00003043" w:rsidP="00003043">
      <w:pPr>
        <w:spacing w:after="0"/>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У Београду, 12. фебруара 2026. године</w:t>
      </w:r>
    </w:p>
    <w:p w14:paraId="55071083" w14:textId="77777777" w:rsidR="00003043" w:rsidRPr="00B3123E" w:rsidRDefault="00003043" w:rsidP="00003043">
      <w:pPr>
        <w:spacing w:after="0"/>
        <w:rPr>
          <w:rFonts w:ascii="Times New Roman" w:eastAsia="Times New Roman" w:hAnsi="Times New Roman" w:cs="Times New Roman"/>
          <w:szCs w:val="24"/>
          <w:lang w:val="sr-Cyrl-RS"/>
        </w:rPr>
      </w:pPr>
    </w:p>
    <w:p w14:paraId="0B11534D" w14:textId="77777777" w:rsidR="00003043" w:rsidRPr="00B3123E" w:rsidRDefault="00003043" w:rsidP="00003043">
      <w:pPr>
        <w:spacing w:after="0"/>
        <w:jc w:val="center"/>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В Л А Д А</w:t>
      </w:r>
    </w:p>
    <w:p w14:paraId="32B55F0E" w14:textId="77777777" w:rsidR="00003043" w:rsidRPr="00B3123E" w:rsidRDefault="00003043" w:rsidP="00003043">
      <w:pPr>
        <w:spacing w:after="0"/>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 xml:space="preserve">                                                                                                                ПРЕДСЕДНИК</w:t>
      </w:r>
    </w:p>
    <w:p w14:paraId="730C6AC2" w14:textId="77777777" w:rsidR="00003043" w:rsidRPr="00B3123E" w:rsidRDefault="00003043" w:rsidP="00003043">
      <w:pPr>
        <w:spacing w:after="0"/>
        <w:rPr>
          <w:rFonts w:ascii="Times New Roman" w:eastAsia="Times New Roman" w:hAnsi="Times New Roman" w:cs="Times New Roman"/>
          <w:szCs w:val="24"/>
          <w:lang w:val="sr-Cyrl-RS"/>
        </w:rPr>
      </w:pPr>
    </w:p>
    <w:p w14:paraId="3E688A0A" w14:textId="77777777" w:rsidR="00003043" w:rsidRPr="00B3123E" w:rsidRDefault="00003043" w:rsidP="00003043">
      <w:pPr>
        <w:spacing w:after="0"/>
        <w:rPr>
          <w:rFonts w:ascii="Times New Roman" w:eastAsia="Times New Roman" w:hAnsi="Times New Roman" w:cs="Times New Roman"/>
          <w:sz w:val="12"/>
          <w:szCs w:val="12"/>
          <w:lang w:val="sr-Cyrl-RS"/>
        </w:rPr>
      </w:pPr>
    </w:p>
    <w:p w14:paraId="4B847B52" w14:textId="126700CD" w:rsidR="00003043" w:rsidRPr="00B3123E" w:rsidRDefault="00003043" w:rsidP="00003043">
      <w:pPr>
        <w:spacing w:after="0"/>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 xml:space="preserve">                                                                                                         проф. др Ђуро Мацут</w:t>
      </w:r>
      <w:r w:rsidR="00756D7E">
        <w:rPr>
          <w:rFonts w:ascii="Times New Roman" w:eastAsia="Times New Roman" w:hAnsi="Times New Roman" w:cs="Times New Roman"/>
          <w:szCs w:val="24"/>
          <w:lang w:val="sr-Cyrl-RS"/>
        </w:rPr>
        <w:t>, с.р.</w:t>
      </w:r>
    </w:p>
    <w:p w14:paraId="5F49E427" w14:textId="420F54AC" w:rsidR="00745CDF" w:rsidRPr="00B3123E" w:rsidRDefault="00745CDF" w:rsidP="00494F71">
      <w:pPr>
        <w:pStyle w:val="NormalWeb"/>
        <w:tabs>
          <w:tab w:val="left" w:pos="1440"/>
        </w:tabs>
        <w:spacing w:after="150"/>
        <w:rPr>
          <w:shd w:val="clear" w:color="auto" w:fill="FFFFFF"/>
          <w:lang w:val="sr-Cyrl-RS"/>
        </w:rPr>
      </w:pPr>
    </w:p>
    <w:sectPr w:rsidR="00745CDF" w:rsidRPr="00B3123E" w:rsidSect="00EB5DE8">
      <w:headerReference w:type="even" r:id="rId29"/>
      <w:headerReference w:type="default" r:id="rId30"/>
      <w:footerReference w:type="default" r:id="rId31"/>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3A963" w14:textId="77777777" w:rsidR="00C523AF" w:rsidRDefault="00C523AF" w:rsidP="00D84037">
      <w:pPr>
        <w:spacing w:after="0"/>
      </w:pPr>
      <w:r>
        <w:separator/>
      </w:r>
    </w:p>
  </w:endnote>
  <w:endnote w:type="continuationSeparator" w:id="0">
    <w:p w14:paraId="3DE189B8" w14:textId="77777777" w:rsidR="00C523AF" w:rsidRDefault="00C523AF" w:rsidP="00D840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A85C6" w14:textId="77777777" w:rsidR="00011344" w:rsidRDefault="00011344">
    <w:pPr>
      <w:pStyle w:val="Footer"/>
      <w:jc w:val="right"/>
    </w:pPr>
  </w:p>
  <w:p w14:paraId="72BAA95C" w14:textId="77777777" w:rsidR="00011344" w:rsidRDefault="000113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CAE85" w14:textId="77777777" w:rsidR="00C523AF" w:rsidRDefault="00C523AF" w:rsidP="00D84037">
      <w:pPr>
        <w:spacing w:after="0"/>
      </w:pPr>
      <w:r>
        <w:separator/>
      </w:r>
    </w:p>
  </w:footnote>
  <w:footnote w:type="continuationSeparator" w:id="0">
    <w:p w14:paraId="593B44C2" w14:textId="77777777" w:rsidR="00C523AF" w:rsidRDefault="00C523AF" w:rsidP="00D84037">
      <w:pPr>
        <w:spacing w:after="0"/>
      </w:pPr>
      <w:r>
        <w:continuationSeparator/>
      </w:r>
    </w:p>
  </w:footnote>
  <w:footnote w:id="1">
    <w:p w14:paraId="79ABF6C9" w14:textId="43F784CF" w:rsidR="00011344" w:rsidRPr="00E97BC7" w:rsidRDefault="00011344" w:rsidP="005D2C03">
      <w:pPr>
        <w:pStyle w:val="FootnoteText"/>
        <w:rPr>
          <w:rFonts w:ascii="Times New Roman" w:hAnsi="Times New Roman" w:cs="Times New Roman"/>
          <w:lang w:val="sr-Latn-RS"/>
        </w:rPr>
      </w:pPr>
      <w:r w:rsidRPr="00F84351">
        <w:rPr>
          <w:rStyle w:val="FootnoteReference"/>
          <w:rFonts w:ascii="Times New Roman" w:hAnsi="Times New Roman" w:cs="Times New Roman"/>
        </w:rPr>
        <w:footnoteRef/>
      </w:r>
      <w:r w:rsidRPr="0078222F">
        <w:rPr>
          <w:rFonts w:ascii="Times New Roman" w:hAnsi="Times New Roman" w:cs="Times New Roman"/>
          <w:lang w:val="ru-RU"/>
        </w:rPr>
        <w:t xml:space="preserve"> Закон о пл</w:t>
      </w:r>
      <w:r>
        <w:rPr>
          <w:rFonts w:ascii="Times New Roman" w:hAnsi="Times New Roman" w:cs="Times New Roman"/>
          <w:lang w:val="ru-RU"/>
        </w:rPr>
        <w:t>анском систему Републике Србије</w:t>
      </w:r>
      <w:r w:rsidRPr="0078222F">
        <w:rPr>
          <w:rFonts w:ascii="Times New Roman" w:hAnsi="Times New Roman" w:cs="Times New Roman"/>
          <w:lang w:val="ru-RU"/>
        </w:rPr>
        <w:t xml:space="preserve"> </w:t>
      </w:r>
      <w:r>
        <w:rPr>
          <w:rFonts w:ascii="Times New Roman" w:hAnsi="Times New Roman" w:cs="Times New Roman"/>
          <w:lang w:val="ru-RU"/>
        </w:rPr>
        <w:t>(</w:t>
      </w:r>
      <w:r w:rsidRPr="0078222F">
        <w:rPr>
          <w:rFonts w:ascii="Times New Roman" w:hAnsi="Times New Roman" w:cs="Times New Roman"/>
          <w:lang w:val="ru-RU"/>
        </w:rPr>
        <w:t>„Службени гласник РС</w:t>
      </w:r>
      <w:r w:rsidRPr="00F84351">
        <w:rPr>
          <w:rFonts w:ascii="Times New Roman" w:hAnsi="Times New Roman" w:cs="Times New Roman"/>
          <w:bCs/>
          <w:color w:val="000000"/>
          <w:lang w:val="sr-Cyrl-CS" w:eastAsia="sr-Latn-CS"/>
        </w:rPr>
        <w:t>”</w:t>
      </w:r>
      <w:r w:rsidRPr="0078222F">
        <w:rPr>
          <w:rFonts w:ascii="Times New Roman" w:hAnsi="Times New Roman" w:cs="Times New Roman"/>
          <w:lang w:val="ru-RU"/>
        </w:rPr>
        <w:t>, број 30/18</w:t>
      </w:r>
      <w:r>
        <w:rPr>
          <w:rFonts w:ascii="Times New Roman" w:hAnsi="Times New Roman" w:cs="Times New Roman"/>
          <w:lang w:val="ru-RU"/>
        </w:rPr>
        <w:t>)</w:t>
      </w:r>
      <w:r>
        <w:rPr>
          <w:rFonts w:ascii="Times New Roman" w:hAnsi="Times New Roman" w:cs="Times New Roman"/>
          <w:lang w:val="sr-Latn-RS"/>
        </w:rPr>
        <w:t>.</w:t>
      </w:r>
    </w:p>
  </w:footnote>
  <w:footnote w:id="2">
    <w:p w14:paraId="619DA166" w14:textId="5DABC227" w:rsidR="00011344" w:rsidRPr="00EC0D9A" w:rsidRDefault="00011344">
      <w:pPr>
        <w:pStyle w:val="FootnoteText"/>
      </w:pPr>
      <w:r>
        <w:rPr>
          <w:rStyle w:val="FootnoteReference"/>
        </w:rPr>
        <w:footnoteRef/>
      </w:r>
      <w:r w:rsidRPr="00EC0D9A">
        <w:t xml:space="preserve"> </w:t>
      </w:r>
      <w:r w:rsidRPr="00805208">
        <w:rPr>
          <w:sz w:val="16"/>
          <w:szCs w:val="16"/>
        </w:rPr>
        <w:t>EC Brussels, 8.11.2021 COM (2021) 674 final: REPORT FROM THE COMMISSION TO THE EUROPEAN PARLIAMENT AND THE COUNCIL on the application of the Postal Services Directive (Directive 97/67/EC as amended by Directive 2002/39/EC and 2008/6/EC)</w:t>
      </w:r>
      <w:r>
        <w:rPr>
          <w:sz w:val="16"/>
          <w:szCs w:val="16"/>
        </w:rPr>
        <w:t>.</w:t>
      </w:r>
    </w:p>
  </w:footnote>
  <w:footnote w:id="3">
    <w:p w14:paraId="671E43E6" w14:textId="2FFD9B5C" w:rsidR="00011344" w:rsidRPr="00E97BC7" w:rsidRDefault="00011344">
      <w:pPr>
        <w:pStyle w:val="FootnoteText"/>
        <w:rPr>
          <w:lang w:val="sr-Latn-RS"/>
        </w:rPr>
      </w:pPr>
      <w:r w:rsidRPr="004034A6">
        <w:rPr>
          <w:rStyle w:val="FootnoteReference"/>
        </w:rPr>
        <w:footnoteRef/>
      </w:r>
      <w:r w:rsidRPr="0078222F">
        <w:rPr>
          <w:rFonts w:ascii="Calibri" w:hAnsi="Calibri" w:cs="Calibri"/>
          <w:szCs w:val="18"/>
          <w:lang w:val="ru-RU"/>
        </w:rPr>
        <w:t>Извор:</w:t>
      </w:r>
      <w:r w:rsidRPr="0078222F">
        <w:rPr>
          <w:lang w:val="ru-RU"/>
        </w:rPr>
        <w:t xml:space="preserve"> РАТЕЛ – Преглед тржишта телекомуникација и поштанских услуга у Републици Србији у 2024. години</w:t>
      </w:r>
      <w:r>
        <w:rPr>
          <w:lang w:val="sr-Latn-RS"/>
        </w:rPr>
        <w:t>.</w:t>
      </w:r>
    </w:p>
  </w:footnote>
  <w:footnote w:id="4">
    <w:p w14:paraId="0F1FCA31" w14:textId="490315D4" w:rsidR="00011344" w:rsidRPr="0078222F" w:rsidRDefault="00011344" w:rsidP="004034A6">
      <w:pPr>
        <w:spacing w:after="0"/>
        <w:rPr>
          <w:rFonts w:ascii="Calibri" w:hAnsi="Calibri" w:cs="Calibri"/>
          <w:sz w:val="20"/>
          <w:szCs w:val="18"/>
          <w:lang w:val="ru-RU"/>
        </w:rPr>
      </w:pPr>
      <w:r w:rsidRPr="004034A6">
        <w:rPr>
          <w:rStyle w:val="FootnoteReference"/>
          <w:rFonts w:ascii="Calibri" w:hAnsi="Calibri" w:cs="Calibri"/>
          <w:sz w:val="20"/>
          <w:szCs w:val="18"/>
        </w:rPr>
        <w:footnoteRef/>
      </w:r>
      <w:r w:rsidRPr="0078222F">
        <w:rPr>
          <w:rFonts w:ascii="Calibri" w:hAnsi="Calibri" w:cs="Calibri"/>
          <w:sz w:val="20"/>
          <w:szCs w:val="18"/>
          <w:lang w:val="ru-RU"/>
        </w:rPr>
        <w:t xml:space="preserve"> Извор:</w:t>
      </w:r>
      <w:r>
        <w:rPr>
          <w:rFonts w:ascii="Calibri" w:hAnsi="Calibri" w:cs="Calibri"/>
          <w:sz w:val="20"/>
          <w:szCs w:val="18"/>
          <w:lang w:val="sr-Cyrl-RS"/>
        </w:rPr>
        <w:t xml:space="preserve"> </w:t>
      </w:r>
      <w:r w:rsidRPr="0078222F">
        <w:rPr>
          <w:rFonts w:ascii="Calibri" w:hAnsi="Calibri" w:cs="Calibri"/>
          <w:sz w:val="20"/>
          <w:szCs w:val="18"/>
          <w:lang w:val="ru-RU"/>
        </w:rPr>
        <w:t xml:space="preserve">Републички завод за статистику – Статистички календар </w:t>
      </w:r>
      <w:r w:rsidRPr="001F3E31">
        <w:rPr>
          <w:rFonts w:ascii="Calibri" w:hAnsi="Calibri" w:cs="Calibri"/>
          <w:bCs/>
          <w:sz w:val="20"/>
          <w:szCs w:val="18"/>
          <w:lang w:val="sr-Cyrl-RS"/>
        </w:rPr>
        <w:t>Републике Србије</w:t>
      </w:r>
      <w:r w:rsidRPr="0078222F">
        <w:rPr>
          <w:rFonts w:ascii="Calibri" w:hAnsi="Calibri" w:cs="Calibri"/>
          <w:sz w:val="20"/>
          <w:szCs w:val="18"/>
          <w:lang w:val="ru-RU"/>
        </w:rPr>
        <w:t xml:space="preserve"> 2025. </w:t>
      </w:r>
      <w:r>
        <w:rPr>
          <w:rFonts w:ascii="Calibri" w:hAnsi="Calibri" w:cs="Calibri"/>
          <w:sz w:val="20"/>
          <w:szCs w:val="18"/>
          <w:lang w:val="sr-Cyrl-RS"/>
        </w:rPr>
        <w:t>г</w:t>
      </w:r>
      <w:r>
        <w:rPr>
          <w:rFonts w:ascii="Calibri" w:hAnsi="Calibri" w:cs="Calibri"/>
          <w:sz w:val="20"/>
          <w:szCs w:val="18"/>
          <w:lang w:val="ru-RU"/>
        </w:rPr>
        <w:t>одине</w:t>
      </w:r>
      <w:r>
        <w:rPr>
          <w:rFonts w:ascii="Calibri" w:hAnsi="Calibri" w:cs="Calibri"/>
          <w:sz w:val="20"/>
          <w:szCs w:val="18"/>
          <w:lang w:val="sr-Latn-RS"/>
        </w:rPr>
        <w:t>.</w:t>
      </w:r>
      <w:r>
        <w:rPr>
          <w:rFonts w:ascii="Calibri" w:hAnsi="Calibri" w:cs="Calibri"/>
          <w:sz w:val="20"/>
          <w:szCs w:val="18"/>
          <w:lang w:val="ru-RU"/>
        </w:rPr>
        <w:t xml:space="preserve"> </w:t>
      </w:r>
    </w:p>
  </w:footnote>
  <w:footnote w:id="5">
    <w:p w14:paraId="519C6209" w14:textId="19213EF7" w:rsidR="00011344" w:rsidRPr="00E97BC7" w:rsidRDefault="00011344">
      <w:pPr>
        <w:pStyle w:val="FootnoteText"/>
        <w:rPr>
          <w:lang w:val="sr-Latn-RS"/>
        </w:rPr>
      </w:pPr>
      <w:r w:rsidRPr="004034A6">
        <w:rPr>
          <w:rStyle w:val="FootnoteReference"/>
        </w:rPr>
        <w:footnoteRef/>
      </w:r>
      <w:r w:rsidRPr="0078222F">
        <w:rPr>
          <w:rFonts w:ascii="Calibri" w:hAnsi="Calibri" w:cs="Calibri"/>
          <w:szCs w:val="18"/>
          <w:lang w:val="ru-RU"/>
        </w:rPr>
        <w:t>Извор:</w:t>
      </w:r>
      <w:r w:rsidRPr="0078222F">
        <w:rPr>
          <w:lang w:val="ru-RU"/>
        </w:rPr>
        <w:t xml:space="preserve"> РАТЕЛ – Преглед тржишта телекомуникација и поштанских услуга у Републици Србији у 2024. години</w:t>
      </w:r>
      <w:r>
        <w:rPr>
          <w:lang w:val="sr-Latn-RS"/>
        </w:rPr>
        <w:t>.</w:t>
      </w:r>
    </w:p>
  </w:footnote>
  <w:footnote w:id="6">
    <w:p w14:paraId="7769E1DC" w14:textId="60EA5FCA" w:rsidR="00011344" w:rsidRPr="00E97BC7" w:rsidRDefault="00011344">
      <w:pPr>
        <w:pStyle w:val="FootnoteText"/>
        <w:rPr>
          <w:lang w:val="sr-Latn-RS"/>
        </w:rPr>
      </w:pPr>
      <w:r>
        <w:rPr>
          <w:rStyle w:val="FootnoteReference"/>
        </w:rPr>
        <w:footnoteRef/>
      </w:r>
      <w:r w:rsidRPr="0078222F">
        <w:rPr>
          <w:lang w:val="ru-RU"/>
        </w:rPr>
        <w:t>Стратегија развоја поштанских услуга у Републици Србији за период 2021</w:t>
      </w:r>
      <w:r>
        <w:rPr>
          <w:lang w:val="ru-RU"/>
        </w:rPr>
        <w:t xml:space="preserve"> – </w:t>
      </w:r>
      <w:r w:rsidRPr="0078222F">
        <w:rPr>
          <w:lang w:val="ru-RU"/>
        </w:rPr>
        <w:t>2025. године</w:t>
      </w:r>
      <w:r>
        <w:rPr>
          <w:lang w:val="sr-Latn-RS"/>
        </w:rPr>
        <w:t>.</w:t>
      </w:r>
    </w:p>
  </w:footnote>
  <w:footnote w:id="7">
    <w:p w14:paraId="1A68D7A6" w14:textId="77777777" w:rsidR="00011344" w:rsidRPr="0078222F" w:rsidRDefault="00011344" w:rsidP="002901D0">
      <w:pPr>
        <w:pStyle w:val="FootnoteText"/>
        <w:rPr>
          <w:rFonts w:ascii="Times New Roman" w:hAnsi="Times New Roman" w:cs="Times New Roman"/>
          <w:lang w:val="ru-RU"/>
        </w:rPr>
      </w:pPr>
      <w:r w:rsidRPr="00B5222A">
        <w:rPr>
          <w:rStyle w:val="FootnoteReference"/>
          <w:rFonts w:ascii="Times New Roman" w:hAnsi="Times New Roman" w:cs="Times New Roman"/>
        </w:rPr>
        <w:footnoteRef/>
      </w:r>
      <w:r w:rsidRPr="0065440A">
        <w:rPr>
          <w:rFonts w:ascii="Times New Roman" w:hAnsi="Times New Roman" w:cs="Times New Roman"/>
          <w:lang w:val="ru-RU"/>
        </w:rPr>
        <w:t xml:space="preserve"> Извор: Републички завод за статистику – Статистички годишњак Републике Србије 2020.</w:t>
      </w:r>
    </w:p>
  </w:footnote>
  <w:footnote w:id="8">
    <w:p w14:paraId="4325C52F" w14:textId="5C15AB39" w:rsidR="00011344" w:rsidRPr="0065440A" w:rsidRDefault="00011344">
      <w:pPr>
        <w:pStyle w:val="FootnoteText"/>
        <w:rPr>
          <w:lang w:val="ru-RU"/>
        </w:rPr>
      </w:pPr>
      <w:r>
        <w:rPr>
          <w:rStyle w:val="FootnoteReference"/>
        </w:rPr>
        <w:footnoteRef/>
      </w:r>
      <w:r w:rsidRPr="0078222F">
        <w:rPr>
          <w:lang w:val="ru-RU"/>
        </w:rPr>
        <w:t xml:space="preserve">И са тренутном </w:t>
      </w:r>
      <w:r w:rsidRPr="007000AF">
        <w:rPr>
          <w:lang w:val="ru-RU"/>
        </w:rPr>
        <w:t xml:space="preserve">поштарином од 340 динара (2,9€) </w:t>
      </w:r>
      <w:r>
        <w:rPr>
          <w:lang w:val="ru-RU"/>
        </w:rPr>
        <w:t xml:space="preserve">Република </w:t>
      </w:r>
      <w:r w:rsidRPr="007000AF">
        <w:rPr>
          <w:lang w:val="ru-RU"/>
        </w:rPr>
        <w:t xml:space="preserve">Србија је и даље мећу групом </w:t>
      </w:r>
      <w:r>
        <w:rPr>
          <w:lang w:val="ru-RU"/>
        </w:rPr>
        <w:t>држава</w:t>
      </w:r>
      <w:r w:rsidRPr="007000AF">
        <w:rPr>
          <w:lang w:val="ru-RU"/>
        </w:rPr>
        <w:t xml:space="preserve"> са најнижом поштарином за ову категорију пошиљака у Европи.</w:t>
      </w:r>
    </w:p>
  </w:footnote>
  <w:footnote w:id="9">
    <w:p w14:paraId="1B0A79AA" w14:textId="53BB57A4" w:rsidR="00011344" w:rsidRPr="00E97BC7" w:rsidRDefault="00011344" w:rsidP="00D02445">
      <w:pPr>
        <w:pStyle w:val="FootnoteText"/>
        <w:rPr>
          <w:lang w:val="sr-Latn-RS"/>
        </w:rPr>
      </w:pPr>
      <w:r>
        <w:rPr>
          <w:rStyle w:val="FootnoteReference"/>
        </w:rPr>
        <w:footnoteRef/>
      </w:r>
      <w:r w:rsidRPr="0078222F">
        <w:rPr>
          <w:rFonts w:ascii="Calibri" w:hAnsi="Calibri" w:cs="Calibri"/>
          <w:szCs w:val="18"/>
          <w:lang w:val="ru-RU"/>
        </w:rPr>
        <w:t>Извор:</w:t>
      </w:r>
      <w:r w:rsidRPr="0078222F">
        <w:rPr>
          <w:lang w:val="ru-RU"/>
        </w:rPr>
        <w:t xml:space="preserve"> РАТЕЛ – Преглед тржишта телекомуникација и поштанских услуга у Републици Србији у 2024. години</w:t>
      </w:r>
      <w:r>
        <w:rPr>
          <w:lang w:val="sr-Latn-RS"/>
        </w:rPr>
        <w:t>.</w:t>
      </w:r>
    </w:p>
  </w:footnote>
  <w:footnote w:id="10">
    <w:p w14:paraId="7BEA1D36" w14:textId="200D1DA3" w:rsidR="00011344" w:rsidRPr="00DA25A5" w:rsidRDefault="00011344">
      <w:pPr>
        <w:pStyle w:val="FootnoteText"/>
      </w:pPr>
      <w:r>
        <w:rPr>
          <w:rStyle w:val="FootnoteReference"/>
        </w:rPr>
        <w:footnoteRef/>
      </w:r>
      <w:r w:rsidRPr="00DA25A5">
        <w:rPr>
          <w:sz w:val="18"/>
          <w:szCs w:val="16"/>
        </w:rPr>
        <w:t xml:space="preserve">Извор: </w:t>
      </w:r>
      <w:bookmarkStart w:id="28" w:name="_Hlk212117979"/>
      <w:r w:rsidRPr="00DA25A5">
        <w:rPr>
          <w:sz w:val="18"/>
          <w:szCs w:val="16"/>
        </w:rPr>
        <w:t>ERGP (24) 8 - Report on postal core indicators for monitoring the European postal market</w:t>
      </w:r>
      <w:bookmarkEnd w:id="28"/>
      <w:r>
        <w:rPr>
          <w:sz w:val="18"/>
          <w:szCs w:val="16"/>
        </w:rPr>
        <w:t>.</w:t>
      </w:r>
    </w:p>
  </w:footnote>
  <w:footnote w:id="11">
    <w:p w14:paraId="5F6F9222" w14:textId="60AE9A69" w:rsidR="00011344" w:rsidRPr="003440E5" w:rsidRDefault="00011344" w:rsidP="00DD34A7">
      <w:pPr>
        <w:pStyle w:val="FootnoteText"/>
      </w:pPr>
      <w:r w:rsidRPr="00DA25A5">
        <w:rPr>
          <w:rStyle w:val="FootnoteReference"/>
        </w:rPr>
        <w:footnoteRef/>
      </w:r>
      <w:r w:rsidRPr="00DA25A5">
        <w:rPr>
          <w:sz w:val="18"/>
          <w:szCs w:val="16"/>
        </w:rPr>
        <w:t>Извор: ERGP (24) 8 - Report on postal core indicators for monitoring the European postal market</w:t>
      </w:r>
      <w:r>
        <w:rPr>
          <w:sz w:val="18"/>
          <w:szCs w:val="16"/>
        </w:rPr>
        <w:t>.</w:t>
      </w:r>
    </w:p>
  </w:footnote>
  <w:footnote w:id="12">
    <w:p w14:paraId="614D31A0" w14:textId="40286268" w:rsidR="00011344" w:rsidRPr="007F6C81" w:rsidRDefault="00011344">
      <w:pPr>
        <w:pStyle w:val="FootnoteText"/>
        <w:rPr>
          <w:sz w:val="16"/>
          <w:szCs w:val="16"/>
          <w:lang w:val="sr-Cyrl-RS"/>
        </w:rPr>
      </w:pPr>
      <w:r>
        <w:rPr>
          <w:rStyle w:val="FootnoteReference"/>
        </w:rPr>
        <w:footnoteRef/>
      </w:r>
      <w:r>
        <w:t xml:space="preserve"> </w:t>
      </w:r>
      <w:bookmarkStart w:id="30" w:name="_Hlk214365613"/>
      <w:r w:rsidRPr="00805208">
        <w:rPr>
          <w:sz w:val="16"/>
          <w:szCs w:val="16"/>
        </w:rPr>
        <w:t xml:space="preserve">COMMISSION STAFF WORKING DOCUMENT EVALUATION of Directive 97/67/EC </w:t>
      </w:r>
      <w:bookmarkEnd w:id="30"/>
      <w:r w:rsidRPr="00805208">
        <w:rPr>
          <w:sz w:val="16"/>
          <w:szCs w:val="16"/>
        </w:rPr>
        <w:t>on common rules for the development of the internal market of Community postal services and the improvement of quality of service amended by Directives 2002/39/EC and 2008/6/EC (Postal Services Directive) accompanying the REPORT FROM THE COMMISSION TO THE EUROPEAN PARLIAMENT AND THE COUNCIL on the application of the Postal Services Directive (Directive 97/67/EC as amended by Directive 2002/39/EC and 2008/6/EC)</w:t>
      </w:r>
      <w:r w:rsidR="007F6C81">
        <w:rPr>
          <w:sz w:val="16"/>
          <w:szCs w:val="16"/>
          <w:lang w:val="sr-Cyrl-RS"/>
        </w:rPr>
        <w:t>.</w:t>
      </w:r>
    </w:p>
  </w:footnote>
  <w:footnote w:id="13">
    <w:p w14:paraId="1C7B8B07" w14:textId="0F7F7B60" w:rsidR="00011344" w:rsidRPr="007F6C81" w:rsidRDefault="00011344">
      <w:pPr>
        <w:pStyle w:val="FootnoteText"/>
        <w:rPr>
          <w:lang w:val="sr-Cyrl-RS"/>
        </w:rPr>
      </w:pPr>
      <w:r>
        <w:rPr>
          <w:rStyle w:val="FootnoteReference"/>
        </w:rPr>
        <w:footnoteRef/>
      </w:r>
      <w:r>
        <w:t xml:space="preserve"> </w:t>
      </w:r>
      <w:r w:rsidRPr="00805208">
        <w:rPr>
          <w:sz w:val="16"/>
          <w:szCs w:val="16"/>
        </w:rPr>
        <w:t xml:space="preserve">COMMISSION STAFF WORKING DOCUMENT EVALUATION of Directive </w:t>
      </w:r>
      <w:r w:rsidRPr="009530B3">
        <w:rPr>
          <w:sz w:val="16"/>
          <w:szCs w:val="16"/>
        </w:rPr>
        <w:t>97/67/EC</w:t>
      </w:r>
      <w:r w:rsidR="007F6C81">
        <w:rPr>
          <w:sz w:val="16"/>
          <w:szCs w:val="16"/>
          <w:lang w:val="sr-Cyrl-RS"/>
        </w:rPr>
        <w:t>.</w:t>
      </w:r>
    </w:p>
  </w:footnote>
  <w:footnote w:id="14">
    <w:p w14:paraId="623DEFBE" w14:textId="28ACCF8B" w:rsidR="00011344" w:rsidRPr="007F6C81" w:rsidRDefault="00011344">
      <w:pPr>
        <w:pStyle w:val="FootnoteText"/>
        <w:rPr>
          <w:lang w:val="sr-Cyrl-RS"/>
        </w:rPr>
      </w:pPr>
      <w:r>
        <w:rPr>
          <w:rStyle w:val="FootnoteReference"/>
        </w:rPr>
        <w:footnoteRef/>
      </w:r>
      <w:r>
        <w:t xml:space="preserve"> </w:t>
      </w:r>
      <w:r w:rsidRPr="00805208">
        <w:rPr>
          <w:sz w:val="16"/>
          <w:szCs w:val="16"/>
        </w:rPr>
        <w:t>EC Brussels, 8.11.2021 COM</w:t>
      </w:r>
      <w:r>
        <w:rPr>
          <w:sz w:val="16"/>
          <w:szCs w:val="16"/>
          <w:lang w:val="sr-Cyrl-RS"/>
        </w:rPr>
        <w:t xml:space="preserve"> </w:t>
      </w:r>
      <w:r w:rsidRPr="00805208">
        <w:rPr>
          <w:sz w:val="16"/>
          <w:szCs w:val="16"/>
        </w:rPr>
        <w:t>(2021) 674 final: REPORT FROM THE COMMISSION TO THE EUROPEAN PARLIAMENT AND THE COUNCIL on the application of the Postal Services Directive (Directive 97/67/EC as amended by Directive 2002/39/EC and 2008/6/EC)</w:t>
      </w:r>
      <w:r w:rsidR="007F6C81">
        <w:rPr>
          <w:sz w:val="16"/>
          <w:szCs w:val="16"/>
          <w:lang w:val="sr-Cyrl-RS"/>
        </w:rPr>
        <w:t>.</w:t>
      </w:r>
    </w:p>
  </w:footnote>
  <w:footnote w:id="15">
    <w:p w14:paraId="56460362" w14:textId="1AFF1EB0" w:rsidR="00011344" w:rsidRPr="000719B0" w:rsidRDefault="00011344">
      <w:pPr>
        <w:pStyle w:val="FootnoteText"/>
      </w:pPr>
      <w:r>
        <w:rPr>
          <w:rStyle w:val="FootnoteReference"/>
        </w:rPr>
        <w:footnoteRef/>
      </w:r>
      <w:r w:rsidRPr="000719B0">
        <w:t>ERGP Report on the delivery ecosystem: value chains and business models, July 2025</w:t>
      </w:r>
      <w:r>
        <w:t>.</w:t>
      </w:r>
    </w:p>
  </w:footnote>
  <w:footnote w:id="16">
    <w:p w14:paraId="56FCA90E" w14:textId="491EC945" w:rsidR="00011344" w:rsidRPr="000719B0" w:rsidRDefault="00011344" w:rsidP="000719B0">
      <w:pPr>
        <w:pStyle w:val="FootnoteText"/>
        <w:ind w:left="198" w:hanging="198"/>
      </w:pPr>
      <w:r>
        <w:rPr>
          <w:rStyle w:val="FootnoteReference"/>
        </w:rPr>
        <w:footnoteRef/>
      </w:r>
      <w:r w:rsidRPr="000719B0">
        <w:t xml:space="preserve">Као пример </w:t>
      </w:r>
      <w:r w:rsidRPr="000719B0">
        <w:rPr>
          <w:i/>
          <w:iCs/>
        </w:rPr>
        <w:t>Artronic</w:t>
      </w:r>
      <w:r w:rsidRPr="000719B0">
        <w:t xml:space="preserve"> </w:t>
      </w:r>
      <w:r>
        <w:rPr>
          <w:lang w:val="sr-Cyrl-RS"/>
        </w:rPr>
        <w:t>и</w:t>
      </w:r>
      <w:r w:rsidRPr="000719B0">
        <w:t xml:space="preserve"> Пошта Словеније користе програмску подршку </w:t>
      </w:r>
      <w:r w:rsidRPr="000719B0">
        <w:rPr>
          <w:i/>
          <w:iCs/>
        </w:rPr>
        <w:t>ARTRONIC SkyTrack</w:t>
      </w:r>
      <w:r w:rsidRPr="000719B0">
        <w:t xml:space="preserve"> и </w:t>
      </w:r>
      <w:r w:rsidRPr="000719B0">
        <w:rPr>
          <w:i/>
          <w:iCs/>
        </w:rPr>
        <w:t>PTV OptiFlow</w:t>
      </w:r>
      <w:r w:rsidRPr="000719B0">
        <w:t xml:space="preserve"> за динамичко планирање</w:t>
      </w:r>
      <w:r>
        <w:t xml:space="preserve"> и прилагођавање доставних рута.</w:t>
      </w:r>
    </w:p>
  </w:footnote>
  <w:footnote w:id="17">
    <w:p w14:paraId="17928407" w14:textId="2DEAD567" w:rsidR="00011344" w:rsidRPr="004C24B6" w:rsidRDefault="00011344">
      <w:pPr>
        <w:pStyle w:val="FootnoteText"/>
      </w:pPr>
      <w:r>
        <w:rPr>
          <w:rStyle w:val="FootnoteReference"/>
        </w:rPr>
        <w:footnoteRef/>
      </w:r>
      <w:r w:rsidRPr="000719B0">
        <w:rPr>
          <w:i/>
          <w:iCs/>
          <w:lang w:val="en-US"/>
        </w:rPr>
        <w:t>STATE OF THE POSTAL SECTOR 2025 Postal power reimagined: scale, service and survival, U</w:t>
      </w:r>
      <w:r>
        <w:rPr>
          <w:i/>
          <w:iCs/>
          <w:lang w:val="en-US"/>
        </w:rPr>
        <w:t>niversal Postal Union</w:t>
      </w:r>
      <w:r w:rsidRPr="000719B0">
        <w:rPr>
          <w:i/>
          <w:iCs/>
          <w:lang w:val="en-US"/>
        </w:rPr>
        <w:t xml:space="preserv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75E2A" w14:textId="23C4D156" w:rsidR="00011344" w:rsidRDefault="00011344" w:rsidP="00F862C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p w14:paraId="45C44900" w14:textId="77777777" w:rsidR="00011344" w:rsidRDefault="000113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86390" w14:textId="60F0AB93" w:rsidR="00011344" w:rsidRPr="0078740E" w:rsidRDefault="00011344" w:rsidP="00F862C6">
    <w:pPr>
      <w:pStyle w:val="Header"/>
      <w:framePr w:wrap="around" w:vAnchor="text" w:hAnchor="margin" w:xAlign="center" w:y="1"/>
      <w:rPr>
        <w:rStyle w:val="PageNumber"/>
        <w:rFonts w:ascii="Times New Roman" w:hAnsi="Times New Roman" w:cs="Times New Roman"/>
      </w:rPr>
    </w:pPr>
    <w:r w:rsidRPr="0078740E">
      <w:rPr>
        <w:rStyle w:val="PageNumber"/>
        <w:rFonts w:ascii="Times New Roman" w:hAnsi="Times New Roman" w:cs="Times New Roman"/>
      </w:rPr>
      <w:fldChar w:fldCharType="begin"/>
    </w:r>
    <w:r w:rsidRPr="0078740E">
      <w:rPr>
        <w:rStyle w:val="PageNumber"/>
        <w:rFonts w:ascii="Times New Roman" w:hAnsi="Times New Roman" w:cs="Times New Roman"/>
      </w:rPr>
      <w:instrText xml:space="preserve"> PAGE </w:instrText>
    </w:r>
    <w:r w:rsidRPr="0078740E">
      <w:rPr>
        <w:rStyle w:val="PageNumber"/>
        <w:rFonts w:ascii="Times New Roman" w:hAnsi="Times New Roman" w:cs="Times New Roman"/>
      </w:rPr>
      <w:fldChar w:fldCharType="separate"/>
    </w:r>
    <w:r w:rsidR="00791D2A">
      <w:rPr>
        <w:rStyle w:val="PageNumber"/>
        <w:rFonts w:ascii="Times New Roman" w:hAnsi="Times New Roman" w:cs="Times New Roman"/>
        <w:noProof/>
      </w:rPr>
      <w:t>70</w:t>
    </w:r>
    <w:r w:rsidRPr="0078740E">
      <w:rPr>
        <w:rStyle w:val="PageNumber"/>
        <w:rFonts w:ascii="Times New Roman" w:hAnsi="Times New Roman" w:cs="Times New Roman"/>
      </w:rPr>
      <w:fldChar w:fldCharType="end"/>
    </w:r>
  </w:p>
  <w:p w14:paraId="42F07569" w14:textId="77777777" w:rsidR="00011344" w:rsidRDefault="000113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03113"/>
    <w:multiLevelType w:val="hybridMultilevel"/>
    <w:tmpl w:val="D124E5BA"/>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1" w15:restartNumberingAfterBreak="0">
    <w:nsid w:val="04EB67E1"/>
    <w:multiLevelType w:val="multilevel"/>
    <w:tmpl w:val="CD1AFE5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07C65C49"/>
    <w:multiLevelType w:val="hybridMultilevel"/>
    <w:tmpl w:val="468E4956"/>
    <w:lvl w:ilvl="0" w:tplc="281A0001">
      <w:start w:val="1"/>
      <w:numFmt w:val="bullet"/>
      <w:lvlText w:val=""/>
      <w:lvlJc w:val="left"/>
      <w:pPr>
        <w:ind w:left="1996" w:hanging="360"/>
      </w:pPr>
      <w:rPr>
        <w:rFonts w:ascii="Symbol" w:hAnsi="Symbol"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3" w15:restartNumberingAfterBreak="0">
    <w:nsid w:val="0A10384F"/>
    <w:multiLevelType w:val="multilevel"/>
    <w:tmpl w:val="C790739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0CA95E8F"/>
    <w:multiLevelType w:val="hybridMultilevel"/>
    <w:tmpl w:val="C59ED4EC"/>
    <w:lvl w:ilvl="0" w:tplc="D96EE704">
      <w:numFmt w:val="bullet"/>
      <w:lvlText w:val="-"/>
      <w:lvlJc w:val="left"/>
      <w:pPr>
        <w:ind w:left="1571" w:hanging="360"/>
      </w:pPr>
      <w:rPr>
        <w:rFonts w:ascii="Times New Roman" w:eastAsia="Times New Roman" w:hAnsi="Times New Roman" w:cs="Times New Roman" w:hint="default"/>
      </w:rPr>
    </w:lvl>
    <w:lvl w:ilvl="1" w:tplc="281A0003" w:tentative="1">
      <w:start w:val="1"/>
      <w:numFmt w:val="bullet"/>
      <w:lvlText w:val="o"/>
      <w:lvlJc w:val="left"/>
      <w:pPr>
        <w:ind w:left="2291" w:hanging="360"/>
      </w:pPr>
      <w:rPr>
        <w:rFonts w:ascii="Courier New" w:hAnsi="Courier New" w:cs="Courier New" w:hint="default"/>
      </w:rPr>
    </w:lvl>
    <w:lvl w:ilvl="2" w:tplc="281A0005" w:tentative="1">
      <w:start w:val="1"/>
      <w:numFmt w:val="bullet"/>
      <w:lvlText w:val=""/>
      <w:lvlJc w:val="left"/>
      <w:pPr>
        <w:ind w:left="3011" w:hanging="360"/>
      </w:pPr>
      <w:rPr>
        <w:rFonts w:ascii="Wingdings" w:hAnsi="Wingdings" w:hint="default"/>
      </w:rPr>
    </w:lvl>
    <w:lvl w:ilvl="3" w:tplc="281A0001" w:tentative="1">
      <w:start w:val="1"/>
      <w:numFmt w:val="bullet"/>
      <w:lvlText w:val=""/>
      <w:lvlJc w:val="left"/>
      <w:pPr>
        <w:ind w:left="3731" w:hanging="360"/>
      </w:pPr>
      <w:rPr>
        <w:rFonts w:ascii="Symbol" w:hAnsi="Symbol" w:hint="default"/>
      </w:rPr>
    </w:lvl>
    <w:lvl w:ilvl="4" w:tplc="281A0003" w:tentative="1">
      <w:start w:val="1"/>
      <w:numFmt w:val="bullet"/>
      <w:lvlText w:val="o"/>
      <w:lvlJc w:val="left"/>
      <w:pPr>
        <w:ind w:left="4451" w:hanging="360"/>
      </w:pPr>
      <w:rPr>
        <w:rFonts w:ascii="Courier New" w:hAnsi="Courier New" w:cs="Courier New" w:hint="default"/>
      </w:rPr>
    </w:lvl>
    <w:lvl w:ilvl="5" w:tplc="281A0005" w:tentative="1">
      <w:start w:val="1"/>
      <w:numFmt w:val="bullet"/>
      <w:lvlText w:val=""/>
      <w:lvlJc w:val="left"/>
      <w:pPr>
        <w:ind w:left="5171" w:hanging="360"/>
      </w:pPr>
      <w:rPr>
        <w:rFonts w:ascii="Wingdings" w:hAnsi="Wingdings" w:hint="default"/>
      </w:rPr>
    </w:lvl>
    <w:lvl w:ilvl="6" w:tplc="281A0001" w:tentative="1">
      <w:start w:val="1"/>
      <w:numFmt w:val="bullet"/>
      <w:lvlText w:val=""/>
      <w:lvlJc w:val="left"/>
      <w:pPr>
        <w:ind w:left="5891" w:hanging="360"/>
      </w:pPr>
      <w:rPr>
        <w:rFonts w:ascii="Symbol" w:hAnsi="Symbol" w:hint="default"/>
      </w:rPr>
    </w:lvl>
    <w:lvl w:ilvl="7" w:tplc="281A0003" w:tentative="1">
      <w:start w:val="1"/>
      <w:numFmt w:val="bullet"/>
      <w:lvlText w:val="o"/>
      <w:lvlJc w:val="left"/>
      <w:pPr>
        <w:ind w:left="6611" w:hanging="360"/>
      </w:pPr>
      <w:rPr>
        <w:rFonts w:ascii="Courier New" w:hAnsi="Courier New" w:cs="Courier New" w:hint="default"/>
      </w:rPr>
    </w:lvl>
    <w:lvl w:ilvl="8" w:tplc="281A0005" w:tentative="1">
      <w:start w:val="1"/>
      <w:numFmt w:val="bullet"/>
      <w:lvlText w:val=""/>
      <w:lvlJc w:val="left"/>
      <w:pPr>
        <w:ind w:left="7331" w:hanging="360"/>
      </w:pPr>
      <w:rPr>
        <w:rFonts w:ascii="Wingdings" w:hAnsi="Wingdings" w:hint="default"/>
      </w:rPr>
    </w:lvl>
  </w:abstractNum>
  <w:abstractNum w:abstractNumId="5" w15:restartNumberingAfterBreak="0">
    <w:nsid w:val="0E272901"/>
    <w:multiLevelType w:val="multilevel"/>
    <w:tmpl w:val="6F0A3C1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A46DC8"/>
    <w:multiLevelType w:val="hybridMultilevel"/>
    <w:tmpl w:val="E738D00E"/>
    <w:lvl w:ilvl="0" w:tplc="281A0001">
      <w:start w:val="1"/>
      <w:numFmt w:val="bullet"/>
      <w:lvlText w:val=""/>
      <w:lvlJc w:val="left"/>
      <w:pPr>
        <w:ind w:left="1996" w:hanging="360"/>
      </w:pPr>
      <w:rPr>
        <w:rFonts w:ascii="Symbol" w:hAnsi="Symbol"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7" w15:restartNumberingAfterBreak="0">
    <w:nsid w:val="12D1054E"/>
    <w:multiLevelType w:val="hybridMultilevel"/>
    <w:tmpl w:val="F8B268A2"/>
    <w:lvl w:ilvl="0" w:tplc="281A0001">
      <w:start w:val="1"/>
      <w:numFmt w:val="bullet"/>
      <w:lvlText w:val=""/>
      <w:lvlJc w:val="left"/>
      <w:pPr>
        <w:ind w:left="2356" w:hanging="360"/>
      </w:pPr>
      <w:rPr>
        <w:rFonts w:ascii="Symbol" w:hAnsi="Symbol" w:hint="default"/>
      </w:r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8" w15:restartNumberingAfterBreak="0">
    <w:nsid w:val="134A2FB8"/>
    <w:multiLevelType w:val="multilevel"/>
    <w:tmpl w:val="D168295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9" w15:restartNumberingAfterBreak="0">
    <w:nsid w:val="177F1EA9"/>
    <w:multiLevelType w:val="multilevel"/>
    <w:tmpl w:val="2BAE11F6"/>
    <w:lvl w:ilvl="0">
      <w:start w:val="1"/>
      <w:numFmt w:val="upperRoman"/>
      <w:lvlText w:val="%1."/>
      <w:lvlJc w:val="righ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951642B"/>
    <w:multiLevelType w:val="multilevel"/>
    <w:tmpl w:val="1276A75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1AEE5ED8"/>
    <w:multiLevelType w:val="hybridMultilevel"/>
    <w:tmpl w:val="B61E0D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421E02"/>
    <w:multiLevelType w:val="multilevel"/>
    <w:tmpl w:val="E68ADBB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3" w15:restartNumberingAfterBreak="0">
    <w:nsid w:val="1E6542BA"/>
    <w:multiLevelType w:val="hybridMultilevel"/>
    <w:tmpl w:val="39EA586A"/>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15:restartNumberingAfterBreak="0">
    <w:nsid w:val="24BD19FC"/>
    <w:multiLevelType w:val="hybridMultilevel"/>
    <w:tmpl w:val="80CA453E"/>
    <w:lvl w:ilvl="0" w:tplc="08E2422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26E5676F"/>
    <w:multiLevelType w:val="hybridMultilevel"/>
    <w:tmpl w:val="C84EE438"/>
    <w:lvl w:ilvl="0" w:tplc="281A0011">
      <w:start w:val="1"/>
      <w:numFmt w:val="decimal"/>
      <w:lvlText w:val="%1)"/>
      <w:lvlJc w:val="left"/>
      <w:pPr>
        <w:ind w:left="3076" w:hanging="1440"/>
      </w:pPr>
      <w:rPr>
        <w:rFonts w:hint="default"/>
      </w:rPr>
    </w:lvl>
    <w:lvl w:ilvl="1" w:tplc="FFFFFFFF">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6" w15:restartNumberingAfterBreak="0">
    <w:nsid w:val="28020D89"/>
    <w:multiLevelType w:val="hybridMultilevel"/>
    <w:tmpl w:val="FA1C8F72"/>
    <w:lvl w:ilvl="0" w:tplc="D96EE704">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7" w15:restartNumberingAfterBreak="0">
    <w:nsid w:val="2CF31238"/>
    <w:multiLevelType w:val="hybridMultilevel"/>
    <w:tmpl w:val="3B0C84E6"/>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18" w15:restartNumberingAfterBreak="0">
    <w:nsid w:val="352D3D62"/>
    <w:multiLevelType w:val="hybridMultilevel"/>
    <w:tmpl w:val="C81C6B1E"/>
    <w:lvl w:ilvl="0" w:tplc="8C32DB54">
      <w:start w:val="1"/>
      <w:numFmt w:val="bullet"/>
      <w:lvlText w:val="-"/>
      <w:lvlJc w:val="left"/>
      <w:pPr>
        <w:ind w:left="1920" w:hanging="360"/>
      </w:pPr>
      <w:rPr>
        <w:rFonts w:ascii="Times New Roman" w:eastAsiaTheme="minorHAnsi" w:hAnsi="Times New Roman" w:cs="Times New Roman" w:hint="default"/>
      </w:rPr>
    </w:lvl>
    <w:lvl w:ilvl="1" w:tplc="281A0003" w:tentative="1">
      <w:start w:val="1"/>
      <w:numFmt w:val="bullet"/>
      <w:lvlText w:val="o"/>
      <w:lvlJc w:val="left"/>
      <w:pPr>
        <w:ind w:left="2640" w:hanging="360"/>
      </w:pPr>
      <w:rPr>
        <w:rFonts w:ascii="Courier New" w:hAnsi="Courier New" w:cs="Courier New" w:hint="default"/>
      </w:rPr>
    </w:lvl>
    <w:lvl w:ilvl="2" w:tplc="281A0005" w:tentative="1">
      <w:start w:val="1"/>
      <w:numFmt w:val="bullet"/>
      <w:lvlText w:val=""/>
      <w:lvlJc w:val="left"/>
      <w:pPr>
        <w:ind w:left="3360" w:hanging="360"/>
      </w:pPr>
      <w:rPr>
        <w:rFonts w:ascii="Wingdings" w:hAnsi="Wingdings" w:hint="default"/>
      </w:rPr>
    </w:lvl>
    <w:lvl w:ilvl="3" w:tplc="281A0001" w:tentative="1">
      <w:start w:val="1"/>
      <w:numFmt w:val="bullet"/>
      <w:lvlText w:val=""/>
      <w:lvlJc w:val="left"/>
      <w:pPr>
        <w:ind w:left="4080" w:hanging="360"/>
      </w:pPr>
      <w:rPr>
        <w:rFonts w:ascii="Symbol" w:hAnsi="Symbol" w:hint="default"/>
      </w:rPr>
    </w:lvl>
    <w:lvl w:ilvl="4" w:tplc="281A0003" w:tentative="1">
      <w:start w:val="1"/>
      <w:numFmt w:val="bullet"/>
      <w:lvlText w:val="o"/>
      <w:lvlJc w:val="left"/>
      <w:pPr>
        <w:ind w:left="4800" w:hanging="360"/>
      </w:pPr>
      <w:rPr>
        <w:rFonts w:ascii="Courier New" w:hAnsi="Courier New" w:cs="Courier New" w:hint="default"/>
      </w:rPr>
    </w:lvl>
    <w:lvl w:ilvl="5" w:tplc="281A0005" w:tentative="1">
      <w:start w:val="1"/>
      <w:numFmt w:val="bullet"/>
      <w:lvlText w:val=""/>
      <w:lvlJc w:val="left"/>
      <w:pPr>
        <w:ind w:left="5520" w:hanging="360"/>
      </w:pPr>
      <w:rPr>
        <w:rFonts w:ascii="Wingdings" w:hAnsi="Wingdings" w:hint="default"/>
      </w:rPr>
    </w:lvl>
    <w:lvl w:ilvl="6" w:tplc="281A0001" w:tentative="1">
      <w:start w:val="1"/>
      <w:numFmt w:val="bullet"/>
      <w:lvlText w:val=""/>
      <w:lvlJc w:val="left"/>
      <w:pPr>
        <w:ind w:left="6240" w:hanging="360"/>
      </w:pPr>
      <w:rPr>
        <w:rFonts w:ascii="Symbol" w:hAnsi="Symbol" w:hint="default"/>
      </w:rPr>
    </w:lvl>
    <w:lvl w:ilvl="7" w:tplc="281A0003" w:tentative="1">
      <w:start w:val="1"/>
      <w:numFmt w:val="bullet"/>
      <w:lvlText w:val="o"/>
      <w:lvlJc w:val="left"/>
      <w:pPr>
        <w:ind w:left="6960" w:hanging="360"/>
      </w:pPr>
      <w:rPr>
        <w:rFonts w:ascii="Courier New" w:hAnsi="Courier New" w:cs="Courier New" w:hint="default"/>
      </w:rPr>
    </w:lvl>
    <w:lvl w:ilvl="8" w:tplc="281A0005" w:tentative="1">
      <w:start w:val="1"/>
      <w:numFmt w:val="bullet"/>
      <w:lvlText w:val=""/>
      <w:lvlJc w:val="left"/>
      <w:pPr>
        <w:ind w:left="7680" w:hanging="360"/>
      </w:pPr>
      <w:rPr>
        <w:rFonts w:ascii="Wingdings" w:hAnsi="Wingdings" w:hint="default"/>
      </w:rPr>
    </w:lvl>
  </w:abstractNum>
  <w:abstractNum w:abstractNumId="19" w15:restartNumberingAfterBreak="0">
    <w:nsid w:val="368E2B02"/>
    <w:multiLevelType w:val="hybridMultilevel"/>
    <w:tmpl w:val="28D013B4"/>
    <w:lvl w:ilvl="0" w:tplc="D96EE704">
      <w:numFmt w:val="bullet"/>
      <w:lvlText w:val="-"/>
      <w:lvlJc w:val="left"/>
      <w:pPr>
        <w:ind w:left="1996" w:hanging="360"/>
      </w:pPr>
      <w:rPr>
        <w:rFonts w:ascii="Times New Roman" w:eastAsia="Times New Roman" w:hAnsi="Times New Roman" w:cs="Times New Roman" w:hint="default"/>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20" w15:restartNumberingAfterBreak="0">
    <w:nsid w:val="39DA3201"/>
    <w:multiLevelType w:val="multilevel"/>
    <w:tmpl w:val="1682001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1" w15:restartNumberingAfterBreak="0">
    <w:nsid w:val="3A6209B3"/>
    <w:multiLevelType w:val="hybridMultilevel"/>
    <w:tmpl w:val="B5868CF8"/>
    <w:lvl w:ilvl="0" w:tplc="D96EE704">
      <w:numFmt w:val="bullet"/>
      <w:lvlText w:val="-"/>
      <w:lvlJc w:val="left"/>
      <w:pPr>
        <w:ind w:left="1072" w:hanging="360"/>
      </w:pPr>
      <w:rPr>
        <w:rFonts w:ascii="Times New Roman" w:eastAsia="Times New Roman" w:hAnsi="Times New Roman" w:cs="Times New Roman" w:hint="default"/>
      </w:rPr>
    </w:lvl>
    <w:lvl w:ilvl="1" w:tplc="281A0003" w:tentative="1">
      <w:start w:val="1"/>
      <w:numFmt w:val="bullet"/>
      <w:lvlText w:val="o"/>
      <w:lvlJc w:val="left"/>
      <w:pPr>
        <w:ind w:left="1792" w:hanging="360"/>
      </w:pPr>
      <w:rPr>
        <w:rFonts w:ascii="Courier New" w:hAnsi="Courier New" w:cs="Courier New" w:hint="default"/>
      </w:rPr>
    </w:lvl>
    <w:lvl w:ilvl="2" w:tplc="281A0005" w:tentative="1">
      <w:start w:val="1"/>
      <w:numFmt w:val="bullet"/>
      <w:lvlText w:val=""/>
      <w:lvlJc w:val="left"/>
      <w:pPr>
        <w:ind w:left="2512" w:hanging="360"/>
      </w:pPr>
      <w:rPr>
        <w:rFonts w:ascii="Wingdings" w:hAnsi="Wingdings" w:hint="default"/>
      </w:rPr>
    </w:lvl>
    <w:lvl w:ilvl="3" w:tplc="281A0001" w:tentative="1">
      <w:start w:val="1"/>
      <w:numFmt w:val="bullet"/>
      <w:lvlText w:val=""/>
      <w:lvlJc w:val="left"/>
      <w:pPr>
        <w:ind w:left="3232" w:hanging="360"/>
      </w:pPr>
      <w:rPr>
        <w:rFonts w:ascii="Symbol" w:hAnsi="Symbol" w:hint="default"/>
      </w:rPr>
    </w:lvl>
    <w:lvl w:ilvl="4" w:tplc="281A0003" w:tentative="1">
      <w:start w:val="1"/>
      <w:numFmt w:val="bullet"/>
      <w:lvlText w:val="o"/>
      <w:lvlJc w:val="left"/>
      <w:pPr>
        <w:ind w:left="3952" w:hanging="360"/>
      </w:pPr>
      <w:rPr>
        <w:rFonts w:ascii="Courier New" w:hAnsi="Courier New" w:cs="Courier New" w:hint="default"/>
      </w:rPr>
    </w:lvl>
    <w:lvl w:ilvl="5" w:tplc="281A0005" w:tentative="1">
      <w:start w:val="1"/>
      <w:numFmt w:val="bullet"/>
      <w:lvlText w:val=""/>
      <w:lvlJc w:val="left"/>
      <w:pPr>
        <w:ind w:left="4672" w:hanging="360"/>
      </w:pPr>
      <w:rPr>
        <w:rFonts w:ascii="Wingdings" w:hAnsi="Wingdings" w:hint="default"/>
      </w:rPr>
    </w:lvl>
    <w:lvl w:ilvl="6" w:tplc="281A0001" w:tentative="1">
      <w:start w:val="1"/>
      <w:numFmt w:val="bullet"/>
      <w:lvlText w:val=""/>
      <w:lvlJc w:val="left"/>
      <w:pPr>
        <w:ind w:left="5392" w:hanging="360"/>
      </w:pPr>
      <w:rPr>
        <w:rFonts w:ascii="Symbol" w:hAnsi="Symbol" w:hint="default"/>
      </w:rPr>
    </w:lvl>
    <w:lvl w:ilvl="7" w:tplc="281A0003" w:tentative="1">
      <w:start w:val="1"/>
      <w:numFmt w:val="bullet"/>
      <w:lvlText w:val="o"/>
      <w:lvlJc w:val="left"/>
      <w:pPr>
        <w:ind w:left="6112" w:hanging="360"/>
      </w:pPr>
      <w:rPr>
        <w:rFonts w:ascii="Courier New" w:hAnsi="Courier New" w:cs="Courier New" w:hint="default"/>
      </w:rPr>
    </w:lvl>
    <w:lvl w:ilvl="8" w:tplc="281A0005" w:tentative="1">
      <w:start w:val="1"/>
      <w:numFmt w:val="bullet"/>
      <w:lvlText w:val=""/>
      <w:lvlJc w:val="left"/>
      <w:pPr>
        <w:ind w:left="6832" w:hanging="360"/>
      </w:pPr>
      <w:rPr>
        <w:rFonts w:ascii="Wingdings" w:hAnsi="Wingdings" w:hint="default"/>
      </w:rPr>
    </w:lvl>
  </w:abstractNum>
  <w:abstractNum w:abstractNumId="22" w15:restartNumberingAfterBreak="0">
    <w:nsid w:val="42F73817"/>
    <w:multiLevelType w:val="hybridMultilevel"/>
    <w:tmpl w:val="0A06D83C"/>
    <w:lvl w:ilvl="0" w:tplc="D96EE704">
      <w:numFmt w:val="bullet"/>
      <w:lvlText w:val="-"/>
      <w:lvlJc w:val="left"/>
      <w:pPr>
        <w:ind w:left="1080" w:hanging="360"/>
      </w:pPr>
      <w:rPr>
        <w:rFonts w:ascii="Times New Roman" w:eastAsia="Times New Roman" w:hAnsi="Times New Roman" w:cs="Times New Roman"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23" w15:restartNumberingAfterBreak="0">
    <w:nsid w:val="430E25CC"/>
    <w:multiLevelType w:val="hybridMultilevel"/>
    <w:tmpl w:val="0F1A9544"/>
    <w:lvl w:ilvl="0" w:tplc="D96EE704">
      <w:numFmt w:val="bullet"/>
      <w:lvlText w:val="-"/>
      <w:lvlJc w:val="left"/>
      <w:pPr>
        <w:ind w:left="1287" w:hanging="360"/>
      </w:pPr>
      <w:rPr>
        <w:rFonts w:ascii="Times New Roman" w:eastAsia="Times New Roman" w:hAnsi="Times New Roman" w:cs="Times New Roman" w:hint="default"/>
      </w:rPr>
    </w:lvl>
    <w:lvl w:ilvl="1" w:tplc="281A0003" w:tentative="1">
      <w:start w:val="1"/>
      <w:numFmt w:val="bullet"/>
      <w:lvlText w:val="o"/>
      <w:lvlJc w:val="left"/>
      <w:pPr>
        <w:ind w:left="2007" w:hanging="360"/>
      </w:pPr>
      <w:rPr>
        <w:rFonts w:ascii="Courier New" w:hAnsi="Courier New" w:cs="Courier New" w:hint="default"/>
      </w:rPr>
    </w:lvl>
    <w:lvl w:ilvl="2" w:tplc="281A0005" w:tentative="1">
      <w:start w:val="1"/>
      <w:numFmt w:val="bullet"/>
      <w:lvlText w:val=""/>
      <w:lvlJc w:val="left"/>
      <w:pPr>
        <w:ind w:left="2727" w:hanging="360"/>
      </w:pPr>
      <w:rPr>
        <w:rFonts w:ascii="Wingdings" w:hAnsi="Wingdings" w:hint="default"/>
      </w:rPr>
    </w:lvl>
    <w:lvl w:ilvl="3" w:tplc="281A0001" w:tentative="1">
      <w:start w:val="1"/>
      <w:numFmt w:val="bullet"/>
      <w:lvlText w:val=""/>
      <w:lvlJc w:val="left"/>
      <w:pPr>
        <w:ind w:left="3447" w:hanging="360"/>
      </w:pPr>
      <w:rPr>
        <w:rFonts w:ascii="Symbol" w:hAnsi="Symbol" w:hint="default"/>
      </w:rPr>
    </w:lvl>
    <w:lvl w:ilvl="4" w:tplc="281A0003" w:tentative="1">
      <w:start w:val="1"/>
      <w:numFmt w:val="bullet"/>
      <w:lvlText w:val="o"/>
      <w:lvlJc w:val="left"/>
      <w:pPr>
        <w:ind w:left="4167" w:hanging="360"/>
      </w:pPr>
      <w:rPr>
        <w:rFonts w:ascii="Courier New" w:hAnsi="Courier New" w:cs="Courier New" w:hint="default"/>
      </w:rPr>
    </w:lvl>
    <w:lvl w:ilvl="5" w:tplc="281A0005" w:tentative="1">
      <w:start w:val="1"/>
      <w:numFmt w:val="bullet"/>
      <w:lvlText w:val=""/>
      <w:lvlJc w:val="left"/>
      <w:pPr>
        <w:ind w:left="4887" w:hanging="360"/>
      </w:pPr>
      <w:rPr>
        <w:rFonts w:ascii="Wingdings" w:hAnsi="Wingdings" w:hint="default"/>
      </w:rPr>
    </w:lvl>
    <w:lvl w:ilvl="6" w:tplc="281A0001" w:tentative="1">
      <w:start w:val="1"/>
      <w:numFmt w:val="bullet"/>
      <w:lvlText w:val=""/>
      <w:lvlJc w:val="left"/>
      <w:pPr>
        <w:ind w:left="5607" w:hanging="360"/>
      </w:pPr>
      <w:rPr>
        <w:rFonts w:ascii="Symbol" w:hAnsi="Symbol" w:hint="default"/>
      </w:rPr>
    </w:lvl>
    <w:lvl w:ilvl="7" w:tplc="281A0003" w:tentative="1">
      <w:start w:val="1"/>
      <w:numFmt w:val="bullet"/>
      <w:lvlText w:val="o"/>
      <w:lvlJc w:val="left"/>
      <w:pPr>
        <w:ind w:left="6327" w:hanging="360"/>
      </w:pPr>
      <w:rPr>
        <w:rFonts w:ascii="Courier New" w:hAnsi="Courier New" w:cs="Courier New" w:hint="default"/>
      </w:rPr>
    </w:lvl>
    <w:lvl w:ilvl="8" w:tplc="281A0005" w:tentative="1">
      <w:start w:val="1"/>
      <w:numFmt w:val="bullet"/>
      <w:lvlText w:val=""/>
      <w:lvlJc w:val="left"/>
      <w:pPr>
        <w:ind w:left="7047" w:hanging="360"/>
      </w:pPr>
      <w:rPr>
        <w:rFonts w:ascii="Wingdings" w:hAnsi="Wingdings" w:hint="default"/>
      </w:rPr>
    </w:lvl>
  </w:abstractNum>
  <w:abstractNum w:abstractNumId="24" w15:restartNumberingAfterBreak="0">
    <w:nsid w:val="44047FF1"/>
    <w:multiLevelType w:val="hybridMultilevel"/>
    <w:tmpl w:val="171E4B5C"/>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25" w15:restartNumberingAfterBreak="0">
    <w:nsid w:val="468E6C57"/>
    <w:multiLevelType w:val="hybridMultilevel"/>
    <w:tmpl w:val="06BA46F0"/>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26" w15:restartNumberingAfterBreak="0">
    <w:nsid w:val="48437CE3"/>
    <w:multiLevelType w:val="hybridMultilevel"/>
    <w:tmpl w:val="E2F43438"/>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27" w15:restartNumberingAfterBreak="0">
    <w:nsid w:val="4AAC73E6"/>
    <w:multiLevelType w:val="multilevel"/>
    <w:tmpl w:val="2C4499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8" w15:restartNumberingAfterBreak="0">
    <w:nsid w:val="4D2A0601"/>
    <w:multiLevelType w:val="hybridMultilevel"/>
    <w:tmpl w:val="E410E5B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9" w15:restartNumberingAfterBreak="0">
    <w:nsid w:val="4F7D2EBE"/>
    <w:multiLevelType w:val="hybridMultilevel"/>
    <w:tmpl w:val="172E940A"/>
    <w:lvl w:ilvl="0" w:tplc="281A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514A4192"/>
    <w:multiLevelType w:val="hybridMultilevel"/>
    <w:tmpl w:val="8CE24A1C"/>
    <w:lvl w:ilvl="0" w:tplc="994EC474">
      <w:numFmt w:val="bullet"/>
      <w:lvlText w:val="•"/>
      <w:lvlJc w:val="left"/>
      <w:pPr>
        <w:ind w:left="3076" w:hanging="1440"/>
      </w:pPr>
      <w:rPr>
        <w:rFonts w:ascii="Times New Roman" w:eastAsiaTheme="minorHAnsi" w:hAnsi="Times New Roman" w:cs="Times New Roman" w:hint="default"/>
      </w:rPr>
    </w:lvl>
    <w:lvl w:ilvl="1" w:tplc="04090003">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31" w15:restartNumberingAfterBreak="0">
    <w:nsid w:val="5218340C"/>
    <w:multiLevelType w:val="hybridMultilevel"/>
    <w:tmpl w:val="027E0A52"/>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2" w15:restartNumberingAfterBreak="0">
    <w:nsid w:val="56872F0C"/>
    <w:multiLevelType w:val="hybridMultilevel"/>
    <w:tmpl w:val="007261D0"/>
    <w:lvl w:ilvl="0" w:tplc="241A0005">
      <w:start w:val="1"/>
      <w:numFmt w:val="bullet"/>
      <w:lvlText w:val=""/>
      <w:lvlJc w:val="left"/>
      <w:pPr>
        <w:ind w:left="1996" w:hanging="360"/>
      </w:pPr>
      <w:rPr>
        <w:rFonts w:ascii="Wingdings" w:hAnsi="Wingdings" w:hint="default"/>
      </w:rPr>
    </w:lvl>
    <w:lvl w:ilvl="1" w:tplc="241A0003" w:tentative="1">
      <w:start w:val="1"/>
      <w:numFmt w:val="bullet"/>
      <w:lvlText w:val="o"/>
      <w:lvlJc w:val="left"/>
      <w:pPr>
        <w:ind w:left="2716" w:hanging="360"/>
      </w:pPr>
      <w:rPr>
        <w:rFonts w:ascii="Courier New" w:hAnsi="Courier New" w:cs="Courier New" w:hint="default"/>
      </w:rPr>
    </w:lvl>
    <w:lvl w:ilvl="2" w:tplc="241A0005" w:tentative="1">
      <w:start w:val="1"/>
      <w:numFmt w:val="bullet"/>
      <w:lvlText w:val=""/>
      <w:lvlJc w:val="left"/>
      <w:pPr>
        <w:ind w:left="3436" w:hanging="360"/>
      </w:pPr>
      <w:rPr>
        <w:rFonts w:ascii="Wingdings" w:hAnsi="Wingdings" w:hint="default"/>
      </w:rPr>
    </w:lvl>
    <w:lvl w:ilvl="3" w:tplc="241A0001" w:tentative="1">
      <w:start w:val="1"/>
      <w:numFmt w:val="bullet"/>
      <w:lvlText w:val=""/>
      <w:lvlJc w:val="left"/>
      <w:pPr>
        <w:ind w:left="4156" w:hanging="360"/>
      </w:pPr>
      <w:rPr>
        <w:rFonts w:ascii="Symbol" w:hAnsi="Symbol" w:hint="default"/>
      </w:rPr>
    </w:lvl>
    <w:lvl w:ilvl="4" w:tplc="241A0003" w:tentative="1">
      <w:start w:val="1"/>
      <w:numFmt w:val="bullet"/>
      <w:lvlText w:val="o"/>
      <w:lvlJc w:val="left"/>
      <w:pPr>
        <w:ind w:left="4876" w:hanging="360"/>
      </w:pPr>
      <w:rPr>
        <w:rFonts w:ascii="Courier New" w:hAnsi="Courier New" w:cs="Courier New" w:hint="default"/>
      </w:rPr>
    </w:lvl>
    <w:lvl w:ilvl="5" w:tplc="241A0005" w:tentative="1">
      <w:start w:val="1"/>
      <w:numFmt w:val="bullet"/>
      <w:lvlText w:val=""/>
      <w:lvlJc w:val="left"/>
      <w:pPr>
        <w:ind w:left="5596" w:hanging="360"/>
      </w:pPr>
      <w:rPr>
        <w:rFonts w:ascii="Wingdings" w:hAnsi="Wingdings" w:hint="default"/>
      </w:rPr>
    </w:lvl>
    <w:lvl w:ilvl="6" w:tplc="241A0001" w:tentative="1">
      <w:start w:val="1"/>
      <w:numFmt w:val="bullet"/>
      <w:lvlText w:val=""/>
      <w:lvlJc w:val="left"/>
      <w:pPr>
        <w:ind w:left="6316" w:hanging="360"/>
      </w:pPr>
      <w:rPr>
        <w:rFonts w:ascii="Symbol" w:hAnsi="Symbol" w:hint="default"/>
      </w:rPr>
    </w:lvl>
    <w:lvl w:ilvl="7" w:tplc="241A0003" w:tentative="1">
      <w:start w:val="1"/>
      <w:numFmt w:val="bullet"/>
      <w:lvlText w:val="o"/>
      <w:lvlJc w:val="left"/>
      <w:pPr>
        <w:ind w:left="7036" w:hanging="360"/>
      </w:pPr>
      <w:rPr>
        <w:rFonts w:ascii="Courier New" w:hAnsi="Courier New" w:cs="Courier New" w:hint="default"/>
      </w:rPr>
    </w:lvl>
    <w:lvl w:ilvl="8" w:tplc="241A0005" w:tentative="1">
      <w:start w:val="1"/>
      <w:numFmt w:val="bullet"/>
      <w:lvlText w:val=""/>
      <w:lvlJc w:val="left"/>
      <w:pPr>
        <w:ind w:left="7756" w:hanging="360"/>
      </w:pPr>
      <w:rPr>
        <w:rFonts w:ascii="Wingdings" w:hAnsi="Wingdings" w:hint="default"/>
      </w:rPr>
    </w:lvl>
  </w:abstractNum>
  <w:abstractNum w:abstractNumId="33" w15:restartNumberingAfterBreak="0">
    <w:nsid w:val="59182D64"/>
    <w:multiLevelType w:val="hybridMultilevel"/>
    <w:tmpl w:val="3AA8AF64"/>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34" w15:restartNumberingAfterBreak="0">
    <w:nsid w:val="5A5C549E"/>
    <w:multiLevelType w:val="hybridMultilevel"/>
    <w:tmpl w:val="FF5ACE82"/>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35" w15:restartNumberingAfterBreak="0">
    <w:nsid w:val="6251796F"/>
    <w:multiLevelType w:val="hybridMultilevel"/>
    <w:tmpl w:val="AF6678A6"/>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36" w15:restartNumberingAfterBreak="0">
    <w:nsid w:val="62FE6465"/>
    <w:multiLevelType w:val="multilevel"/>
    <w:tmpl w:val="6F6ABF1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7" w15:restartNumberingAfterBreak="0">
    <w:nsid w:val="637B2D15"/>
    <w:multiLevelType w:val="multilevel"/>
    <w:tmpl w:val="69ECF51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8" w15:restartNumberingAfterBreak="0">
    <w:nsid w:val="68D340C0"/>
    <w:multiLevelType w:val="hybridMultilevel"/>
    <w:tmpl w:val="9D1A8E5E"/>
    <w:lvl w:ilvl="0" w:tplc="281A0011">
      <w:start w:val="1"/>
      <w:numFmt w:val="decimal"/>
      <w:lvlText w:val="%1)"/>
      <w:lvlJc w:val="left"/>
      <w:pPr>
        <w:ind w:left="720" w:hanging="360"/>
      </w:pPr>
      <w:rPr>
        <w:rFonts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9" w15:restartNumberingAfterBreak="0">
    <w:nsid w:val="69D01E43"/>
    <w:multiLevelType w:val="hybridMultilevel"/>
    <w:tmpl w:val="CE2AAC24"/>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40" w15:restartNumberingAfterBreak="0">
    <w:nsid w:val="777E7B34"/>
    <w:multiLevelType w:val="hybridMultilevel"/>
    <w:tmpl w:val="9B8A6AAA"/>
    <w:lvl w:ilvl="0" w:tplc="C27A3362">
      <w:start w:val="1"/>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16cid:durableId="293876454">
    <w:abstractNumId w:val="9"/>
  </w:num>
  <w:num w:numId="2" w16cid:durableId="2101441136">
    <w:abstractNumId w:val="30"/>
  </w:num>
  <w:num w:numId="3" w16cid:durableId="1582719223">
    <w:abstractNumId w:val="14"/>
  </w:num>
  <w:num w:numId="4" w16cid:durableId="1154375981">
    <w:abstractNumId w:val="32"/>
  </w:num>
  <w:num w:numId="5" w16cid:durableId="1661156090">
    <w:abstractNumId w:val="11"/>
  </w:num>
  <w:num w:numId="6" w16cid:durableId="288636240">
    <w:abstractNumId w:val="8"/>
  </w:num>
  <w:num w:numId="7" w16cid:durableId="1792743008">
    <w:abstractNumId w:val="10"/>
  </w:num>
  <w:num w:numId="8" w16cid:durableId="383334393">
    <w:abstractNumId w:val="36"/>
  </w:num>
  <w:num w:numId="9" w16cid:durableId="1982072228">
    <w:abstractNumId w:val="27"/>
  </w:num>
  <w:num w:numId="10" w16cid:durableId="1645039343">
    <w:abstractNumId w:val="1"/>
  </w:num>
  <w:num w:numId="11" w16cid:durableId="537355270">
    <w:abstractNumId w:val="37"/>
  </w:num>
  <w:num w:numId="12" w16cid:durableId="1096747963">
    <w:abstractNumId w:val="12"/>
  </w:num>
  <w:num w:numId="13" w16cid:durableId="324944232">
    <w:abstractNumId w:val="20"/>
  </w:num>
  <w:num w:numId="14" w16cid:durableId="1371419549">
    <w:abstractNumId w:val="3"/>
  </w:num>
  <w:num w:numId="15" w16cid:durableId="348677310">
    <w:abstractNumId w:val="5"/>
  </w:num>
  <w:num w:numId="16" w16cid:durableId="22757690">
    <w:abstractNumId w:val="7"/>
  </w:num>
  <w:num w:numId="17" w16cid:durableId="400441818">
    <w:abstractNumId w:val="28"/>
  </w:num>
  <w:num w:numId="18" w16cid:durableId="291521489">
    <w:abstractNumId w:val="13"/>
  </w:num>
  <w:num w:numId="19" w16cid:durableId="1555585029">
    <w:abstractNumId w:val="18"/>
  </w:num>
  <w:num w:numId="20" w16cid:durableId="433063905">
    <w:abstractNumId w:val="40"/>
  </w:num>
  <w:num w:numId="21" w16cid:durableId="1869024442">
    <w:abstractNumId w:val="31"/>
  </w:num>
  <w:num w:numId="22" w16cid:durableId="810245038">
    <w:abstractNumId w:val="19"/>
  </w:num>
  <w:num w:numId="23" w16cid:durableId="542523836">
    <w:abstractNumId w:val="26"/>
  </w:num>
  <w:num w:numId="24" w16cid:durableId="1849103528">
    <w:abstractNumId w:val="35"/>
  </w:num>
  <w:num w:numId="25" w16cid:durableId="1671324233">
    <w:abstractNumId w:val="34"/>
  </w:num>
  <w:num w:numId="26" w16cid:durableId="203256036">
    <w:abstractNumId w:val="17"/>
  </w:num>
  <w:num w:numId="27" w16cid:durableId="1449425682">
    <w:abstractNumId w:val="38"/>
  </w:num>
  <w:num w:numId="28" w16cid:durableId="2023631050">
    <w:abstractNumId w:val="25"/>
  </w:num>
  <w:num w:numId="29" w16cid:durableId="1911385944">
    <w:abstractNumId w:val="15"/>
  </w:num>
  <w:num w:numId="30" w16cid:durableId="272791639">
    <w:abstractNumId w:val="23"/>
  </w:num>
  <w:num w:numId="31" w16cid:durableId="1212881902">
    <w:abstractNumId w:val="16"/>
  </w:num>
  <w:num w:numId="32" w16cid:durableId="1814328255">
    <w:abstractNumId w:val="0"/>
  </w:num>
  <w:num w:numId="33" w16cid:durableId="1920484306">
    <w:abstractNumId w:val="4"/>
  </w:num>
  <w:num w:numId="34" w16cid:durableId="1356151545">
    <w:abstractNumId w:val="24"/>
  </w:num>
  <w:num w:numId="35" w16cid:durableId="1543395948">
    <w:abstractNumId w:val="2"/>
  </w:num>
  <w:num w:numId="36" w16cid:durableId="1421100376">
    <w:abstractNumId w:val="6"/>
  </w:num>
  <w:num w:numId="37" w16cid:durableId="610942893">
    <w:abstractNumId w:val="39"/>
  </w:num>
  <w:num w:numId="38" w16cid:durableId="2134247590">
    <w:abstractNumId w:val="33"/>
  </w:num>
  <w:num w:numId="39" w16cid:durableId="1159075280">
    <w:abstractNumId w:val="22"/>
  </w:num>
  <w:num w:numId="40" w16cid:durableId="2042899799">
    <w:abstractNumId w:val="29"/>
  </w:num>
  <w:num w:numId="41" w16cid:durableId="1915163956">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EA0"/>
    <w:rsid w:val="0000025C"/>
    <w:rsid w:val="00001E96"/>
    <w:rsid w:val="00003043"/>
    <w:rsid w:val="00003663"/>
    <w:rsid w:val="000041A4"/>
    <w:rsid w:val="00005711"/>
    <w:rsid w:val="00005C7D"/>
    <w:rsid w:val="00006105"/>
    <w:rsid w:val="00006E68"/>
    <w:rsid w:val="000071A2"/>
    <w:rsid w:val="000075B8"/>
    <w:rsid w:val="000077DC"/>
    <w:rsid w:val="000109C6"/>
    <w:rsid w:val="00010D67"/>
    <w:rsid w:val="00011344"/>
    <w:rsid w:val="00011DD2"/>
    <w:rsid w:val="000120D7"/>
    <w:rsid w:val="0001285B"/>
    <w:rsid w:val="00013A05"/>
    <w:rsid w:val="00013A8D"/>
    <w:rsid w:val="000142E5"/>
    <w:rsid w:val="00015021"/>
    <w:rsid w:val="00015D58"/>
    <w:rsid w:val="000161B0"/>
    <w:rsid w:val="00017388"/>
    <w:rsid w:val="00017B30"/>
    <w:rsid w:val="00020545"/>
    <w:rsid w:val="00020A42"/>
    <w:rsid w:val="00021954"/>
    <w:rsid w:val="0002234F"/>
    <w:rsid w:val="00023235"/>
    <w:rsid w:val="0002328B"/>
    <w:rsid w:val="00023D7C"/>
    <w:rsid w:val="000244A6"/>
    <w:rsid w:val="0002454D"/>
    <w:rsid w:val="0002496D"/>
    <w:rsid w:val="00024E73"/>
    <w:rsid w:val="0002551F"/>
    <w:rsid w:val="00025EF0"/>
    <w:rsid w:val="00026551"/>
    <w:rsid w:val="00026612"/>
    <w:rsid w:val="00027A7F"/>
    <w:rsid w:val="0003028B"/>
    <w:rsid w:val="000308B8"/>
    <w:rsid w:val="00030CEF"/>
    <w:rsid w:val="00030D79"/>
    <w:rsid w:val="00032CF6"/>
    <w:rsid w:val="00033143"/>
    <w:rsid w:val="0003325E"/>
    <w:rsid w:val="000349E1"/>
    <w:rsid w:val="00035668"/>
    <w:rsid w:val="000357D5"/>
    <w:rsid w:val="000363B8"/>
    <w:rsid w:val="000376A4"/>
    <w:rsid w:val="00037F90"/>
    <w:rsid w:val="000400D9"/>
    <w:rsid w:val="000412DA"/>
    <w:rsid w:val="00041330"/>
    <w:rsid w:val="000414AE"/>
    <w:rsid w:val="00041605"/>
    <w:rsid w:val="000416F7"/>
    <w:rsid w:val="00043127"/>
    <w:rsid w:val="00043BBB"/>
    <w:rsid w:val="00043DAC"/>
    <w:rsid w:val="000446F8"/>
    <w:rsid w:val="00044A80"/>
    <w:rsid w:val="00046A10"/>
    <w:rsid w:val="00046C3C"/>
    <w:rsid w:val="00047E74"/>
    <w:rsid w:val="0005083A"/>
    <w:rsid w:val="000513A1"/>
    <w:rsid w:val="0005196B"/>
    <w:rsid w:val="00052870"/>
    <w:rsid w:val="00052FA8"/>
    <w:rsid w:val="00053C1A"/>
    <w:rsid w:val="0005410B"/>
    <w:rsid w:val="0005449D"/>
    <w:rsid w:val="00054C69"/>
    <w:rsid w:val="0005522B"/>
    <w:rsid w:val="00055248"/>
    <w:rsid w:val="00055258"/>
    <w:rsid w:val="00056295"/>
    <w:rsid w:val="00056649"/>
    <w:rsid w:val="00056B73"/>
    <w:rsid w:val="00060A3D"/>
    <w:rsid w:val="00061165"/>
    <w:rsid w:val="0006126A"/>
    <w:rsid w:val="0006199D"/>
    <w:rsid w:val="00061BD8"/>
    <w:rsid w:val="00063ADC"/>
    <w:rsid w:val="00064E14"/>
    <w:rsid w:val="00065133"/>
    <w:rsid w:val="00065CB2"/>
    <w:rsid w:val="00066282"/>
    <w:rsid w:val="000662B9"/>
    <w:rsid w:val="00066544"/>
    <w:rsid w:val="00066A72"/>
    <w:rsid w:val="00066E17"/>
    <w:rsid w:val="000705E2"/>
    <w:rsid w:val="000719B0"/>
    <w:rsid w:val="0007205E"/>
    <w:rsid w:val="00072FE9"/>
    <w:rsid w:val="00073CF1"/>
    <w:rsid w:val="00074E55"/>
    <w:rsid w:val="0007508D"/>
    <w:rsid w:val="00076DA2"/>
    <w:rsid w:val="000779F1"/>
    <w:rsid w:val="00077CA7"/>
    <w:rsid w:val="00080A08"/>
    <w:rsid w:val="00080B65"/>
    <w:rsid w:val="00081150"/>
    <w:rsid w:val="00081CE5"/>
    <w:rsid w:val="00082962"/>
    <w:rsid w:val="00083277"/>
    <w:rsid w:val="00085A73"/>
    <w:rsid w:val="00086527"/>
    <w:rsid w:val="00086C94"/>
    <w:rsid w:val="00087518"/>
    <w:rsid w:val="00087F36"/>
    <w:rsid w:val="00090DA5"/>
    <w:rsid w:val="00091118"/>
    <w:rsid w:val="00091255"/>
    <w:rsid w:val="0009188A"/>
    <w:rsid w:val="00091EA9"/>
    <w:rsid w:val="0009327B"/>
    <w:rsid w:val="00093F4F"/>
    <w:rsid w:val="00095734"/>
    <w:rsid w:val="00095AED"/>
    <w:rsid w:val="00095FFE"/>
    <w:rsid w:val="0009696C"/>
    <w:rsid w:val="0009700E"/>
    <w:rsid w:val="0009745C"/>
    <w:rsid w:val="000A212B"/>
    <w:rsid w:val="000A34D5"/>
    <w:rsid w:val="000A428A"/>
    <w:rsid w:val="000A50B7"/>
    <w:rsid w:val="000A536E"/>
    <w:rsid w:val="000A541D"/>
    <w:rsid w:val="000A5CFA"/>
    <w:rsid w:val="000A5E35"/>
    <w:rsid w:val="000A6E0B"/>
    <w:rsid w:val="000A6E23"/>
    <w:rsid w:val="000A75CB"/>
    <w:rsid w:val="000B036C"/>
    <w:rsid w:val="000B03CF"/>
    <w:rsid w:val="000B1F58"/>
    <w:rsid w:val="000B3073"/>
    <w:rsid w:val="000B3FEB"/>
    <w:rsid w:val="000B4B6A"/>
    <w:rsid w:val="000B4FD3"/>
    <w:rsid w:val="000B5E2F"/>
    <w:rsid w:val="000B6542"/>
    <w:rsid w:val="000B6C44"/>
    <w:rsid w:val="000B6EE8"/>
    <w:rsid w:val="000B7746"/>
    <w:rsid w:val="000B7916"/>
    <w:rsid w:val="000C05A4"/>
    <w:rsid w:val="000C10FD"/>
    <w:rsid w:val="000C165C"/>
    <w:rsid w:val="000C1BA7"/>
    <w:rsid w:val="000C216F"/>
    <w:rsid w:val="000C2E62"/>
    <w:rsid w:val="000C332D"/>
    <w:rsid w:val="000C3370"/>
    <w:rsid w:val="000C35A3"/>
    <w:rsid w:val="000C52E0"/>
    <w:rsid w:val="000C591D"/>
    <w:rsid w:val="000C6251"/>
    <w:rsid w:val="000C6630"/>
    <w:rsid w:val="000C68BE"/>
    <w:rsid w:val="000C6CF7"/>
    <w:rsid w:val="000C71DB"/>
    <w:rsid w:val="000C7247"/>
    <w:rsid w:val="000C7BAB"/>
    <w:rsid w:val="000D0497"/>
    <w:rsid w:val="000D09D3"/>
    <w:rsid w:val="000D12A3"/>
    <w:rsid w:val="000D145D"/>
    <w:rsid w:val="000D25E9"/>
    <w:rsid w:val="000D2EC4"/>
    <w:rsid w:val="000D4648"/>
    <w:rsid w:val="000D4B6C"/>
    <w:rsid w:val="000D4FD4"/>
    <w:rsid w:val="000D50CA"/>
    <w:rsid w:val="000D5BE5"/>
    <w:rsid w:val="000D6325"/>
    <w:rsid w:val="000D71FE"/>
    <w:rsid w:val="000D764D"/>
    <w:rsid w:val="000D7E85"/>
    <w:rsid w:val="000D7EB9"/>
    <w:rsid w:val="000E0C93"/>
    <w:rsid w:val="000E1BCD"/>
    <w:rsid w:val="000E1F0D"/>
    <w:rsid w:val="000E26BB"/>
    <w:rsid w:val="000E390F"/>
    <w:rsid w:val="000E39B9"/>
    <w:rsid w:val="000E3BB4"/>
    <w:rsid w:val="000E43BE"/>
    <w:rsid w:val="000E4FE6"/>
    <w:rsid w:val="000E503A"/>
    <w:rsid w:val="000E5112"/>
    <w:rsid w:val="000E56CB"/>
    <w:rsid w:val="000E5DBB"/>
    <w:rsid w:val="000F1734"/>
    <w:rsid w:val="000F2D8B"/>
    <w:rsid w:val="000F3E0F"/>
    <w:rsid w:val="000F44D5"/>
    <w:rsid w:val="000F4BC3"/>
    <w:rsid w:val="000F4BDA"/>
    <w:rsid w:val="000F5282"/>
    <w:rsid w:val="000F5581"/>
    <w:rsid w:val="000F5C47"/>
    <w:rsid w:val="000F6DD9"/>
    <w:rsid w:val="000F7117"/>
    <w:rsid w:val="000F7D3D"/>
    <w:rsid w:val="000F7F02"/>
    <w:rsid w:val="001005D4"/>
    <w:rsid w:val="00100BFF"/>
    <w:rsid w:val="0010212D"/>
    <w:rsid w:val="001022F1"/>
    <w:rsid w:val="00103A00"/>
    <w:rsid w:val="00104536"/>
    <w:rsid w:val="00105019"/>
    <w:rsid w:val="0010571C"/>
    <w:rsid w:val="001058D5"/>
    <w:rsid w:val="00106006"/>
    <w:rsid w:val="0010610E"/>
    <w:rsid w:val="00107677"/>
    <w:rsid w:val="00107BD1"/>
    <w:rsid w:val="001114D7"/>
    <w:rsid w:val="001114DF"/>
    <w:rsid w:val="00112A0F"/>
    <w:rsid w:val="00113AF7"/>
    <w:rsid w:val="00114220"/>
    <w:rsid w:val="001148BD"/>
    <w:rsid w:val="00114EC6"/>
    <w:rsid w:val="00115514"/>
    <w:rsid w:val="001162B3"/>
    <w:rsid w:val="00116538"/>
    <w:rsid w:val="00116ADB"/>
    <w:rsid w:val="001210F0"/>
    <w:rsid w:val="00121375"/>
    <w:rsid w:val="00122339"/>
    <w:rsid w:val="001228A2"/>
    <w:rsid w:val="00123201"/>
    <w:rsid w:val="00123E4E"/>
    <w:rsid w:val="00123F59"/>
    <w:rsid w:val="001246DA"/>
    <w:rsid w:val="001253DD"/>
    <w:rsid w:val="00125FF1"/>
    <w:rsid w:val="00126FC2"/>
    <w:rsid w:val="00130535"/>
    <w:rsid w:val="00130925"/>
    <w:rsid w:val="001321DE"/>
    <w:rsid w:val="001326E8"/>
    <w:rsid w:val="00132E09"/>
    <w:rsid w:val="0013353C"/>
    <w:rsid w:val="00133C01"/>
    <w:rsid w:val="001343FF"/>
    <w:rsid w:val="001368C3"/>
    <w:rsid w:val="0013745C"/>
    <w:rsid w:val="00137807"/>
    <w:rsid w:val="00140BCE"/>
    <w:rsid w:val="00140F83"/>
    <w:rsid w:val="0014179B"/>
    <w:rsid w:val="00141B1A"/>
    <w:rsid w:val="00142254"/>
    <w:rsid w:val="00142E1C"/>
    <w:rsid w:val="0014376D"/>
    <w:rsid w:val="001444F6"/>
    <w:rsid w:val="00144C3B"/>
    <w:rsid w:val="00144CC7"/>
    <w:rsid w:val="001459D0"/>
    <w:rsid w:val="00146264"/>
    <w:rsid w:val="001462AA"/>
    <w:rsid w:val="001468F8"/>
    <w:rsid w:val="00146C04"/>
    <w:rsid w:val="00150DF4"/>
    <w:rsid w:val="00150EB0"/>
    <w:rsid w:val="001515D8"/>
    <w:rsid w:val="0015245B"/>
    <w:rsid w:val="00152528"/>
    <w:rsid w:val="00152CC2"/>
    <w:rsid w:val="00154266"/>
    <w:rsid w:val="001545C4"/>
    <w:rsid w:val="00154646"/>
    <w:rsid w:val="0015503C"/>
    <w:rsid w:val="00155D3E"/>
    <w:rsid w:val="0015745B"/>
    <w:rsid w:val="00157C24"/>
    <w:rsid w:val="001607B9"/>
    <w:rsid w:val="00160B73"/>
    <w:rsid w:val="00161330"/>
    <w:rsid w:val="0016204B"/>
    <w:rsid w:val="001621A6"/>
    <w:rsid w:val="001625AC"/>
    <w:rsid w:val="001628D6"/>
    <w:rsid w:val="00162DF0"/>
    <w:rsid w:val="00162E1A"/>
    <w:rsid w:val="00162F09"/>
    <w:rsid w:val="00163745"/>
    <w:rsid w:val="001639B6"/>
    <w:rsid w:val="00163B85"/>
    <w:rsid w:val="00164107"/>
    <w:rsid w:val="001643F9"/>
    <w:rsid w:val="00165E46"/>
    <w:rsid w:val="001663E6"/>
    <w:rsid w:val="0016788F"/>
    <w:rsid w:val="00167C09"/>
    <w:rsid w:val="00170736"/>
    <w:rsid w:val="00170F32"/>
    <w:rsid w:val="00171006"/>
    <w:rsid w:val="0017144A"/>
    <w:rsid w:val="001717B0"/>
    <w:rsid w:val="00172A47"/>
    <w:rsid w:val="00172D4C"/>
    <w:rsid w:val="00172F83"/>
    <w:rsid w:val="0017345F"/>
    <w:rsid w:val="00174A8F"/>
    <w:rsid w:val="00176E10"/>
    <w:rsid w:val="00177DEA"/>
    <w:rsid w:val="0018098A"/>
    <w:rsid w:val="00180E66"/>
    <w:rsid w:val="00182144"/>
    <w:rsid w:val="001826F6"/>
    <w:rsid w:val="00182BB7"/>
    <w:rsid w:val="00182FAC"/>
    <w:rsid w:val="00184499"/>
    <w:rsid w:val="001849C5"/>
    <w:rsid w:val="001853BD"/>
    <w:rsid w:val="00185717"/>
    <w:rsid w:val="001858DC"/>
    <w:rsid w:val="00186032"/>
    <w:rsid w:val="00186D46"/>
    <w:rsid w:val="001874F9"/>
    <w:rsid w:val="00187C9D"/>
    <w:rsid w:val="00190365"/>
    <w:rsid w:val="0019113F"/>
    <w:rsid w:val="001929FC"/>
    <w:rsid w:val="00192AC9"/>
    <w:rsid w:val="00193060"/>
    <w:rsid w:val="001946E6"/>
    <w:rsid w:val="00195379"/>
    <w:rsid w:val="00195513"/>
    <w:rsid w:val="00196A66"/>
    <w:rsid w:val="00196EE7"/>
    <w:rsid w:val="00196FE7"/>
    <w:rsid w:val="001A0413"/>
    <w:rsid w:val="001A0781"/>
    <w:rsid w:val="001A17BA"/>
    <w:rsid w:val="001A2426"/>
    <w:rsid w:val="001A3324"/>
    <w:rsid w:val="001A3BAC"/>
    <w:rsid w:val="001A4701"/>
    <w:rsid w:val="001A497E"/>
    <w:rsid w:val="001A589B"/>
    <w:rsid w:val="001A6486"/>
    <w:rsid w:val="001A64CA"/>
    <w:rsid w:val="001A7893"/>
    <w:rsid w:val="001A7D6A"/>
    <w:rsid w:val="001B0120"/>
    <w:rsid w:val="001B1987"/>
    <w:rsid w:val="001B1B4B"/>
    <w:rsid w:val="001B2189"/>
    <w:rsid w:val="001B2AAD"/>
    <w:rsid w:val="001B32DE"/>
    <w:rsid w:val="001B3621"/>
    <w:rsid w:val="001B36B2"/>
    <w:rsid w:val="001B55CE"/>
    <w:rsid w:val="001B57FF"/>
    <w:rsid w:val="001B5FF4"/>
    <w:rsid w:val="001B69E7"/>
    <w:rsid w:val="001B6AB4"/>
    <w:rsid w:val="001C15DB"/>
    <w:rsid w:val="001C1747"/>
    <w:rsid w:val="001C1A03"/>
    <w:rsid w:val="001C1E66"/>
    <w:rsid w:val="001C1F30"/>
    <w:rsid w:val="001C2F35"/>
    <w:rsid w:val="001C31D8"/>
    <w:rsid w:val="001C3264"/>
    <w:rsid w:val="001C360A"/>
    <w:rsid w:val="001C3918"/>
    <w:rsid w:val="001C4899"/>
    <w:rsid w:val="001C5645"/>
    <w:rsid w:val="001C672D"/>
    <w:rsid w:val="001C6759"/>
    <w:rsid w:val="001C71F6"/>
    <w:rsid w:val="001D1425"/>
    <w:rsid w:val="001D1DB5"/>
    <w:rsid w:val="001D42BF"/>
    <w:rsid w:val="001D446C"/>
    <w:rsid w:val="001D4D85"/>
    <w:rsid w:val="001D4FB4"/>
    <w:rsid w:val="001D662B"/>
    <w:rsid w:val="001D6E7B"/>
    <w:rsid w:val="001D7B0E"/>
    <w:rsid w:val="001E00BC"/>
    <w:rsid w:val="001E0AF2"/>
    <w:rsid w:val="001E0BFB"/>
    <w:rsid w:val="001E1A3B"/>
    <w:rsid w:val="001E3AFB"/>
    <w:rsid w:val="001E4F9A"/>
    <w:rsid w:val="001F02CD"/>
    <w:rsid w:val="001F17FD"/>
    <w:rsid w:val="001F20C2"/>
    <w:rsid w:val="001F2258"/>
    <w:rsid w:val="001F26CD"/>
    <w:rsid w:val="001F2898"/>
    <w:rsid w:val="001F2DB6"/>
    <w:rsid w:val="001F2E9E"/>
    <w:rsid w:val="001F33AE"/>
    <w:rsid w:val="001F34E1"/>
    <w:rsid w:val="001F3616"/>
    <w:rsid w:val="001F3B1D"/>
    <w:rsid w:val="001F3E31"/>
    <w:rsid w:val="001F6652"/>
    <w:rsid w:val="001F66A3"/>
    <w:rsid w:val="001F75CE"/>
    <w:rsid w:val="001F769A"/>
    <w:rsid w:val="001F7A58"/>
    <w:rsid w:val="002008E4"/>
    <w:rsid w:val="00200CB8"/>
    <w:rsid w:val="00201985"/>
    <w:rsid w:val="00201F8C"/>
    <w:rsid w:val="00202315"/>
    <w:rsid w:val="002027FF"/>
    <w:rsid w:val="002029BB"/>
    <w:rsid w:val="002039D4"/>
    <w:rsid w:val="002042F7"/>
    <w:rsid w:val="00204D6F"/>
    <w:rsid w:val="0020572D"/>
    <w:rsid w:val="00206302"/>
    <w:rsid w:val="0021295C"/>
    <w:rsid w:val="00212F85"/>
    <w:rsid w:val="00213BA3"/>
    <w:rsid w:val="00213D0D"/>
    <w:rsid w:val="00213DCD"/>
    <w:rsid w:val="00215342"/>
    <w:rsid w:val="00215771"/>
    <w:rsid w:val="002163DC"/>
    <w:rsid w:val="00216A85"/>
    <w:rsid w:val="00217513"/>
    <w:rsid w:val="002176B9"/>
    <w:rsid w:val="00217A4D"/>
    <w:rsid w:val="00220201"/>
    <w:rsid w:val="002202E4"/>
    <w:rsid w:val="002213ED"/>
    <w:rsid w:val="002229F6"/>
    <w:rsid w:val="00223664"/>
    <w:rsid w:val="00223C35"/>
    <w:rsid w:val="00224411"/>
    <w:rsid w:val="002246F2"/>
    <w:rsid w:val="00224BC6"/>
    <w:rsid w:val="00224FCA"/>
    <w:rsid w:val="00225174"/>
    <w:rsid w:val="00225455"/>
    <w:rsid w:val="0022589F"/>
    <w:rsid w:val="00225B9F"/>
    <w:rsid w:val="002261E8"/>
    <w:rsid w:val="00226FFF"/>
    <w:rsid w:val="00227673"/>
    <w:rsid w:val="00227BFA"/>
    <w:rsid w:val="00227D7E"/>
    <w:rsid w:val="002307BA"/>
    <w:rsid w:val="00230BC0"/>
    <w:rsid w:val="002342C3"/>
    <w:rsid w:val="00234C3F"/>
    <w:rsid w:val="00235350"/>
    <w:rsid w:val="00235CB1"/>
    <w:rsid w:val="002366A4"/>
    <w:rsid w:val="00236B2D"/>
    <w:rsid w:val="00237055"/>
    <w:rsid w:val="00237ABC"/>
    <w:rsid w:val="0024109F"/>
    <w:rsid w:val="0024272D"/>
    <w:rsid w:val="00243953"/>
    <w:rsid w:val="00243CB4"/>
    <w:rsid w:val="00243E48"/>
    <w:rsid w:val="00244138"/>
    <w:rsid w:val="00244EE3"/>
    <w:rsid w:val="002457E5"/>
    <w:rsid w:val="00245A4E"/>
    <w:rsid w:val="00247065"/>
    <w:rsid w:val="00247985"/>
    <w:rsid w:val="002502BC"/>
    <w:rsid w:val="002502DA"/>
    <w:rsid w:val="00250CEF"/>
    <w:rsid w:val="00250D98"/>
    <w:rsid w:val="00250E86"/>
    <w:rsid w:val="00251B22"/>
    <w:rsid w:val="002529F8"/>
    <w:rsid w:val="00252AD9"/>
    <w:rsid w:val="00252B04"/>
    <w:rsid w:val="00252E1F"/>
    <w:rsid w:val="0025350F"/>
    <w:rsid w:val="002538B3"/>
    <w:rsid w:val="00253E0B"/>
    <w:rsid w:val="00255052"/>
    <w:rsid w:val="002551F6"/>
    <w:rsid w:val="00255464"/>
    <w:rsid w:val="002561D3"/>
    <w:rsid w:val="00260349"/>
    <w:rsid w:val="00260A6B"/>
    <w:rsid w:val="00260D6F"/>
    <w:rsid w:val="0026187F"/>
    <w:rsid w:val="00263517"/>
    <w:rsid w:val="00263A35"/>
    <w:rsid w:val="0026415D"/>
    <w:rsid w:val="002641E8"/>
    <w:rsid w:val="00264D62"/>
    <w:rsid w:val="00264F53"/>
    <w:rsid w:val="00265020"/>
    <w:rsid w:val="002652E9"/>
    <w:rsid w:val="00266D92"/>
    <w:rsid w:val="00266F73"/>
    <w:rsid w:val="00270D8F"/>
    <w:rsid w:val="00271657"/>
    <w:rsid w:val="0027168F"/>
    <w:rsid w:val="002716AA"/>
    <w:rsid w:val="0027179A"/>
    <w:rsid w:val="0027179F"/>
    <w:rsid w:val="00271C89"/>
    <w:rsid w:val="00272109"/>
    <w:rsid w:val="002721F8"/>
    <w:rsid w:val="0027239F"/>
    <w:rsid w:val="00272D34"/>
    <w:rsid w:val="00272ED6"/>
    <w:rsid w:val="00273E3D"/>
    <w:rsid w:val="00274C27"/>
    <w:rsid w:val="00274D69"/>
    <w:rsid w:val="00275D97"/>
    <w:rsid w:val="0027671A"/>
    <w:rsid w:val="0027697F"/>
    <w:rsid w:val="00277D61"/>
    <w:rsid w:val="00277F22"/>
    <w:rsid w:val="002806C6"/>
    <w:rsid w:val="00281D5B"/>
    <w:rsid w:val="00281E51"/>
    <w:rsid w:val="00282B57"/>
    <w:rsid w:val="00283183"/>
    <w:rsid w:val="00283650"/>
    <w:rsid w:val="00283AE1"/>
    <w:rsid w:val="002844DB"/>
    <w:rsid w:val="00287474"/>
    <w:rsid w:val="00287728"/>
    <w:rsid w:val="002901D0"/>
    <w:rsid w:val="00291645"/>
    <w:rsid w:val="00291AF1"/>
    <w:rsid w:val="00293DBD"/>
    <w:rsid w:val="00294538"/>
    <w:rsid w:val="0029489D"/>
    <w:rsid w:val="00294AB5"/>
    <w:rsid w:val="0029501F"/>
    <w:rsid w:val="00296B72"/>
    <w:rsid w:val="002972A2"/>
    <w:rsid w:val="00297701"/>
    <w:rsid w:val="002A3A11"/>
    <w:rsid w:val="002A3C45"/>
    <w:rsid w:val="002A4699"/>
    <w:rsid w:val="002A4B8A"/>
    <w:rsid w:val="002A4E1C"/>
    <w:rsid w:val="002A4FB9"/>
    <w:rsid w:val="002A51CD"/>
    <w:rsid w:val="002A5B4B"/>
    <w:rsid w:val="002A701D"/>
    <w:rsid w:val="002A70BF"/>
    <w:rsid w:val="002B078C"/>
    <w:rsid w:val="002B08D2"/>
    <w:rsid w:val="002B0FC8"/>
    <w:rsid w:val="002B1848"/>
    <w:rsid w:val="002B285A"/>
    <w:rsid w:val="002B5B45"/>
    <w:rsid w:val="002B7539"/>
    <w:rsid w:val="002B799E"/>
    <w:rsid w:val="002B79F3"/>
    <w:rsid w:val="002B7FB7"/>
    <w:rsid w:val="002C005D"/>
    <w:rsid w:val="002C074D"/>
    <w:rsid w:val="002C08EA"/>
    <w:rsid w:val="002C1117"/>
    <w:rsid w:val="002C1410"/>
    <w:rsid w:val="002C2BED"/>
    <w:rsid w:val="002C32D7"/>
    <w:rsid w:val="002C3482"/>
    <w:rsid w:val="002C4084"/>
    <w:rsid w:val="002C40D8"/>
    <w:rsid w:val="002C41A6"/>
    <w:rsid w:val="002C55E3"/>
    <w:rsid w:val="002C57B9"/>
    <w:rsid w:val="002C691E"/>
    <w:rsid w:val="002D087D"/>
    <w:rsid w:val="002D0A53"/>
    <w:rsid w:val="002D0AC0"/>
    <w:rsid w:val="002D27D3"/>
    <w:rsid w:val="002D33D1"/>
    <w:rsid w:val="002D777A"/>
    <w:rsid w:val="002E00E3"/>
    <w:rsid w:val="002E05F0"/>
    <w:rsid w:val="002E0664"/>
    <w:rsid w:val="002E0712"/>
    <w:rsid w:val="002E1C5F"/>
    <w:rsid w:val="002E1F25"/>
    <w:rsid w:val="002E28D1"/>
    <w:rsid w:val="002E319E"/>
    <w:rsid w:val="002E3204"/>
    <w:rsid w:val="002E3968"/>
    <w:rsid w:val="002E3DD1"/>
    <w:rsid w:val="002E43D0"/>
    <w:rsid w:val="002E4C85"/>
    <w:rsid w:val="002E4CA8"/>
    <w:rsid w:val="002E5425"/>
    <w:rsid w:val="002E6168"/>
    <w:rsid w:val="002E6332"/>
    <w:rsid w:val="002E7165"/>
    <w:rsid w:val="002F0B12"/>
    <w:rsid w:val="002F10CD"/>
    <w:rsid w:val="002F3399"/>
    <w:rsid w:val="002F36AF"/>
    <w:rsid w:val="002F3DD2"/>
    <w:rsid w:val="002F42D2"/>
    <w:rsid w:val="002F4CA0"/>
    <w:rsid w:val="002F52DA"/>
    <w:rsid w:val="002F5509"/>
    <w:rsid w:val="002F5858"/>
    <w:rsid w:val="002F6179"/>
    <w:rsid w:val="002F63E6"/>
    <w:rsid w:val="0030099E"/>
    <w:rsid w:val="00300A4D"/>
    <w:rsid w:val="00300C56"/>
    <w:rsid w:val="00300FB0"/>
    <w:rsid w:val="00302131"/>
    <w:rsid w:val="003029FD"/>
    <w:rsid w:val="00302CB5"/>
    <w:rsid w:val="00303C07"/>
    <w:rsid w:val="00304250"/>
    <w:rsid w:val="00304941"/>
    <w:rsid w:val="00304DC6"/>
    <w:rsid w:val="00304E28"/>
    <w:rsid w:val="00304F94"/>
    <w:rsid w:val="00306EFB"/>
    <w:rsid w:val="003078EE"/>
    <w:rsid w:val="003100FC"/>
    <w:rsid w:val="00310251"/>
    <w:rsid w:val="0031099A"/>
    <w:rsid w:val="00310E31"/>
    <w:rsid w:val="0031180D"/>
    <w:rsid w:val="003118AA"/>
    <w:rsid w:val="00312029"/>
    <w:rsid w:val="003123A4"/>
    <w:rsid w:val="0031244D"/>
    <w:rsid w:val="00312B83"/>
    <w:rsid w:val="0031352C"/>
    <w:rsid w:val="00313722"/>
    <w:rsid w:val="00313B06"/>
    <w:rsid w:val="0031756E"/>
    <w:rsid w:val="0032048D"/>
    <w:rsid w:val="003206DC"/>
    <w:rsid w:val="00321BB6"/>
    <w:rsid w:val="00321D2C"/>
    <w:rsid w:val="0032382F"/>
    <w:rsid w:val="003245B1"/>
    <w:rsid w:val="00324B6C"/>
    <w:rsid w:val="00324F16"/>
    <w:rsid w:val="00325B57"/>
    <w:rsid w:val="00326A17"/>
    <w:rsid w:val="00327114"/>
    <w:rsid w:val="00330889"/>
    <w:rsid w:val="003315DF"/>
    <w:rsid w:val="0033184D"/>
    <w:rsid w:val="00332B8E"/>
    <w:rsid w:val="00333F00"/>
    <w:rsid w:val="00334040"/>
    <w:rsid w:val="00334FE8"/>
    <w:rsid w:val="00336496"/>
    <w:rsid w:val="003372B1"/>
    <w:rsid w:val="0033746F"/>
    <w:rsid w:val="00340CB6"/>
    <w:rsid w:val="00341A05"/>
    <w:rsid w:val="00341E40"/>
    <w:rsid w:val="00342949"/>
    <w:rsid w:val="00342C68"/>
    <w:rsid w:val="0034387E"/>
    <w:rsid w:val="00343B50"/>
    <w:rsid w:val="003440E5"/>
    <w:rsid w:val="0034491E"/>
    <w:rsid w:val="00344BCB"/>
    <w:rsid w:val="00344D85"/>
    <w:rsid w:val="0034589C"/>
    <w:rsid w:val="00346018"/>
    <w:rsid w:val="00346AF9"/>
    <w:rsid w:val="00347146"/>
    <w:rsid w:val="00347E68"/>
    <w:rsid w:val="00350655"/>
    <w:rsid w:val="00350803"/>
    <w:rsid w:val="00351B6E"/>
    <w:rsid w:val="00351CA2"/>
    <w:rsid w:val="003531A0"/>
    <w:rsid w:val="003534A6"/>
    <w:rsid w:val="00354149"/>
    <w:rsid w:val="00354834"/>
    <w:rsid w:val="0035573D"/>
    <w:rsid w:val="0035588A"/>
    <w:rsid w:val="00355B42"/>
    <w:rsid w:val="00355D5D"/>
    <w:rsid w:val="00357756"/>
    <w:rsid w:val="00357961"/>
    <w:rsid w:val="00361E35"/>
    <w:rsid w:val="00362D3D"/>
    <w:rsid w:val="00362FED"/>
    <w:rsid w:val="00363144"/>
    <w:rsid w:val="0036318B"/>
    <w:rsid w:val="003634B1"/>
    <w:rsid w:val="00363500"/>
    <w:rsid w:val="0036410A"/>
    <w:rsid w:val="003642E0"/>
    <w:rsid w:val="003646ED"/>
    <w:rsid w:val="00364739"/>
    <w:rsid w:val="003652D2"/>
    <w:rsid w:val="00366025"/>
    <w:rsid w:val="003669F1"/>
    <w:rsid w:val="00366AD3"/>
    <w:rsid w:val="00367E3A"/>
    <w:rsid w:val="0037215D"/>
    <w:rsid w:val="00373327"/>
    <w:rsid w:val="00373654"/>
    <w:rsid w:val="00374DEF"/>
    <w:rsid w:val="00375F79"/>
    <w:rsid w:val="003760AA"/>
    <w:rsid w:val="00376435"/>
    <w:rsid w:val="00377918"/>
    <w:rsid w:val="00381282"/>
    <w:rsid w:val="00382D34"/>
    <w:rsid w:val="00383ADB"/>
    <w:rsid w:val="00383FBA"/>
    <w:rsid w:val="003841B0"/>
    <w:rsid w:val="003845A3"/>
    <w:rsid w:val="00384898"/>
    <w:rsid w:val="00384A3E"/>
    <w:rsid w:val="00385545"/>
    <w:rsid w:val="003912FA"/>
    <w:rsid w:val="00392A7D"/>
    <w:rsid w:val="00393322"/>
    <w:rsid w:val="003934E3"/>
    <w:rsid w:val="00394956"/>
    <w:rsid w:val="00394E2A"/>
    <w:rsid w:val="00395075"/>
    <w:rsid w:val="00395344"/>
    <w:rsid w:val="00395C49"/>
    <w:rsid w:val="00395E79"/>
    <w:rsid w:val="00395F44"/>
    <w:rsid w:val="0039691C"/>
    <w:rsid w:val="00396B6F"/>
    <w:rsid w:val="003970A3"/>
    <w:rsid w:val="00397A12"/>
    <w:rsid w:val="00397A26"/>
    <w:rsid w:val="00397FFC"/>
    <w:rsid w:val="003A0117"/>
    <w:rsid w:val="003A355F"/>
    <w:rsid w:val="003A3839"/>
    <w:rsid w:val="003A3894"/>
    <w:rsid w:val="003A3929"/>
    <w:rsid w:val="003A4811"/>
    <w:rsid w:val="003A51F3"/>
    <w:rsid w:val="003A52C1"/>
    <w:rsid w:val="003A6F30"/>
    <w:rsid w:val="003A7186"/>
    <w:rsid w:val="003B0920"/>
    <w:rsid w:val="003B0B1C"/>
    <w:rsid w:val="003B1E9B"/>
    <w:rsid w:val="003B27C7"/>
    <w:rsid w:val="003B2B62"/>
    <w:rsid w:val="003B2BC2"/>
    <w:rsid w:val="003B2DED"/>
    <w:rsid w:val="003B3012"/>
    <w:rsid w:val="003B3041"/>
    <w:rsid w:val="003B39EA"/>
    <w:rsid w:val="003B3A83"/>
    <w:rsid w:val="003B3DB5"/>
    <w:rsid w:val="003B5E64"/>
    <w:rsid w:val="003B5FC7"/>
    <w:rsid w:val="003B746C"/>
    <w:rsid w:val="003C0194"/>
    <w:rsid w:val="003C060E"/>
    <w:rsid w:val="003C1482"/>
    <w:rsid w:val="003C1B41"/>
    <w:rsid w:val="003C2380"/>
    <w:rsid w:val="003C3545"/>
    <w:rsid w:val="003C40B2"/>
    <w:rsid w:val="003C426E"/>
    <w:rsid w:val="003C4A3F"/>
    <w:rsid w:val="003C5DB5"/>
    <w:rsid w:val="003C5FC1"/>
    <w:rsid w:val="003D0248"/>
    <w:rsid w:val="003D05B4"/>
    <w:rsid w:val="003D12E0"/>
    <w:rsid w:val="003D1A98"/>
    <w:rsid w:val="003D2887"/>
    <w:rsid w:val="003D2953"/>
    <w:rsid w:val="003D2E62"/>
    <w:rsid w:val="003D35BC"/>
    <w:rsid w:val="003D36C9"/>
    <w:rsid w:val="003D39FF"/>
    <w:rsid w:val="003D3B2D"/>
    <w:rsid w:val="003D3C1F"/>
    <w:rsid w:val="003D3E64"/>
    <w:rsid w:val="003D40B5"/>
    <w:rsid w:val="003D4531"/>
    <w:rsid w:val="003D5DDB"/>
    <w:rsid w:val="003D6B8B"/>
    <w:rsid w:val="003D6C9B"/>
    <w:rsid w:val="003E0274"/>
    <w:rsid w:val="003E05DA"/>
    <w:rsid w:val="003E0D7F"/>
    <w:rsid w:val="003E0F0A"/>
    <w:rsid w:val="003E13F7"/>
    <w:rsid w:val="003E2219"/>
    <w:rsid w:val="003E22EA"/>
    <w:rsid w:val="003E25B6"/>
    <w:rsid w:val="003E3141"/>
    <w:rsid w:val="003E3432"/>
    <w:rsid w:val="003E3710"/>
    <w:rsid w:val="003E59CA"/>
    <w:rsid w:val="003E6CD4"/>
    <w:rsid w:val="003E71FC"/>
    <w:rsid w:val="003E7930"/>
    <w:rsid w:val="003F08D1"/>
    <w:rsid w:val="003F2D30"/>
    <w:rsid w:val="003F34AE"/>
    <w:rsid w:val="003F43E4"/>
    <w:rsid w:val="003F487B"/>
    <w:rsid w:val="003F4E63"/>
    <w:rsid w:val="003F5170"/>
    <w:rsid w:val="003F5250"/>
    <w:rsid w:val="003F593D"/>
    <w:rsid w:val="003F6184"/>
    <w:rsid w:val="003F663C"/>
    <w:rsid w:val="003F78AF"/>
    <w:rsid w:val="003F7CD0"/>
    <w:rsid w:val="003F7E82"/>
    <w:rsid w:val="00400B79"/>
    <w:rsid w:val="004019A4"/>
    <w:rsid w:val="00401EB4"/>
    <w:rsid w:val="00402958"/>
    <w:rsid w:val="00402C72"/>
    <w:rsid w:val="004034A6"/>
    <w:rsid w:val="00403C07"/>
    <w:rsid w:val="00403EB4"/>
    <w:rsid w:val="00404146"/>
    <w:rsid w:val="0040431C"/>
    <w:rsid w:val="00405ADB"/>
    <w:rsid w:val="00406166"/>
    <w:rsid w:val="00406DB0"/>
    <w:rsid w:val="004104C1"/>
    <w:rsid w:val="00410C4F"/>
    <w:rsid w:val="004111D3"/>
    <w:rsid w:val="00411751"/>
    <w:rsid w:val="00412157"/>
    <w:rsid w:val="004135EA"/>
    <w:rsid w:val="00413F62"/>
    <w:rsid w:val="0041491D"/>
    <w:rsid w:val="00415203"/>
    <w:rsid w:val="00415408"/>
    <w:rsid w:val="00416028"/>
    <w:rsid w:val="00416309"/>
    <w:rsid w:val="004207E6"/>
    <w:rsid w:val="00420B8D"/>
    <w:rsid w:val="004210E1"/>
    <w:rsid w:val="00421361"/>
    <w:rsid w:val="004214FD"/>
    <w:rsid w:val="00421C94"/>
    <w:rsid w:val="00422509"/>
    <w:rsid w:val="00422EB0"/>
    <w:rsid w:val="00424C0B"/>
    <w:rsid w:val="00424D8C"/>
    <w:rsid w:val="00424DAC"/>
    <w:rsid w:val="0042543C"/>
    <w:rsid w:val="00425CB1"/>
    <w:rsid w:val="0042720F"/>
    <w:rsid w:val="00427E16"/>
    <w:rsid w:val="00430AC6"/>
    <w:rsid w:val="004320DC"/>
    <w:rsid w:val="0043307C"/>
    <w:rsid w:val="00433779"/>
    <w:rsid w:val="00434007"/>
    <w:rsid w:val="004344F4"/>
    <w:rsid w:val="0043453E"/>
    <w:rsid w:val="00434A31"/>
    <w:rsid w:val="00434E1D"/>
    <w:rsid w:val="00435664"/>
    <w:rsid w:val="00435EED"/>
    <w:rsid w:val="00436ABC"/>
    <w:rsid w:val="00440911"/>
    <w:rsid w:val="0044160C"/>
    <w:rsid w:val="004419B7"/>
    <w:rsid w:val="004431AC"/>
    <w:rsid w:val="0044381B"/>
    <w:rsid w:val="00443B80"/>
    <w:rsid w:val="00444492"/>
    <w:rsid w:val="0044497F"/>
    <w:rsid w:val="00445752"/>
    <w:rsid w:val="004457DB"/>
    <w:rsid w:val="00446132"/>
    <w:rsid w:val="00446164"/>
    <w:rsid w:val="00450581"/>
    <w:rsid w:val="00451506"/>
    <w:rsid w:val="00451B06"/>
    <w:rsid w:val="00451CD2"/>
    <w:rsid w:val="00451D64"/>
    <w:rsid w:val="004526C9"/>
    <w:rsid w:val="004527EC"/>
    <w:rsid w:val="00452A1D"/>
    <w:rsid w:val="00452B99"/>
    <w:rsid w:val="0045540C"/>
    <w:rsid w:val="00456806"/>
    <w:rsid w:val="00456DFF"/>
    <w:rsid w:val="0045790F"/>
    <w:rsid w:val="00460BBD"/>
    <w:rsid w:val="00461CDC"/>
    <w:rsid w:val="00462C22"/>
    <w:rsid w:val="00463E3A"/>
    <w:rsid w:val="00464D4E"/>
    <w:rsid w:val="00465CAF"/>
    <w:rsid w:val="00465DDB"/>
    <w:rsid w:val="00465F88"/>
    <w:rsid w:val="00466C1F"/>
    <w:rsid w:val="004673DD"/>
    <w:rsid w:val="0046799F"/>
    <w:rsid w:val="004703F7"/>
    <w:rsid w:val="00470607"/>
    <w:rsid w:val="00470874"/>
    <w:rsid w:val="0047102B"/>
    <w:rsid w:val="0047126A"/>
    <w:rsid w:val="004716F4"/>
    <w:rsid w:val="00471772"/>
    <w:rsid w:val="00471AED"/>
    <w:rsid w:val="004729AD"/>
    <w:rsid w:val="00472A18"/>
    <w:rsid w:val="0047343D"/>
    <w:rsid w:val="0047358D"/>
    <w:rsid w:val="004738D0"/>
    <w:rsid w:val="0047413F"/>
    <w:rsid w:val="00475969"/>
    <w:rsid w:val="00475D24"/>
    <w:rsid w:val="0047604A"/>
    <w:rsid w:val="00476E2F"/>
    <w:rsid w:val="00476FDB"/>
    <w:rsid w:val="00477448"/>
    <w:rsid w:val="00477692"/>
    <w:rsid w:val="00477E65"/>
    <w:rsid w:val="0048072B"/>
    <w:rsid w:val="00481A6E"/>
    <w:rsid w:val="004820D4"/>
    <w:rsid w:val="004834F4"/>
    <w:rsid w:val="00484087"/>
    <w:rsid w:val="00484537"/>
    <w:rsid w:val="004847F4"/>
    <w:rsid w:val="00484BC6"/>
    <w:rsid w:val="004852ED"/>
    <w:rsid w:val="00485878"/>
    <w:rsid w:val="00485A86"/>
    <w:rsid w:val="0048740D"/>
    <w:rsid w:val="00487B9F"/>
    <w:rsid w:val="0049064D"/>
    <w:rsid w:val="00490C35"/>
    <w:rsid w:val="0049142E"/>
    <w:rsid w:val="00491567"/>
    <w:rsid w:val="00491EF8"/>
    <w:rsid w:val="0049248C"/>
    <w:rsid w:val="004926A8"/>
    <w:rsid w:val="004947B8"/>
    <w:rsid w:val="00494F71"/>
    <w:rsid w:val="00495F8D"/>
    <w:rsid w:val="00497E07"/>
    <w:rsid w:val="004A0E08"/>
    <w:rsid w:val="004A1766"/>
    <w:rsid w:val="004A1A25"/>
    <w:rsid w:val="004A1D83"/>
    <w:rsid w:val="004A2BE3"/>
    <w:rsid w:val="004A308E"/>
    <w:rsid w:val="004A3B77"/>
    <w:rsid w:val="004A495E"/>
    <w:rsid w:val="004A55B6"/>
    <w:rsid w:val="004A5F07"/>
    <w:rsid w:val="004A5FBB"/>
    <w:rsid w:val="004A6770"/>
    <w:rsid w:val="004A68DA"/>
    <w:rsid w:val="004A6CC5"/>
    <w:rsid w:val="004A7F00"/>
    <w:rsid w:val="004B0AA4"/>
    <w:rsid w:val="004B0D63"/>
    <w:rsid w:val="004B2045"/>
    <w:rsid w:val="004B2233"/>
    <w:rsid w:val="004B2269"/>
    <w:rsid w:val="004B298A"/>
    <w:rsid w:val="004B2B79"/>
    <w:rsid w:val="004B36EF"/>
    <w:rsid w:val="004B3BE9"/>
    <w:rsid w:val="004B494C"/>
    <w:rsid w:val="004B4D45"/>
    <w:rsid w:val="004B4F68"/>
    <w:rsid w:val="004B5AAF"/>
    <w:rsid w:val="004B6273"/>
    <w:rsid w:val="004B634D"/>
    <w:rsid w:val="004B6D75"/>
    <w:rsid w:val="004B6FC3"/>
    <w:rsid w:val="004B77CF"/>
    <w:rsid w:val="004B78B6"/>
    <w:rsid w:val="004C0053"/>
    <w:rsid w:val="004C09F8"/>
    <w:rsid w:val="004C0E74"/>
    <w:rsid w:val="004C23C4"/>
    <w:rsid w:val="004C24B6"/>
    <w:rsid w:val="004C2A22"/>
    <w:rsid w:val="004C2C91"/>
    <w:rsid w:val="004C39EC"/>
    <w:rsid w:val="004C6E61"/>
    <w:rsid w:val="004C75A0"/>
    <w:rsid w:val="004D0896"/>
    <w:rsid w:val="004D2165"/>
    <w:rsid w:val="004D2CD9"/>
    <w:rsid w:val="004D2F11"/>
    <w:rsid w:val="004D35A2"/>
    <w:rsid w:val="004D3757"/>
    <w:rsid w:val="004D38E8"/>
    <w:rsid w:val="004D4CFE"/>
    <w:rsid w:val="004D542D"/>
    <w:rsid w:val="004D5B75"/>
    <w:rsid w:val="004D5BBE"/>
    <w:rsid w:val="004D5E2E"/>
    <w:rsid w:val="004D693F"/>
    <w:rsid w:val="004D6E53"/>
    <w:rsid w:val="004D7236"/>
    <w:rsid w:val="004D735E"/>
    <w:rsid w:val="004D7697"/>
    <w:rsid w:val="004E03EA"/>
    <w:rsid w:val="004E0C75"/>
    <w:rsid w:val="004E0D67"/>
    <w:rsid w:val="004E2407"/>
    <w:rsid w:val="004E2F2F"/>
    <w:rsid w:val="004E38DE"/>
    <w:rsid w:val="004E3B62"/>
    <w:rsid w:val="004E46F9"/>
    <w:rsid w:val="004E4D13"/>
    <w:rsid w:val="004E769A"/>
    <w:rsid w:val="004E7930"/>
    <w:rsid w:val="004F008A"/>
    <w:rsid w:val="004F073B"/>
    <w:rsid w:val="004F0ACF"/>
    <w:rsid w:val="004F0BD1"/>
    <w:rsid w:val="004F0C97"/>
    <w:rsid w:val="004F0FF6"/>
    <w:rsid w:val="004F109F"/>
    <w:rsid w:val="004F1392"/>
    <w:rsid w:val="004F3F82"/>
    <w:rsid w:val="004F4CD9"/>
    <w:rsid w:val="004F5022"/>
    <w:rsid w:val="004F598B"/>
    <w:rsid w:val="005003F6"/>
    <w:rsid w:val="00500491"/>
    <w:rsid w:val="00500E90"/>
    <w:rsid w:val="00501082"/>
    <w:rsid w:val="00501533"/>
    <w:rsid w:val="00502CC4"/>
    <w:rsid w:val="005032DB"/>
    <w:rsid w:val="0050594D"/>
    <w:rsid w:val="00506F94"/>
    <w:rsid w:val="00507541"/>
    <w:rsid w:val="00510272"/>
    <w:rsid w:val="005112DD"/>
    <w:rsid w:val="0051226A"/>
    <w:rsid w:val="00512B80"/>
    <w:rsid w:val="00512BCD"/>
    <w:rsid w:val="0051310C"/>
    <w:rsid w:val="005139C6"/>
    <w:rsid w:val="00514AE7"/>
    <w:rsid w:val="00515725"/>
    <w:rsid w:val="005158BD"/>
    <w:rsid w:val="00515BA7"/>
    <w:rsid w:val="00516193"/>
    <w:rsid w:val="005162AA"/>
    <w:rsid w:val="005168BE"/>
    <w:rsid w:val="005168D4"/>
    <w:rsid w:val="00516E85"/>
    <w:rsid w:val="0051736B"/>
    <w:rsid w:val="005179AF"/>
    <w:rsid w:val="00520B0E"/>
    <w:rsid w:val="005210E8"/>
    <w:rsid w:val="005230C8"/>
    <w:rsid w:val="0052400D"/>
    <w:rsid w:val="00524424"/>
    <w:rsid w:val="00524B10"/>
    <w:rsid w:val="00525942"/>
    <w:rsid w:val="00530007"/>
    <w:rsid w:val="00531BA4"/>
    <w:rsid w:val="00531ECB"/>
    <w:rsid w:val="00532475"/>
    <w:rsid w:val="00533979"/>
    <w:rsid w:val="005350E0"/>
    <w:rsid w:val="0053686F"/>
    <w:rsid w:val="00536CE0"/>
    <w:rsid w:val="00542960"/>
    <w:rsid w:val="00542BF1"/>
    <w:rsid w:val="00542D4A"/>
    <w:rsid w:val="005437DF"/>
    <w:rsid w:val="00543C79"/>
    <w:rsid w:val="00543E12"/>
    <w:rsid w:val="00545F60"/>
    <w:rsid w:val="00546E2C"/>
    <w:rsid w:val="00547D11"/>
    <w:rsid w:val="00550EDE"/>
    <w:rsid w:val="0055226E"/>
    <w:rsid w:val="005525C1"/>
    <w:rsid w:val="005526FF"/>
    <w:rsid w:val="0055326F"/>
    <w:rsid w:val="005539C8"/>
    <w:rsid w:val="00553A0A"/>
    <w:rsid w:val="00553B30"/>
    <w:rsid w:val="00553D4A"/>
    <w:rsid w:val="005540AB"/>
    <w:rsid w:val="0055451C"/>
    <w:rsid w:val="005553E3"/>
    <w:rsid w:val="005566EA"/>
    <w:rsid w:val="00556A70"/>
    <w:rsid w:val="00557101"/>
    <w:rsid w:val="0055748E"/>
    <w:rsid w:val="0055795A"/>
    <w:rsid w:val="0056077F"/>
    <w:rsid w:val="00561449"/>
    <w:rsid w:val="00561499"/>
    <w:rsid w:val="00561F34"/>
    <w:rsid w:val="005624D6"/>
    <w:rsid w:val="00562F38"/>
    <w:rsid w:val="00566AEB"/>
    <w:rsid w:val="00566C16"/>
    <w:rsid w:val="00566EA9"/>
    <w:rsid w:val="0057055F"/>
    <w:rsid w:val="00572F62"/>
    <w:rsid w:val="00574AF2"/>
    <w:rsid w:val="00575F9D"/>
    <w:rsid w:val="00577746"/>
    <w:rsid w:val="00577B6D"/>
    <w:rsid w:val="00577D5B"/>
    <w:rsid w:val="005803B8"/>
    <w:rsid w:val="00580D6E"/>
    <w:rsid w:val="005818D1"/>
    <w:rsid w:val="005826C3"/>
    <w:rsid w:val="00582D67"/>
    <w:rsid w:val="005834F9"/>
    <w:rsid w:val="005840F2"/>
    <w:rsid w:val="00584502"/>
    <w:rsid w:val="005852D8"/>
    <w:rsid w:val="00585774"/>
    <w:rsid w:val="0058606F"/>
    <w:rsid w:val="005863D5"/>
    <w:rsid w:val="00587548"/>
    <w:rsid w:val="005877A2"/>
    <w:rsid w:val="00592E0B"/>
    <w:rsid w:val="00592FB9"/>
    <w:rsid w:val="0059360C"/>
    <w:rsid w:val="00593D71"/>
    <w:rsid w:val="00594026"/>
    <w:rsid w:val="0059455E"/>
    <w:rsid w:val="005948E8"/>
    <w:rsid w:val="00596F4A"/>
    <w:rsid w:val="00597783"/>
    <w:rsid w:val="00597C56"/>
    <w:rsid w:val="005A0701"/>
    <w:rsid w:val="005A0C3B"/>
    <w:rsid w:val="005A1671"/>
    <w:rsid w:val="005A2067"/>
    <w:rsid w:val="005A223B"/>
    <w:rsid w:val="005A23F7"/>
    <w:rsid w:val="005A2589"/>
    <w:rsid w:val="005A424B"/>
    <w:rsid w:val="005A48F4"/>
    <w:rsid w:val="005A4999"/>
    <w:rsid w:val="005A57F0"/>
    <w:rsid w:val="005A6112"/>
    <w:rsid w:val="005A62C2"/>
    <w:rsid w:val="005A76ED"/>
    <w:rsid w:val="005A7EF8"/>
    <w:rsid w:val="005B1049"/>
    <w:rsid w:val="005B1295"/>
    <w:rsid w:val="005B175F"/>
    <w:rsid w:val="005B2235"/>
    <w:rsid w:val="005B2474"/>
    <w:rsid w:val="005B30A0"/>
    <w:rsid w:val="005B3C46"/>
    <w:rsid w:val="005B3E71"/>
    <w:rsid w:val="005B4843"/>
    <w:rsid w:val="005B541D"/>
    <w:rsid w:val="005B6630"/>
    <w:rsid w:val="005C10D5"/>
    <w:rsid w:val="005C1B1A"/>
    <w:rsid w:val="005C1E17"/>
    <w:rsid w:val="005C1FD3"/>
    <w:rsid w:val="005C200B"/>
    <w:rsid w:val="005C25B4"/>
    <w:rsid w:val="005C2EFC"/>
    <w:rsid w:val="005C314D"/>
    <w:rsid w:val="005C3C34"/>
    <w:rsid w:val="005C3C44"/>
    <w:rsid w:val="005C45B1"/>
    <w:rsid w:val="005C4951"/>
    <w:rsid w:val="005C59FB"/>
    <w:rsid w:val="005C5C24"/>
    <w:rsid w:val="005C5E73"/>
    <w:rsid w:val="005C6569"/>
    <w:rsid w:val="005C76DC"/>
    <w:rsid w:val="005C7807"/>
    <w:rsid w:val="005D002C"/>
    <w:rsid w:val="005D1256"/>
    <w:rsid w:val="005D14AF"/>
    <w:rsid w:val="005D1866"/>
    <w:rsid w:val="005D1B9A"/>
    <w:rsid w:val="005D2C03"/>
    <w:rsid w:val="005D3952"/>
    <w:rsid w:val="005D43BC"/>
    <w:rsid w:val="005D464E"/>
    <w:rsid w:val="005D4738"/>
    <w:rsid w:val="005D4B82"/>
    <w:rsid w:val="005D59F5"/>
    <w:rsid w:val="005D68F6"/>
    <w:rsid w:val="005D6CAB"/>
    <w:rsid w:val="005D6CE8"/>
    <w:rsid w:val="005D7AF5"/>
    <w:rsid w:val="005D7E02"/>
    <w:rsid w:val="005E0335"/>
    <w:rsid w:val="005E0705"/>
    <w:rsid w:val="005E073E"/>
    <w:rsid w:val="005E19A4"/>
    <w:rsid w:val="005E3342"/>
    <w:rsid w:val="005E3A46"/>
    <w:rsid w:val="005E505E"/>
    <w:rsid w:val="005E5120"/>
    <w:rsid w:val="005E593B"/>
    <w:rsid w:val="005E5D55"/>
    <w:rsid w:val="005E5E63"/>
    <w:rsid w:val="005E5F11"/>
    <w:rsid w:val="005E6187"/>
    <w:rsid w:val="005E6652"/>
    <w:rsid w:val="005E69F7"/>
    <w:rsid w:val="005E70AB"/>
    <w:rsid w:val="005E70B6"/>
    <w:rsid w:val="005E7F79"/>
    <w:rsid w:val="005F00F2"/>
    <w:rsid w:val="005F02E0"/>
    <w:rsid w:val="005F044D"/>
    <w:rsid w:val="005F0D6C"/>
    <w:rsid w:val="005F221A"/>
    <w:rsid w:val="005F247B"/>
    <w:rsid w:val="005F25C2"/>
    <w:rsid w:val="005F29BE"/>
    <w:rsid w:val="005F31EA"/>
    <w:rsid w:val="005F3A75"/>
    <w:rsid w:val="005F40E6"/>
    <w:rsid w:val="005F428D"/>
    <w:rsid w:val="005F4592"/>
    <w:rsid w:val="005F52CF"/>
    <w:rsid w:val="005F5675"/>
    <w:rsid w:val="005F6413"/>
    <w:rsid w:val="005F6D2D"/>
    <w:rsid w:val="005F7E06"/>
    <w:rsid w:val="00600079"/>
    <w:rsid w:val="00602541"/>
    <w:rsid w:val="00602FC4"/>
    <w:rsid w:val="00603860"/>
    <w:rsid w:val="00603F87"/>
    <w:rsid w:val="006041F4"/>
    <w:rsid w:val="00604795"/>
    <w:rsid w:val="00606040"/>
    <w:rsid w:val="00607088"/>
    <w:rsid w:val="0060717E"/>
    <w:rsid w:val="0060777D"/>
    <w:rsid w:val="00610F0A"/>
    <w:rsid w:val="006117EE"/>
    <w:rsid w:val="0061191E"/>
    <w:rsid w:val="00612113"/>
    <w:rsid w:val="006127E9"/>
    <w:rsid w:val="00612E23"/>
    <w:rsid w:val="00613722"/>
    <w:rsid w:val="006157ED"/>
    <w:rsid w:val="0061601A"/>
    <w:rsid w:val="006176DE"/>
    <w:rsid w:val="00620673"/>
    <w:rsid w:val="00620E2B"/>
    <w:rsid w:val="00620E32"/>
    <w:rsid w:val="00620E3D"/>
    <w:rsid w:val="006211A8"/>
    <w:rsid w:val="00621384"/>
    <w:rsid w:val="00622055"/>
    <w:rsid w:val="00624DE8"/>
    <w:rsid w:val="00626070"/>
    <w:rsid w:val="0062763A"/>
    <w:rsid w:val="006300A2"/>
    <w:rsid w:val="00630783"/>
    <w:rsid w:val="00630927"/>
    <w:rsid w:val="00630AE6"/>
    <w:rsid w:val="0063161E"/>
    <w:rsid w:val="00633C54"/>
    <w:rsid w:val="0063456B"/>
    <w:rsid w:val="00635ECE"/>
    <w:rsid w:val="006360D3"/>
    <w:rsid w:val="00636446"/>
    <w:rsid w:val="00636626"/>
    <w:rsid w:val="006366D1"/>
    <w:rsid w:val="00636CF0"/>
    <w:rsid w:val="00637916"/>
    <w:rsid w:val="006379BC"/>
    <w:rsid w:val="00640904"/>
    <w:rsid w:val="00641D46"/>
    <w:rsid w:val="00642027"/>
    <w:rsid w:val="0064223E"/>
    <w:rsid w:val="006423D4"/>
    <w:rsid w:val="00643AB6"/>
    <w:rsid w:val="00645ECF"/>
    <w:rsid w:val="00646860"/>
    <w:rsid w:val="006468DA"/>
    <w:rsid w:val="0064715B"/>
    <w:rsid w:val="00647C8C"/>
    <w:rsid w:val="0065020A"/>
    <w:rsid w:val="00650238"/>
    <w:rsid w:val="00650426"/>
    <w:rsid w:val="00650A4F"/>
    <w:rsid w:val="00650B60"/>
    <w:rsid w:val="00650B82"/>
    <w:rsid w:val="00650B84"/>
    <w:rsid w:val="00650F8C"/>
    <w:rsid w:val="0065223A"/>
    <w:rsid w:val="00652AA0"/>
    <w:rsid w:val="0065440A"/>
    <w:rsid w:val="0065450B"/>
    <w:rsid w:val="006547A6"/>
    <w:rsid w:val="00655D4D"/>
    <w:rsid w:val="00656652"/>
    <w:rsid w:val="00657ACB"/>
    <w:rsid w:val="006602F6"/>
    <w:rsid w:val="006605B4"/>
    <w:rsid w:val="00661AA4"/>
    <w:rsid w:val="00661C57"/>
    <w:rsid w:val="00662621"/>
    <w:rsid w:val="00662A51"/>
    <w:rsid w:val="00663466"/>
    <w:rsid w:val="006637FE"/>
    <w:rsid w:val="006642CE"/>
    <w:rsid w:val="00664927"/>
    <w:rsid w:val="00664B59"/>
    <w:rsid w:val="0066597F"/>
    <w:rsid w:val="00665DB2"/>
    <w:rsid w:val="0066641C"/>
    <w:rsid w:val="00666497"/>
    <w:rsid w:val="00670EA0"/>
    <w:rsid w:val="0067102D"/>
    <w:rsid w:val="0067134E"/>
    <w:rsid w:val="0067147E"/>
    <w:rsid w:val="0067166F"/>
    <w:rsid w:val="00672CEC"/>
    <w:rsid w:val="006753ED"/>
    <w:rsid w:val="0067734A"/>
    <w:rsid w:val="00677A0F"/>
    <w:rsid w:val="00680506"/>
    <w:rsid w:val="006806A9"/>
    <w:rsid w:val="00680F3C"/>
    <w:rsid w:val="0068127E"/>
    <w:rsid w:val="006815FC"/>
    <w:rsid w:val="00681660"/>
    <w:rsid w:val="00681985"/>
    <w:rsid w:val="00683D6C"/>
    <w:rsid w:val="006842CD"/>
    <w:rsid w:val="00684B38"/>
    <w:rsid w:val="00684B71"/>
    <w:rsid w:val="00685893"/>
    <w:rsid w:val="00686821"/>
    <w:rsid w:val="00687106"/>
    <w:rsid w:val="006874DE"/>
    <w:rsid w:val="00687DCE"/>
    <w:rsid w:val="006901FD"/>
    <w:rsid w:val="0069095D"/>
    <w:rsid w:val="00690B9B"/>
    <w:rsid w:val="00690B9F"/>
    <w:rsid w:val="00691E8B"/>
    <w:rsid w:val="00692974"/>
    <w:rsid w:val="00693BB4"/>
    <w:rsid w:val="00694CB5"/>
    <w:rsid w:val="0069585A"/>
    <w:rsid w:val="00695EE3"/>
    <w:rsid w:val="00696122"/>
    <w:rsid w:val="00696E9C"/>
    <w:rsid w:val="006A04BC"/>
    <w:rsid w:val="006A10B1"/>
    <w:rsid w:val="006A140E"/>
    <w:rsid w:val="006A21D2"/>
    <w:rsid w:val="006A28D3"/>
    <w:rsid w:val="006A2B7D"/>
    <w:rsid w:val="006A2E02"/>
    <w:rsid w:val="006A306F"/>
    <w:rsid w:val="006A5615"/>
    <w:rsid w:val="006A612E"/>
    <w:rsid w:val="006A7570"/>
    <w:rsid w:val="006B0CD6"/>
    <w:rsid w:val="006B3C88"/>
    <w:rsid w:val="006B3FA9"/>
    <w:rsid w:val="006B4911"/>
    <w:rsid w:val="006B4C67"/>
    <w:rsid w:val="006B5AF3"/>
    <w:rsid w:val="006B5B3C"/>
    <w:rsid w:val="006B5C93"/>
    <w:rsid w:val="006B7192"/>
    <w:rsid w:val="006C0DA0"/>
    <w:rsid w:val="006C146B"/>
    <w:rsid w:val="006C1A3F"/>
    <w:rsid w:val="006C1D34"/>
    <w:rsid w:val="006C53F8"/>
    <w:rsid w:val="006C6403"/>
    <w:rsid w:val="006C6CA1"/>
    <w:rsid w:val="006C7241"/>
    <w:rsid w:val="006C75D4"/>
    <w:rsid w:val="006C7643"/>
    <w:rsid w:val="006C7AD9"/>
    <w:rsid w:val="006C7B2B"/>
    <w:rsid w:val="006D0EF0"/>
    <w:rsid w:val="006D1153"/>
    <w:rsid w:val="006D30B9"/>
    <w:rsid w:val="006D4961"/>
    <w:rsid w:val="006D638E"/>
    <w:rsid w:val="006D6A94"/>
    <w:rsid w:val="006D71D7"/>
    <w:rsid w:val="006D7B1C"/>
    <w:rsid w:val="006E0713"/>
    <w:rsid w:val="006E07CA"/>
    <w:rsid w:val="006E1DDD"/>
    <w:rsid w:val="006E41E3"/>
    <w:rsid w:val="006E5A7F"/>
    <w:rsid w:val="006E66F9"/>
    <w:rsid w:val="006E6CFA"/>
    <w:rsid w:val="006E708F"/>
    <w:rsid w:val="006E78C8"/>
    <w:rsid w:val="006F0357"/>
    <w:rsid w:val="006F1D87"/>
    <w:rsid w:val="006F3A71"/>
    <w:rsid w:val="006F3BE7"/>
    <w:rsid w:val="006F4A91"/>
    <w:rsid w:val="006F5373"/>
    <w:rsid w:val="006F5B91"/>
    <w:rsid w:val="006F5ECD"/>
    <w:rsid w:val="006F65AB"/>
    <w:rsid w:val="006F70E1"/>
    <w:rsid w:val="006F7273"/>
    <w:rsid w:val="007000AF"/>
    <w:rsid w:val="00700226"/>
    <w:rsid w:val="00700C2A"/>
    <w:rsid w:val="00700E48"/>
    <w:rsid w:val="00701665"/>
    <w:rsid w:val="007019F1"/>
    <w:rsid w:val="00701A02"/>
    <w:rsid w:val="00701A7D"/>
    <w:rsid w:val="00701E74"/>
    <w:rsid w:val="0070203A"/>
    <w:rsid w:val="00703D59"/>
    <w:rsid w:val="00704946"/>
    <w:rsid w:val="00705DC6"/>
    <w:rsid w:val="00706838"/>
    <w:rsid w:val="00707ED4"/>
    <w:rsid w:val="00711C86"/>
    <w:rsid w:val="00711D49"/>
    <w:rsid w:val="00712DDB"/>
    <w:rsid w:val="0071378B"/>
    <w:rsid w:val="007139DA"/>
    <w:rsid w:val="007146B4"/>
    <w:rsid w:val="0071482B"/>
    <w:rsid w:val="00714913"/>
    <w:rsid w:val="00715156"/>
    <w:rsid w:val="00715F10"/>
    <w:rsid w:val="007165F6"/>
    <w:rsid w:val="00717AA4"/>
    <w:rsid w:val="0072057C"/>
    <w:rsid w:val="0072280D"/>
    <w:rsid w:val="00723456"/>
    <w:rsid w:val="00723B0D"/>
    <w:rsid w:val="00723DEF"/>
    <w:rsid w:val="00726A5A"/>
    <w:rsid w:val="00726BF2"/>
    <w:rsid w:val="00726FC5"/>
    <w:rsid w:val="0073092A"/>
    <w:rsid w:val="007318C9"/>
    <w:rsid w:val="0073319D"/>
    <w:rsid w:val="007334D5"/>
    <w:rsid w:val="00733DAB"/>
    <w:rsid w:val="007353C6"/>
    <w:rsid w:val="007357D3"/>
    <w:rsid w:val="00737276"/>
    <w:rsid w:val="00740BA6"/>
    <w:rsid w:val="00741197"/>
    <w:rsid w:val="00741613"/>
    <w:rsid w:val="0074163C"/>
    <w:rsid w:val="00742A3F"/>
    <w:rsid w:val="007432D1"/>
    <w:rsid w:val="0074415D"/>
    <w:rsid w:val="00744856"/>
    <w:rsid w:val="00744CDC"/>
    <w:rsid w:val="00744E62"/>
    <w:rsid w:val="00745658"/>
    <w:rsid w:val="00745CDF"/>
    <w:rsid w:val="00746129"/>
    <w:rsid w:val="007461A1"/>
    <w:rsid w:val="007475ED"/>
    <w:rsid w:val="0074765D"/>
    <w:rsid w:val="00747904"/>
    <w:rsid w:val="00750439"/>
    <w:rsid w:val="007517A1"/>
    <w:rsid w:val="0075184A"/>
    <w:rsid w:val="007524C5"/>
    <w:rsid w:val="00752D37"/>
    <w:rsid w:val="00754513"/>
    <w:rsid w:val="00755E3D"/>
    <w:rsid w:val="00756448"/>
    <w:rsid w:val="007568E8"/>
    <w:rsid w:val="00756AC1"/>
    <w:rsid w:val="00756D7E"/>
    <w:rsid w:val="007603D1"/>
    <w:rsid w:val="00760457"/>
    <w:rsid w:val="0076045A"/>
    <w:rsid w:val="007605E5"/>
    <w:rsid w:val="007606A6"/>
    <w:rsid w:val="00760BF2"/>
    <w:rsid w:val="00760CB7"/>
    <w:rsid w:val="00761167"/>
    <w:rsid w:val="0076125B"/>
    <w:rsid w:val="007613C5"/>
    <w:rsid w:val="00761723"/>
    <w:rsid w:val="00761D83"/>
    <w:rsid w:val="007634D9"/>
    <w:rsid w:val="00765B26"/>
    <w:rsid w:val="00765CD3"/>
    <w:rsid w:val="00766E00"/>
    <w:rsid w:val="007672F7"/>
    <w:rsid w:val="007676CD"/>
    <w:rsid w:val="0076792D"/>
    <w:rsid w:val="00770ECE"/>
    <w:rsid w:val="007712D9"/>
    <w:rsid w:val="00771442"/>
    <w:rsid w:val="00774C52"/>
    <w:rsid w:val="00775627"/>
    <w:rsid w:val="0077648F"/>
    <w:rsid w:val="00780683"/>
    <w:rsid w:val="0078132F"/>
    <w:rsid w:val="00781D24"/>
    <w:rsid w:val="00781DC9"/>
    <w:rsid w:val="0078222F"/>
    <w:rsid w:val="007824B1"/>
    <w:rsid w:val="0078275F"/>
    <w:rsid w:val="00782D82"/>
    <w:rsid w:val="0078308F"/>
    <w:rsid w:val="00784924"/>
    <w:rsid w:val="0078584F"/>
    <w:rsid w:val="00786302"/>
    <w:rsid w:val="00786406"/>
    <w:rsid w:val="0078654A"/>
    <w:rsid w:val="007866FF"/>
    <w:rsid w:val="0078740E"/>
    <w:rsid w:val="00787598"/>
    <w:rsid w:val="00790577"/>
    <w:rsid w:val="00790A59"/>
    <w:rsid w:val="00790B3B"/>
    <w:rsid w:val="00790D0E"/>
    <w:rsid w:val="00791D2A"/>
    <w:rsid w:val="007926A9"/>
    <w:rsid w:val="00792D91"/>
    <w:rsid w:val="007935E9"/>
    <w:rsid w:val="00793F08"/>
    <w:rsid w:val="00795377"/>
    <w:rsid w:val="007957E3"/>
    <w:rsid w:val="00797877"/>
    <w:rsid w:val="00797DC6"/>
    <w:rsid w:val="007A0999"/>
    <w:rsid w:val="007A0B65"/>
    <w:rsid w:val="007A20DD"/>
    <w:rsid w:val="007A2850"/>
    <w:rsid w:val="007A2E6A"/>
    <w:rsid w:val="007A5586"/>
    <w:rsid w:val="007A657D"/>
    <w:rsid w:val="007A704B"/>
    <w:rsid w:val="007A72F3"/>
    <w:rsid w:val="007A76CC"/>
    <w:rsid w:val="007B014C"/>
    <w:rsid w:val="007B26B5"/>
    <w:rsid w:val="007B2BD0"/>
    <w:rsid w:val="007B2C8C"/>
    <w:rsid w:val="007B2FFD"/>
    <w:rsid w:val="007B3004"/>
    <w:rsid w:val="007B3714"/>
    <w:rsid w:val="007B3B5A"/>
    <w:rsid w:val="007B467D"/>
    <w:rsid w:val="007B4B58"/>
    <w:rsid w:val="007B5D00"/>
    <w:rsid w:val="007B697D"/>
    <w:rsid w:val="007B70CC"/>
    <w:rsid w:val="007B7257"/>
    <w:rsid w:val="007B7497"/>
    <w:rsid w:val="007B7EA9"/>
    <w:rsid w:val="007C0F24"/>
    <w:rsid w:val="007C0FEA"/>
    <w:rsid w:val="007C1719"/>
    <w:rsid w:val="007C1D18"/>
    <w:rsid w:val="007C2053"/>
    <w:rsid w:val="007C28F3"/>
    <w:rsid w:val="007C387F"/>
    <w:rsid w:val="007C4543"/>
    <w:rsid w:val="007C49DE"/>
    <w:rsid w:val="007C5BC7"/>
    <w:rsid w:val="007C7952"/>
    <w:rsid w:val="007C7A3C"/>
    <w:rsid w:val="007D096A"/>
    <w:rsid w:val="007D0AB3"/>
    <w:rsid w:val="007D1606"/>
    <w:rsid w:val="007D16D8"/>
    <w:rsid w:val="007D2DA6"/>
    <w:rsid w:val="007D2F4E"/>
    <w:rsid w:val="007D3248"/>
    <w:rsid w:val="007D350F"/>
    <w:rsid w:val="007D3E08"/>
    <w:rsid w:val="007D435B"/>
    <w:rsid w:val="007D4B16"/>
    <w:rsid w:val="007D4BEF"/>
    <w:rsid w:val="007D5DCA"/>
    <w:rsid w:val="007D6F70"/>
    <w:rsid w:val="007D6FFF"/>
    <w:rsid w:val="007D728F"/>
    <w:rsid w:val="007D7968"/>
    <w:rsid w:val="007E0986"/>
    <w:rsid w:val="007E146A"/>
    <w:rsid w:val="007E1745"/>
    <w:rsid w:val="007E1C11"/>
    <w:rsid w:val="007E3F28"/>
    <w:rsid w:val="007E4508"/>
    <w:rsid w:val="007E4F08"/>
    <w:rsid w:val="007E65B8"/>
    <w:rsid w:val="007E6A2D"/>
    <w:rsid w:val="007E6E5E"/>
    <w:rsid w:val="007E75C3"/>
    <w:rsid w:val="007F0B6E"/>
    <w:rsid w:val="007F126D"/>
    <w:rsid w:val="007F14E8"/>
    <w:rsid w:val="007F3C54"/>
    <w:rsid w:val="007F40B4"/>
    <w:rsid w:val="007F4542"/>
    <w:rsid w:val="007F5211"/>
    <w:rsid w:val="007F528C"/>
    <w:rsid w:val="007F5C36"/>
    <w:rsid w:val="007F5C63"/>
    <w:rsid w:val="007F5DD9"/>
    <w:rsid w:val="007F6C81"/>
    <w:rsid w:val="007F6D45"/>
    <w:rsid w:val="007F7FF4"/>
    <w:rsid w:val="00801226"/>
    <w:rsid w:val="0080176B"/>
    <w:rsid w:val="00802B28"/>
    <w:rsid w:val="008033F7"/>
    <w:rsid w:val="0080354C"/>
    <w:rsid w:val="00803C6E"/>
    <w:rsid w:val="00804C31"/>
    <w:rsid w:val="00804DAB"/>
    <w:rsid w:val="00805208"/>
    <w:rsid w:val="008059D8"/>
    <w:rsid w:val="0080625F"/>
    <w:rsid w:val="008079D4"/>
    <w:rsid w:val="00810052"/>
    <w:rsid w:val="00810828"/>
    <w:rsid w:val="0081200A"/>
    <w:rsid w:val="00812F1A"/>
    <w:rsid w:val="0081586C"/>
    <w:rsid w:val="008163D8"/>
    <w:rsid w:val="008219C1"/>
    <w:rsid w:val="00821CB1"/>
    <w:rsid w:val="00823CAF"/>
    <w:rsid w:val="00824044"/>
    <w:rsid w:val="008242C6"/>
    <w:rsid w:val="00824D87"/>
    <w:rsid w:val="0082555E"/>
    <w:rsid w:val="00825984"/>
    <w:rsid w:val="00826361"/>
    <w:rsid w:val="008263FB"/>
    <w:rsid w:val="008278FE"/>
    <w:rsid w:val="00830B78"/>
    <w:rsid w:val="00831648"/>
    <w:rsid w:val="00831CF3"/>
    <w:rsid w:val="00831E60"/>
    <w:rsid w:val="00832442"/>
    <w:rsid w:val="00833A43"/>
    <w:rsid w:val="00833DE4"/>
    <w:rsid w:val="00834B43"/>
    <w:rsid w:val="008364EA"/>
    <w:rsid w:val="0083717D"/>
    <w:rsid w:val="00837DA5"/>
    <w:rsid w:val="00840A22"/>
    <w:rsid w:val="00841099"/>
    <w:rsid w:val="008425E2"/>
    <w:rsid w:val="00842A5A"/>
    <w:rsid w:val="00842D4B"/>
    <w:rsid w:val="00843137"/>
    <w:rsid w:val="008433F5"/>
    <w:rsid w:val="008438F7"/>
    <w:rsid w:val="00843F50"/>
    <w:rsid w:val="00844D11"/>
    <w:rsid w:val="008469E9"/>
    <w:rsid w:val="0084716C"/>
    <w:rsid w:val="008519EB"/>
    <w:rsid w:val="00852587"/>
    <w:rsid w:val="00853646"/>
    <w:rsid w:val="00853C03"/>
    <w:rsid w:val="00853DD1"/>
    <w:rsid w:val="00854CD4"/>
    <w:rsid w:val="008564AC"/>
    <w:rsid w:val="00856EB0"/>
    <w:rsid w:val="00856F03"/>
    <w:rsid w:val="00857605"/>
    <w:rsid w:val="00857853"/>
    <w:rsid w:val="008603CC"/>
    <w:rsid w:val="008607DB"/>
    <w:rsid w:val="00860981"/>
    <w:rsid w:val="00861C51"/>
    <w:rsid w:val="00861D1E"/>
    <w:rsid w:val="00862002"/>
    <w:rsid w:val="008625D5"/>
    <w:rsid w:val="008631CE"/>
    <w:rsid w:val="008637E5"/>
    <w:rsid w:val="00863A9C"/>
    <w:rsid w:val="00864376"/>
    <w:rsid w:val="008651F2"/>
    <w:rsid w:val="00866DB0"/>
    <w:rsid w:val="0086720E"/>
    <w:rsid w:val="00867694"/>
    <w:rsid w:val="008677DB"/>
    <w:rsid w:val="00870C22"/>
    <w:rsid w:val="008749E9"/>
    <w:rsid w:val="00876373"/>
    <w:rsid w:val="00876B57"/>
    <w:rsid w:val="008771BA"/>
    <w:rsid w:val="0087798A"/>
    <w:rsid w:val="00881746"/>
    <w:rsid w:val="00882E95"/>
    <w:rsid w:val="00883791"/>
    <w:rsid w:val="00883B68"/>
    <w:rsid w:val="00884733"/>
    <w:rsid w:val="00885140"/>
    <w:rsid w:val="00886A00"/>
    <w:rsid w:val="008877B1"/>
    <w:rsid w:val="008910C4"/>
    <w:rsid w:val="00891FB3"/>
    <w:rsid w:val="00892283"/>
    <w:rsid w:val="0089323C"/>
    <w:rsid w:val="00893B9A"/>
    <w:rsid w:val="00895BE2"/>
    <w:rsid w:val="00897D1D"/>
    <w:rsid w:val="00897F7C"/>
    <w:rsid w:val="008A0370"/>
    <w:rsid w:val="008A0568"/>
    <w:rsid w:val="008A0771"/>
    <w:rsid w:val="008A1DCF"/>
    <w:rsid w:val="008A3C19"/>
    <w:rsid w:val="008A3D82"/>
    <w:rsid w:val="008A43F8"/>
    <w:rsid w:val="008A55B0"/>
    <w:rsid w:val="008A5B06"/>
    <w:rsid w:val="008A634F"/>
    <w:rsid w:val="008A63FD"/>
    <w:rsid w:val="008A65E9"/>
    <w:rsid w:val="008A6CBE"/>
    <w:rsid w:val="008A6D64"/>
    <w:rsid w:val="008A7E8A"/>
    <w:rsid w:val="008A7EF4"/>
    <w:rsid w:val="008B07C4"/>
    <w:rsid w:val="008B096D"/>
    <w:rsid w:val="008B1AED"/>
    <w:rsid w:val="008B2012"/>
    <w:rsid w:val="008B2E05"/>
    <w:rsid w:val="008B3004"/>
    <w:rsid w:val="008B41BC"/>
    <w:rsid w:val="008B48E1"/>
    <w:rsid w:val="008B5C67"/>
    <w:rsid w:val="008B6F17"/>
    <w:rsid w:val="008B7C0E"/>
    <w:rsid w:val="008B7F2F"/>
    <w:rsid w:val="008C010C"/>
    <w:rsid w:val="008C0D75"/>
    <w:rsid w:val="008C1AA2"/>
    <w:rsid w:val="008C2030"/>
    <w:rsid w:val="008C3A94"/>
    <w:rsid w:val="008C612B"/>
    <w:rsid w:val="008C631D"/>
    <w:rsid w:val="008C6654"/>
    <w:rsid w:val="008C6EC4"/>
    <w:rsid w:val="008D0633"/>
    <w:rsid w:val="008D098C"/>
    <w:rsid w:val="008D117F"/>
    <w:rsid w:val="008D119C"/>
    <w:rsid w:val="008D1563"/>
    <w:rsid w:val="008D19DB"/>
    <w:rsid w:val="008D242C"/>
    <w:rsid w:val="008D3CC3"/>
    <w:rsid w:val="008D6020"/>
    <w:rsid w:val="008D61BE"/>
    <w:rsid w:val="008D639A"/>
    <w:rsid w:val="008D6479"/>
    <w:rsid w:val="008D658C"/>
    <w:rsid w:val="008D6997"/>
    <w:rsid w:val="008D6AFD"/>
    <w:rsid w:val="008D70CB"/>
    <w:rsid w:val="008D7832"/>
    <w:rsid w:val="008D7BAD"/>
    <w:rsid w:val="008E1A23"/>
    <w:rsid w:val="008E2A4C"/>
    <w:rsid w:val="008E44D6"/>
    <w:rsid w:val="008E5BFB"/>
    <w:rsid w:val="008E7186"/>
    <w:rsid w:val="008F005F"/>
    <w:rsid w:val="008F0C90"/>
    <w:rsid w:val="008F1222"/>
    <w:rsid w:val="008F248C"/>
    <w:rsid w:val="008F35B4"/>
    <w:rsid w:val="008F3A96"/>
    <w:rsid w:val="008F3EF8"/>
    <w:rsid w:val="008F3F0F"/>
    <w:rsid w:val="008F4641"/>
    <w:rsid w:val="008F554D"/>
    <w:rsid w:val="008F79DB"/>
    <w:rsid w:val="008F7A24"/>
    <w:rsid w:val="009006C0"/>
    <w:rsid w:val="00900C88"/>
    <w:rsid w:val="00900D35"/>
    <w:rsid w:val="00901238"/>
    <w:rsid w:val="00901E50"/>
    <w:rsid w:val="00903328"/>
    <w:rsid w:val="0090608F"/>
    <w:rsid w:val="00906D6A"/>
    <w:rsid w:val="0090739E"/>
    <w:rsid w:val="00907735"/>
    <w:rsid w:val="00912122"/>
    <w:rsid w:val="0091254A"/>
    <w:rsid w:val="009133E4"/>
    <w:rsid w:val="009135E9"/>
    <w:rsid w:val="009149C5"/>
    <w:rsid w:val="009150F6"/>
    <w:rsid w:val="00916666"/>
    <w:rsid w:val="00916BAD"/>
    <w:rsid w:val="00916F64"/>
    <w:rsid w:val="00917B3A"/>
    <w:rsid w:val="00920F0D"/>
    <w:rsid w:val="00921EC0"/>
    <w:rsid w:val="00923E3F"/>
    <w:rsid w:val="009245BA"/>
    <w:rsid w:val="00925131"/>
    <w:rsid w:val="009253BB"/>
    <w:rsid w:val="00925814"/>
    <w:rsid w:val="00925A63"/>
    <w:rsid w:val="00925EF5"/>
    <w:rsid w:val="0092668C"/>
    <w:rsid w:val="00926D07"/>
    <w:rsid w:val="00926E34"/>
    <w:rsid w:val="00930066"/>
    <w:rsid w:val="00930468"/>
    <w:rsid w:val="009306C5"/>
    <w:rsid w:val="00930DAA"/>
    <w:rsid w:val="00931004"/>
    <w:rsid w:val="00932187"/>
    <w:rsid w:val="0093225F"/>
    <w:rsid w:val="00932FBE"/>
    <w:rsid w:val="00935361"/>
    <w:rsid w:val="009353BD"/>
    <w:rsid w:val="0093627C"/>
    <w:rsid w:val="009363C5"/>
    <w:rsid w:val="009367C6"/>
    <w:rsid w:val="00936F40"/>
    <w:rsid w:val="009370CB"/>
    <w:rsid w:val="0093712B"/>
    <w:rsid w:val="0093737D"/>
    <w:rsid w:val="0094038D"/>
    <w:rsid w:val="00940643"/>
    <w:rsid w:val="009417BB"/>
    <w:rsid w:val="00942104"/>
    <w:rsid w:val="009422F3"/>
    <w:rsid w:val="00942D87"/>
    <w:rsid w:val="00943D37"/>
    <w:rsid w:val="00944046"/>
    <w:rsid w:val="009443F2"/>
    <w:rsid w:val="009454B7"/>
    <w:rsid w:val="00946552"/>
    <w:rsid w:val="00947237"/>
    <w:rsid w:val="0094731F"/>
    <w:rsid w:val="00947B0B"/>
    <w:rsid w:val="00950C1E"/>
    <w:rsid w:val="0095131D"/>
    <w:rsid w:val="00951642"/>
    <w:rsid w:val="0095231E"/>
    <w:rsid w:val="00952769"/>
    <w:rsid w:val="009530B3"/>
    <w:rsid w:val="0095374B"/>
    <w:rsid w:val="009537BD"/>
    <w:rsid w:val="00953A3D"/>
    <w:rsid w:val="00953B90"/>
    <w:rsid w:val="00953E24"/>
    <w:rsid w:val="00954B3E"/>
    <w:rsid w:val="00955866"/>
    <w:rsid w:val="00955950"/>
    <w:rsid w:val="0095695F"/>
    <w:rsid w:val="00956B0B"/>
    <w:rsid w:val="009571B5"/>
    <w:rsid w:val="009604B7"/>
    <w:rsid w:val="00960BFB"/>
    <w:rsid w:val="00960CCE"/>
    <w:rsid w:val="00960E70"/>
    <w:rsid w:val="00961167"/>
    <w:rsid w:val="00961A0E"/>
    <w:rsid w:val="00962C66"/>
    <w:rsid w:val="00963772"/>
    <w:rsid w:val="00963E03"/>
    <w:rsid w:val="00964000"/>
    <w:rsid w:val="00964507"/>
    <w:rsid w:val="00965C4A"/>
    <w:rsid w:val="009663CB"/>
    <w:rsid w:val="00966709"/>
    <w:rsid w:val="00966DF9"/>
    <w:rsid w:val="009716A2"/>
    <w:rsid w:val="00972E32"/>
    <w:rsid w:val="009734EB"/>
    <w:rsid w:val="00974689"/>
    <w:rsid w:val="00975614"/>
    <w:rsid w:val="0097565D"/>
    <w:rsid w:val="00975949"/>
    <w:rsid w:val="00977E4A"/>
    <w:rsid w:val="0098077E"/>
    <w:rsid w:val="00980A30"/>
    <w:rsid w:val="00980E2F"/>
    <w:rsid w:val="009822F7"/>
    <w:rsid w:val="00983E9C"/>
    <w:rsid w:val="0098529E"/>
    <w:rsid w:val="00985983"/>
    <w:rsid w:val="00985FEB"/>
    <w:rsid w:val="00986C5E"/>
    <w:rsid w:val="009871CF"/>
    <w:rsid w:val="00987747"/>
    <w:rsid w:val="009879C2"/>
    <w:rsid w:val="00993D37"/>
    <w:rsid w:val="009940BB"/>
    <w:rsid w:val="00994106"/>
    <w:rsid w:val="00994917"/>
    <w:rsid w:val="0099505A"/>
    <w:rsid w:val="0099543B"/>
    <w:rsid w:val="00996BA6"/>
    <w:rsid w:val="00997C98"/>
    <w:rsid w:val="00997CE1"/>
    <w:rsid w:val="009A0952"/>
    <w:rsid w:val="009A0A7C"/>
    <w:rsid w:val="009A0FC9"/>
    <w:rsid w:val="009A13C2"/>
    <w:rsid w:val="009A140C"/>
    <w:rsid w:val="009A1D85"/>
    <w:rsid w:val="009A4A3F"/>
    <w:rsid w:val="009A5231"/>
    <w:rsid w:val="009A562C"/>
    <w:rsid w:val="009A591E"/>
    <w:rsid w:val="009A6CCC"/>
    <w:rsid w:val="009B1557"/>
    <w:rsid w:val="009B19F9"/>
    <w:rsid w:val="009B1B30"/>
    <w:rsid w:val="009B312E"/>
    <w:rsid w:val="009B36E7"/>
    <w:rsid w:val="009B4168"/>
    <w:rsid w:val="009B4499"/>
    <w:rsid w:val="009B454F"/>
    <w:rsid w:val="009B46E9"/>
    <w:rsid w:val="009B476A"/>
    <w:rsid w:val="009B5546"/>
    <w:rsid w:val="009B5972"/>
    <w:rsid w:val="009B6416"/>
    <w:rsid w:val="009B743C"/>
    <w:rsid w:val="009C0B53"/>
    <w:rsid w:val="009C16C6"/>
    <w:rsid w:val="009C173A"/>
    <w:rsid w:val="009C1B8F"/>
    <w:rsid w:val="009C1F0B"/>
    <w:rsid w:val="009C2194"/>
    <w:rsid w:val="009C3C0A"/>
    <w:rsid w:val="009C4F14"/>
    <w:rsid w:val="009C523D"/>
    <w:rsid w:val="009C5B87"/>
    <w:rsid w:val="009C5C41"/>
    <w:rsid w:val="009C6192"/>
    <w:rsid w:val="009C6522"/>
    <w:rsid w:val="009C70BD"/>
    <w:rsid w:val="009C728A"/>
    <w:rsid w:val="009D0347"/>
    <w:rsid w:val="009D1076"/>
    <w:rsid w:val="009D3171"/>
    <w:rsid w:val="009D376C"/>
    <w:rsid w:val="009D4009"/>
    <w:rsid w:val="009D4876"/>
    <w:rsid w:val="009D4A0B"/>
    <w:rsid w:val="009D5671"/>
    <w:rsid w:val="009D6DD6"/>
    <w:rsid w:val="009D71E0"/>
    <w:rsid w:val="009D763D"/>
    <w:rsid w:val="009D7F8E"/>
    <w:rsid w:val="009E034F"/>
    <w:rsid w:val="009E0AE9"/>
    <w:rsid w:val="009E0B0B"/>
    <w:rsid w:val="009E1E61"/>
    <w:rsid w:val="009E2D60"/>
    <w:rsid w:val="009E2DB4"/>
    <w:rsid w:val="009E33E9"/>
    <w:rsid w:val="009E3958"/>
    <w:rsid w:val="009E66E2"/>
    <w:rsid w:val="009E742F"/>
    <w:rsid w:val="009E7531"/>
    <w:rsid w:val="009F08EE"/>
    <w:rsid w:val="009F0B87"/>
    <w:rsid w:val="009F1F84"/>
    <w:rsid w:val="009F2361"/>
    <w:rsid w:val="009F242A"/>
    <w:rsid w:val="009F274D"/>
    <w:rsid w:val="009F41E3"/>
    <w:rsid w:val="009F54BD"/>
    <w:rsid w:val="009F581B"/>
    <w:rsid w:val="009F7895"/>
    <w:rsid w:val="00A0001A"/>
    <w:rsid w:val="00A00902"/>
    <w:rsid w:val="00A00993"/>
    <w:rsid w:val="00A00CDA"/>
    <w:rsid w:val="00A01529"/>
    <w:rsid w:val="00A022C2"/>
    <w:rsid w:val="00A02496"/>
    <w:rsid w:val="00A037A7"/>
    <w:rsid w:val="00A048B1"/>
    <w:rsid w:val="00A04A7E"/>
    <w:rsid w:val="00A04B46"/>
    <w:rsid w:val="00A059D9"/>
    <w:rsid w:val="00A07F7C"/>
    <w:rsid w:val="00A10168"/>
    <w:rsid w:val="00A10557"/>
    <w:rsid w:val="00A10C5D"/>
    <w:rsid w:val="00A114A1"/>
    <w:rsid w:val="00A11E78"/>
    <w:rsid w:val="00A12728"/>
    <w:rsid w:val="00A1278F"/>
    <w:rsid w:val="00A127F4"/>
    <w:rsid w:val="00A129DB"/>
    <w:rsid w:val="00A1372F"/>
    <w:rsid w:val="00A148A9"/>
    <w:rsid w:val="00A14F7C"/>
    <w:rsid w:val="00A1563B"/>
    <w:rsid w:val="00A157CC"/>
    <w:rsid w:val="00A17EBF"/>
    <w:rsid w:val="00A20C38"/>
    <w:rsid w:val="00A211EC"/>
    <w:rsid w:val="00A216BB"/>
    <w:rsid w:val="00A23236"/>
    <w:rsid w:val="00A237B2"/>
    <w:rsid w:val="00A24126"/>
    <w:rsid w:val="00A24584"/>
    <w:rsid w:val="00A25415"/>
    <w:rsid w:val="00A25478"/>
    <w:rsid w:val="00A2565C"/>
    <w:rsid w:val="00A2597E"/>
    <w:rsid w:val="00A3077D"/>
    <w:rsid w:val="00A30D76"/>
    <w:rsid w:val="00A325AF"/>
    <w:rsid w:val="00A33197"/>
    <w:rsid w:val="00A34AE3"/>
    <w:rsid w:val="00A35516"/>
    <w:rsid w:val="00A36200"/>
    <w:rsid w:val="00A36CBD"/>
    <w:rsid w:val="00A3788B"/>
    <w:rsid w:val="00A40219"/>
    <w:rsid w:val="00A4080E"/>
    <w:rsid w:val="00A4359B"/>
    <w:rsid w:val="00A44813"/>
    <w:rsid w:val="00A452D7"/>
    <w:rsid w:val="00A457FB"/>
    <w:rsid w:val="00A46079"/>
    <w:rsid w:val="00A463F7"/>
    <w:rsid w:val="00A470AA"/>
    <w:rsid w:val="00A478A9"/>
    <w:rsid w:val="00A47C32"/>
    <w:rsid w:val="00A47F86"/>
    <w:rsid w:val="00A5071E"/>
    <w:rsid w:val="00A51551"/>
    <w:rsid w:val="00A51C5C"/>
    <w:rsid w:val="00A51C8D"/>
    <w:rsid w:val="00A52BDC"/>
    <w:rsid w:val="00A530A2"/>
    <w:rsid w:val="00A5446B"/>
    <w:rsid w:val="00A55990"/>
    <w:rsid w:val="00A56939"/>
    <w:rsid w:val="00A56A85"/>
    <w:rsid w:val="00A57196"/>
    <w:rsid w:val="00A572B3"/>
    <w:rsid w:val="00A576F7"/>
    <w:rsid w:val="00A579AF"/>
    <w:rsid w:val="00A6109E"/>
    <w:rsid w:val="00A613DF"/>
    <w:rsid w:val="00A6163A"/>
    <w:rsid w:val="00A616D2"/>
    <w:rsid w:val="00A6196A"/>
    <w:rsid w:val="00A622F1"/>
    <w:rsid w:val="00A62491"/>
    <w:rsid w:val="00A62A02"/>
    <w:rsid w:val="00A635D0"/>
    <w:rsid w:val="00A6363C"/>
    <w:rsid w:val="00A642BE"/>
    <w:rsid w:val="00A6462B"/>
    <w:rsid w:val="00A647BC"/>
    <w:rsid w:val="00A6598E"/>
    <w:rsid w:val="00A65BBF"/>
    <w:rsid w:val="00A65D7D"/>
    <w:rsid w:val="00A66827"/>
    <w:rsid w:val="00A67907"/>
    <w:rsid w:val="00A73781"/>
    <w:rsid w:val="00A73B26"/>
    <w:rsid w:val="00A73D04"/>
    <w:rsid w:val="00A741ED"/>
    <w:rsid w:val="00A74AD0"/>
    <w:rsid w:val="00A7540E"/>
    <w:rsid w:val="00A7550E"/>
    <w:rsid w:val="00A756CB"/>
    <w:rsid w:val="00A75A64"/>
    <w:rsid w:val="00A75AAE"/>
    <w:rsid w:val="00A75B87"/>
    <w:rsid w:val="00A76471"/>
    <w:rsid w:val="00A7676D"/>
    <w:rsid w:val="00A76CDB"/>
    <w:rsid w:val="00A7756B"/>
    <w:rsid w:val="00A803F5"/>
    <w:rsid w:val="00A80637"/>
    <w:rsid w:val="00A833F0"/>
    <w:rsid w:val="00A83C70"/>
    <w:rsid w:val="00A84B88"/>
    <w:rsid w:val="00A84B9E"/>
    <w:rsid w:val="00A858DD"/>
    <w:rsid w:val="00A859AA"/>
    <w:rsid w:val="00A86052"/>
    <w:rsid w:val="00A866B1"/>
    <w:rsid w:val="00A902B3"/>
    <w:rsid w:val="00A90900"/>
    <w:rsid w:val="00A91FE8"/>
    <w:rsid w:val="00A9266D"/>
    <w:rsid w:val="00A9292B"/>
    <w:rsid w:val="00A92A91"/>
    <w:rsid w:val="00A93552"/>
    <w:rsid w:val="00A9373B"/>
    <w:rsid w:val="00A93FB9"/>
    <w:rsid w:val="00A94326"/>
    <w:rsid w:val="00A9642D"/>
    <w:rsid w:val="00A96B3D"/>
    <w:rsid w:val="00A96E1B"/>
    <w:rsid w:val="00AA0C5E"/>
    <w:rsid w:val="00AA0D7A"/>
    <w:rsid w:val="00AA1332"/>
    <w:rsid w:val="00AA2931"/>
    <w:rsid w:val="00AA2B82"/>
    <w:rsid w:val="00AA483C"/>
    <w:rsid w:val="00AA4D5B"/>
    <w:rsid w:val="00AA54E4"/>
    <w:rsid w:val="00AA5F45"/>
    <w:rsid w:val="00AA640F"/>
    <w:rsid w:val="00AA7692"/>
    <w:rsid w:val="00AB0131"/>
    <w:rsid w:val="00AB075A"/>
    <w:rsid w:val="00AB1134"/>
    <w:rsid w:val="00AB1188"/>
    <w:rsid w:val="00AB13C8"/>
    <w:rsid w:val="00AB1809"/>
    <w:rsid w:val="00AB204F"/>
    <w:rsid w:val="00AB293C"/>
    <w:rsid w:val="00AB2C2B"/>
    <w:rsid w:val="00AB4004"/>
    <w:rsid w:val="00AB42D9"/>
    <w:rsid w:val="00AB62B2"/>
    <w:rsid w:val="00AB66D3"/>
    <w:rsid w:val="00AB66F4"/>
    <w:rsid w:val="00AB6AFD"/>
    <w:rsid w:val="00AB6B77"/>
    <w:rsid w:val="00AB6CCB"/>
    <w:rsid w:val="00AB6DCA"/>
    <w:rsid w:val="00AC09DC"/>
    <w:rsid w:val="00AC2B9F"/>
    <w:rsid w:val="00AC2C1B"/>
    <w:rsid w:val="00AC2DE6"/>
    <w:rsid w:val="00AC32CB"/>
    <w:rsid w:val="00AC42E1"/>
    <w:rsid w:val="00AC4494"/>
    <w:rsid w:val="00AC44C2"/>
    <w:rsid w:val="00AC63F6"/>
    <w:rsid w:val="00AC679A"/>
    <w:rsid w:val="00AC67B5"/>
    <w:rsid w:val="00AC6CCA"/>
    <w:rsid w:val="00AC6F1A"/>
    <w:rsid w:val="00AD1326"/>
    <w:rsid w:val="00AD207E"/>
    <w:rsid w:val="00AD214A"/>
    <w:rsid w:val="00AD2422"/>
    <w:rsid w:val="00AD2B8D"/>
    <w:rsid w:val="00AD323A"/>
    <w:rsid w:val="00AD3F5D"/>
    <w:rsid w:val="00AD4DAF"/>
    <w:rsid w:val="00AD56D3"/>
    <w:rsid w:val="00AD72A1"/>
    <w:rsid w:val="00AE1904"/>
    <w:rsid w:val="00AE1F5B"/>
    <w:rsid w:val="00AE342E"/>
    <w:rsid w:val="00AE3F69"/>
    <w:rsid w:val="00AE4EB9"/>
    <w:rsid w:val="00AE64DD"/>
    <w:rsid w:val="00AF0FD8"/>
    <w:rsid w:val="00AF1C5B"/>
    <w:rsid w:val="00AF2811"/>
    <w:rsid w:val="00AF2A71"/>
    <w:rsid w:val="00AF2EA9"/>
    <w:rsid w:val="00AF2EDA"/>
    <w:rsid w:val="00AF33CB"/>
    <w:rsid w:val="00AF5876"/>
    <w:rsid w:val="00AF5B53"/>
    <w:rsid w:val="00AF5C4B"/>
    <w:rsid w:val="00AF5EC5"/>
    <w:rsid w:val="00AF6101"/>
    <w:rsid w:val="00AF6378"/>
    <w:rsid w:val="00AF6919"/>
    <w:rsid w:val="00AF6FF7"/>
    <w:rsid w:val="00B017E3"/>
    <w:rsid w:val="00B027F5"/>
    <w:rsid w:val="00B02945"/>
    <w:rsid w:val="00B02DC9"/>
    <w:rsid w:val="00B037CB"/>
    <w:rsid w:val="00B03D30"/>
    <w:rsid w:val="00B03DC7"/>
    <w:rsid w:val="00B04D56"/>
    <w:rsid w:val="00B05A99"/>
    <w:rsid w:val="00B102C6"/>
    <w:rsid w:val="00B10310"/>
    <w:rsid w:val="00B10C93"/>
    <w:rsid w:val="00B10D3A"/>
    <w:rsid w:val="00B118A4"/>
    <w:rsid w:val="00B11E38"/>
    <w:rsid w:val="00B123F5"/>
    <w:rsid w:val="00B12494"/>
    <w:rsid w:val="00B13277"/>
    <w:rsid w:val="00B13F70"/>
    <w:rsid w:val="00B15702"/>
    <w:rsid w:val="00B15B9B"/>
    <w:rsid w:val="00B15C58"/>
    <w:rsid w:val="00B15F3D"/>
    <w:rsid w:val="00B16CCC"/>
    <w:rsid w:val="00B21EB4"/>
    <w:rsid w:val="00B21F57"/>
    <w:rsid w:val="00B225DA"/>
    <w:rsid w:val="00B2363E"/>
    <w:rsid w:val="00B24110"/>
    <w:rsid w:val="00B25ACE"/>
    <w:rsid w:val="00B25BCC"/>
    <w:rsid w:val="00B30AFE"/>
    <w:rsid w:val="00B3123E"/>
    <w:rsid w:val="00B315E8"/>
    <w:rsid w:val="00B319A1"/>
    <w:rsid w:val="00B31FFE"/>
    <w:rsid w:val="00B324B5"/>
    <w:rsid w:val="00B32554"/>
    <w:rsid w:val="00B32CC9"/>
    <w:rsid w:val="00B33437"/>
    <w:rsid w:val="00B35347"/>
    <w:rsid w:val="00B3562A"/>
    <w:rsid w:val="00B35B35"/>
    <w:rsid w:val="00B37610"/>
    <w:rsid w:val="00B37773"/>
    <w:rsid w:val="00B40497"/>
    <w:rsid w:val="00B40773"/>
    <w:rsid w:val="00B41C77"/>
    <w:rsid w:val="00B4245D"/>
    <w:rsid w:val="00B42C37"/>
    <w:rsid w:val="00B42F0A"/>
    <w:rsid w:val="00B43896"/>
    <w:rsid w:val="00B44323"/>
    <w:rsid w:val="00B44D8A"/>
    <w:rsid w:val="00B4514C"/>
    <w:rsid w:val="00B46B86"/>
    <w:rsid w:val="00B47EB4"/>
    <w:rsid w:val="00B50117"/>
    <w:rsid w:val="00B501DB"/>
    <w:rsid w:val="00B5140B"/>
    <w:rsid w:val="00B51A0A"/>
    <w:rsid w:val="00B5222A"/>
    <w:rsid w:val="00B5308B"/>
    <w:rsid w:val="00B53A7B"/>
    <w:rsid w:val="00B5552D"/>
    <w:rsid w:val="00B558A5"/>
    <w:rsid w:val="00B55EDD"/>
    <w:rsid w:val="00B60436"/>
    <w:rsid w:val="00B60D01"/>
    <w:rsid w:val="00B60E53"/>
    <w:rsid w:val="00B612FD"/>
    <w:rsid w:val="00B613AF"/>
    <w:rsid w:val="00B61436"/>
    <w:rsid w:val="00B6182B"/>
    <w:rsid w:val="00B61C2D"/>
    <w:rsid w:val="00B61F9E"/>
    <w:rsid w:val="00B628DF"/>
    <w:rsid w:val="00B62D31"/>
    <w:rsid w:val="00B639AD"/>
    <w:rsid w:val="00B6476F"/>
    <w:rsid w:val="00B64A3E"/>
    <w:rsid w:val="00B64B14"/>
    <w:rsid w:val="00B656D8"/>
    <w:rsid w:val="00B66BA3"/>
    <w:rsid w:val="00B70561"/>
    <w:rsid w:val="00B71E1F"/>
    <w:rsid w:val="00B725A4"/>
    <w:rsid w:val="00B73249"/>
    <w:rsid w:val="00B7378E"/>
    <w:rsid w:val="00B742B6"/>
    <w:rsid w:val="00B74830"/>
    <w:rsid w:val="00B75BA8"/>
    <w:rsid w:val="00B77488"/>
    <w:rsid w:val="00B77872"/>
    <w:rsid w:val="00B77D21"/>
    <w:rsid w:val="00B808E0"/>
    <w:rsid w:val="00B8108D"/>
    <w:rsid w:val="00B81F27"/>
    <w:rsid w:val="00B83C7B"/>
    <w:rsid w:val="00B846A1"/>
    <w:rsid w:val="00B85B08"/>
    <w:rsid w:val="00B879B9"/>
    <w:rsid w:val="00B879F9"/>
    <w:rsid w:val="00B87A93"/>
    <w:rsid w:val="00B87B82"/>
    <w:rsid w:val="00B87E03"/>
    <w:rsid w:val="00B90A3D"/>
    <w:rsid w:val="00B91309"/>
    <w:rsid w:val="00B91389"/>
    <w:rsid w:val="00B91CB7"/>
    <w:rsid w:val="00B91E67"/>
    <w:rsid w:val="00B92076"/>
    <w:rsid w:val="00B93B55"/>
    <w:rsid w:val="00B93FFA"/>
    <w:rsid w:val="00B95434"/>
    <w:rsid w:val="00B95A25"/>
    <w:rsid w:val="00B971D2"/>
    <w:rsid w:val="00B9797C"/>
    <w:rsid w:val="00B979B5"/>
    <w:rsid w:val="00B97DB3"/>
    <w:rsid w:val="00BA0BEF"/>
    <w:rsid w:val="00BA35CC"/>
    <w:rsid w:val="00BA3886"/>
    <w:rsid w:val="00BA3C63"/>
    <w:rsid w:val="00BA462B"/>
    <w:rsid w:val="00BA4FFB"/>
    <w:rsid w:val="00BA5510"/>
    <w:rsid w:val="00BA5B47"/>
    <w:rsid w:val="00BA5D31"/>
    <w:rsid w:val="00BA67D2"/>
    <w:rsid w:val="00BA6BC3"/>
    <w:rsid w:val="00BA727C"/>
    <w:rsid w:val="00BB2CCB"/>
    <w:rsid w:val="00BB3484"/>
    <w:rsid w:val="00BB44A8"/>
    <w:rsid w:val="00BB5147"/>
    <w:rsid w:val="00BB52DB"/>
    <w:rsid w:val="00BB53FE"/>
    <w:rsid w:val="00BB56BF"/>
    <w:rsid w:val="00BB594F"/>
    <w:rsid w:val="00BB5D77"/>
    <w:rsid w:val="00BB6731"/>
    <w:rsid w:val="00BB68EA"/>
    <w:rsid w:val="00BB78F1"/>
    <w:rsid w:val="00BC0884"/>
    <w:rsid w:val="00BC0C95"/>
    <w:rsid w:val="00BC2412"/>
    <w:rsid w:val="00BC297D"/>
    <w:rsid w:val="00BC30CD"/>
    <w:rsid w:val="00BC584D"/>
    <w:rsid w:val="00BC5B5B"/>
    <w:rsid w:val="00BC5F01"/>
    <w:rsid w:val="00BC7701"/>
    <w:rsid w:val="00BC7EE7"/>
    <w:rsid w:val="00BD05DC"/>
    <w:rsid w:val="00BD0A0E"/>
    <w:rsid w:val="00BD0DEF"/>
    <w:rsid w:val="00BD1524"/>
    <w:rsid w:val="00BD21D5"/>
    <w:rsid w:val="00BD3062"/>
    <w:rsid w:val="00BD31B8"/>
    <w:rsid w:val="00BD4441"/>
    <w:rsid w:val="00BD49EC"/>
    <w:rsid w:val="00BD4BE5"/>
    <w:rsid w:val="00BD4F70"/>
    <w:rsid w:val="00BD5BE8"/>
    <w:rsid w:val="00BD5D40"/>
    <w:rsid w:val="00BD63F7"/>
    <w:rsid w:val="00BD70E9"/>
    <w:rsid w:val="00BD7656"/>
    <w:rsid w:val="00BE154D"/>
    <w:rsid w:val="00BE2848"/>
    <w:rsid w:val="00BE297A"/>
    <w:rsid w:val="00BE2C45"/>
    <w:rsid w:val="00BE2FBE"/>
    <w:rsid w:val="00BE41AD"/>
    <w:rsid w:val="00BE5632"/>
    <w:rsid w:val="00BE57C8"/>
    <w:rsid w:val="00BE7AE9"/>
    <w:rsid w:val="00BE7CC3"/>
    <w:rsid w:val="00BE7F33"/>
    <w:rsid w:val="00BF0648"/>
    <w:rsid w:val="00BF2121"/>
    <w:rsid w:val="00BF2B5D"/>
    <w:rsid w:val="00BF3327"/>
    <w:rsid w:val="00BF37A2"/>
    <w:rsid w:val="00BF47E9"/>
    <w:rsid w:val="00BF4A7A"/>
    <w:rsid w:val="00BF5504"/>
    <w:rsid w:val="00BF651F"/>
    <w:rsid w:val="00BF691C"/>
    <w:rsid w:val="00BF6DEA"/>
    <w:rsid w:val="00BF71F2"/>
    <w:rsid w:val="00BF7A1D"/>
    <w:rsid w:val="00C00BFD"/>
    <w:rsid w:val="00C0211B"/>
    <w:rsid w:val="00C02D5F"/>
    <w:rsid w:val="00C02DD3"/>
    <w:rsid w:val="00C03CA9"/>
    <w:rsid w:val="00C03FCA"/>
    <w:rsid w:val="00C0450A"/>
    <w:rsid w:val="00C074C8"/>
    <w:rsid w:val="00C079F3"/>
    <w:rsid w:val="00C07D74"/>
    <w:rsid w:val="00C10739"/>
    <w:rsid w:val="00C11196"/>
    <w:rsid w:val="00C118E4"/>
    <w:rsid w:val="00C11BA0"/>
    <w:rsid w:val="00C126F0"/>
    <w:rsid w:val="00C12DDE"/>
    <w:rsid w:val="00C1377D"/>
    <w:rsid w:val="00C13898"/>
    <w:rsid w:val="00C146C8"/>
    <w:rsid w:val="00C1615B"/>
    <w:rsid w:val="00C17136"/>
    <w:rsid w:val="00C20ABC"/>
    <w:rsid w:val="00C20C85"/>
    <w:rsid w:val="00C20F80"/>
    <w:rsid w:val="00C2113B"/>
    <w:rsid w:val="00C231C1"/>
    <w:rsid w:val="00C2354A"/>
    <w:rsid w:val="00C2380B"/>
    <w:rsid w:val="00C23D40"/>
    <w:rsid w:val="00C24F16"/>
    <w:rsid w:val="00C27C5C"/>
    <w:rsid w:val="00C302CF"/>
    <w:rsid w:val="00C30BCD"/>
    <w:rsid w:val="00C315F3"/>
    <w:rsid w:val="00C32127"/>
    <w:rsid w:val="00C323EF"/>
    <w:rsid w:val="00C32E2A"/>
    <w:rsid w:val="00C33C69"/>
    <w:rsid w:val="00C33E4D"/>
    <w:rsid w:val="00C33ED1"/>
    <w:rsid w:val="00C3411B"/>
    <w:rsid w:val="00C34641"/>
    <w:rsid w:val="00C34B80"/>
    <w:rsid w:val="00C3637B"/>
    <w:rsid w:val="00C37621"/>
    <w:rsid w:val="00C37E55"/>
    <w:rsid w:val="00C4017E"/>
    <w:rsid w:val="00C40316"/>
    <w:rsid w:val="00C4172D"/>
    <w:rsid w:val="00C42807"/>
    <w:rsid w:val="00C431C1"/>
    <w:rsid w:val="00C44A6E"/>
    <w:rsid w:val="00C44B41"/>
    <w:rsid w:val="00C4508C"/>
    <w:rsid w:val="00C47101"/>
    <w:rsid w:val="00C4792E"/>
    <w:rsid w:val="00C47CAB"/>
    <w:rsid w:val="00C47D0C"/>
    <w:rsid w:val="00C5154D"/>
    <w:rsid w:val="00C523AF"/>
    <w:rsid w:val="00C53421"/>
    <w:rsid w:val="00C53E86"/>
    <w:rsid w:val="00C54516"/>
    <w:rsid w:val="00C54E14"/>
    <w:rsid w:val="00C55E02"/>
    <w:rsid w:val="00C56E7A"/>
    <w:rsid w:val="00C575C2"/>
    <w:rsid w:val="00C5783F"/>
    <w:rsid w:val="00C57AED"/>
    <w:rsid w:val="00C57F9F"/>
    <w:rsid w:val="00C605D2"/>
    <w:rsid w:val="00C60670"/>
    <w:rsid w:val="00C60B25"/>
    <w:rsid w:val="00C611F3"/>
    <w:rsid w:val="00C6161F"/>
    <w:rsid w:val="00C625C0"/>
    <w:rsid w:val="00C63801"/>
    <w:rsid w:val="00C63F46"/>
    <w:rsid w:val="00C64503"/>
    <w:rsid w:val="00C65667"/>
    <w:rsid w:val="00C66023"/>
    <w:rsid w:val="00C66A0B"/>
    <w:rsid w:val="00C70C5B"/>
    <w:rsid w:val="00C713CF"/>
    <w:rsid w:val="00C7160B"/>
    <w:rsid w:val="00C718C7"/>
    <w:rsid w:val="00C7399E"/>
    <w:rsid w:val="00C73CC0"/>
    <w:rsid w:val="00C740B8"/>
    <w:rsid w:val="00C74855"/>
    <w:rsid w:val="00C75EE8"/>
    <w:rsid w:val="00C76F6D"/>
    <w:rsid w:val="00C77133"/>
    <w:rsid w:val="00C8169E"/>
    <w:rsid w:val="00C83CBF"/>
    <w:rsid w:val="00C83F0F"/>
    <w:rsid w:val="00C84CFA"/>
    <w:rsid w:val="00C851C2"/>
    <w:rsid w:val="00C85462"/>
    <w:rsid w:val="00C85CDA"/>
    <w:rsid w:val="00C861DD"/>
    <w:rsid w:val="00C8641C"/>
    <w:rsid w:val="00C86515"/>
    <w:rsid w:val="00C86836"/>
    <w:rsid w:val="00C86F7C"/>
    <w:rsid w:val="00C870B5"/>
    <w:rsid w:val="00C8794A"/>
    <w:rsid w:val="00C87B1B"/>
    <w:rsid w:val="00C9139A"/>
    <w:rsid w:val="00C91F64"/>
    <w:rsid w:val="00C92874"/>
    <w:rsid w:val="00C93441"/>
    <w:rsid w:val="00C94041"/>
    <w:rsid w:val="00C94CC6"/>
    <w:rsid w:val="00C94E1E"/>
    <w:rsid w:val="00C95B28"/>
    <w:rsid w:val="00C961F7"/>
    <w:rsid w:val="00C963DB"/>
    <w:rsid w:val="00C97EC9"/>
    <w:rsid w:val="00C97FE6"/>
    <w:rsid w:val="00CA022E"/>
    <w:rsid w:val="00CA0A11"/>
    <w:rsid w:val="00CA0CB6"/>
    <w:rsid w:val="00CA1479"/>
    <w:rsid w:val="00CA2FC8"/>
    <w:rsid w:val="00CA342D"/>
    <w:rsid w:val="00CA3B2D"/>
    <w:rsid w:val="00CA3D6F"/>
    <w:rsid w:val="00CA3FE1"/>
    <w:rsid w:val="00CA41F1"/>
    <w:rsid w:val="00CA65C7"/>
    <w:rsid w:val="00CA7449"/>
    <w:rsid w:val="00CA7565"/>
    <w:rsid w:val="00CA7E99"/>
    <w:rsid w:val="00CB003B"/>
    <w:rsid w:val="00CB048E"/>
    <w:rsid w:val="00CB0DFD"/>
    <w:rsid w:val="00CB135E"/>
    <w:rsid w:val="00CB1458"/>
    <w:rsid w:val="00CB1493"/>
    <w:rsid w:val="00CB34D3"/>
    <w:rsid w:val="00CB3942"/>
    <w:rsid w:val="00CB4432"/>
    <w:rsid w:val="00CB4A26"/>
    <w:rsid w:val="00CB5484"/>
    <w:rsid w:val="00CB5806"/>
    <w:rsid w:val="00CB60BE"/>
    <w:rsid w:val="00CB653B"/>
    <w:rsid w:val="00CB6BEB"/>
    <w:rsid w:val="00CB7496"/>
    <w:rsid w:val="00CB7A40"/>
    <w:rsid w:val="00CB7B1A"/>
    <w:rsid w:val="00CC0267"/>
    <w:rsid w:val="00CC1A97"/>
    <w:rsid w:val="00CC1B72"/>
    <w:rsid w:val="00CC20C6"/>
    <w:rsid w:val="00CC21D3"/>
    <w:rsid w:val="00CC22C0"/>
    <w:rsid w:val="00CC2B86"/>
    <w:rsid w:val="00CC4CEB"/>
    <w:rsid w:val="00CC4D39"/>
    <w:rsid w:val="00CC505A"/>
    <w:rsid w:val="00CC53D1"/>
    <w:rsid w:val="00CC58BC"/>
    <w:rsid w:val="00CC5B01"/>
    <w:rsid w:val="00CC7263"/>
    <w:rsid w:val="00CD057B"/>
    <w:rsid w:val="00CD15CD"/>
    <w:rsid w:val="00CD1DC4"/>
    <w:rsid w:val="00CD21A7"/>
    <w:rsid w:val="00CD35FE"/>
    <w:rsid w:val="00CD67B3"/>
    <w:rsid w:val="00CD749B"/>
    <w:rsid w:val="00CD7D38"/>
    <w:rsid w:val="00CE156D"/>
    <w:rsid w:val="00CE2E4B"/>
    <w:rsid w:val="00CE34DD"/>
    <w:rsid w:val="00CE46FE"/>
    <w:rsid w:val="00CE5CD6"/>
    <w:rsid w:val="00CE61E6"/>
    <w:rsid w:val="00CE67EB"/>
    <w:rsid w:val="00CE73A7"/>
    <w:rsid w:val="00CE7492"/>
    <w:rsid w:val="00CE7B6F"/>
    <w:rsid w:val="00CF0C10"/>
    <w:rsid w:val="00CF0CD8"/>
    <w:rsid w:val="00CF13E2"/>
    <w:rsid w:val="00CF270F"/>
    <w:rsid w:val="00CF3006"/>
    <w:rsid w:val="00CF3745"/>
    <w:rsid w:val="00CF40AF"/>
    <w:rsid w:val="00CF5FAA"/>
    <w:rsid w:val="00CF6116"/>
    <w:rsid w:val="00CF6861"/>
    <w:rsid w:val="00CF6987"/>
    <w:rsid w:val="00CF6DF9"/>
    <w:rsid w:val="00CF6E1F"/>
    <w:rsid w:val="00CF7A90"/>
    <w:rsid w:val="00D004A3"/>
    <w:rsid w:val="00D00732"/>
    <w:rsid w:val="00D0116C"/>
    <w:rsid w:val="00D01673"/>
    <w:rsid w:val="00D01CA5"/>
    <w:rsid w:val="00D01F6B"/>
    <w:rsid w:val="00D02445"/>
    <w:rsid w:val="00D030BA"/>
    <w:rsid w:val="00D03907"/>
    <w:rsid w:val="00D05B2F"/>
    <w:rsid w:val="00D062BD"/>
    <w:rsid w:val="00D06DDA"/>
    <w:rsid w:val="00D07F2E"/>
    <w:rsid w:val="00D101D8"/>
    <w:rsid w:val="00D1049B"/>
    <w:rsid w:val="00D10EA0"/>
    <w:rsid w:val="00D110F3"/>
    <w:rsid w:val="00D11498"/>
    <w:rsid w:val="00D11CD2"/>
    <w:rsid w:val="00D13844"/>
    <w:rsid w:val="00D13F93"/>
    <w:rsid w:val="00D14AF2"/>
    <w:rsid w:val="00D159BC"/>
    <w:rsid w:val="00D169B3"/>
    <w:rsid w:val="00D206F0"/>
    <w:rsid w:val="00D20B62"/>
    <w:rsid w:val="00D21135"/>
    <w:rsid w:val="00D22046"/>
    <w:rsid w:val="00D225FB"/>
    <w:rsid w:val="00D2360B"/>
    <w:rsid w:val="00D236C1"/>
    <w:rsid w:val="00D23E8D"/>
    <w:rsid w:val="00D24322"/>
    <w:rsid w:val="00D24A79"/>
    <w:rsid w:val="00D264FF"/>
    <w:rsid w:val="00D26946"/>
    <w:rsid w:val="00D27031"/>
    <w:rsid w:val="00D27EA0"/>
    <w:rsid w:val="00D30658"/>
    <w:rsid w:val="00D31082"/>
    <w:rsid w:val="00D31462"/>
    <w:rsid w:val="00D3265E"/>
    <w:rsid w:val="00D32A2F"/>
    <w:rsid w:val="00D33314"/>
    <w:rsid w:val="00D3347F"/>
    <w:rsid w:val="00D341FA"/>
    <w:rsid w:val="00D34BCB"/>
    <w:rsid w:val="00D34C29"/>
    <w:rsid w:val="00D36299"/>
    <w:rsid w:val="00D4150A"/>
    <w:rsid w:val="00D425BF"/>
    <w:rsid w:val="00D42918"/>
    <w:rsid w:val="00D42985"/>
    <w:rsid w:val="00D42CD6"/>
    <w:rsid w:val="00D42D79"/>
    <w:rsid w:val="00D42ECF"/>
    <w:rsid w:val="00D437CA"/>
    <w:rsid w:val="00D43F3A"/>
    <w:rsid w:val="00D44BCE"/>
    <w:rsid w:val="00D44E73"/>
    <w:rsid w:val="00D45C7F"/>
    <w:rsid w:val="00D46020"/>
    <w:rsid w:val="00D46760"/>
    <w:rsid w:val="00D46A02"/>
    <w:rsid w:val="00D5014E"/>
    <w:rsid w:val="00D50A8A"/>
    <w:rsid w:val="00D50D37"/>
    <w:rsid w:val="00D50ED0"/>
    <w:rsid w:val="00D519E4"/>
    <w:rsid w:val="00D51D55"/>
    <w:rsid w:val="00D53396"/>
    <w:rsid w:val="00D53BFC"/>
    <w:rsid w:val="00D54493"/>
    <w:rsid w:val="00D549B1"/>
    <w:rsid w:val="00D54EA0"/>
    <w:rsid w:val="00D5598C"/>
    <w:rsid w:val="00D55A8F"/>
    <w:rsid w:val="00D56065"/>
    <w:rsid w:val="00D563B4"/>
    <w:rsid w:val="00D5670F"/>
    <w:rsid w:val="00D56DB8"/>
    <w:rsid w:val="00D570D4"/>
    <w:rsid w:val="00D57B59"/>
    <w:rsid w:val="00D60A96"/>
    <w:rsid w:val="00D60B73"/>
    <w:rsid w:val="00D62420"/>
    <w:rsid w:val="00D6242C"/>
    <w:rsid w:val="00D628BB"/>
    <w:rsid w:val="00D62C3A"/>
    <w:rsid w:val="00D630E0"/>
    <w:rsid w:val="00D63367"/>
    <w:rsid w:val="00D6339E"/>
    <w:rsid w:val="00D633F1"/>
    <w:rsid w:val="00D63D3C"/>
    <w:rsid w:val="00D64227"/>
    <w:rsid w:val="00D653FC"/>
    <w:rsid w:val="00D66824"/>
    <w:rsid w:val="00D66A64"/>
    <w:rsid w:val="00D704DC"/>
    <w:rsid w:val="00D7053E"/>
    <w:rsid w:val="00D709FB"/>
    <w:rsid w:val="00D7125E"/>
    <w:rsid w:val="00D71585"/>
    <w:rsid w:val="00D722C7"/>
    <w:rsid w:val="00D737E4"/>
    <w:rsid w:val="00D73CC5"/>
    <w:rsid w:val="00D7489E"/>
    <w:rsid w:val="00D7500C"/>
    <w:rsid w:val="00D75466"/>
    <w:rsid w:val="00D75531"/>
    <w:rsid w:val="00D7628E"/>
    <w:rsid w:val="00D768FD"/>
    <w:rsid w:val="00D77484"/>
    <w:rsid w:val="00D77924"/>
    <w:rsid w:val="00D77E3C"/>
    <w:rsid w:val="00D77FAD"/>
    <w:rsid w:val="00D81466"/>
    <w:rsid w:val="00D81614"/>
    <w:rsid w:val="00D81EB3"/>
    <w:rsid w:val="00D81FCF"/>
    <w:rsid w:val="00D825F4"/>
    <w:rsid w:val="00D82745"/>
    <w:rsid w:val="00D8358D"/>
    <w:rsid w:val="00D83805"/>
    <w:rsid w:val="00D84037"/>
    <w:rsid w:val="00D841C8"/>
    <w:rsid w:val="00D841CC"/>
    <w:rsid w:val="00D84620"/>
    <w:rsid w:val="00D848BA"/>
    <w:rsid w:val="00D84AEE"/>
    <w:rsid w:val="00D85830"/>
    <w:rsid w:val="00D85B5A"/>
    <w:rsid w:val="00D863E3"/>
    <w:rsid w:val="00D8656C"/>
    <w:rsid w:val="00D8695F"/>
    <w:rsid w:val="00D86BB7"/>
    <w:rsid w:val="00D87928"/>
    <w:rsid w:val="00D9081F"/>
    <w:rsid w:val="00D90B9E"/>
    <w:rsid w:val="00D9213E"/>
    <w:rsid w:val="00D924AC"/>
    <w:rsid w:val="00D92B1E"/>
    <w:rsid w:val="00D94EBC"/>
    <w:rsid w:val="00D954D8"/>
    <w:rsid w:val="00D95B16"/>
    <w:rsid w:val="00D971AD"/>
    <w:rsid w:val="00D97BD4"/>
    <w:rsid w:val="00D97C72"/>
    <w:rsid w:val="00DA0886"/>
    <w:rsid w:val="00DA08A5"/>
    <w:rsid w:val="00DA1740"/>
    <w:rsid w:val="00DA2203"/>
    <w:rsid w:val="00DA2402"/>
    <w:rsid w:val="00DA25A5"/>
    <w:rsid w:val="00DA2F0D"/>
    <w:rsid w:val="00DA3100"/>
    <w:rsid w:val="00DA3A85"/>
    <w:rsid w:val="00DA4DBE"/>
    <w:rsid w:val="00DA4DE2"/>
    <w:rsid w:val="00DA5ED6"/>
    <w:rsid w:val="00DA5EDF"/>
    <w:rsid w:val="00DA6CAC"/>
    <w:rsid w:val="00DB040C"/>
    <w:rsid w:val="00DB1EA1"/>
    <w:rsid w:val="00DB204B"/>
    <w:rsid w:val="00DB259D"/>
    <w:rsid w:val="00DB3C06"/>
    <w:rsid w:val="00DB420D"/>
    <w:rsid w:val="00DB496F"/>
    <w:rsid w:val="00DB4D68"/>
    <w:rsid w:val="00DB4F91"/>
    <w:rsid w:val="00DB59C4"/>
    <w:rsid w:val="00DB6924"/>
    <w:rsid w:val="00DB69AF"/>
    <w:rsid w:val="00DB72FD"/>
    <w:rsid w:val="00DB7C9A"/>
    <w:rsid w:val="00DC0131"/>
    <w:rsid w:val="00DC119B"/>
    <w:rsid w:val="00DC465F"/>
    <w:rsid w:val="00DC46E0"/>
    <w:rsid w:val="00DC4771"/>
    <w:rsid w:val="00DC4E5F"/>
    <w:rsid w:val="00DC5579"/>
    <w:rsid w:val="00DC61ED"/>
    <w:rsid w:val="00DC6477"/>
    <w:rsid w:val="00DC6618"/>
    <w:rsid w:val="00DC6C24"/>
    <w:rsid w:val="00DC7BBB"/>
    <w:rsid w:val="00DD1485"/>
    <w:rsid w:val="00DD1D05"/>
    <w:rsid w:val="00DD1D94"/>
    <w:rsid w:val="00DD296C"/>
    <w:rsid w:val="00DD34A7"/>
    <w:rsid w:val="00DD3B2A"/>
    <w:rsid w:val="00DD3C1F"/>
    <w:rsid w:val="00DD492A"/>
    <w:rsid w:val="00DD4FAB"/>
    <w:rsid w:val="00DD598D"/>
    <w:rsid w:val="00DD6014"/>
    <w:rsid w:val="00DD65A1"/>
    <w:rsid w:val="00DD7308"/>
    <w:rsid w:val="00DD7F3E"/>
    <w:rsid w:val="00DE0400"/>
    <w:rsid w:val="00DE0A76"/>
    <w:rsid w:val="00DE152B"/>
    <w:rsid w:val="00DE1ECD"/>
    <w:rsid w:val="00DE1F1E"/>
    <w:rsid w:val="00DE2C59"/>
    <w:rsid w:val="00DE4373"/>
    <w:rsid w:val="00DE4899"/>
    <w:rsid w:val="00DE4DB2"/>
    <w:rsid w:val="00DE56DF"/>
    <w:rsid w:val="00DE6D3B"/>
    <w:rsid w:val="00DF09BD"/>
    <w:rsid w:val="00DF0E46"/>
    <w:rsid w:val="00DF13B5"/>
    <w:rsid w:val="00DF16ED"/>
    <w:rsid w:val="00DF1C9E"/>
    <w:rsid w:val="00DF37F8"/>
    <w:rsid w:val="00DF3A5D"/>
    <w:rsid w:val="00DF4F4D"/>
    <w:rsid w:val="00DF7056"/>
    <w:rsid w:val="00DF74D2"/>
    <w:rsid w:val="00E00492"/>
    <w:rsid w:val="00E00B73"/>
    <w:rsid w:val="00E01316"/>
    <w:rsid w:val="00E013A5"/>
    <w:rsid w:val="00E01AD6"/>
    <w:rsid w:val="00E01E46"/>
    <w:rsid w:val="00E037EF"/>
    <w:rsid w:val="00E038F5"/>
    <w:rsid w:val="00E03C58"/>
    <w:rsid w:val="00E042BD"/>
    <w:rsid w:val="00E065FC"/>
    <w:rsid w:val="00E067B8"/>
    <w:rsid w:val="00E070C4"/>
    <w:rsid w:val="00E074EC"/>
    <w:rsid w:val="00E077CF"/>
    <w:rsid w:val="00E10AFA"/>
    <w:rsid w:val="00E10D73"/>
    <w:rsid w:val="00E110C9"/>
    <w:rsid w:val="00E11EF2"/>
    <w:rsid w:val="00E127D2"/>
    <w:rsid w:val="00E15A95"/>
    <w:rsid w:val="00E1627F"/>
    <w:rsid w:val="00E16D8B"/>
    <w:rsid w:val="00E17BFD"/>
    <w:rsid w:val="00E20215"/>
    <w:rsid w:val="00E205A5"/>
    <w:rsid w:val="00E20871"/>
    <w:rsid w:val="00E21036"/>
    <w:rsid w:val="00E2187B"/>
    <w:rsid w:val="00E22C5F"/>
    <w:rsid w:val="00E23B55"/>
    <w:rsid w:val="00E247A4"/>
    <w:rsid w:val="00E24835"/>
    <w:rsid w:val="00E2489F"/>
    <w:rsid w:val="00E24D51"/>
    <w:rsid w:val="00E25687"/>
    <w:rsid w:val="00E25DED"/>
    <w:rsid w:val="00E26E5F"/>
    <w:rsid w:val="00E277F8"/>
    <w:rsid w:val="00E30110"/>
    <w:rsid w:val="00E30D45"/>
    <w:rsid w:val="00E31A3D"/>
    <w:rsid w:val="00E32D1D"/>
    <w:rsid w:val="00E32D31"/>
    <w:rsid w:val="00E361AC"/>
    <w:rsid w:val="00E37877"/>
    <w:rsid w:val="00E4027F"/>
    <w:rsid w:val="00E40C81"/>
    <w:rsid w:val="00E40EFA"/>
    <w:rsid w:val="00E41AFF"/>
    <w:rsid w:val="00E42D8F"/>
    <w:rsid w:val="00E4349F"/>
    <w:rsid w:val="00E436F8"/>
    <w:rsid w:val="00E4398F"/>
    <w:rsid w:val="00E44DF7"/>
    <w:rsid w:val="00E45021"/>
    <w:rsid w:val="00E45060"/>
    <w:rsid w:val="00E46A53"/>
    <w:rsid w:val="00E46B6F"/>
    <w:rsid w:val="00E4794A"/>
    <w:rsid w:val="00E5009D"/>
    <w:rsid w:val="00E517E2"/>
    <w:rsid w:val="00E51AFB"/>
    <w:rsid w:val="00E524E8"/>
    <w:rsid w:val="00E52706"/>
    <w:rsid w:val="00E52AA0"/>
    <w:rsid w:val="00E535EF"/>
    <w:rsid w:val="00E539A7"/>
    <w:rsid w:val="00E53C76"/>
    <w:rsid w:val="00E53FBB"/>
    <w:rsid w:val="00E54120"/>
    <w:rsid w:val="00E5419A"/>
    <w:rsid w:val="00E5462A"/>
    <w:rsid w:val="00E55B2F"/>
    <w:rsid w:val="00E56789"/>
    <w:rsid w:val="00E57E51"/>
    <w:rsid w:val="00E57E58"/>
    <w:rsid w:val="00E60C78"/>
    <w:rsid w:val="00E610E3"/>
    <w:rsid w:val="00E61729"/>
    <w:rsid w:val="00E618A0"/>
    <w:rsid w:val="00E61D69"/>
    <w:rsid w:val="00E63FC7"/>
    <w:rsid w:val="00E646A7"/>
    <w:rsid w:val="00E653A2"/>
    <w:rsid w:val="00E67896"/>
    <w:rsid w:val="00E67FAE"/>
    <w:rsid w:val="00E71E77"/>
    <w:rsid w:val="00E72644"/>
    <w:rsid w:val="00E72D54"/>
    <w:rsid w:val="00E739DF"/>
    <w:rsid w:val="00E73F32"/>
    <w:rsid w:val="00E75D83"/>
    <w:rsid w:val="00E767BB"/>
    <w:rsid w:val="00E773DF"/>
    <w:rsid w:val="00E77936"/>
    <w:rsid w:val="00E808F3"/>
    <w:rsid w:val="00E80D02"/>
    <w:rsid w:val="00E80E2E"/>
    <w:rsid w:val="00E80EF0"/>
    <w:rsid w:val="00E80FCF"/>
    <w:rsid w:val="00E81783"/>
    <w:rsid w:val="00E82390"/>
    <w:rsid w:val="00E82FF9"/>
    <w:rsid w:val="00E83094"/>
    <w:rsid w:val="00E84748"/>
    <w:rsid w:val="00E84A08"/>
    <w:rsid w:val="00E863CF"/>
    <w:rsid w:val="00E9054B"/>
    <w:rsid w:val="00E90DD8"/>
    <w:rsid w:val="00E91F3D"/>
    <w:rsid w:val="00E92045"/>
    <w:rsid w:val="00E92812"/>
    <w:rsid w:val="00E9294C"/>
    <w:rsid w:val="00E92B59"/>
    <w:rsid w:val="00E94018"/>
    <w:rsid w:val="00E94C24"/>
    <w:rsid w:val="00E956C4"/>
    <w:rsid w:val="00E95FF0"/>
    <w:rsid w:val="00E96593"/>
    <w:rsid w:val="00E969CC"/>
    <w:rsid w:val="00E97484"/>
    <w:rsid w:val="00E97BC7"/>
    <w:rsid w:val="00EA03A6"/>
    <w:rsid w:val="00EA03C7"/>
    <w:rsid w:val="00EA062A"/>
    <w:rsid w:val="00EA23CE"/>
    <w:rsid w:val="00EA2892"/>
    <w:rsid w:val="00EA2FFA"/>
    <w:rsid w:val="00EA347C"/>
    <w:rsid w:val="00EA4AEB"/>
    <w:rsid w:val="00EA544B"/>
    <w:rsid w:val="00EA55DB"/>
    <w:rsid w:val="00EA5DB8"/>
    <w:rsid w:val="00EA653D"/>
    <w:rsid w:val="00EA719E"/>
    <w:rsid w:val="00EA7AE7"/>
    <w:rsid w:val="00EA7FE9"/>
    <w:rsid w:val="00EB05F4"/>
    <w:rsid w:val="00EB2665"/>
    <w:rsid w:val="00EB2725"/>
    <w:rsid w:val="00EB28B4"/>
    <w:rsid w:val="00EB2F56"/>
    <w:rsid w:val="00EB3123"/>
    <w:rsid w:val="00EB3671"/>
    <w:rsid w:val="00EB39E7"/>
    <w:rsid w:val="00EB48A1"/>
    <w:rsid w:val="00EB588C"/>
    <w:rsid w:val="00EB5C95"/>
    <w:rsid w:val="00EB5DE8"/>
    <w:rsid w:val="00EB667F"/>
    <w:rsid w:val="00EB6AE2"/>
    <w:rsid w:val="00EB7236"/>
    <w:rsid w:val="00EC0732"/>
    <w:rsid w:val="00EC095D"/>
    <w:rsid w:val="00EC0D9A"/>
    <w:rsid w:val="00EC17FD"/>
    <w:rsid w:val="00EC1C24"/>
    <w:rsid w:val="00EC1D35"/>
    <w:rsid w:val="00EC21EC"/>
    <w:rsid w:val="00EC2C6B"/>
    <w:rsid w:val="00EC36AA"/>
    <w:rsid w:val="00EC412C"/>
    <w:rsid w:val="00EC64F6"/>
    <w:rsid w:val="00EC729A"/>
    <w:rsid w:val="00EC7381"/>
    <w:rsid w:val="00ED013C"/>
    <w:rsid w:val="00ED07FE"/>
    <w:rsid w:val="00ED0868"/>
    <w:rsid w:val="00ED0B24"/>
    <w:rsid w:val="00ED1A93"/>
    <w:rsid w:val="00ED2593"/>
    <w:rsid w:val="00ED33B3"/>
    <w:rsid w:val="00ED4B2D"/>
    <w:rsid w:val="00ED5402"/>
    <w:rsid w:val="00ED55EB"/>
    <w:rsid w:val="00ED6261"/>
    <w:rsid w:val="00ED7580"/>
    <w:rsid w:val="00ED7658"/>
    <w:rsid w:val="00ED7F4C"/>
    <w:rsid w:val="00EE3677"/>
    <w:rsid w:val="00EE3BED"/>
    <w:rsid w:val="00EE4308"/>
    <w:rsid w:val="00EE4925"/>
    <w:rsid w:val="00EE50A9"/>
    <w:rsid w:val="00EE5109"/>
    <w:rsid w:val="00EE53F4"/>
    <w:rsid w:val="00EE5895"/>
    <w:rsid w:val="00EE6B5D"/>
    <w:rsid w:val="00EE6D0D"/>
    <w:rsid w:val="00EE7079"/>
    <w:rsid w:val="00EE799A"/>
    <w:rsid w:val="00EF0097"/>
    <w:rsid w:val="00EF1177"/>
    <w:rsid w:val="00EF137A"/>
    <w:rsid w:val="00EF1479"/>
    <w:rsid w:val="00EF1FF2"/>
    <w:rsid w:val="00EF22DE"/>
    <w:rsid w:val="00EF2907"/>
    <w:rsid w:val="00EF2F0D"/>
    <w:rsid w:val="00EF355B"/>
    <w:rsid w:val="00EF4936"/>
    <w:rsid w:val="00EF52C2"/>
    <w:rsid w:val="00EF5600"/>
    <w:rsid w:val="00EF5E76"/>
    <w:rsid w:val="00EF62C7"/>
    <w:rsid w:val="00EF6843"/>
    <w:rsid w:val="00EF6C96"/>
    <w:rsid w:val="00F00688"/>
    <w:rsid w:val="00F00BC8"/>
    <w:rsid w:val="00F016AE"/>
    <w:rsid w:val="00F01D89"/>
    <w:rsid w:val="00F01EDF"/>
    <w:rsid w:val="00F02E64"/>
    <w:rsid w:val="00F035D4"/>
    <w:rsid w:val="00F03FC5"/>
    <w:rsid w:val="00F056D9"/>
    <w:rsid w:val="00F0570E"/>
    <w:rsid w:val="00F06905"/>
    <w:rsid w:val="00F076CD"/>
    <w:rsid w:val="00F104B2"/>
    <w:rsid w:val="00F104D7"/>
    <w:rsid w:val="00F11B69"/>
    <w:rsid w:val="00F11BE6"/>
    <w:rsid w:val="00F12950"/>
    <w:rsid w:val="00F1486B"/>
    <w:rsid w:val="00F17127"/>
    <w:rsid w:val="00F1730D"/>
    <w:rsid w:val="00F20048"/>
    <w:rsid w:val="00F20707"/>
    <w:rsid w:val="00F20F88"/>
    <w:rsid w:val="00F21A74"/>
    <w:rsid w:val="00F21D0B"/>
    <w:rsid w:val="00F220DA"/>
    <w:rsid w:val="00F22613"/>
    <w:rsid w:val="00F22B34"/>
    <w:rsid w:val="00F22C5C"/>
    <w:rsid w:val="00F24029"/>
    <w:rsid w:val="00F243AA"/>
    <w:rsid w:val="00F24810"/>
    <w:rsid w:val="00F253D9"/>
    <w:rsid w:val="00F2567A"/>
    <w:rsid w:val="00F25F95"/>
    <w:rsid w:val="00F2662B"/>
    <w:rsid w:val="00F2675B"/>
    <w:rsid w:val="00F26F64"/>
    <w:rsid w:val="00F2707F"/>
    <w:rsid w:val="00F32133"/>
    <w:rsid w:val="00F32D4F"/>
    <w:rsid w:val="00F332D9"/>
    <w:rsid w:val="00F339D6"/>
    <w:rsid w:val="00F34B19"/>
    <w:rsid w:val="00F35001"/>
    <w:rsid w:val="00F350BD"/>
    <w:rsid w:val="00F353EF"/>
    <w:rsid w:val="00F35A4F"/>
    <w:rsid w:val="00F35AB1"/>
    <w:rsid w:val="00F35E7A"/>
    <w:rsid w:val="00F36B69"/>
    <w:rsid w:val="00F370E6"/>
    <w:rsid w:val="00F37E0D"/>
    <w:rsid w:val="00F403E7"/>
    <w:rsid w:val="00F407A9"/>
    <w:rsid w:val="00F41DF4"/>
    <w:rsid w:val="00F43268"/>
    <w:rsid w:val="00F43433"/>
    <w:rsid w:val="00F4376C"/>
    <w:rsid w:val="00F4394C"/>
    <w:rsid w:val="00F43FFE"/>
    <w:rsid w:val="00F4510D"/>
    <w:rsid w:val="00F45DF0"/>
    <w:rsid w:val="00F46F77"/>
    <w:rsid w:val="00F4795C"/>
    <w:rsid w:val="00F47F70"/>
    <w:rsid w:val="00F510B4"/>
    <w:rsid w:val="00F512EF"/>
    <w:rsid w:val="00F51364"/>
    <w:rsid w:val="00F5191D"/>
    <w:rsid w:val="00F51A8C"/>
    <w:rsid w:val="00F52CF6"/>
    <w:rsid w:val="00F52F27"/>
    <w:rsid w:val="00F534E6"/>
    <w:rsid w:val="00F5375A"/>
    <w:rsid w:val="00F53C75"/>
    <w:rsid w:val="00F541D4"/>
    <w:rsid w:val="00F55D36"/>
    <w:rsid w:val="00F5613C"/>
    <w:rsid w:val="00F56383"/>
    <w:rsid w:val="00F56588"/>
    <w:rsid w:val="00F565FC"/>
    <w:rsid w:val="00F56ADE"/>
    <w:rsid w:val="00F56D19"/>
    <w:rsid w:val="00F56DF1"/>
    <w:rsid w:val="00F57385"/>
    <w:rsid w:val="00F574BF"/>
    <w:rsid w:val="00F60AF0"/>
    <w:rsid w:val="00F60DA4"/>
    <w:rsid w:val="00F610E6"/>
    <w:rsid w:val="00F6112B"/>
    <w:rsid w:val="00F612F0"/>
    <w:rsid w:val="00F618AB"/>
    <w:rsid w:val="00F63AED"/>
    <w:rsid w:val="00F6425A"/>
    <w:rsid w:val="00F6461D"/>
    <w:rsid w:val="00F65582"/>
    <w:rsid w:val="00F666F9"/>
    <w:rsid w:val="00F701B6"/>
    <w:rsid w:val="00F704C2"/>
    <w:rsid w:val="00F706EA"/>
    <w:rsid w:val="00F70B9A"/>
    <w:rsid w:val="00F72667"/>
    <w:rsid w:val="00F72744"/>
    <w:rsid w:val="00F7288F"/>
    <w:rsid w:val="00F72BC4"/>
    <w:rsid w:val="00F73338"/>
    <w:rsid w:val="00F73BCF"/>
    <w:rsid w:val="00F73DC0"/>
    <w:rsid w:val="00F74777"/>
    <w:rsid w:val="00F74A38"/>
    <w:rsid w:val="00F752E4"/>
    <w:rsid w:val="00F76AC2"/>
    <w:rsid w:val="00F771C7"/>
    <w:rsid w:val="00F771F9"/>
    <w:rsid w:val="00F775F4"/>
    <w:rsid w:val="00F77DF0"/>
    <w:rsid w:val="00F80370"/>
    <w:rsid w:val="00F80CC8"/>
    <w:rsid w:val="00F8140E"/>
    <w:rsid w:val="00F814F5"/>
    <w:rsid w:val="00F825DB"/>
    <w:rsid w:val="00F82841"/>
    <w:rsid w:val="00F82B08"/>
    <w:rsid w:val="00F83416"/>
    <w:rsid w:val="00F841A3"/>
    <w:rsid w:val="00F84351"/>
    <w:rsid w:val="00F84C35"/>
    <w:rsid w:val="00F862C6"/>
    <w:rsid w:val="00F87B41"/>
    <w:rsid w:val="00F87F5E"/>
    <w:rsid w:val="00F92380"/>
    <w:rsid w:val="00F92600"/>
    <w:rsid w:val="00F92F49"/>
    <w:rsid w:val="00F93D15"/>
    <w:rsid w:val="00F93D5B"/>
    <w:rsid w:val="00F941E7"/>
    <w:rsid w:val="00F94259"/>
    <w:rsid w:val="00F943C4"/>
    <w:rsid w:val="00F94CEA"/>
    <w:rsid w:val="00F94D0C"/>
    <w:rsid w:val="00F95E57"/>
    <w:rsid w:val="00F9608F"/>
    <w:rsid w:val="00F96121"/>
    <w:rsid w:val="00F972B3"/>
    <w:rsid w:val="00F97A56"/>
    <w:rsid w:val="00FA03E6"/>
    <w:rsid w:val="00FA04B4"/>
    <w:rsid w:val="00FA085C"/>
    <w:rsid w:val="00FA0894"/>
    <w:rsid w:val="00FA0C43"/>
    <w:rsid w:val="00FA0FFB"/>
    <w:rsid w:val="00FA2418"/>
    <w:rsid w:val="00FA2510"/>
    <w:rsid w:val="00FA4846"/>
    <w:rsid w:val="00FA4F78"/>
    <w:rsid w:val="00FA612B"/>
    <w:rsid w:val="00FA653E"/>
    <w:rsid w:val="00FA7700"/>
    <w:rsid w:val="00FB01A1"/>
    <w:rsid w:val="00FB1759"/>
    <w:rsid w:val="00FB17EB"/>
    <w:rsid w:val="00FB2E8D"/>
    <w:rsid w:val="00FB2EF1"/>
    <w:rsid w:val="00FB3049"/>
    <w:rsid w:val="00FB3495"/>
    <w:rsid w:val="00FB3D5E"/>
    <w:rsid w:val="00FB4D5D"/>
    <w:rsid w:val="00FB52B0"/>
    <w:rsid w:val="00FB5912"/>
    <w:rsid w:val="00FB5B18"/>
    <w:rsid w:val="00FB5D98"/>
    <w:rsid w:val="00FB7FE7"/>
    <w:rsid w:val="00FC137C"/>
    <w:rsid w:val="00FC2CD8"/>
    <w:rsid w:val="00FC2ED5"/>
    <w:rsid w:val="00FC3499"/>
    <w:rsid w:val="00FC4171"/>
    <w:rsid w:val="00FC52A3"/>
    <w:rsid w:val="00FC63C3"/>
    <w:rsid w:val="00FC724D"/>
    <w:rsid w:val="00FC7647"/>
    <w:rsid w:val="00FC76BB"/>
    <w:rsid w:val="00FC7ADE"/>
    <w:rsid w:val="00FD07F3"/>
    <w:rsid w:val="00FD0F16"/>
    <w:rsid w:val="00FD14A2"/>
    <w:rsid w:val="00FD1E90"/>
    <w:rsid w:val="00FD248B"/>
    <w:rsid w:val="00FD2832"/>
    <w:rsid w:val="00FD2D90"/>
    <w:rsid w:val="00FD3103"/>
    <w:rsid w:val="00FD3818"/>
    <w:rsid w:val="00FD395B"/>
    <w:rsid w:val="00FD3E82"/>
    <w:rsid w:val="00FD4171"/>
    <w:rsid w:val="00FD457C"/>
    <w:rsid w:val="00FD586E"/>
    <w:rsid w:val="00FD6D81"/>
    <w:rsid w:val="00FD74AD"/>
    <w:rsid w:val="00FD7AA6"/>
    <w:rsid w:val="00FE00AA"/>
    <w:rsid w:val="00FE0BEE"/>
    <w:rsid w:val="00FE0BF5"/>
    <w:rsid w:val="00FE0E54"/>
    <w:rsid w:val="00FE1378"/>
    <w:rsid w:val="00FE212F"/>
    <w:rsid w:val="00FE294F"/>
    <w:rsid w:val="00FE347E"/>
    <w:rsid w:val="00FE3621"/>
    <w:rsid w:val="00FE3C1E"/>
    <w:rsid w:val="00FE56DC"/>
    <w:rsid w:val="00FE653F"/>
    <w:rsid w:val="00FE6F30"/>
    <w:rsid w:val="00FE7B30"/>
    <w:rsid w:val="00FF08BA"/>
    <w:rsid w:val="00FF15DC"/>
    <w:rsid w:val="00FF1B92"/>
    <w:rsid w:val="00FF246E"/>
    <w:rsid w:val="00FF297A"/>
    <w:rsid w:val="00FF29DC"/>
    <w:rsid w:val="00FF2B7D"/>
    <w:rsid w:val="00FF3011"/>
    <w:rsid w:val="00FF3126"/>
    <w:rsid w:val="00FF50ED"/>
    <w:rsid w:val="00FF6027"/>
    <w:rsid w:val="00FF6F39"/>
    <w:rsid w:val="00FF7263"/>
    <w:rsid w:val="00FF739F"/>
    <w:rsid w:val="00FF75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CF5D07"/>
  <w15:docId w15:val="{3AF4C314-DE4E-4E34-A24C-51703EA9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380"/>
    <w:pPr>
      <w:spacing w:line="240" w:lineRule="auto"/>
      <w:jc w:val="both"/>
    </w:pPr>
    <w:rPr>
      <w:rFonts w:ascii="Cambria" w:hAnsi="Cambria"/>
      <w:sz w:val="24"/>
    </w:rPr>
  </w:style>
  <w:style w:type="paragraph" w:styleId="Heading1">
    <w:name w:val="heading 1"/>
    <w:basedOn w:val="Normal"/>
    <w:next w:val="Normal"/>
    <w:link w:val="Heading1Char"/>
    <w:uiPriority w:val="9"/>
    <w:qFormat/>
    <w:rsid w:val="00D768FD"/>
    <w:pPr>
      <w:keepNext/>
      <w:spacing w:after="240"/>
      <w:outlineLvl w:val="0"/>
    </w:pPr>
    <w:rPr>
      <w:rFonts w:eastAsia="Calibri" w:cs="Times New Roman"/>
      <w:bCs/>
      <w:sz w:val="28"/>
      <w:szCs w:val="24"/>
    </w:rPr>
  </w:style>
  <w:style w:type="paragraph" w:styleId="Heading2">
    <w:name w:val="heading 2"/>
    <w:basedOn w:val="Normal"/>
    <w:next w:val="Normal"/>
    <w:link w:val="Heading2Char"/>
    <w:uiPriority w:val="9"/>
    <w:unhideWhenUsed/>
    <w:qFormat/>
    <w:rsid w:val="00C074C8"/>
    <w:pPr>
      <w:keepNext/>
      <w:keepLines/>
      <w:spacing w:before="40" w:after="0"/>
      <w:outlineLvl w:val="1"/>
    </w:pPr>
    <w:rPr>
      <w:rFonts w:eastAsiaTheme="majorEastAsia" w:cstheme="majorBidi"/>
      <w:b/>
      <w:color w:val="0D0D0D" w:themeColor="text1" w:themeTint="F2"/>
      <w:szCs w:val="26"/>
    </w:rPr>
  </w:style>
  <w:style w:type="paragraph" w:styleId="Heading3">
    <w:name w:val="heading 3"/>
    <w:basedOn w:val="Normal"/>
    <w:next w:val="Normal"/>
    <w:link w:val="Heading3Char"/>
    <w:uiPriority w:val="9"/>
    <w:unhideWhenUsed/>
    <w:qFormat/>
    <w:rsid w:val="00EB272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5E033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0EA0"/>
    <w:pPr>
      <w:ind w:left="720"/>
      <w:contextualSpacing/>
    </w:pPr>
  </w:style>
  <w:style w:type="paragraph" w:styleId="Header">
    <w:name w:val="header"/>
    <w:basedOn w:val="Normal"/>
    <w:link w:val="HeaderChar"/>
    <w:uiPriority w:val="99"/>
    <w:unhideWhenUsed/>
    <w:rsid w:val="00D84037"/>
    <w:pPr>
      <w:tabs>
        <w:tab w:val="center" w:pos="4680"/>
        <w:tab w:val="right" w:pos="9360"/>
      </w:tabs>
      <w:spacing w:after="0"/>
    </w:pPr>
  </w:style>
  <w:style w:type="character" w:customStyle="1" w:styleId="HeaderChar">
    <w:name w:val="Header Char"/>
    <w:basedOn w:val="DefaultParagraphFont"/>
    <w:link w:val="Header"/>
    <w:uiPriority w:val="99"/>
    <w:rsid w:val="00D84037"/>
    <w:rPr>
      <w:rFonts w:ascii="Cambria" w:hAnsi="Cambria"/>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rsid w:val="00D84037"/>
    <w:pPr>
      <w:tabs>
        <w:tab w:val="center" w:pos="4680"/>
        <w:tab w:val="right" w:pos="9360"/>
      </w:tabs>
      <w:spacing w:after="0"/>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84037"/>
    <w:rPr>
      <w:rFonts w:ascii="Cambria" w:hAnsi="Cambria"/>
      <w:sz w:val="24"/>
    </w:rPr>
  </w:style>
  <w:style w:type="table" w:styleId="TableGrid">
    <w:name w:val="Table Grid"/>
    <w:basedOn w:val="TableNormal"/>
    <w:rsid w:val="000F173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F1734"/>
    <w:pPr>
      <w:spacing w:after="0"/>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rsid w:val="000F1734"/>
    <w:rPr>
      <w:sz w:val="20"/>
      <w:szCs w:val="20"/>
      <w:lang w:val="en-GB"/>
    </w:rPr>
  </w:style>
  <w:style w:type="character" w:styleId="FootnoteReference">
    <w:name w:val="footnote reference"/>
    <w:basedOn w:val="DefaultParagraphFont"/>
    <w:uiPriority w:val="99"/>
    <w:semiHidden/>
    <w:unhideWhenUsed/>
    <w:rsid w:val="000F1734"/>
    <w:rPr>
      <w:vertAlign w:val="superscript"/>
    </w:rPr>
  </w:style>
  <w:style w:type="character" w:customStyle="1" w:styleId="Heading1Char">
    <w:name w:val="Heading 1 Char"/>
    <w:basedOn w:val="DefaultParagraphFont"/>
    <w:link w:val="Heading1"/>
    <w:uiPriority w:val="9"/>
    <w:rsid w:val="00D768FD"/>
    <w:rPr>
      <w:rFonts w:ascii="Cambria" w:eastAsia="Calibri" w:hAnsi="Cambria" w:cs="Times New Roman"/>
      <w:bCs/>
      <w:sz w:val="28"/>
      <w:szCs w:val="24"/>
    </w:rPr>
  </w:style>
  <w:style w:type="character" w:customStyle="1" w:styleId="Heading2Char">
    <w:name w:val="Heading 2 Char"/>
    <w:basedOn w:val="DefaultParagraphFont"/>
    <w:link w:val="Heading2"/>
    <w:uiPriority w:val="9"/>
    <w:rsid w:val="00C074C8"/>
    <w:rPr>
      <w:rFonts w:ascii="Cambria" w:eastAsiaTheme="majorEastAsia" w:hAnsi="Cambria" w:cstheme="majorBidi"/>
      <w:b/>
      <w:color w:val="0D0D0D" w:themeColor="text1" w:themeTint="F2"/>
      <w:sz w:val="24"/>
      <w:szCs w:val="26"/>
    </w:rPr>
  </w:style>
  <w:style w:type="character" w:styleId="CommentReference">
    <w:name w:val="annotation reference"/>
    <w:basedOn w:val="DefaultParagraphFont"/>
    <w:uiPriority w:val="99"/>
    <w:semiHidden/>
    <w:unhideWhenUsed/>
    <w:rsid w:val="00765CD3"/>
    <w:rPr>
      <w:sz w:val="16"/>
      <w:szCs w:val="16"/>
    </w:rPr>
  </w:style>
  <w:style w:type="paragraph" w:styleId="CommentText">
    <w:name w:val="annotation text"/>
    <w:basedOn w:val="Normal"/>
    <w:link w:val="CommentTextChar"/>
    <w:autoRedefine/>
    <w:uiPriority w:val="99"/>
    <w:unhideWhenUsed/>
    <w:rsid w:val="00244EE3"/>
    <w:rPr>
      <w:rFonts w:ascii="Times New Roman" w:hAnsi="Times New Roman"/>
      <w:sz w:val="16"/>
      <w:szCs w:val="20"/>
    </w:rPr>
  </w:style>
  <w:style w:type="character" w:customStyle="1" w:styleId="CommentTextChar">
    <w:name w:val="Comment Text Char"/>
    <w:basedOn w:val="DefaultParagraphFont"/>
    <w:link w:val="CommentText"/>
    <w:uiPriority w:val="99"/>
    <w:rsid w:val="00244EE3"/>
    <w:rPr>
      <w:rFonts w:ascii="Times New Roman" w:hAnsi="Times New Roman"/>
      <w:sz w:val="16"/>
      <w:szCs w:val="20"/>
    </w:rPr>
  </w:style>
  <w:style w:type="paragraph" w:styleId="CommentSubject">
    <w:name w:val="annotation subject"/>
    <w:basedOn w:val="CommentText"/>
    <w:next w:val="CommentText"/>
    <w:link w:val="CommentSubjectChar"/>
    <w:uiPriority w:val="99"/>
    <w:semiHidden/>
    <w:unhideWhenUsed/>
    <w:rsid w:val="00765CD3"/>
    <w:rPr>
      <w:b/>
      <w:bCs/>
    </w:rPr>
  </w:style>
  <w:style w:type="character" w:customStyle="1" w:styleId="CommentSubjectChar">
    <w:name w:val="Comment Subject Char"/>
    <w:basedOn w:val="CommentTextChar"/>
    <w:link w:val="CommentSubject"/>
    <w:uiPriority w:val="99"/>
    <w:semiHidden/>
    <w:rsid w:val="00765CD3"/>
    <w:rPr>
      <w:rFonts w:ascii="Cambria" w:hAnsi="Cambria"/>
      <w:b/>
      <w:bCs/>
      <w:sz w:val="20"/>
      <w:szCs w:val="20"/>
    </w:rPr>
  </w:style>
  <w:style w:type="paragraph" w:styleId="BalloonText">
    <w:name w:val="Balloon Text"/>
    <w:basedOn w:val="Normal"/>
    <w:link w:val="BalloonTextChar"/>
    <w:uiPriority w:val="99"/>
    <w:semiHidden/>
    <w:unhideWhenUsed/>
    <w:rsid w:val="00765CD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CD3"/>
    <w:rPr>
      <w:rFonts w:ascii="Segoe UI" w:hAnsi="Segoe UI" w:cs="Segoe UI"/>
      <w:sz w:val="18"/>
      <w:szCs w:val="18"/>
    </w:rPr>
  </w:style>
  <w:style w:type="character" w:styleId="Strong">
    <w:name w:val="Strong"/>
    <w:basedOn w:val="DefaultParagraphFont"/>
    <w:uiPriority w:val="22"/>
    <w:qFormat/>
    <w:rsid w:val="00CF270F"/>
    <w:rPr>
      <w:b/>
      <w:bCs/>
    </w:rPr>
  </w:style>
  <w:style w:type="character" w:customStyle="1" w:styleId="Heading3Char">
    <w:name w:val="Heading 3 Char"/>
    <w:basedOn w:val="DefaultParagraphFont"/>
    <w:link w:val="Heading3"/>
    <w:uiPriority w:val="9"/>
    <w:rsid w:val="00EB2725"/>
    <w:rPr>
      <w:rFonts w:ascii="Cambria" w:eastAsiaTheme="majorEastAsia" w:hAnsi="Cambria" w:cstheme="majorBidi"/>
      <w:b/>
      <w:i/>
      <w:sz w:val="24"/>
      <w:szCs w:val="24"/>
    </w:rPr>
  </w:style>
  <w:style w:type="paragraph" w:styleId="NormalWeb">
    <w:name w:val="Normal (Web)"/>
    <w:basedOn w:val="Normal"/>
    <w:link w:val="NormalWebChar"/>
    <w:uiPriority w:val="99"/>
    <w:unhideWhenUsed/>
    <w:rsid w:val="008219C1"/>
    <w:pPr>
      <w:spacing w:before="100" w:beforeAutospacing="1" w:after="100" w:afterAutospacing="1"/>
      <w:jc w:val="left"/>
    </w:pPr>
    <w:rPr>
      <w:rFonts w:ascii="Times New Roman" w:eastAsia="Times New Roman" w:hAnsi="Times New Roman" w:cs="Times New Roman"/>
      <w:szCs w:val="24"/>
    </w:rPr>
  </w:style>
  <w:style w:type="paragraph" w:styleId="NoSpacing">
    <w:name w:val="No Spacing"/>
    <w:uiPriority w:val="1"/>
    <w:qFormat/>
    <w:rsid w:val="00DD3B2A"/>
    <w:pPr>
      <w:spacing w:after="0" w:line="240" w:lineRule="auto"/>
      <w:jc w:val="both"/>
    </w:pPr>
    <w:rPr>
      <w:rFonts w:ascii="Cambria" w:hAnsi="Cambria"/>
      <w:sz w:val="24"/>
    </w:rPr>
  </w:style>
  <w:style w:type="paragraph" w:styleId="TOCHeading">
    <w:name w:val="TOC Heading"/>
    <w:basedOn w:val="Heading1"/>
    <w:next w:val="Normal"/>
    <w:uiPriority w:val="39"/>
    <w:unhideWhenUsed/>
    <w:qFormat/>
    <w:rsid w:val="00D954D8"/>
    <w:pPr>
      <w:keepLines/>
      <w:spacing w:before="240" w:after="0" w:line="259" w:lineRule="auto"/>
      <w:jc w:val="left"/>
      <w:outlineLvl w:val="9"/>
    </w:pPr>
    <w:rPr>
      <w:rFonts w:asciiTheme="majorHAnsi" w:eastAsiaTheme="majorEastAsia" w:hAnsiTheme="majorHAnsi" w:cstheme="majorBidi"/>
      <w:bCs w:val="0"/>
      <w:color w:val="2F5496" w:themeColor="accent1" w:themeShade="BF"/>
      <w:sz w:val="32"/>
      <w:szCs w:val="32"/>
    </w:rPr>
  </w:style>
  <w:style w:type="paragraph" w:styleId="TOC1">
    <w:name w:val="toc 1"/>
    <w:basedOn w:val="Normal"/>
    <w:next w:val="Normal"/>
    <w:autoRedefine/>
    <w:uiPriority w:val="39"/>
    <w:unhideWhenUsed/>
    <w:rsid w:val="00FC76BB"/>
    <w:pPr>
      <w:tabs>
        <w:tab w:val="left" w:pos="567"/>
        <w:tab w:val="right" w:leader="dot" w:pos="9350"/>
      </w:tabs>
      <w:spacing w:before="240" w:after="100"/>
      <w:ind w:left="567" w:hanging="567"/>
      <w:jc w:val="left"/>
    </w:pPr>
    <w:rPr>
      <w:b/>
      <w:noProof/>
    </w:rPr>
  </w:style>
  <w:style w:type="paragraph" w:styleId="TOC2">
    <w:name w:val="toc 2"/>
    <w:basedOn w:val="Normal"/>
    <w:next w:val="Normal"/>
    <w:autoRedefine/>
    <w:uiPriority w:val="39"/>
    <w:unhideWhenUsed/>
    <w:rsid w:val="00D954D8"/>
    <w:pPr>
      <w:spacing w:after="100"/>
      <w:ind w:left="240"/>
    </w:pPr>
  </w:style>
  <w:style w:type="paragraph" w:styleId="TOC3">
    <w:name w:val="toc 3"/>
    <w:basedOn w:val="Normal"/>
    <w:next w:val="Normal"/>
    <w:autoRedefine/>
    <w:uiPriority w:val="39"/>
    <w:unhideWhenUsed/>
    <w:rsid w:val="00D954D8"/>
    <w:pPr>
      <w:spacing w:after="100"/>
      <w:ind w:left="480"/>
    </w:pPr>
  </w:style>
  <w:style w:type="character" w:styleId="Hyperlink">
    <w:name w:val="Hyperlink"/>
    <w:basedOn w:val="DefaultParagraphFont"/>
    <w:uiPriority w:val="99"/>
    <w:unhideWhenUsed/>
    <w:rsid w:val="00D954D8"/>
    <w:rPr>
      <w:color w:val="0563C1" w:themeColor="hyperlink"/>
      <w:u w:val="single"/>
    </w:rPr>
  </w:style>
  <w:style w:type="character" w:customStyle="1" w:styleId="ListParagraphChar">
    <w:name w:val="List Paragraph Char"/>
    <w:link w:val="ListParagraph"/>
    <w:uiPriority w:val="34"/>
    <w:locked/>
    <w:rsid w:val="003E3141"/>
    <w:rPr>
      <w:rFonts w:ascii="Cambria" w:hAnsi="Cambria"/>
      <w:sz w:val="24"/>
    </w:rPr>
  </w:style>
  <w:style w:type="paragraph" w:customStyle="1" w:styleId="v2-clan-1">
    <w:name w:val="v2-clan-1"/>
    <w:basedOn w:val="Normal"/>
    <w:rsid w:val="005F6413"/>
    <w:pPr>
      <w:spacing w:before="100" w:beforeAutospacing="1" w:after="100" w:afterAutospacing="1"/>
      <w:jc w:val="left"/>
    </w:pPr>
    <w:rPr>
      <w:rFonts w:ascii="Times New Roman" w:eastAsia="Times New Roman" w:hAnsi="Times New Roman" w:cs="Times New Roman"/>
      <w:szCs w:val="24"/>
    </w:rPr>
  </w:style>
  <w:style w:type="paragraph" w:customStyle="1" w:styleId="v2-clan-left-1">
    <w:name w:val="v2-clan-left-1"/>
    <w:basedOn w:val="Normal"/>
    <w:rsid w:val="005F6413"/>
    <w:pPr>
      <w:spacing w:before="100" w:beforeAutospacing="1" w:after="100" w:afterAutospacing="1"/>
      <w:jc w:val="left"/>
    </w:pPr>
    <w:rPr>
      <w:rFonts w:ascii="Times New Roman" w:eastAsia="Times New Roman" w:hAnsi="Times New Roman" w:cs="Times New Roman"/>
      <w:szCs w:val="24"/>
    </w:rPr>
  </w:style>
  <w:style w:type="character" w:styleId="PageNumber">
    <w:name w:val="page number"/>
    <w:basedOn w:val="DefaultParagraphFont"/>
    <w:uiPriority w:val="99"/>
    <w:semiHidden/>
    <w:unhideWhenUsed/>
    <w:rsid w:val="00F862C6"/>
  </w:style>
  <w:style w:type="paragraph" w:customStyle="1" w:styleId="1tekst">
    <w:name w:val="1tekst"/>
    <w:basedOn w:val="Normal"/>
    <w:rsid w:val="002C40D8"/>
    <w:pPr>
      <w:spacing w:before="100" w:after="100"/>
      <w:ind w:firstLine="240"/>
    </w:pPr>
    <w:rPr>
      <w:rFonts w:ascii="Times New Roman" w:eastAsia="Times New Roman" w:hAnsi="Times New Roman" w:cs="Times New Roman"/>
      <w:szCs w:val="20"/>
    </w:rPr>
  </w:style>
  <w:style w:type="paragraph" w:styleId="Caption">
    <w:name w:val="caption"/>
    <w:basedOn w:val="Normal"/>
    <w:next w:val="Normal"/>
    <w:uiPriority w:val="35"/>
    <w:unhideWhenUsed/>
    <w:qFormat/>
    <w:rsid w:val="00974689"/>
    <w:pPr>
      <w:spacing w:after="120"/>
      <w:jc w:val="left"/>
    </w:pPr>
    <w:rPr>
      <w:rFonts w:asciiTheme="minorHAnsi" w:eastAsiaTheme="minorEastAsia" w:hAnsiTheme="minorHAnsi"/>
      <w:b/>
      <w:bCs/>
      <w:color w:val="404040" w:themeColor="text1" w:themeTint="BF"/>
      <w:sz w:val="20"/>
      <w:szCs w:val="20"/>
    </w:rPr>
  </w:style>
  <w:style w:type="paragraph" w:styleId="Revision">
    <w:name w:val="Revision"/>
    <w:hidden/>
    <w:uiPriority w:val="99"/>
    <w:semiHidden/>
    <w:rsid w:val="009F2361"/>
    <w:pPr>
      <w:spacing w:after="0" w:line="240" w:lineRule="auto"/>
    </w:pPr>
    <w:rPr>
      <w:rFonts w:ascii="Cambria" w:hAnsi="Cambria"/>
      <w:sz w:val="24"/>
    </w:rPr>
  </w:style>
  <w:style w:type="character" w:customStyle="1" w:styleId="Zadanifontodlomka1">
    <w:name w:val="Zadani font odlomka1"/>
    <w:rsid w:val="00661AA4"/>
  </w:style>
  <w:style w:type="table" w:customStyle="1" w:styleId="GridTable5Dark-Accent11">
    <w:name w:val="Grid Table 5 Dark - Accent 11"/>
    <w:basedOn w:val="TableNormal"/>
    <w:uiPriority w:val="50"/>
    <w:rsid w:val="00300A4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PlainTable31">
    <w:name w:val="Plain Table 31"/>
    <w:basedOn w:val="TableNormal"/>
    <w:uiPriority w:val="43"/>
    <w:rsid w:val="003D05B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NormalWebChar">
    <w:name w:val="Normal (Web) Char"/>
    <w:basedOn w:val="DefaultParagraphFont"/>
    <w:link w:val="NormalWeb"/>
    <w:uiPriority w:val="99"/>
    <w:rsid w:val="004104C1"/>
    <w:rPr>
      <w:rFonts w:ascii="Times New Roman" w:eastAsia="Times New Roman" w:hAnsi="Times New Roman" w:cs="Times New Roman"/>
      <w:sz w:val="24"/>
      <w:szCs w:val="24"/>
    </w:rPr>
  </w:style>
  <w:style w:type="paragraph" w:customStyle="1" w:styleId="pf0">
    <w:name w:val="pf0"/>
    <w:basedOn w:val="Normal"/>
    <w:rsid w:val="009A6CCC"/>
    <w:pPr>
      <w:spacing w:before="100" w:beforeAutospacing="1" w:after="100" w:afterAutospacing="1"/>
      <w:jc w:val="left"/>
    </w:pPr>
    <w:rPr>
      <w:rFonts w:ascii="Times New Roman" w:eastAsia="Times New Roman" w:hAnsi="Times New Roman" w:cs="Times New Roman"/>
      <w:szCs w:val="24"/>
      <w:lang w:val="sr-Cyrl-RS" w:eastAsia="sr-Cyrl-RS"/>
    </w:rPr>
  </w:style>
  <w:style w:type="character" w:customStyle="1" w:styleId="cf01">
    <w:name w:val="cf01"/>
    <w:basedOn w:val="DefaultParagraphFont"/>
    <w:rsid w:val="009A6CCC"/>
    <w:rPr>
      <w:rFonts w:ascii="Segoe UI" w:hAnsi="Segoe UI" w:cs="Segoe UI" w:hint="default"/>
      <w:i/>
      <w:iCs/>
      <w:sz w:val="18"/>
      <w:szCs w:val="18"/>
    </w:rPr>
  </w:style>
  <w:style w:type="character" w:customStyle="1" w:styleId="UnresolvedMention1">
    <w:name w:val="Unresolved Mention1"/>
    <w:basedOn w:val="DefaultParagraphFont"/>
    <w:uiPriority w:val="99"/>
    <w:semiHidden/>
    <w:unhideWhenUsed/>
    <w:rsid w:val="004A1D83"/>
    <w:rPr>
      <w:color w:val="605E5C"/>
      <w:shd w:val="clear" w:color="auto" w:fill="E1DFDD"/>
    </w:rPr>
  </w:style>
  <w:style w:type="character" w:customStyle="1" w:styleId="Heading4Char">
    <w:name w:val="Heading 4 Char"/>
    <w:basedOn w:val="DefaultParagraphFont"/>
    <w:link w:val="Heading4"/>
    <w:uiPriority w:val="9"/>
    <w:semiHidden/>
    <w:rsid w:val="005E0335"/>
    <w:rPr>
      <w:rFonts w:asciiTheme="majorHAnsi" w:eastAsiaTheme="majorEastAsia" w:hAnsiTheme="majorHAnsi" w:cstheme="majorBidi"/>
      <w:i/>
      <w:iCs/>
      <w:color w:val="2F5496" w:themeColor="accent1" w:themeShade="BF"/>
      <w:sz w:val="24"/>
    </w:rPr>
  </w:style>
  <w:style w:type="character" w:customStyle="1" w:styleId="UnresolvedMention2">
    <w:name w:val="Unresolved Mention2"/>
    <w:basedOn w:val="DefaultParagraphFont"/>
    <w:uiPriority w:val="99"/>
    <w:semiHidden/>
    <w:unhideWhenUsed/>
    <w:rsid w:val="00A46079"/>
    <w:rPr>
      <w:color w:val="605E5C"/>
      <w:shd w:val="clear" w:color="auto" w:fill="E1DFDD"/>
    </w:rPr>
  </w:style>
  <w:style w:type="paragraph" w:customStyle="1" w:styleId="basic-paragraph">
    <w:name w:val="basic-paragraph"/>
    <w:basedOn w:val="Normal"/>
    <w:rsid w:val="00AD4DAF"/>
    <w:pPr>
      <w:spacing w:before="100" w:beforeAutospacing="1" w:after="100" w:afterAutospacing="1"/>
      <w:jc w:val="left"/>
    </w:pPr>
    <w:rPr>
      <w:rFonts w:ascii="Times New Roman" w:eastAsia="Times New Roman" w:hAnsi="Times New Roman" w:cs="Times New Roman"/>
      <w:szCs w:val="24"/>
      <w:lang w:val="sr-Cyrl-RS" w:eastAsia="sr-Cyrl-RS"/>
    </w:rPr>
  </w:style>
  <w:style w:type="paragraph" w:customStyle="1" w:styleId="clan">
    <w:name w:val="clan"/>
    <w:basedOn w:val="Normal"/>
    <w:rsid w:val="00AD4DAF"/>
    <w:pPr>
      <w:spacing w:before="100" w:beforeAutospacing="1" w:after="100" w:afterAutospacing="1"/>
      <w:jc w:val="left"/>
    </w:pPr>
    <w:rPr>
      <w:rFonts w:ascii="Times New Roman" w:eastAsia="Times New Roman" w:hAnsi="Times New Roman" w:cs="Times New Roman"/>
      <w:szCs w:val="24"/>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8034">
      <w:bodyDiv w:val="1"/>
      <w:marLeft w:val="0"/>
      <w:marRight w:val="0"/>
      <w:marTop w:val="0"/>
      <w:marBottom w:val="0"/>
      <w:divBdr>
        <w:top w:val="none" w:sz="0" w:space="0" w:color="auto"/>
        <w:left w:val="none" w:sz="0" w:space="0" w:color="auto"/>
        <w:bottom w:val="none" w:sz="0" w:space="0" w:color="auto"/>
        <w:right w:val="none" w:sz="0" w:space="0" w:color="auto"/>
      </w:divBdr>
    </w:div>
    <w:div w:id="12465031">
      <w:bodyDiv w:val="1"/>
      <w:marLeft w:val="0"/>
      <w:marRight w:val="0"/>
      <w:marTop w:val="0"/>
      <w:marBottom w:val="0"/>
      <w:divBdr>
        <w:top w:val="none" w:sz="0" w:space="0" w:color="auto"/>
        <w:left w:val="none" w:sz="0" w:space="0" w:color="auto"/>
        <w:bottom w:val="none" w:sz="0" w:space="0" w:color="auto"/>
        <w:right w:val="none" w:sz="0" w:space="0" w:color="auto"/>
      </w:divBdr>
    </w:div>
    <w:div w:id="63794416">
      <w:bodyDiv w:val="1"/>
      <w:marLeft w:val="0"/>
      <w:marRight w:val="0"/>
      <w:marTop w:val="0"/>
      <w:marBottom w:val="0"/>
      <w:divBdr>
        <w:top w:val="none" w:sz="0" w:space="0" w:color="auto"/>
        <w:left w:val="none" w:sz="0" w:space="0" w:color="auto"/>
        <w:bottom w:val="none" w:sz="0" w:space="0" w:color="auto"/>
        <w:right w:val="none" w:sz="0" w:space="0" w:color="auto"/>
      </w:divBdr>
    </w:div>
    <w:div w:id="98910700">
      <w:bodyDiv w:val="1"/>
      <w:marLeft w:val="0"/>
      <w:marRight w:val="0"/>
      <w:marTop w:val="0"/>
      <w:marBottom w:val="0"/>
      <w:divBdr>
        <w:top w:val="none" w:sz="0" w:space="0" w:color="auto"/>
        <w:left w:val="none" w:sz="0" w:space="0" w:color="auto"/>
        <w:bottom w:val="none" w:sz="0" w:space="0" w:color="auto"/>
        <w:right w:val="none" w:sz="0" w:space="0" w:color="auto"/>
      </w:divBdr>
    </w:div>
    <w:div w:id="102043038">
      <w:bodyDiv w:val="1"/>
      <w:marLeft w:val="0"/>
      <w:marRight w:val="0"/>
      <w:marTop w:val="0"/>
      <w:marBottom w:val="0"/>
      <w:divBdr>
        <w:top w:val="none" w:sz="0" w:space="0" w:color="auto"/>
        <w:left w:val="none" w:sz="0" w:space="0" w:color="auto"/>
        <w:bottom w:val="none" w:sz="0" w:space="0" w:color="auto"/>
        <w:right w:val="none" w:sz="0" w:space="0" w:color="auto"/>
      </w:divBdr>
    </w:div>
    <w:div w:id="120806875">
      <w:bodyDiv w:val="1"/>
      <w:marLeft w:val="0"/>
      <w:marRight w:val="0"/>
      <w:marTop w:val="0"/>
      <w:marBottom w:val="0"/>
      <w:divBdr>
        <w:top w:val="none" w:sz="0" w:space="0" w:color="auto"/>
        <w:left w:val="none" w:sz="0" w:space="0" w:color="auto"/>
        <w:bottom w:val="none" w:sz="0" w:space="0" w:color="auto"/>
        <w:right w:val="none" w:sz="0" w:space="0" w:color="auto"/>
      </w:divBdr>
    </w:div>
    <w:div w:id="130752361">
      <w:bodyDiv w:val="1"/>
      <w:marLeft w:val="0"/>
      <w:marRight w:val="0"/>
      <w:marTop w:val="0"/>
      <w:marBottom w:val="0"/>
      <w:divBdr>
        <w:top w:val="none" w:sz="0" w:space="0" w:color="auto"/>
        <w:left w:val="none" w:sz="0" w:space="0" w:color="auto"/>
        <w:bottom w:val="none" w:sz="0" w:space="0" w:color="auto"/>
        <w:right w:val="none" w:sz="0" w:space="0" w:color="auto"/>
      </w:divBdr>
    </w:div>
    <w:div w:id="145516352">
      <w:bodyDiv w:val="1"/>
      <w:marLeft w:val="0"/>
      <w:marRight w:val="0"/>
      <w:marTop w:val="0"/>
      <w:marBottom w:val="0"/>
      <w:divBdr>
        <w:top w:val="none" w:sz="0" w:space="0" w:color="auto"/>
        <w:left w:val="none" w:sz="0" w:space="0" w:color="auto"/>
        <w:bottom w:val="none" w:sz="0" w:space="0" w:color="auto"/>
        <w:right w:val="none" w:sz="0" w:space="0" w:color="auto"/>
      </w:divBdr>
    </w:div>
    <w:div w:id="456143387">
      <w:bodyDiv w:val="1"/>
      <w:marLeft w:val="0"/>
      <w:marRight w:val="0"/>
      <w:marTop w:val="0"/>
      <w:marBottom w:val="0"/>
      <w:divBdr>
        <w:top w:val="none" w:sz="0" w:space="0" w:color="auto"/>
        <w:left w:val="none" w:sz="0" w:space="0" w:color="auto"/>
        <w:bottom w:val="none" w:sz="0" w:space="0" w:color="auto"/>
        <w:right w:val="none" w:sz="0" w:space="0" w:color="auto"/>
      </w:divBdr>
    </w:div>
    <w:div w:id="587544722">
      <w:bodyDiv w:val="1"/>
      <w:marLeft w:val="0"/>
      <w:marRight w:val="0"/>
      <w:marTop w:val="0"/>
      <w:marBottom w:val="0"/>
      <w:divBdr>
        <w:top w:val="none" w:sz="0" w:space="0" w:color="auto"/>
        <w:left w:val="none" w:sz="0" w:space="0" w:color="auto"/>
        <w:bottom w:val="none" w:sz="0" w:space="0" w:color="auto"/>
        <w:right w:val="none" w:sz="0" w:space="0" w:color="auto"/>
      </w:divBdr>
    </w:div>
    <w:div w:id="597952731">
      <w:bodyDiv w:val="1"/>
      <w:marLeft w:val="0"/>
      <w:marRight w:val="0"/>
      <w:marTop w:val="0"/>
      <w:marBottom w:val="0"/>
      <w:divBdr>
        <w:top w:val="none" w:sz="0" w:space="0" w:color="auto"/>
        <w:left w:val="none" w:sz="0" w:space="0" w:color="auto"/>
        <w:bottom w:val="none" w:sz="0" w:space="0" w:color="auto"/>
        <w:right w:val="none" w:sz="0" w:space="0" w:color="auto"/>
      </w:divBdr>
    </w:div>
    <w:div w:id="719091865">
      <w:bodyDiv w:val="1"/>
      <w:marLeft w:val="0"/>
      <w:marRight w:val="0"/>
      <w:marTop w:val="0"/>
      <w:marBottom w:val="0"/>
      <w:divBdr>
        <w:top w:val="none" w:sz="0" w:space="0" w:color="auto"/>
        <w:left w:val="none" w:sz="0" w:space="0" w:color="auto"/>
        <w:bottom w:val="none" w:sz="0" w:space="0" w:color="auto"/>
        <w:right w:val="none" w:sz="0" w:space="0" w:color="auto"/>
      </w:divBdr>
    </w:div>
    <w:div w:id="770315362">
      <w:bodyDiv w:val="1"/>
      <w:marLeft w:val="0"/>
      <w:marRight w:val="0"/>
      <w:marTop w:val="0"/>
      <w:marBottom w:val="0"/>
      <w:divBdr>
        <w:top w:val="none" w:sz="0" w:space="0" w:color="auto"/>
        <w:left w:val="none" w:sz="0" w:space="0" w:color="auto"/>
        <w:bottom w:val="none" w:sz="0" w:space="0" w:color="auto"/>
        <w:right w:val="none" w:sz="0" w:space="0" w:color="auto"/>
      </w:divBdr>
    </w:div>
    <w:div w:id="787436769">
      <w:bodyDiv w:val="1"/>
      <w:marLeft w:val="0"/>
      <w:marRight w:val="0"/>
      <w:marTop w:val="0"/>
      <w:marBottom w:val="0"/>
      <w:divBdr>
        <w:top w:val="none" w:sz="0" w:space="0" w:color="auto"/>
        <w:left w:val="none" w:sz="0" w:space="0" w:color="auto"/>
        <w:bottom w:val="none" w:sz="0" w:space="0" w:color="auto"/>
        <w:right w:val="none" w:sz="0" w:space="0" w:color="auto"/>
      </w:divBdr>
    </w:div>
    <w:div w:id="1088700129">
      <w:bodyDiv w:val="1"/>
      <w:marLeft w:val="0"/>
      <w:marRight w:val="0"/>
      <w:marTop w:val="0"/>
      <w:marBottom w:val="0"/>
      <w:divBdr>
        <w:top w:val="none" w:sz="0" w:space="0" w:color="auto"/>
        <w:left w:val="none" w:sz="0" w:space="0" w:color="auto"/>
        <w:bottom w:val="none" w:sz="0" w:space="0" w:color="auto"/>
        <w:right w:val="none" w:sz="0" w:space="0" w:color="auto"/>
      </w:divBdr>
    </w:div>
    <w:div w:id="1162550409">
      <w:bodyDiv w:val="1"/>
      <w:marLeft w:val="0"/>
      <w:marRight w:val="0"/>
      <w:marTop w:val="0"/>
      <w:marBottom w:val="0"/>
      <w:divBdr>
        <w:top w:val="none" w:sz="0" w:space="0" w:color="auto"/>
        <w:left w:val="none" w:sz="0" w:space="0" w:color="auto"/>
        <w:bottom w:val="none" w:sz="0" w:space="0" w:color="auto"/>
        <w:right w:val="none" w:sz="0" w:space="0" w:color="auto"/>
      </w:divBdr>
    </w:div>
    <w:div w:id="1193346704">
      <w:bodyDiv w:val="1"/>
      <w:marLeft w:val="0"/>
      <w:marRight w:val="0"/>
      <w:marTop w:val="0"/>
      <w:marBottom w:val="0"/>
      <w:divBdr>
        <w:top w:val="none" w:sz="0" w:space="0" w:color="auto"/>
        <w:left w:val="none" w:sz="0" w:space="0" w:color="auto"/>
        <w:bottom w:val="none" w:sz="0" w:space="0" w:color="auto"/>
        <w:right w:val="none" w:sz="0" w:space="0" w:color="auto"/>
      </w:divBdr>
    </w:div>
    <w:div w:id="1225679662">
      <w:bodyDiv w:val="1"/>
      <w:marLeft w:val="0"/>
      <w:marRight w:val="0"/>
      <w:marTop w:val="0"/>
      <w:marBottom w:val="0"/>
      <w:divBdr>
        <w:top w:val="none" w:sz="0" w:space="0" w:color="auto"/>
        <w:left w:val="none" w:sz="0" w:space="0" w:color="auto"/>
        <w:bottom w:val="none" w:sz="0" w:space="0" w:color="auto"/>
        <w:right w:val="none" w:sz="0" w:space="0" w:color="auto"/>
      </w:divBdr>
    </w:div>
    <w:div w:id="1253078806">
      <w:bodyDiv w:val="1"/>
      <w:marLeft w:val="0"/>
      <w:marRight w:val="0"/>
      <w:marTop w:val="0"/>
      <w:marBottom w:val="0"/>
      <w:divBdr>
        <w:top w:val="none" w:sz="0" w:space="0" w:color="auto"/>
        <w:left w:val="none" w:sz="0" w:space="0" w:color="auto"/>
        <w:bottom w:val="none" w:sz="0" w:space="0" w:color="auto"/>
        <w:right w:val="none" w:sz="0" w:space="0" w:color="auto"/>
      </w:divBdr>
    </w:div>
    <w:div w:id="1266889502">
      <w:bodyDiv w:val="1"/>
      <w:marLeft w:val="0"/>
      <w:marRight w:val="0"/>
      <w:marTop w:val="0"/>
      <w:marBottom w:val="0"/>
      <w:divBdr>
        <w:top w:val="none" w:sz="0" w:space="0" w:color="auto"/>
        <w:left w:val="none" w:sz="0" w:space="0" w:color="auto"/>
        <w:bottom w:val="none" w:sz="0" w:space="0" w:color="auto"/>
        <w:right w:val="none" w:sz="0" w:space="0" w:color="auto"/>
      </w:divBdr>
    </w:div>
    <w:div w:id="1287465701">
      <w:bodyDiv w:val="1"/>
      <w:marLeft w:val="0"/>
      <w:marRight w:val="0"/>
      <w:marTop w:val="0"/>
      <w:marBottom w:val="0"/>
      <w:divBdr>
        <w:top w:val="none" w:sz="0" w:space="0" w:color="auto"/>
        <w:left w:val="none" w:sz="0" w:space="0" w:color="auto"/>
        <w:bottom w:val="none" w:sz="0" w:space="0" w:color="auto"/>
        <w:right w:val="none" w:sz="0" w:space="0" w:color="auto"/>
      </w:divBdr>
    </w:div>
    <w:div w:id="1321537818">
      <w:bodyDiv w:val="1"/>
      <w:marLeft w:val="0"/>
      <w:marRight w:val="0"/>
      <w:marTop w:val="0"/>
      <w:marBottom w:val="0"/>
      <w:divBdr>
        <w:top w:val="none" w:sz="0" w:space="0" w:color="auto"/>
        <w:left w:val="none" w:sz="0" w:space="0" w:color="auto"/>
        <w:bottom w:val="none" w:sz="0" w:space="0" w:color="auto"/>
        <w:right w:val="none" w:sz="0" w:space="0" w:color="auto"/>
      </w:divBdr>
    </w:div>
    <w:div w:id="1445539484">
      <w:bodyDiv w:val="1"/>
      <w:marLeft w:val="0"/>
      <w:marRight w:val="0"/>
      <w:marTop w:val="0"/>
      <w:marBottom w:val="0"/>
      <w:divBdr>
        <w:top w:val="none" w:sz="0" w:space="0" w:color="auto"/>
        <w:left w:val="none" w:sz="0" w:space="0" w:color="auto"/>
        <w:bottom w:val="none" w:sz="0" w:space="0" w:color="auto"/>
        <w:right w:val="none" w:sz="0" w:space="0" w:color="auto"/>
      </w:divBdr>
    </w:div>
    <w:div w:id="1557857574">
      <w:bodyDiv w:val="1"/>
      <w:marLeft w:val="0"/>
      <w:marRight w:val="0"/>
      <w:marTop w:val="0"/>
      <w:marBottom w:val="0"/>
      <w:divBdr>
        <w:top w:val="none" w:sz="0" w:space="0" w:color="auto"/>
        <w:left w:val="none" w:sz="0" w:space="0" w:color="auto"/>
        <w:bottom w:val="none" w:sz="0" w:space="0" w:color="auto"/>
        <w:right w:val="none" w:sz="0" w:space="0" w:color="auto"/>
      </w:divBdr>
    </w:div>
    <w:div w:id="1580366860">
      <w:bodyDiv w:val="1"/>
      <w:marLeft w:val="0"/>
      <w:marRight w:val="0"/>
      <w:marTop w:val="0"/>
      <w:marBottom w:val="0"/>
      <w:divBdr>
        <w:top w:val="none" w:sz="0" w:space="0" w:color="auto"/>
        <w:left w:val="none" w:sz="0" w:space="0" w:color="auto"/>
        <w:bottom w:val="none" w:sz="0" w:space="0" w:color="auto"/>
        <w:right w:val="none" w:sz="0" w:space="0" w:color="auto"/>
      </w:divBdr>
    </w:div>
    <w:div w:id="1641766375">
      <w:bodyDiv w:val="1"/>
      <w:marLeft w:val="0"/>
      <w:marRight w:val="0"/>
      <w:marTop w:val="0"/>
      <w:marBottom w:val="0"/>
      <w:divBdr>
        <w:top w:val="none" w:sz="0" w:space="0" w:color="auto"/>
        <w:left w:val="none" w:sz="0" w:space="0" w:color="auto"/>
        <w:bottom w:val="none" w:sz="0" w:space="0" w:color="auto"/>
        <w:right w:val="none" w:sz="0" w:space="0" w:color="auto"/>
      </w:divBdr>
    </w:div>
    <w:div w:id="1665621796">
      <w:bodyDiv w:val="1"/>
      <w:marLeft w:val="0"/>
      <w:marRight w:val="0"/>
      <w:marTop w:val="0"/>
      <w:marBottom w:val="0"/>
      <w:divBdr>
        <w:top w:val="none" w:sz="0" w:space="0" w:color="auto"/>
        <w:left w:val="none" w:sz="0" w:space="0" w:color="auto"/>
        <w:bottom w:val="none" w:sz="0" w:space="0" w:color="auto"/>
        <w:right w:val="none" w:sz="0" w:space="0" w:color="auto"/>
      </w:divBdr>
    </w:div>
    <w:div w:id="1677418164">
      <w:bodyDiv w:val="1"/>
      <w:marLeft w:val="0"/>
      <w:marRight w:val="0"/>
      <w:marTop w:val="0"/>
      <w:marBottom w:val="0"/>
      <w:divBdr>
        <w:top w:val="none" w:sz="0" w:space="0" w:color="auto"/>
        <w:left w:val="none" w:sz="0" w:space="0" w:color="auto"/>
        <w:bottom w:val="none" w:sz="0" w:space="0" w:color="auto"/>
        <w:right w:val="none" w:sz="0" w:space="0" w:color="auto"/>
      </w:divBdr>
    </w:div>
    <w:div w:id="1680961107">
      <w:bodyDiv w:val="1"/>
      <w:marLeft w:val="0"/>
      <w:marRight w:val="0"/>
      <w:marTop w:val="0"/>
      <w:marBottom w:val="0"/>
      <w:divBdr>
        <w:top w:val="none" w:sz="0" w:space="0" w:color="auto"/>
        <w:left w:val="none" w:sz="0" w:space="0" w:color="auto"/>
        <w:bottom w:val="none" w:sz="0" w:space="0" w:color="auto"/>
        <w:right w:val="none" w:sz="0" w:space="0" w:color="auto"/>
      </w:divBdr>
    </w:div>
    <w:div w:id="1755279700">
      <w:bodyDiv w:val="1"/>
      <w:marLeft w:val="0"/>
      <w:marRight w:val="0"/>
      <w:marTop w:val="0"/>
      <w:marBottom w:val="0"/>
      <w:divBdr>
        <w:top w:val="none" w:sz="0" w:space="0" w:color="auto"/>
        <w:left w:val="none" w:sz="0" w:space="0" w:color="auto"/>
        <w:bottom w:val="none" w:sz="0" w:space="0" w:color="auto"/>
        <w:right w:val="none" w:sz="0" w:space="0" w:color="auto"/>
      </w:divBdr>
    </w:div>
    <w:div w:id="1909657262">
      <w:bodyDiv w:val="1"/>
      <w:marLeft w:val="0"/>
      <w:marRight w:val="0"/>
      <w:marTop w:val="0"/>
      <w:marBottom w:val="0"/>
      <w:divBdr>
        <w:top w:val="none" w:sz="0" w:space="0" w:color="auto"/>
        <w:left w:val="none" w:sz="0" w:space="0" w:color="auto"/>
        <w:bottom w:val="none" w:sz="0" w:space="0" w:color="auto"/>
        <w:right w:val="none" w:sz="0" w:space="0" w:color="auto"/>
      </w:divBdr>
    </w:div>
    <w:div w:id="1947540026">
      <w:bodyDiv w:val="1"/>
      <w:marLeft w:val="0"/>
      <w:marRight w:val="0"/>
      <w:marTop w:val="0"/>
      <w:marBottom w:val="0"/>
      <w:divBdr>
        <w:top w:val="none" w:sz="0" w:space="0" w:color="auto"/>
        <w:left w:val="none" w:sz="0" w:space="0" w:color="auto"/>
        <w:bottom w:val="none" w:sz="0" w:space="0" w:color="auto"/>
        <w:right w:val="none" w:sz="0" w:space="0" w:color="auto"/>
      </w:divBdr>
    </w:div>
    <w:div w:id="2018578514">
      <w:bodyDiv w:val="1"/>
      <w:marLeft w:val="0"/>
      <w:marRight w:val="0"/>
      <w:marTop w:val="0"/>
      <w:marBottom w:val="0"/>
      <w:divBdr>
        <w:top w:val="none" w:sz="0" w:space="0" w:color="auto"/>
        <w:left w:val="none" w:sz="0" w:space="0" w:color="auto"/>
        <w:bottom w:val="none" w:sz="0" w:space="0" w:color="auto"/>
        <w:right w:val="none" w:sz="0" w:space="0" w:color="auto"/>
      </w:divBdr>
    </w:div>
    <w:div w:id="207319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header" Target="header2.xml"/><Relationship Id="rId8" Type="http://schemas.openxmlformats.org/officeDocument/2006/relationships/hyperlink" Target="https://gis.ratel.rs/smartPortal/postanskeUsluge"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kneze\Dropbox\Strategija\00%202026-2030\Tabele\Chart%20in%20Microsoft%20Word.xlsx" TargetMode="External"/></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8.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kneze\Dropbox\Strategija\00%202026-2030\Tabele\Chart%20in%20Microsoft%20Word.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71642319593314"/>
          <c:y val="6.6268699507490085E-4"/>
          <c:w val="0.86573166688838155"/>
          <c:h val="0.82570983314585766"/>
        </c:manualLayout>
      </c:layout>
      <c:barChart>
        <c:barDir val="col"/>
        <c:grouping val="clustered"/>
        <c:varyColors val="0"/>
        <c:ser>
          <c:idx val="0"/>
          <c:order val="0"/>
          <c:tx>
            <c:v>Ук. обим</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Sheet1!$S$10:$S$19</c:f>
              <c:numCache>
                <c:formatCode>0</c:formatCode>
                <c:ptCount val="10"/>
                <c:pt idx="0">
                  <c:v>292.90799999999979</c:v>
                </c:pt>
                <c:pt idx="1">
                  <c:v>286.26099999999974</c:v>
                </c:pt>
                <c:pt idx="2">
                  <c:v>294.70399999999967</c:v>
                </c:pt>
                <c:pt idx="3">
                  <c:v>318.92099999999976</c:v>
                </c:pt>
                <c:pt idx="4">
                  <c:v>302.11699999999973</c:v>
                </c:pt>
                <c:pt idx="5">
                  <c:v>302.03199999999958</c:v>
                </c:pt>
                <c:pt idx="6">
                  <c:v>307.99499999999978</c:v>
                </c:pt>
                <c:pt idx="7">
                  <c:v>296.09599999999978</c:v>
                </c:pt>
                <c:pt idx="8">
                  <c:v>273.54399999999993</c:v>
                </c:pt>
                <c:pt idx="9">
                  <c:v>265.43799999999965</c:v>
                </c:pt>
              </c:numCache>
            </c:numRef>
          </c:val>
          <c:extLst>
            <c:ext xmlns:c16="http://schemas.microsoft.com/office/drawing/2014/chart" uri="{C3380CC4-5D6E-409C-BE32-E72D297353CC}">
              <c16:uniqueId val="{00000000-628F-4BD9-B7F0-5B7988E551DB}"/>
            </c:ext>
          </c:extLst>
        </c:ser>
        <c:ser>
          <c:idx val="1"/>
          <c:order val="1"/>
          <c:tx>
            <c:v>Годишња варијација</c:v>
          </c:tx>
          <c:spPr>
            <a:solidFill>
              <a:schemeClr val="accent2"/>
            </a:solidFill>
            <a:ln>
              <a:noFill/>
            </a:ln>
            <a:effectLst/>
          </c:spPr>
          <c:invertIfNegative val="0"/>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Sheet1!$V$10:$V$19</c:f>
              <c:numCache>
                <c:formatCode>0.0%</c:formatCode>
                <c:ptCount val="10"/>
                <c:pt idx="1">
                  <c:v>-2.2693132314583614E-2</c:v>
                </c:pt>
                <c:pt idx="2">
                  <c:v>2.94940631102385E-2</c:v>
                </c:pt>
                <c:pt idx="3">
                  <c:v>8.2173977957544109E-2</c:v>
                </c:pt>
                <c:pt idx="4">
                  <c:v>-5.2690164648925876E-2</c:v>
                </c:pt>
                <c:pt idx="5">
                  <c:v>-2.8134795460033085E-4</c:v>
                </c:pt>
                <c:pt idx="6">
                  <c:v>1.9742941145309181E-2</c:v>
                </c:pt>
                <c:pt idx="7">
                  <c:v>-3.8633744054286552E-2</c:v>
                </c:pt>
                <c:pt idx="8">
                  <c:v>-7.6164487193342831E-2</c:v>
                </c:pt>
                <c:pt idx="9">
                  <c:v>-2.9633258269236372E-2</c:v>
                </c:pt>
              </c:numCache>
            </c:numRef>
          </c:val>
          <c:extLst>
            <c:ext xmlns:c16="http://schemas.microsoft.com/office/drawing/2014/chart" uri="{C3380CC4-5D6E-409C-BE32-E72D297353CC}">
              <c16:uniqueId val="{00000001-628F-4BD9-B7F0-5B7988E551DB}"/>
            </c:ext>
          </c:extLst>
        </c:ser>
        <c:ser>
          <c:idx val="2"/>
          <c:order val="2"/>
          <c:tx>
            <c:v>Варијација 2015=100%</c:v>
          </c:tx>
          <c:spPr>
            <a:solidFill>
              <a:schemeClr val="accent3"/>
            </a:solidFill>
            <a:ln>
              <a:noFill/>
            </a:ln>
            <a:effectLst/>
          </c:spPr>
          <c:invertIfNegative val="0"/>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Sheet1!$W$10:$W$19</c:f>
              <c:numCache>
                <c:formatCode>0.0%</c:formatCode>
                <c:ptCount val="10"/>
                <c:pt idx="1">
                  <c:v>-2.2693132314583614E-2</c:v>
                </c:pt>
                <c:pt idx="2">
                  <c:v>6.131618118999654E-3</c:v>
                </c:pt>
                <c:pt idx="3">
                  <c:v>8.880945552869858E-2</c:v>
                </c:pt>
                <c:pt idx="4">
                  <c:v>3.1439906045584151E-2</c:v>
                </c:pt>
                <c:pt idx="5">
                  <c:v>3.1149712537725183E-2</c:v>
                </c:pt>
                <c:pt idx="6">
                  <c:v>5.1507640624359752E-2</c:v>
                </c:pt>
                <c:pt idx="7">
                  <c:v>1.0883963565351479E-2</c:v>
                </c:pt>
                <c:pt idx="8">
                  <c:v>-6.6109495131577281E-2</c:v>
                </c:pt>
                <c:pt idx="9">
                  <c:v>-9.3783713657530687E-2</c:v>
                </c:pt>
              </c:numCache>
            </c:numRef>
          </c:val>
          <c:extLst>
            <c:ext xmlns:c16="http://schemas.microsoft.com/office/drawing/2014/chart" uri="{C3380CC4-5D6E-409C-BE32-E72D297353CC}">
              <c16:uniqueId val="{00000002-628F-4BD9-B7F0-5B7988E551DB}"/>
            </c:ext>
          </c:extLst>
        </c:ser>
        <c:dLbls>
          <c:showLegendKey val="0"/>
          <c:showVal val="0"/>
          <c:showCatName val="0"/>
          <c:showSerName val="0"/>
          <c:showPercent val="0"/>
          <c:showBubbleSize val="0"/>
        </c:dLbls>
        <c:gapWidth val="90"/>
        <c:overlap val="90"/>
        <c:axId val="140007680"/>
        <c:axId val="140279808"/>
      </c:barChart>
      <c:catAx>
        <c:axId val="140007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4000" b="1" i="0" u="none" strike="noStrike" kern="1200" baseline="0">
                <a:solidFill>
                  <a:schemeClr val="tx1">
                    <a:lumMod val="65000"/>
                    <a:lumOff val="35000"/>
                  </a:schemeClr>
                </a:solidFill>
                <a:latin typeface="+mn-lt"/>
                <a:ea typeface="+mn-ea"/>
                <a:cs typeface="+mn-cs"/>
              </a:defRPr>
            </a:pPr>
            <a:endParaRPr lang="en-US"/>
          </a:p>
        </c:txPr>
        <c:crossAx val="140279808"/>
        <c:crosses val="autoZero"/>
        <c:auto val="0"/>
        <c:lblAlgn val="ctr"/>
        <c:lblOffset val="100"/>
        <c:noMultiLvlLbl val="0"/>
      </c:catAx>
      <c:valAx>
        <c:axId val="140279808"/>
        <c:scaling>
          <c:orientation val="minMax"/>
          <c:max val="330"/>
          <c:min val="20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crossAx val="140007680"/>
        <c:crosses val="autoZero"/>
        <c:crossBetween val="between"/>
        <c:majorUnit val="25"/>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solidFill>
                <a:schemeClr val="accent1"/>
              </a:solidFill>
            </a:ln>
            <a:effectLst/>
          </c:spPr>
          <c:invertIfNegative val="0"/>
          <c:dPt>
            <c:idx val="2"/>
            <c:invertIfNegative val="0"/>
            <c:bubble3D val="0"/>
            <c:spPr>
              <a:solidFill>
                <a:srgbClr val="C00000"/>
              </a:solidFill>
              <a:ln>
                <a:solidFill>
                  <a:schemeClr val="accent1"/>
                </a:solidFill>
              </a:ln>
              <a:effectLst/>
            </c:spPr>
            <c:extLst>
              <c:ext xmlns:c16="http://schemas.microsoft.com/office/drawing/2014/chart" uri="{C3380CC4-5D6E-409C-BE32-E72D297353CC}">
                <c16:uniqueId val="{00000001-EDCF-41E6-8C30-BCF342BB6B8D}"/>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'Sr vredn prio do 20g (2023 sor)'!$C$3:$C$31</c:f>
              <c:strCache>
                <c:ptCount val="29"/>
                <c:pt idx="0">
                  <c:v>Црна Гора</c:v>
                </c:pt>
                <c:pt idx="1">
                  <c:v>Малта</c:v>
                </c:pt>
                <c:pt idx="2">
                  <c:v>Србија</c:v>
                </c:pt>
                <c:pt idx="3">
                  <c:v>Кипар</c:v>
                </c:pt>
                <c:pt idx="4">
                  <c:v>Летонија</c:v>
                </c:pt>
                <c:pt idx="5">
                  <c:v>Бугарска</c:v>
                </c:pt>
                <c:pt idx="6">
                  <c:v>Мађарска</c:v>
                </c:pt>
                <c:pt idx="7">
                  <c:v>Турска</c:v>
                </c:pt>
                <c:pt idx="8">
                  <c:v>Португалија</c:v>
                </c:pt>
                <c:pt idx="9">
                  <c:v>Словенија</c:v>
                </c:pt>
                <c:pt idx="10">
                  <c:v>Немачка</c:v>
                </c:pt>
                <c:pt idx="11">
                  <c:v>Хрватска</c:v>
                </c:pt>
                <c:pt idx="12">
                  <c:v>Румунија</c:v>
                </c:pt>
                <c:pt idx="13">
                  <c:v>Аустрија</c:v>
                </c:pt>
                <c:pt idx="14">
                  <c:v>Луксембург</c:v>
                </c:pt>
                <c:pt idx="15">
                  <c:v>Словачка</c:v>
                </c:pt>
                <c:pt idx="16">
                  <c:v>Холандија</c:v>
                </c:pt>
                <c:pt idx="17">
                  <c:v>Пољска</c:v>
                </c:pt>
                <c:pt idx="18">
                  <c:v>Чешка</c:v>
                </c:pt>
                <c:pt idx="19">
                  <c:v>Ирска</c:v>
                </c:pt>
                <c:pt idx="20">
                  <c:v>Шведска</c:v>
                </c:pt>
                <c:pt idx="21">
                  <c:v>Естонија</c:v>
                </c:pt>
                <c:pt idx="22">
                  <c:v>Литванија</c:v>
                </c:pt>
                <c:pt idx="23">
                  <c:v>Норвешка</c:v>
                </c:pt>
                <c:pt idx="24">
                  <c:v>Грчка</c:v>
                </c:pt>
                <c:pt idx="25">
                  <c:v>Белгија</c:v>
                </c:pt>
                <c:pt idx="26">
                  <c:v>Италија</c:v>
                </c:pt>
                <c:pt idx="27">
                  <c:v>Финска</c:v>
                </c:pt>
                <c:pt idx="28">
                  <c:v>Данска</c:v>
                </c:pt>
              </c:strCache>
            </c:strRef>
          </c:cat>
          <c:val>
            <c:numRef>
              <c:f>'Sr vredn prio do 20g (2023 sor)'!$D$3:$D$31</c:f>
              <c:numCache>
                <c:formatCode>0.00</c:formatCode>
                <c:ptCount val="29"/>
                <c:pt idx="0">
                  <c:v>0.30000000000000021</c:v>
                </c:pt>
                <c:pt idx="1">
                  <c:v>0.37000000000000022</c:v>
                </c:pt>
                <c:pt idx="2">
                  <c:v>0.38000000000000023</c:v>
                </c:pt>
                <c:pt idx="3">
                  <c:v>0.4100000000000002</c:v>
                </c:pt>
                <c:pt idx="4">
                  <c:v>0.60000000000000042</c:v>
                </c:pt>
                <c:pt idx="5">
                  <c:v>0.64000000000000046</c:v>
                </c:pt>
                <c:pt idx="6">
                  <c:v>0.67000000000000071</c:v>
                </c:pt>
                <c:pt idx="7">
                  <c:v>0.72000000000000042</c:v>
                </c:pt>
                <c:pt idx="8">
                  <c:v>0.74000000000000044</c:v>
                </c:pt>
                <c:pt idx="9">
                  <c:v>0.74000000000000044</c:v>
                </c:pt>
                <c:pt idx="10">
                  <c:v>0.85000000000000042</c:v>
                </c:pt>
                <c:pt idx="11">
                  <c:v>0.86000000000000043</c:v>
                </c:pt>
                <c:pt idx="12">
                  <c:v>0.99</c:v>
                </c:pt>
                <c:pt idx="13">
                  <c:v>1</c:v>
                </c:pt>
                <c:pt idx="14">
                  <c:v>1</c:v>
                </c:pt>
                <c:pt idx="15">
                  <c:v>1</c:v>
                </c:pt>
                <c:pt idx="16">
                  <c:v>1.01</c:v>
                </c:pt>
                <c:pt idx="17">
                  <c:v>1.08</c:v>
                </c:pt>
                <c:pt idx="18">
                  <c:v>1.1800000000000008</c:v>
                </c:pt>
                <c:pt idx="19">
                  <c:v>1.25</c:v>
                </c:pt>
                <c:pt idx="20">
                  <c:v>1.27</c:v>
                </c:pt>
                <c:pt idx="21">
                  <c:v>1.5</c:v>
                </c:pt>
                <c:pt idx="22">
                  <c:v>1.6500000000000001</c:v>
                </c:pt>
                <c:pt idx="23">
                  <c:v>1.71</c:v>
                </c:pt>
                <c:pt idx="24">
                  <c:v>1.9000000000000001</c:v>
                </c:pt>
                <c:pt idx="25">
                  <c:v>2.17</c:v>
                </c:pt>
                <c:pt idx="26">
                  <c:v>2.8</c:v>
                </c:pt>
                <c:pt idx="27">
                  <c:v>3.6</c:v>
                </c:pt>
                <c:pt idx="28">
                  <c:v>4.3</c:v>
                </c:pt>
              </c:numCache>
            </c:numRef>
          </c:val>
          <c:extLst>
            <c:ext xmlns:c16="http://schemas.microsoft.com/office/drawing/2014/chart" uri="{C3380CC4-5D6E-409C-BE32-E72D297353CC}">
              <c16:uniqueId val="{00000004-EDCF-41E6-8C30-BCF342BB6B8D}"/>
            </c:ext>
          </c:extLst>
        </c:ser>
        <c:dLbls>
          <c:showLegendKey val="0"/>
          <c:showVal val="0"/>
          <c:showCatName val="0"/>
          <c:showSerName val="0"/>
          <c:showPercent val="0"/>
          <c:showBubbleSize val="0"/>
        </c:dLbls>
        <c:gapWidth val="182"/>
        <c:axId val="116378240"/>
        <c:axId val="138396032"/>
      </c:barChart>
      <c:scatterChart>
        <c:scatterStyle val="smoothMarker"/>
        <c:varyColors val="0"/>
        <c:ser>
          <c:idx val="1"/>
          <c:order val="1"/>
          <c:tx>
            <c:strRef>
              <c:f>'Sr vredn prio do 20g (2023 sor)'!$E$2</c:f>
              <c:strCache>
                <c:ptCount val="1"/>
                <c:pt idx="0">
                  <c:v>Ср.вредност</c:v>
                </c:pt>
              </c:strCache>
            </c:strRef>
          </c:tx>
          <c:spPr>
            <a:ln w="19050" cap="rnd">
              <a:solidFill>
                <a:srgbClr val="C00000"/>
              </a:solidFill>
              <a:round/>
            </a:ln>
            <a:effectLst/>
          </c:spPr>
          <c:marker>
            <c:symbol val="none"/>
          </c:marker>
          <c:dPt>
            <c:idx val="26"/>
            <c:bubble3D val="0"/>
            <c:spPr>
              <a:ln w="28575" cap="rnd">
                <a:noFill/>
                <a:round/>
              </a:ln>
              <a:effectLst/>
            </c:spPr>
            <c:extLst>
              <c:ext xmlns:c16="http://schemas.microsoft.com/office/drawing/2014/chart" uri="{C3380CC4-5D6E-409C-BE32-E72D297353CC}">
                <c16:uniqueId val="{00000006-EDCF-41E6-8C30-BCF342BB6B8D}"/>
              </c:ext>
            </c:extLst>
          </c:dPt>
          <c:dLbls>
            <c:dLbl>
              <c:idx val="29"/>
              <c:layout>
                <c:manualLayout>
                  <c:x val="-2.7767803723439635E-2"/>
                  <c:y val="-2.0936328612875605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7-EDCF-41E6-8C30-BCF342BB6B8D}"/>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'Sr vredn prio do 20g (2023 sor)'!$E$3:$E$33</c:f>
              <c:numCache>
                <c:formatCode>0.00</c:formatCode>
                <c:ptCount val="31"/>
                <c:pt idx="0">
                  <c:v>1.27</c:v>
                </c:pt>
                <c:pt idx="1">
                  <c:v>1.27</c:v>
                </c:pt>
                <c:pt idx="2">
                  <c:v>1.27</c:v>
                </c:pt>
                <c:pt idx="3">
                  <c:v>1.27</c:v>
                </c:pt>
                <c:pt idx="4">
                  <c:v>1.27</c:v>
                </c:pt>
                <c:pt idx="5">
                  <c:v>1.27</c:v>
                </c:pt>
                <c:pt idx="6">
                  <c:v>1.27</c:v>
                </c:pt>
                <c:pt idx="7">
                  <c:v>1.27</c:v>
                </c:pt>
                <c:pt idx="8">
                  <c:v>1.27</c:v>
                </c:pt>
                <c:pt idx="9">
                  <c:v>1.27</c:v>
                </c:pt>
                <c:pt idx="10">
                  <c:v>1.27</c:v>
                </c:pt>
                <c:pt idx="11">
                  <c:v>1.27</c:v>
                </c:pt>
                <c:pt idx="12">
                  <c:v>1.27</c:v>
                </c:pt>
                <c:pt idx="13">
                  <c:v>1.27</c:v>
                </c:pt>
                <c:pt idx="14">
                  <c:v>1.27</c:v>
                </c:pt>
                <c:pt idx="15">
                  <c:v>1.27</c:v>
                </c:pt>
                <c:pt idx="16">
                  <c:v>1.27</c:v>
                </c:pt>
                <c:pt idx="17">
                  <c:v>1.27</c:v>
                </c:pt>
                <c:pt idx="18">
                  <c:v>1.27</c:v>
                </c:pt>
                <c:pt idx="19">
                  <c:v>1.27</c:v>
                </c:pt>
                <c:pt idx="20">
                  <c:v>1.27</c:v>
                </c:pt>
                <c:pt idx="21">
                  <c:v>1.27</c:v>
                </c:pt>
                <c:pt idx="22">
                  <c:v>1.27</c:v>
                </c:pt>
                <c:pt idx="23">
                  <c:v>1.27</c:v>
                </c:pt>
                <c:pt idx="24">
                  <c:v>1.27</c:v>
                </c:pt>
                <c:pt idx="25">
                  <c:v>1.27</c:v>
                </c:pt>
                <c:pt idx="26">
                  <c:v>1.27</c:v>
                </c:pt>
                <c:pt idx="27">
                  <c:v>1.27</c:v>
                </c:pt>
                <c:pt idx="28">
                  <c:v>1.27</c:v>
                </c:pt>
                <c:pt idx="29">
                  <c:v>1.27</c:v>
                </c:pt>
                <c:pt idx="30">
                  <c:v>1.27</c:v>
                </c:pt>
              </c:numCache>
            </c:numRef>
          </c:xVal>
          <c:yVal>
            <c:numRef>
              <c:f>'Sr vredn prio do 20g (2023 sor)'!$D$3:$D$33</c:f>
              <c:numCache>
                <c:formatCode>0.00</c:formatCode>
                <c:ptCount val="31"/>
                <c:pt idx="0">
                  <c:v>0.30000000000000021</c:v>
                </c:pt>
                <c:pt idx="1">
                  <c:v>0.37000000000000022</c:v>
                </c:pt>
                <c:pt idx="2">
                  <c:v>0.38000000000000023</c:v>
                </c:pt>
                <c:pt idx="3">
                  <c:v>0.4100000000000002</c:v>
                </c:pt>
                <c:pt idx="4">
                  <c:v>0.60000000000000042</c:v>
                </c:pt>
                <c:pt idx="5">
                  <c:v>0.64000000000000046</c:v>
                </c:pt>
                <c:pt idx="6">
                  <c:v>0.67000000000000071</c:v>
                </c:pt>
                <c:pt idx="7">
                  <c:v>0.72000000000000042</c:v>
                </c:pt>
                <c:pt idx="8">
                  <c:v>0.74000000000000044</c:v>
                </c:pt>
                <c:pt idx="9">
                  <c:v>0.74000000000000044</c:v>
                </c:pt>
                <c:pt idx="10">
                  <c:v>0.85000000000000042</c:v>
                </c:pt>
                <c:pt idx="11">
                  <c:v>0.86000000000000043</c:v>
                </c:pt>
                <c:pt idx="12">
                  <c:v>0.99</c:v>
                </c:pt>
                <c:pt idx="13">
                  <c:v>1</c:v>
                </c:pt>
                <c:pt idx="14">
                  <c:v>1</c:v>
                </c:pt>
                <c:pt idx="15">
                  <c:v>1</c:v>
                </c:pt>
                <c:pt idx="16">
                  <c:v>1.01</c:v>
                </c:pt>
                <c:pt idx="17">
                  <c:v>1.08</c:v>
                </c:pt>
                <c:pt idx="18">
                  <c:v>1.1800000000000008</c:v>
                </c:pt>
                <c:pt idx="19">
                  <c:v>1.25</c:v>
                </c:pt>
                <c:pt idx="20">
                  <c:v>1.27</c:v>
                </c:pt>
                <c:pt idx="21">
                  <c:v>1.5</c:v>
                </c:pt>
                <c:pt idx="22">
                  <c:v>1.6500000000000001</c:v>
                </c:pt>
                <c:pt idx="23">
                  <c:v>1.71</c:v>
                </c:pt>
                <c:pt idx="24">
                  <c:v>1.9000000000000001</c:v>
                </c:pt>
                <c:pt idx="25">
                  <c:v>2.17</c:v>
                </c:pt>
                <c:pt idx="26">
                  <c:v>2.8</c:v>
                </c:pt>
                <c:pt idx="27">
                  <c:v>3.6</c:v>
                </c:pt>
                <c:pt idx="28">
                  <c:v>4.3</c:v>
                </c:pt>
                <c:pt idx="29">
                  <c:v>0</c:v>
                </c:pt>
                <c:pt idx="30">
                  <c:v>4</c:v>
                </c:pt>
              </c:numCache>
            </c:numRef>
          </c:yVal>
          <c:smooth val="1"/>
          <c:extLst>
            <c:ext xmlns:c16="http://schemas.microsoft.com/office/drawing/2014/chart" uri="{C3380CC4-5D6E-409C-BE32-E72D297353CC}">
              <c16:uniqueId val="{00000008-EDCF-41E6-8C30-BCF342BB6B8D}"/>
            </c:ext>
          </c:extLst>
        </c:ser>
        <c:dLbls>
          <c:showLegendKey val="0"/>
          <c:showVal val="0"/>
          <c:showCatName val="0"/>
          <c:showSerName val="0"/>
          <c:showPercent val="0"/>
          <c:showBubbleSize val="0"/>
        </c:dLbls>
        <c:axId val="138399104"/>
        <c:axId val="138397568"/>
      </c:scatterChart>
      <c:catAx>
        <c:axId val="1163782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396032"/>
        <c:crosses val="autoZero"/>
        <c:auto val="1"/>
        <c:lblAlgn val="ctr"/>
        <c:lblOffset val="100"/>
        <c:noMultiLvlLbl val="0"/>
      </c:catAx>
      <c:valAx>
        <c:axId val="138396032"/>
        <c:scaling>
          <c:orientation val="minMax"/>
          <c:max val="4.5"/>
          <c:min val="0"/>
        </c:scaling>
        <c:delete val="0"/>
        <c:axPos val="b"/>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w="6350">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6378240"/>
        <c:crosses val="autoZero"/>
        <c:crossBetween val="between"/>
      </c:valAx>
      <c:valAx>
        <c:axId val="138397568"/>
        <c:scaling>
          <c:orientation val="minMax"/>
          <c:max val="4"/>
        </c:scaling>
        <c:delete val="1"/>
        <c:axPos val="r"/>
        <c:numFmt formatCode="0.00" sourceLinked="1"/>
        <c:majorTickMark val="out"/>
        <c:minorTickMark val="none"/>
        <c:tickLblPos val="nextTo"/>
        <c:crossAx val="138399104"/>
        <c:crosses val="max"/>
        <c:crossBetween val="midCat"/>
      </c:valAx>
      <c:valAx>
        <c:axId val="138399104"/>
        <c:scaling>
          <c:orientation val="minMax"/>
        </c:scaling>
        <c:delete val="1"/>
        <c:axPos val="b"/>
        <c:numFmt formatCode="0.00" sourceLinked="1"/>
        <c:majorTickMark val="out"/>
        <c:minorTickMark val="none"/>
        <c:tickLblPos val="nextTo"/>
        <c:crossAx val="13839756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noFill/>
            </a:ln>
            <a:effectLst/>
          </c:spPr>
          <c:invertIfNegative val="0"/>
          <c:dPt>
            <c:idx val="9"/>
            <c:invertIfNegative val="0"/>
            <c:bubble3D val="0"/>
            <c:spPr>
              <a:solidFill>
                <a:srgbClr val="C00000"/>
              </a:solidFill>
              <a:ln>
                <a:noFill/>
              </a:ln>
              <a:effectLst/>
            </c:spPr>
            <c:extLst>
              <c:ext xmlns:c16="http://schemas.microsoft.com/office/drawing/2014/chart" uri="{C3380CC4-5D6E-409C-BE32-E72D297353CC}">
                <c16:uniqueId val="{00000003-90AC-48DC-AC48-849C808E14C3}"/>
              </c:ext>
            </c:extLst>
          </c:dPt>
          <c:dLbls>
            <c:dLbl>
              <c:idx val="9"/>
              <c:layout>
                <c:manualLayout>
                  <c:x val="-1.388592461451800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0AC-48DC-AC48-849C808E14C3}"/>
                </c:ext>
              </c:extLst>
            </c:dLbl>
            <c:dLbl>
              <c:idx val="10"/>
              <c:layout>
                <c:manualLayout>
                  <c:x val="8.3315547687107926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0AC-48DC-AC48-849C808E14C3}"/>
                </c:ext>
              </c:extLst>
            </c:dLbl>
            <c:dLbl>
              <c:idx val="11"/>
              <c:layout>
                <c:manualLayout>
                  <c:x val="-8.3191133266300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0AC-48DC-AC48-849C808E14C3}"/>
                </c:ext>
              </c:extLst>
            </c:dLbl>
            <c:dLbl>
              <c:idx val="12"/>
              <c:layout>
                <c:manualLayout>
                  <c:x val="2.7709745251232459E-2"/>
                  <c:y val="-1.510602313396809E-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0AC-48DC-AC48-849C808E14C3}"/>
                </c:ext>
              </c:extLst>
            </c:dLbl>
            <c:dLbl>
              <c:idx val="13"/>
              <c:layout>
                <c:manualLayout>
                  <c:x val="1.3823820636714392E-2"/>
                  <c:y val="1.918464938014016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0AC-48DC-AC48-849C808E14C3}"/>
                </c:ext>
              </c:extLst>
            </c:dLbl>
            <c:dLbl>
              <c:idx val="14"/>
              <c:layout>
                <c:manualLayout>
                  <c:x val="1.386518887771658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0AC-48DC-AC48-849C808E14C3}"/>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'Razlika prio obično 2023'!$C$2:$C$23</c:f>
              <c:strCache>
                <c:ptCount val="22"/>
                <c:pt idx="0">
                  <c:v>Словенија</c:v>
                </c:pt>
                <c:pt idx="1">
                  <c:v>Литванија</c:v>
                </c:pt>
                <c:pt idx="2">
                  <c:v>Кипар</c:v>
                </c:pt>
                <c:pt idx="3">
                  <c:v>Пољска</c:v>
                </c:pt>
                <c:pt idx="4">
                  <c:v>Аустрија</c:v>
                </c:pt>
                <c:pt idx="5">
                  <c:v>Португалија</c:v>
                </c:pt>
                <c:pt idx="6">
                  <c:v>Словачка</c:v>
                </c:pt>
                <c:pt idx="7">
                  <c:v>Чешка</c:v>
                </c:pt>
                <c:pt idx="8">
                  <c:v>Мађарска</c:v>
                </c:pt>
                <c:pt idx="9">
                  <c:v>Србија</c:v>
                </c:pt>
                <c:pt idx="10">
                  <c:v>Белгија</c:v>
                </c:pt>
                <c:pt idx="11">
                  <c:v>Естонија</c:v>
                </c:pt>
                <c:pt idx="12">
                  <c:v>Бугарска</c:v>
                </c:pt>
                <c:pt idx="13">
                  <c:v>Румунија</c:v>
                </c:pt>
                <c:pt idx="14">
                  <c:v>Финска</c:v>
                </c:pt>
                <c:pt idx="15">
                  <c:v>Хрватска</c:v>
                </c:pt>
                <c:pt idx="16">
                  <c:v>Грчка</c:v>
                </c:pt>
                <c:pt idx="17">
                  <c:v>Италија</c:v>
                </c:pt>
                <c:pt idx="18">
                  <c:v>Данска</c:v>
                </c:pt>
                <c:pt idx="19">
                  <c:v>Турска</c:v>
                </c:pt>
                <c:pt idx="20">
                  <c:v>мин</c:v>
                </c:pt>
                <c:pt idx="21">
                  <c:v>мах</c:v>
                </c:pt>
              </c:strCache>
            </c:strRef>
          </c:cat>
          <c:val>
            <c:numRef>
              <c:f>'Razlika prio obično 2023'!$D$2:$D$21</c:f>
              <c:numCache>
                <c:formatCode>0%</c:formatCode>
                <c:ptCount val="20"/>
                <c:pt idx="0">
                  <c:v>7.0000000000000021E-2</c:v>
                </c:pt>
                <c:pt idx="1">
                  <c:v>9.0000000000000024E-2</c:v>
                </c:pt>
                <c:pt idx="2">
                  <c:v>0.2100000000000001</c:v>
                </c:pt>
                <c:pt idx="3">
                  <c:v>0.23</c:v>
                </c:pt>
                <c:pt idx="4">
                  <c:v>0.23</c:v>
                </c:pt>
                <c:pt idx="5">
                  <c:v>0.30000000000000021</c:v>
                </c:pt>
                <c:pt idx="6">
                  <c:v>0.33000000000000035</c:v>
                </c:pt>
                <c:pt idx="7">
                  <c:v>0.33000000000000035</c:v>
                </c:pt>
                <c:pt idx="8">
                  <c:v>0.43000000000000022</c:v>
                </c:pt>
                <c:pt idx="9">
                  <c:v>0.5</c:v>
                </c:pt>
                <c:pt idx="10">
                  <c:v>0.56000000000000005</c:v>
                </c:pt>
                <c:pt idx="11">
                  <c:v>0.67000000000000071</c:v>
                </c:pt>
                <c:pt idx="12">
                  <c:v>0.67000000000000071</c:v>
                </c:pt>
                <c:pt idx="13">
                  <c:v>0.69000000000000039</c:v>
                </c:pt>
                <c:pt idx="14">
                  <c:v>0.71000000000000041</c:v>
                </c:pt>
                <c:pt idx="15">
                  <c:v>0.8300000000000004</c:v>
                </c:pt>
                <c:pt idx="16">
                  <c:v>1.1100000000000001</c:v>
                </c:pt>
                <c:pt idx="17">
                  <c:v>1.33</c:v>
                </c:pt>
                <c:pt idx="18">
                  <c:v>1.6700000000000008</c:v>
                </c:pt>
                <c:pt idx="19">
                  <c:v>1.73</c:v>
                </c:pt>
              </c:numCache>
            </c:numRef>
          </c:val>
          <c:extLst>
            <c:ext xmlns:c16="http://schemas.microsoft.com/office/drawing/2014/chart" uri="{C3380CC4-5D6E-409C-BE32-E72D297353CC}">
              <c16:uniqueId val="{00000009-90AC-48DC-AC48-849C808E14C3}"/>
            </c:ext>
          </c:extLst>
        </c:ser>
        <c:dLbls>
          <c:showLegendKey val="0"/>
          <c:showVal val="0"/>
          <c:showCatName val="0"/>
          <c:showSerName val="0"/>
          <c:showPercent val="0"/>
          <c:showBubbleSize val="0"/>
        </c:dLbls>
        <c:gapWidth val="182"/>
        <c:axId val="139708288"/>
        <c:axId val="139709824"/>
      </c:barChart>
      <c:scatterChart>
        <c:scatterStyle val="smoothMarker"/>
        <c:varyColors val="0"/>
        <c:ser>
          <c:idx val="1"/>
          <c:order val="1"/>
          <c:tx>
            <c:strRef>
              <c:f>'Razlika prio obično 2023'!$E$1</c:f>
              <c:strCache>
                <c:ptCount val="1"/>
                <c:pt idx="0">
                  <c:v>Ср.вредност</c:v>
                </c:pt>
              </c:strCache>
            </c:strRef>
          </c:tx>
          <c:spPr>
            <a:ln w="19050" cap="rnd">
              <a:solidFill>
                <a:srgbClr val="C00000"/>
              </a:solidFill>
              <a:round/>
            </a:ln>
            <a:effectLst/>
          </c:spPr>
          <c:marker>
            <c:symbol val="none"/>
          </c:marker>
          <c:dLbls>
            <c:dLbl>
              <c:idx val="20"/>
              <c:layout>
                <c:manualLayout>
                  <c:x val="-1.943624895472882E-2"/>
                  <c:y val="-1.901780335462477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A-90AC-48DC-AC48-849C808E14C3}"/>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'Razlika prio obično 2023'!$E$2:$E$23</c:f>
              <c:numCache>
                <c:formatCode>0%</c:formatCode>
                <c:ptCount val="22"/>
                <c:pt idx="0">
                  <c:v>0.63000000000000045</c:v>
                </c:pt>
                <c:pt idx="1">
                  <c:v>0.63000000000000045</c:v>
                </c:pt>
                <c:pt idx="2">
                  <c:v>0.63000000000000045</c:v>
                </c:pt>
                <c:pt idx="3">
                  <c:v>0.63000000000000045</c:v>
                </c:pt>
                <c:pt idx="4">
                  <c:v>0.63000000000000045</c:v>
                </c:pt>
                <c:pt idx="5">
                  <c:v>0.63000000000000045</c:v>
                </c:pt>
                <c:pt idx="6">
                  <c:v>0.63000000000000045</c:v>
                </c:pt>
                <c:pt idx="7">
                  <c:v>0.63000000000000045</c:v>
                </c:pt>
                <c:pt idx="8">
                  <c:v>0.63000000000000045</c:v>
                </c:pt>
                <c:pt idx="9">
                  <c:v>0.63000000000000045</c:v>
                </c:pt>
                <c:pt idx="10">
                  <c:v>0.63000000000000045</c:v>
                </c:pt>
                <c:pt idx="11">
                  <c:v>0.63000000000000045</c:v>
                </c:pt>
                <c:pt idx="12">
                  <c:v>0.63000000000000045</c:v>
                </c:pt>
                <c:pt idx="13">
                  <c:v>0.63000000000000045</c:v>
                </c:pt>
                <c:pt idx="14">
                  <c:v>0.63000000000000045</c:v>
                </c:pt>
                <c:pt idx="15">
                  <c:v>0.63000000000000045</c:v>
                </c:pt>
                <c:pt idx="16">
                  <c:v>0.63000000000000045</c:v>
                </c:pt>
                <c:pt idx="17">
                  <c:v>0.63000000000000045</c:v>
                </c:pt>
                <c:pt idx="18">
                  <c:v>0.63000000000000045</c:v>
                </c:pt>
                <c:pt idx="19">
                  <c:v>0.63000000000000045</c:v>
                </c:pt>
                <c:pt idx="20">
                  <c:v>0.63000000000000045</c:v>
                </c:pt>
                <c:pt idx="21">
                  <c:v>0.63000000000000045</c:v>
                </c:pt>
              </c:numCache>
            </c:numRef>
          </c:xVal>
          <c:yVal>
            <c:numRef>
              <c:f>'Razlika prio obično 2023'!$D$2:$D$23</c:f>
              <c:numCache>
                <c:formatCode>0%</c:formatCode>
                <c:ptCount val="22"/>
                <c:pt idx="0">
                  <c:v>7.0000000000000021E-2</c:v>
                </c:pt>
                <c:pt idx="1">
                  <c:v>9.0000000000000024E-2</c:v>
                </c:pt>
                <c:pt idx="2">
                  <c:v>0.2100000000000001</c:v>
                </c:pt>
                <c:pt idx="3">
                  <c:v>0.23</c:v>
                </c:pt>
                <c:pt idx="4">
                  <c:v>0.23</c:v>
                </c:pt>
                <c:pt idx="5">
                  <c:v>0.30000000000000021</c:v>
                </c:pt>
                <c:pt idx="6">
                  <c:v>0.33000000000000035</c:v>
                </c:pt>
                <c:pt idx="7">
                  <c:v>0.33000000000000035</c:v>
                </c:pt>
                <c:pt idx="8">
                  <c:v>0.43000000000000022</c:v>
                </c:pt>
                <c:pt idx="9">
                  <c:v>0.5</c:v>
                </c:pt>
                <c:pt idx="10">
                  <c:v>0.56000000000000005</c:v>
                </c:pt>
                <c:pt idx="11">
                  <c:v>0.67000000000000071</c:v>
                </c:pt>
                <c:pt idx="12">
                  <c:v>0.67000000000000071</c:v>
                </c:pt>
                <c:pt idx="13">
                  <c:v>0.69000000000000039</c:v>
                </c:pt>
                <c:pt idx="14">
                  <c:v>0.71000000000000041</c:v>
                </c:pt>
                <c:pt idx="15">
                  <c:v>0.8300000000000004</c:v>
                </c:pt>
                <c:pt idx="16">
                  <c:v>1.1100000000000001</c:v>
                </c:pt>
                <c:pt idx="17">
                  <c:v>1.33</c:v>
                </c:pt>
                <c:pt idx="18">
                  <c:v>1.6700000000000008</c:v>
                </c:pt>
                <c:pt idx="19">
                  <c:v>1.73</c:v>
                </c:pt>
                <c:pt idx="20">
                  <c:v>0</c:v>
                </c:pt>
                <c:pt idx="21">
                  <c:v>1.8</c:v>
                </c:pt>
              </c:numCache>
            </c:numRef>
          </c:yVal>
          <c:smooth val="1"/>
          <c:extLst>
            <c:ext xmlns:c16="http://schemas.microsoft.com/office/drawing/2014/chart" uri="{C3380CC4-5D6E-409C-BE32-E72D297353CC}">
              <c16:uniqueId val="{0000000B-90AC-48DC-AC48-849C808E14C3}"/>
            </c:ext>
          </c:extLst>
        </c:ser>
        <c:dLbls>
          <c:showLegendKey val="0"/>
          <c:showVal val="0"/>
          <c:showCatName val="0"/>
          <c:showSerName val="0"/>
          <c:showPercent val="0"/>
          <c:showBubbleSize val="0"/>
        </c:dLbls>
        <c:axId val="139872896"/>
        <c:axId val="139871360"/>
      </c:scatterChart>
      <c:catAx>
        <c:axId val="1397082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709824"/>
        <c:crosses val="autoZero"/>
        <c:auto val="1"/>
        <c:lblAlgn val="ctr"/>
        <c:lblOffset val="100"/>
        <c:noMultiLvlLbl val="0"/>
      </c:catAx>
      <c:valAx>
        <c:axId val="139709824"/>
        <c:scaling>
          <c:orientation val="minMax"/>
        </c:scaling>
        <c:delete val="0"/>
        <c:axPos val="b"/>
        <c:majorGridlines>
          <c:spPr>
            <a:ln w="6350" cap="flat" cmpd="sng" algn="ctr">
              <a:solidFill>
                <a:schemeClr val="tx1">
                  <a:lumMod val="15000"/>
                  <a:lumOff val="85000"/>
                </a:schemeClr>
              </a:solidFill>
              <a:prstDash val="sysDot"/>
              <a:round/>
            </a:ln>
            <a:effectLst/>
          </c:spPr>
        </c:majorGridlines>
        <c:numFmt formatCode="0%" sourceLinked="1"/>
        <c:majorTickMark val="out"/>
        <c:minorTickMark val="none"/>
        <c:tickLblPos val="nextTo"/>
        <c:spPr>
          <a:noFill/>
          <a:ln>
            <a:solidFill>
              <a:schemeClr val="accent3"/>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708288"/>
        <c:crosses val="autoZero"/>
        <c:crossBetween val="between"/>
      </c:valAx>
      <c:valAx>
        <c:axId val="139871360"/>
        <c:scaling>
          <c:orientation val="minMax"/>
          <c:max val="1.8"/>
          <c:min val="0"/>
        </c:scaling>
        <c:delete val="1"/>
        <c:axPos val="r"/>
        <c:numFmt formatCode="0%" sourceLinked="1"/>
        <c:majorTickMark val="out"/>
        <c:minorTickMark val="none"/>
        <c:tickLblPos val="nextTo"/>
        <c:crossAx val="139872896"/>
        <c:crosses val="max"/>
        <c:crossBetween val="midCat"/>
      </c:valAx>
      <c:valAx>
        <c:axId val="139872896"/>
        <c:scaling>
          <c:orientation val="minMax"/>
        </c:scaling>
        <c:delete val="1"/>
        <c:axPos val="b"/>
        <c:numFmt formatCode="0%" sourceLinked="1"/>
        <c:majorTickMark val="out"/>
        <c:minorTickMark val="none"/>
        <c:tickLblPos val="nextTo"/>
        <c:crossAx val="13987136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'Sr vrednos do INTER 20g (2)'!$D$5</c:f>
              <c:strCache>
                <c:ptCount val="1"/>
                <c:pt idx="0">
                  <c:v>2019</c:v>
                </c:pt>
              </c:strCache>
            </c:strRef>
          </c:tx>
          <c:spPr>
            <a:solidFill>
              <a:schemeClr val="bg1">
                <a:lumMod val="75000"/>
              </a:schemeClr>
            </a:solidFill>
            <a:ln>
              <a:noFill/>
            </a:ln>
            <a:effectLst/>
          </c:spPr>
          <c:invertIfNegative val="0"/>
          <c:cat>
            <c:strRef>
              <c:f>'Sr vrednos do INTER 20g (2)'!$C$6:$C$38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'Sr vrednos do INTER 20g (2)'!$D$6:$D$38</c:f>
              <c:numCache>
                <c:formatCode>0.00</c:formatCode>
                <c:ptCount val="33"/>
                <c:pt idx="0">
                  <c:v>0.9</c:v>
                </c:pt>
                <c:pt idx="1">
                  <c:v>1.46</c:v>
                </c:pt>
                <c:pt idx="2">
                  <c:v>1.1800000000000008</c:v>
                </c:pt>
                <c:pt idx="3">
                  <c:v>0.64000000000000046</c:v>
                </c:pt>
                <c:pt idx="4">
                  <c:v>1.47</c:v>
                </c:pt>
                <c:pt idx="5">
                  <c:v>0.9</c:v>
                </c:pt>
                <c:pt idx="6">
                  <c:v>4.03</c:v>
                </c:pt>
                <c:pt idx="7">
                  <c:v>1.4</c:v>
                </c:pt>
                <c:pt idx="8">
                  <c:v>0.9</c:v>
                </c:pt>
                <c:pt idx="9">
                  <c:v>1.4</c:v>
                </c:pt>
                <c:pt idx="10">
                  <c:v>1.6</c:v>
                </c:pt>
                <c:pt idx="11">
                  <c:v>1.3</c:v>
                </c:pt>
                <c:pt idx="12">
                  <c:v>1.46</c:v>
                </c:pt>
                <c:pt idx="13">
                  <c:v>1.1200000000000001</c:v>
                </c:pt>
                <c:pt idx="14">
                  <c:v>1.5</c:v>
                </c:pt>
                <c:pt idx="15">
                  <c:v>3.5</c:v>
                </c:pt>
                <c:pt idx="16">
                  <c:v>0.81</c:v>
                </c:pt>
                <c:pt idx="17">
                  <c:v>1.05</c:v>
                </c:pt>
                <c:pt idx="18">
                  <c:v>0.78</c:v>
                </c:pt>
                <c:pt idx="19">
                  <c:v>0.55000000000000004</c:v>
                </c:pt>
                <c:pt idx="20">
                  <c:v>0.8</c:v>
                </c:pt>
                <c:pt idx="21">
                  <c:v>0.58000000000000007</c:v>
                </c:pt>
                <c:pt idx="22">
                  <c:v>0.59</c:v>
                </c:pt>
                <c:pt idx="23">
                  <c:v>1.45</c:v>
                </c:pt>
                <c:pt idx="24">
                  <c:v>2.14</c:v>
                </c:pt>
                <c:pt idx="25">
                  <c:v>1.35</c:v>
                </c:pt>
                <c:pt idx="26">
                  <c:v>0.86000000000000043</c:v>
                </c:pt>
                <c:pt idx="27">
                  <c:v>1.41</c:v>
                </c:pt>
                <c:pt idx="28">
                  <c:v>0.60000000000000042</c:v>
                </c:pt>
                <c:pt idx="29">
                  <c:v>1.78</c:v>
                </c:pt>
                <c:pt idx="30">
                  <c:v>1.1700000000000008</c:v>
                </c:pt>
                <c:pt idx="31">
                  <c:v>1.2</c:v>
                </c:pt>
                <c:pt idx="32">
                  <c:v>0.77000000000000046</c:v>
                </c:pt>
              </c:numCache>
            </c:numRef>
          </c:val>
          <c:extLst>
            <c:ext xmlns:c16="http://schemas.microsoft.com/office/drawing/2014/chart" uri="{C3380CC4-5D6E-409C-BE32-E72D297353CC}">
              <c16:uniqueId val="{00000000-1BBB-4EED-B5D2-F27D681F5F03}"/>
            </c:ext>
          </c:extLst>
        </c:ser>
        <c:ser>
          <c:idx val="1"/>
          <c:order val="1"/>
          <c:tx>
            <c:strRef>
              <c:f>'Sr vrednos do INTER 20g (2)'!$E$5</c:f>
              <c:strCache>
                <c:ptCount val="1"/>
                <c:pt idx="0">
                  <c:v>2022</c:v>
                </c:pt>
              </c:strCache>
            </c:strRef>
          </c:tx>
          <c:spPr>
            <a:solidFill>
              <a:schemeClr val="accent1">
                <a:lumMod val="75000"/>
              </a:schemeClr>
            </a:solidFill>
            <a:ln>
              <a:noFill/>
            </a:ln>
            <a:effectLst/>
          </c:spPr>
          <c:invertIfNegative val="0"/>
          <c:cat>
            <c:strRef>
              <c:f>'Sr vrednos do INTER 20g (2)'!$C$6:$C$38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'Sr vrednos do INTER 20g (2)'!$E$6:$E$36</c:f>
              <c:numCache>
                <c:formatCode>0.00</c:formatCode>
                <c:ptCount val="31"/>
                <c:pt idx="0">
                  <c:v>1</c:v>
                </c:pt>
                <c:pt idx="1">
                  <c:v>2.23</c:v>
                </c:pt>
                <c:pt idx="2">
                  <c:v>1.1800000000000008</c:v>
                </c:pt>
                <c:pt idx="3">
                  <c:v>0.64000000000000046</c:v>
                </c:pt>
                <c:pt idx="4">
                  <c:v>1.6400000000000001</c:v>
                </c:pt>
                <c:pt idx="5">
                  <c:v>1.1000000000000001</c:v>
                </c:pt>
                <c:pt idx="6">
                  <c:v>4.83</c:v>
                </c:pt>
                <c:pt idx="7">
                  <c:v>1.9000000000000001</c:v>
                </c:pt>
                <c:pt idx="8">
                  <c:v>2</c:v>
                </c:pt>
                <c:pt idx="9">
                  <c:v>1.6500000000000001</c:v>
                </c:pt>
                <c:pt idx="10">
                  <c:v>2.0499999999999998</c:v>
                </c:pt>
                <c:pt idx="11">
                  <c:v>1.6500000000000001</c:v>
                </c:pt>
                <c:pt idx="12">
                  <c:v>1.86</c:v>
                </c:pt>
                <c:pt idx="13">
                  <c:v>1.9200000000000008</c:v>
                </c:pt>
                <c:pt idx="14">
                  <c:v>2</c:v>
                </c:pt>
                <c:pt idx="15">
                  <c:v>3.5</c:v>
                </c:pt>
                <c:pt idx="16">
                  <c:v>0.81</c:v>
                </c:pt>
                <c:pt idx="17">
                  <c:v>1.05</c:v>
                </c:pt>
                <c:pt idx="18">
                  <c:v>1.49</c:v>
                </c:pt>
                <c:pt idx="19">
                  <c:v>0.55000000000000004</c:v>
                </c:pt>
                <c:pt idx="20">
                  <c:v>0.8</c:v>
                </c:pt>
                <c:pt idx="21">
                  <c:v>0.58000000000000007</c:v>
                </c:pt>
                <c:pt idx="22">
                  <c:v>0.59</c:v>
                </c:pt>
                <c:pt idx="23">
                  <c:v>1.55</c:v>
                </c:pt>
                <c:pt idx="24">
                  <c:v>2.3099999999999987</c:v>
                </c:pt>
                <c:pt idx="25">
                  <c:v>1.8</c:v>
                </c:pt>
                <c:pt idx="26">
                  <c:v>0.88</c:v>
                </c:pt>
                <c:pt idx="27">
                  <c:v>2.0099999999999998</c:v>
                </c:pt>
                <c:pt idx="28">
                  <c:v>0.9</c:v>
                </c:pt>
                <c:pt idx="29">
                  <c:v>2.2000000000000002</c:v>
                </c:pt>
                <c:pt idx="30">
                  <c:v>1.33</c:v>
                </c:pt>
              </c:numCache>
            </c:numRef>
          </c:val>
          <c:extLst>
            <c:ext xmlns:c16="http://schemas.microsoft.com/office/drawing/2014/chart" uri="{C3380CC4-5D6E-409C-BE32-E72D297353CC}">
              <c16:uniqueId val="{00000001-1BBB-4EED-B5D2-F27D681F5F03}"/>
            </c:ext>
          </c:extLst>
        </c:ser>
        <c:ser>
          <c:idx val="2"/>
          <c:order val="2"/>
          <c:tx>
            <c:strRef>
              <c:f>'Sr vrednos do INTER 20g (2)'!$F$5</c:f>
              <c:strCache>
                <c:ptCount val="1"/>
                <c:pt idx="0">
                  <c:v>2023</c:v>
                </c:pt>
              </c:strCache>
            </c:strRef>
          </c:tx>
          <c:spPr>
            <a:solidFill>
              <a:srgbClr val="C00000"/>
            </a:solidFill>
            <a:ln>
              <a:noFill/>
            </a:ln>
            <a:effectLst/>
          </c:spPr>
          <c:invertIfNegative val="0"/>
          <c:cat>
            <c:strRef>
              <c:f>'Sr vrednos do INTER 20g (2)'!$C$6:$C$38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'Sr vrednos do INTER 20g (2)'!$F$6:$F$38</c:f>
              <c:numCache>
                <c:formatCode>0.00</c:formatCode>
                <c:ptCount val="33"/>
                <c:pt idx="0">
                  <c:v>1.2</c:v>
                </c:pt>
                <c:pt idx="1">
                  <c:v>2.5299999999999998</c:v>
                </c:pt>
                <c:pt idx="2">
                  <c:v>1.3800000000000001</c:v>
                </c:pt>
                <c:pt idx="3">
                  <c:v>0.64000000000000046</c:v>
                </c:pt>
                <c:pt idx="4">
                  <c:v>1.6400000000000001</c:v>
                </c:pt>
                <c:pt idx="5">
                  <c:v>1.1000000000000001</c:v>
                </c:pt>
                <c:pt idx="6">
                  <c:v>4.83</c:v>
                </c:pt>
                <c:pt idx="7">
                  <c:v>1.9000000000000001</c:v>
                </c:pt>
                <c:pt idx="8">
                  <c:v>2</c:v>
                </c:pt>
                <c:pt idx="9">
                  <c:v>1.6500000000000001</c:v>
                </c:pt>
                <c:pt idx="10">
                  <c:v>2.25</c:v>
                </c:pt>
                <c:pt idx="11">
                  <c:v>1.8</c:v>
                </c:pt>
                <c:pt idx="12">
                  <c:v>1.86</c:v>
                </c:pt>
                <c:pt idx="13">
                  <c:v>2.3499999999999988</c:v>
                </c:pt>
                <c:pt idx="14">
                  <c:v>2.2000000000000002</c:v>
                </c:pt>
                <c:pt idx="15">
                  <c:v>3.5</c:v>
                </c:pt>
                <c:pt idx="16">
                  <c:v>0.81</c:v>
                </c:pt>
                <c:pt idx="17">
                  <c:v>1.4</c:v>
                </c:pt>
                <c:pt idx="18">
                  <c:v>1.71</c:v>
                </c:pt>
                <c:pt idx="19">
                  <c:v>0.4800000000000002</c:v>
                </c:pt>
                <c:pt idx="20">
                  <c:v>0.8</c:v>
                </c:pt>
                <c:pt idx="21">
                  <c:v>0.58000000000000007</c:v>
                </c:pt>
                <c:pt idx="22">
                  <c:v>1.4</c:v>
                </c:pt>
                <c:pt idx="23">
                  <c:v>1.6500000000000001</c:v>
                </c:pt>
                <c:pt idx="24">
                  <c:v>2.48</c:v>
                </c:pt>
                <c:pt idx="25">
                  <c:v>1.8</c:v>
                </c:pt>
                <c:pt idx="26">
                  <c:v>0.9500000000000004</c:v>
                </c:pt>
                <c:pt idx="27">
                  <c:v>2.2200000000000002</c:v>
                </c:pt>
                <c:pt idx="28">
                  <c:v>0.9</c:v>
                </c:pt>
                <c:pt idx="29">
                  <c:v>2.54</c:v>
                </c:pt>
                <c:pt idx="30">
                  <c:v>1.5</c:v>
                </c:pt>
                <c:pt idx="31">
                  <c:v>1.5</c:v>
                </c:pt>
                <c:pt idx="32">
                  <c:v>2.66</c:v>
                </c:pt>
              </c:numCache>
            </c:numRef>
          </c:val>
          <c:extLst>
            <c:ext xmlns:c16="http://schemas.microsoft.com/office/drawing/2014/chart" uri="{C3380CC4-5D6E-409C-BE32-E72D297353CC}">
              <c16:uniqueId val="{00000002-1BBB-4EED-B5D2-F27D681F5F03}"/>
            </c:ext>
          </c:extLst>
        </c:ser>
        <c:dLbls>
          <c:showLegendKey val="0"/>
          <c:showVal val="0"/>
          <c:showCatName val="0"/>
          <c:showSerName val="0"/>
          <c:showPercent val="0"/>
          <c:showBubbleSize val="0"/>
        </c:dLbls>
        <c:gapWidth val="219"/>
        <c:axId val="139976064"/>
        <c:axId val="140035200"/>
      </c:barChart>
      <c:lineChart>
        <c:grouping val="standard"/>
        <c:varyColors val="0"/>
        <c:ser>
          <c:idx val="3"/>
          <c:order val="3"/>
          <c:tx>
            <c:strRef>
              <c:f>'Sr vrednos do INTER 20g (2)'!$G$5</c:f>
              <c:strCache>
                <c:ptCount val="1"/>
                <c:pt idx="0">
                  <c:v>Ср.вр.</c:v>
                </c:pt>
              </c:strCache>
            </c:strRef>
          </c:tx>
          <c:spPr>
            <a:ln w="19050" cap="rnd">
              <a:solidFill>
                <a:schemeClr val="accent4"/>
              </a:solidFill>
              <a:round/>
            </a:ln>
            <a:effectLst/>
          </c:spPr>
          <c:marker>
            <c:symbol val="none"/>
          </c:marker>
          <c:cat>
            <c:strRef>
              <c:f>'Sr vrednos do INTER 20g (2)'!$C$6:$C$38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'Sr vrednos do INTER 20g (2)'!$G$6:$G$38</c:f>
              <c:numCache>
                <c:formatCode>0.00</c:formatCode>
                <c:ptCount val="33"/>
                <c:pt idx="0">
                  <c:v>1.76</c:v>
                </c:pt>
                <c:pt idx="1">
                  <c:v>1.76</c:v>
                </c:pt>
                <c:pt idx="2">
                  <c:v>1.76</c:v>
                </c:pt>
                <c:pt idx="3">
                  <c:v>1.76</c:v>
                </c:pt>
                <c:pt idx="4">
                  <c:v>1.76</c:v>
                </c:pt>
                <c:pt idx="5">
                  <c:v>1.76</c:v>
                </c:pt>
                <c:pt idx="6">
                  <c:v>1.76</c:v>
                </c:pt>
                <c:pt idx="7">
                  <c:v>1.76</c:v>
                </c:pt>
                <c:pt idx="8">
                  <c:v>1.76</c:v>
                </c:pt>
                <c:pt idx="9">
                  <c:v>1.76</c:v>
                </c:pt>
                <c:pt idx="10">
                  <c:v>1.76</c:v>
                </c:pt>
                <c:pt idx="11">
                  <c:v>1.76</c:v>
                </c:pt>
                <c:pt idx="12">
                  <c:v>1.76</c:v>
                </c:pt>
                <c:pt idx="13">
                  <c:v>1.76</c:v>
                </c:pt>
                <c:pt idx="14">
                  <c:v>1.76</c:v>
                </c:pt>
                <c:pt idx="15">
                  <c:v>1.76</c:v>
                </c:pt>
                <c:pt idx="16">
                  <c:v>1.76</c:v>
                </c:pt>
                <c:pt idx="17">
                  <c:v>1.76</c:v>
                </c:pt>
                <c:pt idx="18">
                  <c:v>1.76</c:v>
                </c:pt>
                <c:pt idx="19">
                  <c:v>1.76</c:v>
                </c:pt>
                <c:pt idx="20">
                  <c:v>1.76</c:v>
                </c:pt>
                <c:pt idx="21">
                  <c:v>1.76</c:v>
                </c:pt>
                <c:pt idx="22">
                  <c:v>1.76</c:v>
                </c:pt>
                <c:pt idx="23">
                  <c:v>1.76</c:v>
                </c:pt>
                <c:pt idx="24">
                  <c:v>1.76</c:v>
                </c:pt>
                <c:pt idx="25">
                  <c:v>1.76</c:v>
                </c:pt>
                <c:pt idx="26">
                  <c:v>1.76</c:v>
                </c:pt>
                <c:pt idx="27">
                  <c:v>1.76</c:v>
                </c:pt>
                <c:pt idx="28">
                  <c:v>1.76</c:v>
                </c:pt>
                <c:pt idx="29">
                  <c:v>1.76</c:v>
                </c:pt>
                <c:pt idx="30">
                  <c:v>1.76</c:v>
                </c:pt>
                <c:pt idx="31">
                  <c:v>1.76</c:v>
                </c:pt>
                <c:pt idx="32">
                  <c:v>1.76</c:v>
                </c:pt>
              </c:numCache>
            </c:numRef>
          </c:val>
          <c:smooth val="0"/>
          <c:extLst>
            <c:ext xmlns:c16="http://schemas.microsoft.com/office/drawing/2014/chart" uri="{C3380CC4-5D6E-409C-BE32-E72D297353CC}">
              <c16:uniqueId val="{00000003-1BBB-4EED-B5D2-F27D681F5F03}"/>
            </c:ext>
          </c:extLst>
        </c:ser>
        <c:dLbls>
          <c:showLegendKey val="0"/>
          <c:showVal val="0"/>
          <c:showCatName val="0"/>
          <c:showSerName val="0"/>
          <c:showPercent val="0"/>
          <c:showBubbleSize val="0"/>
        </c:dLbls>
        <c:marker val="1"/>
        <c:smooth val="0"/>
        <c:axId val="139976064"/>
        <c:axId val="140035200"/>
      </c:lineChart>
      <c:catAx>
        <c:axId val="13997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40035200"/>
        <c:crosses val="autoZero"/>
        <c:auto val="1"/>
        <c:lblAlgn val="ctr"/>
        <c:lblOffset val="100"/>
        <c:noMultiLvlLbl val="0"/>
      </c:catAx>
      <c:valAx>
        <c:axId val="140035200"/>
        <c:scaling>
          <c:orientation val="minMax"/>
          <c:max val="5"/>
        </c:scaling>
        <c:delete val="0"/>
        <c:axPos val="l"/>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399760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solidFill>
                <a:schemeClr val="accent1"/>
              </a:solidFill>
            </a:ln>
            <a:effectLst/>
          </c:spPr>
          <c:invertIfNegative val="0"/>
          <c:dPt>
            <c:idx val="5"/>
            <c:invertIfNegative val="0"/>
            <c:bubble3D val="0"/>
            <c:spPr>
              <a:solidFill>
                <a:srgbClr val="C00000"/>
              </a:solidFill>
              <a:ln>
                <a:solidFill>
                  <a:schemeClr val="accent1"/>
                </a:solidFill>
              </a:ln>
              <a:effectLst/>
            </c:spPr>
            <c:extLst>
              <c:ext xmlns:c16="http://schemas.microsoft.com/office/drawing/2014/chart" uri="{C3380CC4-5D6E-409C-BE32-E72D297353CC}">
                <c16:uniqueId val="{00000001-FE22-4C82-A500-3124CFE5A40A}"/>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'Sr vrd INT prio do 20g (23 sor)'!$C$3:$C$35</c:f>
              <c:strCache>
                <c:ptCount val="33"/>
                <c:pt idx="0">
                  <c:v>Молдавија</c:v>
                </c:pt>
                <c:pt idx="1">
                  <c:v>Северна Македонија</c:v>
                </c:pt>
                <c:pt idx="2">
                  <c:v>Кипар</c:v>
                </c:pt>
                <c:pt idx="3">
                  <c:v>Црна Гора</c:v>
                </c:pt>
                <c:pt idx="4">
                  <c:v>Литванија</c:v>
                </c:pt>
                <c:pt idx="5">
                  <c:v>Србија</c:v>
                </c:pt>
                <c:pt idx="6">
                  <c:v>Португалија</c:v>
                </c:pt>
                <c:pt idx="7">
                  <c:v>Немачка</c:v>
                </c:pt>
                <c:pt idx="8">
                  <c:v>Аустрија</c:v>
                </c:pt>
                <c:pt idx="9">
                  <c:v>Бугарска</c:v>
                </c:pt>
                <c:pt idx="10">
                  <c:v>Луксембург</c:v>
                </c:pt>
                <c:pt idx="11">
                  <c:v>Малта</c:v>
                </c:pt>
                <c:pt idx="12">
                  <c:v>Словенија</c:v>
                </c:pt>
                <c:pt idx="13">
                  <c:v>Словачка</c:v>
                </c:pt>
                <c:pt idx="14">
                  <c:v>Чешка</c:v>
                </c:pt>
                <c:pt idx="15">
                  <c:v>Шпанија</c:v>
                </c:pt>
                <c:pt idx="16">
                  <c:v>Холандија</c:v>
                </c:pt>
                <c:pt idx="17">
                  <c:v>Литванија</c:v>
                </c:pt>
                <c:pt idx="18">
                  <c:v>Француска</c:v>
                </c:pt>
                <c:pt idx="19">
                  <c:v>Пољска</c:v>
                </c:pt>
                <c:pt idx="20">
                  <c:v>Хрватска</c:v>
                </c:pt>
                <c:pt idx="21">
                  <c:v>Естонија</c:v>
                </c:pt>
                <c:pt idx="22">
                  <c:v>Грчка</c:v>
                </c:pt>
                <c:pt idx="23">
                  <c:v>Ирска</c:v>
                </c:pt>
                <c:pt idx="24">
                  <c:v>Румунија</c:v>
                </c:pt>
                <c:pt idx="25">
                  <c:v>Финска</c:v>
                </c:pt>
                <c:pt idx="26">
                  <c:v>Мађарска</c:v>
                </c:pt>
                <c:pt idx="27">
                  <c:v>Норвешка</c:v>
                </c:pt>
                <c:pt idx="28">
                  <c:v>Белгија</c:v>
                </c:pt>
                <c:pt idx="29">
                  <c:v>Шведска</c:v>
                </c:pt>
                <c:pt idx="30">
                  <c:v>Турска</c:v>
                </c:pt>
                <c:pt idx="31">
                  <c:v>Италија</c:v>
                </c:pt>
                <c:pt idx="32">
                  <c:v>Данска</c:v>
                </c:pt>
              </c:strCache>
            </c:strRef>
          </c:cat>
          <c:val>
            <c:numRef>
              <c:f>'Sr vrd INT prio do 20g (23 sor)'!$D$3:$D$35</c:f>
              <c:numCache>
                <c:formatCode>0.00</c:formatCode>
                <c:ptCount val="33"/>
                <c:pt idx="0">
                  <c:v>0.4800000000000002</c:v>
                </c:pt>
                <c:pt idx="1">
                  <c:v>0.58000000000000007</c:v>
                </c:pt>
                <c:pt idx="2">
                  <c:v>0.64000000000000046</c:v>
                </c:pt>
                <c:pt idx="3">
                  <c:v>0.8</c:v>
                </c:pt>
                <c:pt idx="4">
                  <c:v>0.81</c:v>
                </c:pt>
                <c:pt idx="5">
                  <c:v>0.9</c:v>
                </c:pt>
                <c:pt idx="6">
                  <c:v>0.9500000000000004</c:v>
                </c:pt>
                <c:pt idx="7">
                  <c:v>1.1000000000000001</c:v>
                </c:pt>
                <c:pt idx="8">
                  <c:v>1.2</c:v>
                </c:pt>
                <c:pt idx="9">
                  <c:v>1.3800000000000001</c:v>
                </c:pt>
                <c:pt idx="10">
                  <c:v>1.4</c:v>
                </c:pt>
                <c:pt idx="11">
                  <c:v>1.4</c:v>
                </c:pt>
                <c:pt idx="12" formatCode="General">
                  <c:v>1.5</c:v>
                </c:pt>
                <c:pt idx="13" formatCode="General">
                  <c:v>1.5</c:v>
                </c:pt>
                <c:pt idx="14">
                  <c:v>1.6400000000000001</c:v>
                </c:pt>
                <c:pt idx="15">
                  <c:v>1.6500000000000001</c:v>
                </c:pt>
                <c:pt idx="16">
                  <c:v>1.6500000000000001</c:v>
                </c:pt>
                <c:pt idx="17">
                  <c:v>1.71</c:v>
                </c:pt>
                <c:pt idx="18">
                  <c:v>1.8</c:v>
                </c:pt>
                <c:pt idx="19">
                  <c:v>1.8</c:v>
                </c:pt>
                <c:pt idx="20">
                  <c:v>1.86</c:v>
                </c:pt>
                <c:pt idx="21">
                  <c:v>1.9000000000000001</c:v>
                </c:pt>
                <c:pt idx="22">
                  <c:v>2</c:v>
                </c:pt>
                <c:pt idx="23">
                  <c:v>2.2000000000000002</c:v>
                </c:pt>
                <c:pt idx="24">
                  <c:v>2.2200000000000002</c:v>
                </c:pt>
                <c:pt idx="25">
                  <c:v>2.25</c:v>
                </c:pt>
                <c:pt idx="26">
                  <c:v>2.3499999999999988</c:v>
                </c:pt>
                <c:pt idx="27">
                  <c:v>2.48</c:v>
                </c:pt>
                <c:pt idx="28">
                  <c:v>2.5299999999999998</c:v>
                </c:pt>
                <c:pt idx="29" formatCode="General">
                  <c:v>2.54</c:v>
                </c:pt>
                <c:pt idx="30" formatCode="General">
                  <c:v>2.66</c:v>
                </c:pt>
                <c:pt idx="31">
                  <c:v>3.5</c:v>
                </c:pt>
                <c:pt idx="32">
                  <c:v>4.83</c:v>
                </c:pt>
              </c:numCache>
            </c:numRef>
          </c:val>
          <c:extLst>
            <c:ext xmlns:c16="http://schemas.microsoft.com/office/drawing/2014/chart" uri="{C3380CC4-5D6E-409C-BE32-E72D297353CC}">
              <c16:uniqueId val="{00000006-FE22-4C82-A500-3124CFE5A40A}"/>
            </c:ext>
          </c:extLst>
        </c:ser>
        <c:dLbls>
          <c:showLegendKey val="0"/>
          <c:showVal val="0"/>
          <c:showCatName val="0"/>
          <c:showSerName val="0"/>
          <c:showPercent val="0"/>
          <c:showBubbleSize val="0"/>
        </c:dLbls>
        <c:gapWidth val="182"/>
        <c:axId val="140170368"/>
        <c:axId val="140171904"/>
      </c:barChart>
      <c:scatterChart>
        <c:scatterStyle val="smoothMarker"/>
        <c:varyColors val="0"/>
        <c:ser>
          <c:idx val="1"/>
          <c:order val="1"/>
          <c:tx>
            <c:strRef>
              <c:f>'Sr vrd INT prio do 20g (23 sor)'!$E$2</c:f>
              <c:strCache>
                <c:ptCount val="1"/>
                <c:pt idx="0">
                  <c:v>Ср.вредност</c:v>
                </c:pt>
              </c:strCache>
            </c:strRef>
          </c:tx>
          <c:spPr>
            <a:ln w="19050" cap="rnd">
              <a:solidFill>
                <a:srgbClr val="C00000"/>
              </a:solidFill>
              <a:round/>
            </a:ln>
            <a:effectLst/>
          </c:spPr>
          <c:marker>
            <c:symbol val="none"/>
          </c:marker>
          <c:dPt>
            <c:idx val="6"/>
            <c:bubble3D val="0"/>
            <c:spPr>
              <a:ln w="28575" cap="rnd">
                <a:noFill/>
                <a:round/>
              </a:ln>
              <a:effectLst/>
            </c:spPr>
            <c:extLst>
              <c:ext xmlns:c16="http://schemas.microsoft.com/office/drawing/2014/chart" uri="{C3380CC4-5D6E-409C-BE32-E72D297353CC}">
                <c16:uniqueId val="{00000008-FE22-4C82-A500-3124CFE5A40A}"/>
              </c:ext>
            </c:extLst>
          </c:dPt>
          <c:dLbls>
            <c:dLbl>
              <c:idx val="33"/>
              <c:layout>
                <c:manualLayout>
                  <c:x val="-2.7767803723439635E-2"/>
                  <c:y val="-2.0936328612875605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9-FE22-4C82-A500-3124CFE5A40A}"/>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'Sr vrd INT prio do 20g (23 sor)'!$E$3:$E$37</c:f>
              <c:numCache>
                <c:formatCode>0.00</c:formatCode>
                <c:ptCount val="35"/>
                <c:pt idx="0">
                  <c:v>1.76</c:v>
                </c:pt>
                <c:pt idx="1">
                  <c:v>1.76</c:v>
                </c:pt>
                <c:pt idx="2">
                  <c:v>1.76</c:v>
                </c:pt>
                <c:pt idx="3">
                  <c:v>1.76</c:v>
                </c:pt>
                <c:pt idx="4">
                  <c:v>1.76</c:v>
                </c:pt>
                <c:pt idx="5">
                  <c:v>1.76</c:v>
                </c:pt>
                <c:pt idx="6">
                  <c:v>1.76</c:v>
                </c:pt>
                <c:pt idx="7">
                  <c:v>1.76</c:v>
                </c:pt>
                <c:pt idx="8">
                  <c:v>1.76</c:v>
                </c:pt>
                <c:pt idx="9">
                  <c:v>1.76</c:v>
                </c:pt>
                <c:pt idx="10">
                  <c:v>1.76</c:v>
                </c:pt>
                <c:pt idx="11">
                  <c:v>1.76</c:v>
                </c:pt>
                <c:pt idx="12">
                  <c:v>1.76</c:v>
                </c:pt>
                <c:pt idx="13">
                  <c:v>1.76</c:v>
                </c:pt>
                <c:pt idx="14">
                  <c:v>1.76</c:v>
                </c:pt>
                <c:pt idx="15">
                  <c:v>1.76</c:v>
                </c:pt>
                <c:pt idx="16">
                  <c:v>1.76</c:v>
                </c:pt>
                <c:pt idx="17">
                  <c:v>1.76</c:v>
                </c:pt>
                <c:pt idx="18">
                  <c:v>1.76</c:v>
                </c:pt>
                <c:pt idx="19">
                  <c:v>1.76</c:v>
                </c:pt>
                <c:pt idx="20">
                  <c:v>1.76</c:v>
                </c:pt>
                <c:pt idx="21">
                  <c:v>1.76</c:v>
                </c:pt>
                <c:pt idx="22">
                  <c:v>1.76</c:v>
                </c:pt>
                <c:pt idx="23">
                  <c:v>1.76</c:v>
                </c:pt>
                <c:pt idx="24">
                  <c:v>1.76</c:v>
                </c:pt>
                <c:pt idx="25">
                  <c:v>1.76</c:v>
                </c:pt>
                <c:pt idx="26">
                  <c:v>1.76</c:v>
                </c:pt>
                <c:pt idx="27">
                  <c:v>1.76</c:v>
                </c:pt>
                <c:pt idx="28">
                  <c:v>1.76</c:v>
                </c:pt>
                <c:pt idx="29">
                  <c:v>1.76</c:v>
                </c:pt>
                <c:pt idx="30">
                  <c:v>1.76</c:v>
                </c:pt>
                <c:pt idx="31">
                  <c:v>1.76</c:v>
                </c:pt>
                <c:pt idx="32">
                  <c:v>1.76</c:v>
                </c:pt>
                <c:pt idx="33">
                  <c:v>1.76</c:v>
                </c:pt>
                <c:pt idx="34">
                  <c:v>1.76</c:v>
                </c:pt>
              </c:numCache>
            </c:numRef>
          </c:xVal>
          <c:yVal>
            <c:numRef>
              <c:f>'Sr vrd INT prio do 20g (23 sor)'!$D$3:$D$37</c:f>
              <c:numCache>
                <c:formatCode>0.00</c:formatCode>
                <c:ptCount val="35"/>
                <c:pt idx="0">
                  <c:v>0.4800000000000002</c:v>
                </c:pt>
                <c:pt idx="1">
                  <c:v>0.58000000000000007</c:v>
                </c:pt>
                <c:pt idx="2">
                  <c:v>0.64000000000000046</c:v>
                </c:pt>
                <c:pt idx="3">
                  <c:v>0.8</c:v>
                </c:pt>
                <c:pt idx="4">
                  <c:v>0.81</c:v>
                </c:pt>
                <c:pt idx="5">
                  <c:v>0.9</c:v>
                </c:pt>
                <c:pt idx="6">
                  <c:v>0.9500000000000004</c:v>
                </c:pt>
                <c:pt idx="7">
                  <c:v>1.1000000000000001</c:v>
                </c:pt>
                <c:pt idx="8">
                  <c:v>1.2</c:v>
                </c:pt>
                <c:pt idx="9">
                  <c:v>1.3800000000000001</c:v>
                </c:pt>
                <c:pt idx="10">
                  <c:v>1.4</c:v>
                </c:pt>
                <c:pt idx="11">
                  <c:v>1.4</c:v>
                </c:pt>
                <c:pt idx="12" formatCode="General">
                  <c:v>1.5</c:v>
                </c:pt>
                <c:pt idx="13" formatCode="General">
                  <c:v>1.5</c:v>
                </c:pt>
                <c:pt idx="14">
                  <c:v>1.6400000000000001</c:v>
                </c:pt>
                <c:pt idx="15">
                  <c:v>1.6500000000000001</c:v>
                </c:pt>
                <c:pt idx="16">
                  <c:v>1.6500000000000001</c:v>
                </c:pt>
                <c:pt idx="17">
                  <c:v>1.71</c:v>
                </c:pt>
                <c:pt idx="18">
                  <c:v>1.8</c:v>
                </c:pt>
                <c:pt idx="19">
                  <c:v>1.8</c:v>
                </c:pt>
                <c:pt idx="20">
                  <c:v>1.86</c:v>
                </c:pt>
                <c:pt idx="21">
                  <c:v>1.9000000000000001</c:v>
                </c:pt>
                <c:pt idx="22">
                  <c:v>2</c:v>
                </c:pt>
                <c:pt idx="23">
                  <c:v>2.2000000000000002</c:v>
                </c:pt>
                <c:pt idx="24">
                  <c:v>2.2200000000000002</c:v>
                </c:pt>
                <c:pt idx="25">
                  <c:v>2.25</c:v>
                </c:pt>
                <c:pt idx="26">
                  <c:v>2.3499999999999988</c:v>
                </c:pt>
                <c:pt idx="27">
                  <c:v>2.48</c:v>
                </c:pt>
                <c:pt idx="28">
                  <c:v>2.5299999999999998</c:v>
                </c:pt>
                <c:pt idx="29" formatCode="General">
                  <c:v>2.54</c:v>
                </c:pt>
                <c:pt idx="30" formatCode="General">
                  <c:v>2.66</c:v>
                </c:pt>
                <c:pt idx="31">
                  <c:v>3.5</c:v>
                </c:pt>
                <c:pt idx="32">
                  <c:v>4.83</c:v>
                </c:pt>
                <c:pt idx="33">
                  <c:v>0</c:v>
                </c:pt>
                <c:pt idx="34">
                  <c:v>5</c:v>
                </c:pt>
              </c:numCache>
            </c:numRef>
          </c:yVal>
          <c:smooth val="1"/>
          <c:extLst>
            <c:ext xmlns:c16="http://schemas.microsoft.com/office/drawing/2014/chart" uri="{C3380CC4-5D6E-409C-BE32-E72D297353CC}">
              <c16:uniqueId val="{0000000A-FE22-4C82-A500-3124CFE5A40A}"/>
            </c:ext>
          </c:extLst>
        </c:ser>
        <c:dLbls>
          <c:showLegendKey val="0"/>
          <c:showVal val="0"/>
          <c:showCatName val="0"/>
          <c:showSerName val="0"/>
          <c:showPercent val="0"/>
          <c:showBubbleSize val="0"/>
        </c:dLbls>
        <c:axId val="140199808"/>
        <c:axId val="140198272"/>
      </c:scatterChart>
      <c:catAx>
        <c:axId val="1401703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171904"/>
        <c:crosses val="autoZero"/>
        <c:auto val="1"/>
        <c:lblAlgn val="ctr"/>
        <c:lblOffset val="100"/>
        <c:noMultiLvlLbl val="0"/>
      </c:catAx>
      <c:valAx>
        <c:axId val="140171904"/>
        <c:scaling>
          <c:orientation val="minMax"/>
          <c:max val="5"/>
          <c:min val="0"/>
        </c:scaling>
        <c:delete val="0"/>
        <c:axPos val="b"/>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w="6350">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170368"/>
        <c:crosses val="autoZero"/>
        <c:crossBetween val="between"/>
      </c:valAx>
      <c:valAx>
        <c:axId val="140198272"/>
        <c:scaling>
          <c:orientation val="minMax"/>
          <c:max val="4"/>
        </c:scaling>
        <c:delete val="1"/>
        <c:axPos val="r"/>
        <c:numFmt formatCode="0.00" sourceLinked="1"/>
        <c:majorTickMark val="out"/>
        <c:minorTickMark val="none"/>
        <c:tickLblPos val="nextTo"/>
        <c:crossAx val="140199808"/>
        <c:crosses val="max"/>
        <c:crossBetween val="midCat"/>
      </c:valAx>
      <c:valAx>
        <c:axId val="140199808"/>
        <c:scaling>
          <c:orientation val="minMax"/>
        </c:scaling>
        <c:delete val="1"/>
        <c:axPos val="b"/>
        <c:numFmt formatCode="0.00" sourceLinked="1"/>
        <c:majorTickMark val="out"/>
        <c:minorTickMark val="none"/>
        <c:tickLblPos val="nextTo"/>
        <c:crossAx val="140198272"/>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9041353374091"/>
          <c:y val="2.0936275641879706E-2"/>
          <c:w val="0.83905824762587677"/>
          <c:h val="0.93303902984349185"/>
        </c:manualLayout>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bg1"/>
              </a:solidFill>
              <a:ln>
                <a:solidFill>
                  <a:schemeClr val="accent1"/>
                </a:solidFill>
              </a:ln>
              <a:effectLst/>
            </c:spPr>
            <c:extLst>
              <c:ext xmlns:c16="http://schemas.microsoft.com/office/drawing/2014/chart" uri="{C3380CC4-5D6E-409C-BE32-E72D297353CC}">
                <c16:uniqueId val="{00000001-8E67-423C-A51A-CF87213957E7}"/>
              </c:ext>
            </c:extLst>
          </c:dPt>
          <c:dPt>
            <c:idx val="24"/>
            <c:invertIfNegative val="0"/>
            <c:bubble3D val="0"/>
            <c:spPr>
              <a:solidFill>
                <a:srgbClr val="C00000"/>
              </a:solidFill>
              <a:ln>
                <a:noFill/>
              </a:ln>
              <a:effectLst/>
            </c:spPr>
            <c:extLst>
              <c:ext xmlns:c16="http://schemas.microsoft.com/office/drawing/2014/chart" uri="{C3380CC4-5D6E-409C-BE32-E72D297353CC}">
                <c16:uniqueId val="{00000005-8E67-423C-A51A-CF87213957E7}"/>
              </c:ext>
            </c:extLst>
          </c:dPt>
          <c:dLbls>
            <c:dLbl>
              <c:idx val="11"/>
              <c:layout>
                <c:manualLayout>
                  <c:x val="-8.3191133266300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E67-423C-A51A-CF87213957E7}"/>
                </c:ext>
              </c:extLst>
            </c:dLbl>
            <c:dLbl>
              <c:idx val="12"/>
              <c:layout>
                <c:manualLayout>
                  <c:x val="2.7709745251232459E-2"/>
                  <c:y val="-1.510602313396809E-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E67-423C-A51A-CF87213957E7}"/>
                </c:ext>
              </c:extLst>
            </c:dLbl>
            <c:dLbl>
              <c:idx val="13"/>
              <c:layout>
                <c:manualLayout>
                  <c:x val="1.3823820636714392E-2"/>
                  <c:y val="1.918464938014016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E67-423C-A51A-CF87213957E7}"/>
                </c:ext>
              </c:extLst>
            </c:dLbl>
            <c:dLbl>
              <c:idx val="14"/>
              <c:layout>
                <c:manualLayout>
                  <c:x val="1.386518887771658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E67-423C-A51A-CF87213957E7}"/>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'Sr vrednos do INTER 20g (2)'!$C$42:$C$70</c:f>
              <c:strCache>
                <c:ptCount val="29"/>
                <c:pt idx="0">
                  <c:v>Финска</c:v>
                </c:pt>
                <c:pt idx="1">
                  <c:v>Летонија</c:v>
                </c:pt>
                <c:pt idx="2">
                  <c:v>Грчка</c:v>
                </c:pt>
                <c:pt idx="3">
                  <c:v>Данска</c:v>
                </c:pt>
                <c:pt idx="4">
                  <c:v>Белгија</c:v>
                </c:pt>
                <c:pt idx="5">
                  <c:v>Аустрија</c:v>
                </c:pt>
                <c:pt idx="6">
                  <c:v>Италија</c:v>
                </c:pt>
                <c:pt idx="7">
                  <c:v>Естонија</c:v>
                </c:pt>
                <c:pt idx="8">
                  <c:v>Португалија</c:v>
                </c:pt>
                <c:pt idx="9">
                  <c:v>Немачка</c:v>
                </c:pt>
                <c:pt idx="10">
                  <c:v>Литванија</c:v>
                </c:pt>
                <c:pt idx="11">
                  <c:v>Чешка</c:v>
                </c:pt>
                <c:pt idx="12">
                  <c:v>Луксембург</c:v>
                </c:pt>
                <c:pt idx="13">
                  <c:v>Норвешка</c:v>
                </c:pt>
                <c:pt idx="14">
                  <c:v>Словачка</c:v>
                </c:pt>
                <c:pt idx="15">
                  <c:v>Кипар</c:v>
                </c:pt>
                <c:pt idx="16">
                  <c:v>Холандија</c:v>
                </c:pt>
                <c:pt idx="17">
                  <c:v>Пољска</c:v>
                </c:pt>
                <c:pt idx="18">
                  <c:v>Ирска</c:v>
                </c:pt>
                <c:pt idx="19">
                  <c:v>Шведска</c:v>
                </c:pt>
                <c:pt idx="20">
                  <c:v>Словенија</c:v>
                </c:pt>
                <c:pt idx="21">
                  <c:v>Бугарска</c:v>
                </c:pt>
                <c:pt idx="22">
                  <c:v>Хрватска</c:v>
                </c:pt>
                <c:pt idx="23">
                  <c:v>Румунија</c:v>
                </c:pt>
                <c:pt idx="24">
                  <c:v>Србија</c:v>
                </c:pt>
                <c:pt idx="25">
                  <c:v>Црна Гора</c:v>
                </c:pt>
                <c:pt idx="26">
                  <c:v>Мађарска</c:v>
                </c:pt>
                <c:pt idx="27">
                  <c:v>Турска</c:v>
                </c:pt>
                <c:pt idx="28">
                  <c:v>Малта</c:v>
                </c:pt>
              </c:strCache>
            </c:strRef>
          </c:cat>
          <c:val>
            <c:numRef>
              <c:f>'Sr vrednos do INTER 20g (2)'!$D$42:$D$70</c:f>
              <c:numCache>
                <c:formatCode>0%</c:formatCode>
                <c:ptCount val="29"/>
                <c:pt idx="0">
                  <c:v>-0.38000000000000023</c:v>
                </c:pt>
                <c:pt idx="1">
                  <c:v>4.0000000000000022E-2</c:v>
                </c:pt>
                <c:pt idx="2">
                  <c:v>0.05</c:v>
                </c:pt>
                <c:pt idx="3">
                  <c:v>0.13</c:v>
                </c:pt>
                <c:pt idx="4">
                  <c:v>0.17</c:v>
                </c:pt>
                <c:pt idx="5">
                  <c:v>0.2</c:v>
                </c:pt>
                <c:pt idx="6">
                  <c:v>0.25</c:v>
                </c:pt>
                <c:pt idx="7">
                  <c:v>0.27</c:v>
                </c:pt>
                <c:pt idx="8">
                  <c:v>0.28000000000000008</c:v>
                </c:pt>
                <c:pt idx="9">
                  <c:v>0.2900000000000002</c:v>
                </c:pt>
                <c:pt idx="10">
                  <c:v>0.3500000000000002</c:v>
                </c:pt>
                <c:pt idx="11">
                  <c:v>0.39000000000000024</c:v>
                </c:pt>
                <c:pt idx="12">
                  <c:v>0.4</c:v>
                </c:pt>
                <c:pt idx="13">
                  <c:v>0.45</c:v>
                </c:pt>
                <c:pt idx="14">
                  <c:v>0.5</c:v>
                </c:pt>
                <c:pt idx="15">
                  <c:v>0.56000000000000005</c:v>
                </c:pt>
                <c:pt idx="16">
                  <c:v>0.63000000000000045</c:v>
                </c:pt>
                <c:pt idx="17">
                  <c:v>0.67000000000000071</c:v>
                </c:pt>
                <c:pt idx="18">
                  <c:v>0.76000000000000045</c:v>
                </c:pt>
                <c:pt idx="19">
                  <c:v>1</c:v>
                </c:pt>
                <c:pt idx="20">
                  <c:v>1.03</c:v>
                </c:pt>
                <c:pt idx="21">
                  <c:v>1.159999999999999</c:v>
                </c:pt>
                <c:pt idx="22">
                  <c:v>1.159999999999999</c:v>
                </c:pt>
                <c:pt idx="23">
                  <c:v>1.24</c:v>
                </c:pt>
                <c:pt idx="24">
                  <c:v>1.33</c:v>
                </c:pt>
                <c:pt idx="25">
                  <c:v>1.6700000000000008</c:v>
                </c:pt>
                <c:pt idx="26">
                  <c:v>2.5</c:v>
                </c:pt>
                <c:pt idx="27">
                  <c:v>2.68</c:v>
                </c:pt>
                <c:pt idx="28">
                  <c:v>2.7800000000000002</c:v>
                </c:pt>
              </c:numCache>
            </c:numRef>
          </c:val>
          <c:extLst>
            <c:ext xmlns:c16="http://schemas.microsoft.com/office/drawing/2014/chart" uri="{C3380CC4-5D6E-409C-BE32-E72D297353CC}">
              <c16:uniqueId val="{0000000A-8E67-423C-A51A-CF87213957E7}"/>
            </c:ext>
          </c:extLst>
        </c:ser>
        <c:dLbls>
          <c:showLegendKey val="0"/>
          <c:showVal val="0"/>
          <c:showCatName val="0"/>
          <c:showSerName val="0"/>
          <c:showPercent val="0"/>
          <c:showBubbleSize val="0"/>
        </c:dLbls>
        <c:gapWidth val="182"/>
        <c:axId val="140456704"/>
        <c:axId val="140458240"/>
      </c:barChart>
      <c:scatterChart>
        <c:scatterStyle val="smoothMarker"/>
        <c:varyColors val="0"/>
        <c:ser>
          <c:idx val="1"/>
          <c:order val="1"/>
          <c:tx>
            <c:strRef>
              <c:f>'Sr vrednos do INTER 20g (2)'!$E$41</c:f>
              <c:strCache>
                <c:ptCount val="1"/>
                <c:pt idx="0">
                  <c:v>Ср.вредност</c:v>
                </c:pt>
              </c:strCache>
            </c:strRef>
          </c:tx>
          <c:spPr>
            <a:ln w="19050" cap="rnd">
              <a:solidFill>
                <a:srgbClr val="C00000"/>
              </a:solidFill>
              <a:round/>
            </a:ln>
            <a:effectLst/>
          </c:spPr>
          <c:marker>
            <c:symbol val="none"/>
          </c:marker>
          <c:dLbls>
            <c:dLbl>
              <c:idx val="1"/>
              <c:tx>
                <c:rich>
                  <a:bodyPr/>
                  <a:lstStyle/>
                  <a:p>
                    <a:fld id="{E80D5172-9E7A-468E-8EB7-72F67F2C9B46}" type="SERIESNAME">
                      <a:rPr lang="sr-Cyrl-RS"/>
                      <a:pPr/>
                      <a:t>[SERIES NAME]</a:t>
                    </a:fld>
                    <a:r>
                      <a:rPr lang="sr-Cyrl-RS"/>
                      <a:t> =</a:t>
                    </a:r>
                    <a:r>
                      <a:rPr lang="sr-Cyrl-RS" baseline="0"/>
                      <a:t> </a:t>
                    </a:r>
                    <a:fld id="{CB002869-2E1F-457E-B58A-8564B95E7599}" type="XVALUE">
                      <a:rPr lang="sr-Cyrl-RS" baseline="0"/>
                      <a:pPr/>
                      <a:t>[X VALUE]</a:t>
                    </a:fld>
                    <a:endParaRPr lang="sr-Cyrl-RS" baseline="0"/>
                  </a:p>
                </c:rich>
              </c:tx>
              <c:dLblPos val="r"/>
              <c:showLegendKey val="0"/>
              <c:showVal val="0"/>
              <c:showCatName val="1"/>
              <c:showSerName val="1"/>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B-8E67-423C-A51A-CF87213957E7}"/>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'Sr vrednos do INTER 20g (2)'!$E$42:$E$72</c:f>
              <c:numCache>
                <c:formatCode>0%</c:formatCode>
                <c:ptCount val="31"/>
                <c:pt idx="0">
                  <c:v>0.39000000000000024</c:v>
                </c:pt>
                <c:pt idx="1">
                  <c:v>0.39000000000000024</c:v>
                </c:pt>
                <c:pt idx="2">
                  <c:v>0.39000000000000024</c:v>
                </c:pt>
                <c:pt idx="3">
                  <c:v>0.39000000000000024</c:v>
                </c:pt>
                <c:pt idx="4">
                  <c:v>0.39000000000000024</c:v>
                </c:pt>
                <c:pt idx="5">
                  <c:v>0.39000000000000024</c:v>
                </c:pt>
                <c:pt idx="6">
                  <c:v>0.39000000000000024</c:v>
                </c:pt>
                <c:pt idx="7">
                  <c:v>0.39000000000000024</c:v>
                </c:pt>
                <c:pt idx="8">
                  <c:v>0.39000000000000024</c:v>
                </c:pt>
                <c:pt idx="9">
                  <c:v>0.39000000000000024</c:v>
                </c:pt>
                <c:pt idx="10">
                  <c:v>0.39000000000000024</c:v>
                </c:pt>
                <c:pt idx="11">
                  <c:v>0.39000000000000024</c:v>
                </c:pt>
                <c:pt idx="12">
                  <c:v>0.39000000000000024</c:v>
                </c:pt>
                <c:pt idx="13">
                  <c:v>0.39000000000000024</c:v>
                </c:pt>
                <c:pt idx="14">
                  <c:v>0.39000000000000024</c:v>
                </c:pt>
                <c:pt idx="15">
                  <c:v>0.39000000000000024</c:v>
                </c:pt>
                <c:pt idx="16">
                  <c:v>0.39000000000000024</c:v>
                </c:pt>
                <c:pt idx="17">
                  <c:v>0.39000000000000024</c:v>
                </c:pt>
                <c:pt idx="18">
                  <c:v>0.39000000000000024</c:v>
                </c:pt>
                <c:pt idx="19">
                  <c:v>0.39000000000000024</c:v>
                </c:pt>
                <c:pt idx="20">
                  <c:v>0.39000000000000024</c:v>
                </c:pt>
                <c:pt idx="21">
                  <c:v>0.39000000000000024</c:v>
                </c:pt>
                <c:pt idx="22">
                  <c:v>0.39000000000000024</c:v>
                </c:pt>
                <c:pt idx="23">
                  <c:v>0.39000000000000024</c:v>
                </c:pt>
                <c:pt idx="24">
                  <c:v>0.39000000000000024</c:v>
                </c:pt>
                <c:pt idx="25">
                  <c:v>0.39000000000000024</c:v>
                </c:pt>
                <c:pt idx="26">
                  <c:v>0.39000000000000024</c:v>
                </c:pt>
                <c:pt idx="27">
                  <c:v>0.39000000000000024</c:v>
                </c:pt>
                <c:pt idx="28">
                  <c:v>0.39000000000000024</c:v>
                </c:pt>
                <c:pt idx="29">
                  <c:v>0.39000000000000024</c:v>
                </c:pt>
                <c:pt idx="30">
                  <c:v>0.39000000000000024</c:v>
                </c:pt>
              </c:numCache>
            </c:numRef>
          </c:xVal>
          <c:yVal>
            <c:numRef>
              <c:f>'Sr vrednos do INTER 20g (2)'!$D$42:$D$72</c:f>
              <c:numCache>
                <c:formatCode>0%</c:formatCode>
                <c:ptCount val="31"/>
                <c:pt idx="0">
                  <c:v>-0.38000000000000023</c:v>
                </c:pt>
                <c:pt idx="1">
                  <c:v>4.0000000000000022E-2</c:v>
                </c:pt>
                <c:pt idx="2">
                  <c:v>0.05</c:v>
                </c:pt>
                <c:pt idx="3">
                  <c:v>0.13</c:v>
                </c:pt>
                <c:pt idx="4">
                  <c:v>0.17</c:v>
                </c:pt>
                <c:pt idx="5">
                  <c:v>0.2</c:v>
                </c:pt>
                <c:pt idx="6">
                  <c:v>0.25</c:v>
                </c:pt>
                <c:pt idx="7">
                  <c:v>0.27</c:v>
                </c:pt>
                <c:pt idx="8">
                  <c:v>0.28000000000000008</c:v>
                </c:pt>
                <c:pt idx="9">
                  <c:v>0.2900000000000002</c:v>
                </c:pt>
                <c:pt idx="10">
                  <c:v>0.3500000000000002</c:v>
                </c:pt>
                <c:pt idx="11">
                  <c:v>0.39000000000000024</c:v>
                </c:pt>
                <c:pt idx="12">
                  <c:v>0.4</c:v>
                </c:pt>
                <c:pt idx="13">
                  <c:v>0.45</c:v>
                </c:pt>
                <c:pt idx="14">
                  <c:v>0.5</c:v>
                </c:pt>
                <c:pt idx="15">
                  <c:v>0.56000000000000005</c:v>
                </c:pt>
                <c:pt idx="16">
                  <c:v>0.63000000000000045</c:v>
                </c:pt>
                <c:pt idx="17">
                  <c:v>0.67000000000000071</c:v>
                </c:pt>
                <c:pt idx="18">
                  <c:v>0.76000000000000045</c:v>
                </c:pt>
                <c:pt idx="19">
                  <c:v>1</c:v>
                </c:pt>
                <c:pt idx="20">
                  <c:v>1.03</c:v>
                </c:pt>
                <c:pt idx="21">
                  <c:v>1.159999999999999</c:v>
                </c:pt>
                <c:pt idx="22">
                  <c:v>1.159999999999999</c:v>
                </c:pt>
                <c:pt idx="23">
                  <c:v>1.24</c:v>
                </c:pt>
                <c:pt idx="24">
                  <c:v>1.33</c:v>
                </c:pt>
                <c:pt idx="25">
                  <c:v>1.6700000000000008</c:v>
                </c:pt>
                <c:pt idx="26">
                  <c:v>2.5</c:v>
                </c:pt>
                <c:pt idx="27">
                  <c:v>2.68</c:v>
                </c:pt>
                <c:pt idx="28">
                  <c:v>2.7800000000000002</c:v>
                </c:pt>
                <c:pt idx="29">
                  <c:v>0</c:v>
                </c:pt>
                <c:pt idx="30">
                  <c:v>3</c:v>
                </c:pt>
              </c:numCache>
            </c:numRef>
          </c:yVal>
          <c:smooth val="1"/>
          <c:extLst>
            <c:ext xmlns:c16="http://schemas.microsoft.com/office/drawing/2014/chart" uri="{C3380CC4-5D6E-409C-BE32-E72D297353CC}">
              <c16:uniqueId val="{0000000C-8E67-423C-A51A-CF87213957E7}"/>
            </c:ext>
          </c:extLst>
        </c:ser>
        <c:dLbls>
          <c:showLegendKey val="0"/>
          <c:showVal val="0"/>
          <c:showCatName val="0"/>
          <c:showSerName val="0"/>
          <c:showPercent val="0"/>
          <c:showBubbleSize val="0"/>
        </c:dLbls>
        <c:axId val="140486144"/>
        <c:axId val="140484608"/>
      </c:scatterChart>
      <c:catAx>
        <c:axId val="1404567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458240"/>
        <c:crosses val="autoZero"/>
        <c:auto val="1"/>
        <c:lblAlgn val="ctr"/>
        <c:lblOffset val="100"/>
        <c:noMultiLvlLbl val="0"/>
      </c:catAx>
      <c:valAx>
        <c:axId val="140458240"/>
        <c:scaling>
          <c:orientation val="minMax"/>
          <c:max val="2.9499999999999997"/>
          <c:min val="-0.5"/>
        </c:scaling>
        <c:delete val="0"/>
        <c:axPos val="b"/>
        <c:majorGridlines>
          <c:spPr>
            <a:ln w="6350" cap="flat" cmpd="sng" algn="ctr">
              <a:solidFill>
                <a:schemeClr val="tx1">
                  <a:lumMod val="15000"/>
                  <a:lumOff val="85000"/>
                </a:schemeClr>
              </a:solidFill>
              <a:prstDash val="sysDot"/>
              <a:round/>
            </a:ln>
            <a:effectLst/>
          </c:spPr>
        </c:majorGridlines>
        <c:numFmt formatCode="0%" sourceLinked="1"/>
        <c:majorTickMark val="out"/>
        <c:minorTickMark val="none"/>
        <c:tickLblPos val="nextTo"/>
        <c:spPr>
          <a:noFill/>
          <a:ln>
            <a:solidFill>
              <a:schemeClr val="accent3"/>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456704"/>
        <c:crosses val="autoZero"/>
        <c:crossBetween val="between"/>
      </c:valAx>
      <c:valAx>
        <c:axId val="140484608"/>
        <c:scaling>
          <c:orientation val="minMax"/>
          <c:max val="3"/>
          <c:min val="0"/>
        </c:scaling>
        <c:delete val="1"/>
        <c:axPos val="r"/>
        <c:numFmt formatCode="0%" sourceLinked="1"/>
        <c:majorTickMark val="out"/>
        <c:minorTickMark val="none"/>
        <c:tickLblPos val="nextTo"/>
        <c:crossAx val="140486144"/>
        <c:crosses val="max"/>
        <c:crossBetween val="midCat"/>
      </c:valAx>
      <c:valAx>
        <c:axId val="140486144"/>
        <c:scaling>
          <c:orientation val="minMax"/>
        </c:scaling>
        <c:delete val="1"/>
        <c:axPos val="b"/>
        <c:numFmt formatCode="0%" sourceLinked="1"/>
        <c:majorTickMark val="out"/>
        <c:minorTickMark val="none"/>
        <c:tickLblPos val="nextTo"/>
        <c:crossAx val="14048460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'ПАКЕТ УПС'!$D$5</c:f>
              <c:strCache>
                <c:ptCount val="1"/>
                <c:pt idx="0">
                  <c:v>2019</c:v>
                </c:pt>
              </c:strCache>
            </c:strRef>
          </c:tx>
          <c:spPr>
            <a:solidFill>
              <a:schemeClr val="accent1"/>
            </a:solidFill>
            <a:ln>
              <a:noFill/>
            </a:ln>
            <a:effectLst/>
          </c:spPr>
          <c:invertIfNegative val="0"/>
          <c:cat>
            <c:strRef>
              <c:f>'ПАКЕТ УПС'!$C$6:$C$38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'ПАКЕТ УПС'!$D$6:$D$38</c:f>
              <c:numCache>
                <c:formatCode>0.00</c:formatCode>
                <c:ptCount val="33"/>
                <c:pt idx="0">
                  <c:v>4.8</c:v>
                </c:pt>
                <c:pt idx="1">
                  <c:v>6.7</c:v>
                </c:pt>
                <c:pt idx="2">
                  <c:v>1.59</c:v>
                </c:pt>
                <c:pt idx="3">
                  <c:v>4.5</c:v>
                </c:pt>
                <c:pt idx="4">
                  <c:v>4.63</c:v>
                </c:pt>
                <c:pt idx="5">
                  <c:v>4.5</c:v>
                </c:pt>
                <c:pt idx="6">
                  <c:v>12.76</c:v>
                </c:pt>
                <c:pt idx="7">
                  <c:v>4.08</c:v>
                </c:pt>
                <c:pt idx="8">
                  <c:v>3.1</c:v>
                </c:pt>
                <c:pt idx="9">
                  <c:v>12.850000000000007</c:v>
                </c:pt>
                <c:pt idx="10">
                  <c:v>6.9</c:v>
                </c:pt>
                <c:pt idx="11">
                  <c:v>8.8000000000000007</c:v>
                </c:pt>
                <c:pt idx="12">
                  <c:v>2.66</c:v>
                </c:pt>
                <c:pt idx="13">
                  <c:v>4.17</c:v>
                </c:pt>
                <c:pt idx="14">
                  <c:v>9</c:v>
                </c:pt>
                <c:pt idx="15">
                  <c:v>9</c:v>
                </c:pt>
                <c:pt idx="16">
                  <c:v>2.68</c:v>
                </c:pt>
                <c:pt idx="17">
                  <c:v>7.2</c:v>
                </c:pt>
                <c:pt idx="18">
                  <c:v>3.54</c:v>
                </c:pt>
                <c:pt idx="19">
                  <c:v>1.1000000000000001</c:v>
                </c:pt>
                <c:pt idx="20">
                  <c:v>0.77000000000000046</c:v>
                </c:pt>
                <c:pt idx="21">
                  <c:v>0.52</c:v>
                </c:pt>
                <c:pt idx="22">
                  <c:v>9</c:v>
                </c:pt>
                <c:pt idx="23">
                  <c:v>6.95</c:v>
                </c:pt>
                <c:pt idx="24">
                  <c:v>15.38</c:v>
                </c:pt>
                <c:pt idx="25">
                  <c:v>3.6</c:v>
                </c:pt>
                <c:pt idx="26">
                  <c:v>6.5</c:v>
                </c:pt>
                <c:pt idx="27">
                  <c:v>1.149999999999999</c:v>
                </c:pt>
                <c:pt idx="28">
                  <c:v>2.1800000000000002</c:v>
                </c:pt>
                <c:pt idx="29">
                  <c:v>11.860000000000007</c:v>
                </c:pt>
                <c:pt idx="30">
                  <c:v>4.4000000000000004</c:v>
                </c:pt>
                <c:pt idx="31">
                  <c:v>3.9</c:v>
                </c:pt>
                <c:pt idx="32">
                  <c:v>0.64000000000000046</c:v>
                </c:pt>
              </c:numCache>
            </c:numRef>
          </c:val>
          <c:extLst>
            <c:ext xmlns:c16="http://schemas.microsoft.com/office/drawing/2014/chart" uri="{C3380CC4-5D6E-409C-BE32-E72D297353CC}">
              <c16:uniqueId val="{00000000-DF3F-4CAB-9F23-369057D23759}"/>
            </c:ext>
          </c:extLst>
        </c:ser>
        <c:ser>
          <c:idx val="1"/>
          <c:order val="1"/>
          <c:tx>
            <c:strRef>
              <c:f>'ПАКЕТ УПС'!$E$5</c:f>
              <c:strCache>
                <c:ptCount val="1"/>
                <c:pt idx="0">
                  <c:v>2022</c:v>
                </c:pt>
              </c:strCache>
            </c:strRef>
          </c:tx>
          <c:spPr>
            <a:solidFill>
              <a:srgbClr val="C00000"/>
            </a:solidFill>
            <a:ln>
              <a:noFill/>
            </a:ln>
            <a:effectLst/>
          </c:spPr>
          <c:invertIfNegative val="0"/>
          <c:cat>
            <c:strRef>
              <c:f>'ПАКЕТ УПС'!$C$6:$C$38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'ПАКЕТ УПС'!$E$6:$E$38</c:f>
              <c:numCache>
                <c:formatCode>0.00</c:formatCode>
                <c:ptCount val="33"/>
                <c:pt idx="0">
                  <c:v>6</c:v>
                </c:pt>
                <c:pt idx="1">
                  <c:v>6.9</c:v>
                </c:pt>
                <c:pt idx="2">
                  <c:v>1.59</c:v>
                </c:pt>
                <c:pt idx="3">
                  <c:v>4.5</c:v>
                </c:pt>
                <c:pt idx="4">
                  <c:v>6.7</c:v>
                </c:pt>
                <c:pt idx="5">
                  <c:v>4.5</c:v>
                </c:pt>
                <c:pt idx="6">
                  <c:v>8.06</c:v>
                </c:pt>
                <c:pt idx="7">
                  <c:v>5.56</c:v>
                </c:pt>
                <c:pt idx="8">
                  <c:v>3.5</c:v>
                </c:pt>
                <c:pt idx="9">
                  <c:v>16.850000000000001</c:v>
                </c:pt>
                <c:pt idx="10">
                  <c:v>4.76</c:v>
                </c:pt>
                <c:pt idx="11">
                  <c:v>9.15</c:v>
                </c:pt>
                <c:pt idx="12">
                  <c:v>5.1899999999999995</c:v>
                </c:pt>
                <c:pt idx="13">
                  <c:v>4.99</c:v>
                </c:pt>
                <c:pt idx="14">
                  <c:v>9</c:v>
                </c:pt>
                <c:pt idx="15">
                  <c:v>9</c:v>
                </c:pt>
                <c:pt idx="16">
                  <c:v>2.9499999999999997</c:v>
                </c:pt>
                <c:pt idx="17">
                  <c:v>7.2</c:v>
                </c:pt>
                <c:pt idx="18">
                  <c:v>2.9699999999999998</c:v>
                </c:pt>
                <c:pt idx="19">
                  <c:v>1.1000000000000001</c:v>
                </c:pt>
                <c:pt idx="20">
                  <c:v>0.77000000000000046</c:v>
                </c:pt>
                <c:pt idx="21">
                  <c:v>0.52</c:v>
                </c:pt>
                <c:pt idx="22">
                  <c:v>9</c:v>
                </c:pt>
                <c:pt idx="23">
                  <c:v>7.25</c:v>
                </c:pt>
                <c:pt idx="24">
                  <c:v>5.98</c:v>
                </c:pt>
                <c:pt idx="25">
                  <c:v>3.6</c:v>
                </c:pt>
                <c:pt idx="26">
                  <c:v>7</c:v>
                </c:pt>
                <c:pt idx="27">
                  <c:v>1.79</c:v>
                </c:pt>
                <c:pt idx="28">
                  <c:v>1.71</c:v>
                </c:pt>
                <c:pt idx="29">
                  <c:v>10.33</c:v>
                </c:pt>
                <c:pt idx="30">
                  <c:v>4.4000000000000004</c:v>
                </c:pt>
                <c:pt idx="31">
                  <c:v>3.9</c:v>
                </c:pt>
                <c:pt idx="32">
                  <c:v>0.88</c:v>
                </c:pt>
              </c:numCache>
            </c:numRef>
          </c:val>
          <c:extLst>
            <c:ext xmlns:c16="http://schemas.microsoft.com/office/drawing/2014/chart" uri="{C3380CC4-5D6E-409C-BE32-E72D297353CC}">
              <c16:uniqueId val="{00000001-DF3F-4CAB-9F23-369057D23759}"/>
            </c:ext>
          </c:extLst>
        </c:ser>
        <c:ser>
          <c:idx val="2"/>
          <c:order val="2"/>
          <c:tx>
            <c:strRef>
              <c:f>'ПАКЕТ УПС'!$F$5</c:f>
              <c:strCache>
                <c:ptCount val="1"/>
                <c:pt idx="0">
                  <c:v>2023</c:v>
                </c:pt>
              </c:strCache>
            </c:strRef>
          </c:tx>
          <c:spPr>
            <a:solidFill>
              <a:schemeClr val="accent3"/>
            </a:solidFill>
            <a:ln>
              <a:noFill/>
            </a:ln>
            <a:effectLst/>
          </c:spPr>
          <c:invertIfNegative val="0"/>
          <c:cat>
            <c:strRef>
              <c:f>'ПАКЕТ УПС'!$C$6:$C$38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'ПАКЕТ УПС'!$F$6:$F$38</c:f>
              <c:numCache>
                <c:formatCode>0.00</c:formatCode>
                <c:ptCount val="33"/>
                <c:pt idx="0">
                  <c:v>6.29</c:v>
                </c:pt>
                <c:pt idx="1">
                  <c:v>7.8</c:v>
                </c:pt>
                <c:pt idx="2">
                  <c:v>1.6400000000000001</c:v>
                </c:pt>
                <c:pt idx="3">
                  <c:v>4.5</c:v>
                </c:pt>
                <c:pt idx="4">
                  <c:v>6.7</c:v>
                </c:pt>
                <c:pt idx="5">
                  <c:v>4.79</c:v>
                </c:pt>
                <c:pt idx="6">
                  <c:v>8.06</c:v>
                </c:pt>
                <c:pt idx="7">
                  <c:v>5.56</c:v>
                </c:pt>
                <c:pt idx="8">
                  <c:v>3.5</c:v>
                </c:pt>
                <c:pt idx="9">
                  <c:v>16.850000000000001</c:v>
                </c:pt>
                <c:pt idx="10">
                  <c:v>4.76</c:v>
                </c:pt>
                <c:pt idx="11">
                  <c:v>9.5500000000000007</c:v>
                </c:pt>
                <c:pt idx="12">
                  <c:v>5.18</c:v>
                </c:pt>
                <c:pt idx="13">
                  <c:v>5.54</c:v>
                </c:pt>
                <c:pt idx="14">
                  <c:v>9</c:v>
                </c:pt>
                <c:pt idx="15">
                  <c:v>9.4</c:v>
                </c:pt>
                <c:pt idx="16">
                  <c:v>2.9499999999999997</c:v>
                </c:pt>
                <c:pt idx="17">
                  <c:v>9</c:v>
                </c:pt>
                <c:pt idx="18">
                  <c:v>6.21</c:v>
                </c:pt>
                <c:pt idx="19">
                  <c:v>1.3</c:v>
                </c:pt>
                <c:pt idx="20">
                  <c:v>0.77000000000000046</c:v>
                </c:pt>
                <c:pt idx="21">
                  <c:v>0.7000000000000004</c:v>
                </c:pt>
                <c:pt idx="22">
                  <c:v>9</c:v>
                </c:pt>
                <c:pt idx="23">
                  <c:v>6.95</c:v>
                </c:pt>
                <c:pt idx="24">
                  <c:v>5.98</c:v>
                </c:pt>
                <c:pt idx="25">
                  <c:v>3.8299999999999987</c:v>
                </c:pt>
                <c:pt idx="26">
                  <c:v>7</c:v>
                </c:pt>
                <c:pt idx="27">
                  <c:v>1.85</c:v>
                </c:pt>
                <c:pt idx="28">
                  <c:v>1.71</c:v>
                </c:pt>
                <c:pt idx="29">
                  <c:v>9.23</c:v>
                </c:pt>
                <c:pt idx="30">
                  <c:v>4.71</c:v>
                </c:pt>
                <c:pt idx="31">
                  <c:v>4.5</c:v>
                </c:pt>
                <c:pt idx="32">
                  <c:v>1.41</c:v>
                </c:pt>
              </c:numCache>
            </c:numRef>
          </c:val>
          <c:extLst>
            <c:ext xmlns:c16="http://schemas.microsoft.com/office/drawing/2014/chart" uri="{C3380CC4-5D6E-409C-BE32-E72D297353CC}">
              <c16:uniqueId val="{00000002-DF3F-4CAB-9F23-369057D23759}"/>
            </c:ext>
          </c:extLst>
        </c:ser>
        <c:dLbls>
          <c:showLegendKey val="0"/>
          <c:showVal val="0"/>
          <c:showCatName val="0"/>
          <c:showSerName val="0"/>
          <c:showPercent val="0"/>
          <c:showBubbleSize val="0"/>
        </c:dLbls>
        <c:gapWidth val="219"/>
        <c:axId val="140511872"/>
        <c:axId val="140796288"/>
      </c:barChart>
      <c:lineChart>
        <c:grouping val="standard"/>
        <c:varyColors val="0"/>
        <c:ser>
          <c:idx val="3"/>
          <c:order val="3"/>
          <c:tx>
            <c:strRef>
              <c:f>'ПАКЕТ УПС'!$G$5</c:f>
              <c:strCache>
                <c:ptCount val="1"/>
                <c:pt idx="0">
                  <c:v>Ср.вр.</c:v>
                </c:pt>
              </c:strCache>
            </c:strRef>
          </c:tx>
          <c:spPr>
            <a:ln w="19050" cap="rnd">
              <a:solidFill>
                <a:schemeClr val="accent4"/>
              </a:solidFill>
              <a:round/>
            </a:ln>
            <a:effectLst/>
          </c:spPr>
          <c:marker>
            <c:symbol val="none"/>
          </c:marker>
          <c:cat>
            <c:strRef>
              <c:f>'ПАКЕТ УПС'!$C$6:$C$38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'ПАКЕТ УПС'!$G$6:$G$38</c:f>
              <c:numCache>
                <c:formatCode>0.00</c:formatCode>
                <c:ptCount val="33"/>
                <c:pt idx="0">
                  <c:v>5.64</c:v>
                </c:pt>
                <c:pt idx="1">
                  <c:v>5.64</c:v>
                </c:pt>
                <c:pt idx="2">
                  <c:v>5.64</c:v>
                </c:pt>
                <c:pt idx="3">
                  <c:v>5.64</c:v>
                </c:pt>
                <c:pt idx="4">
                  <c:v>5.64</c:v>
                </c:pt>
                <c:pt idx="5">
                  <c:v>5.64</c:v>
                </c:pt>
                <c:pt idx="6">
                  <c:v>5.64</c:v>
                </c:pt>
                <c:pt idx="7">
                  <c:v>5.64</c:v>
                </c:pt>
                <c:pt idx="8">
                  <c:v>5.64</c:v>
                </c:pt>
                <c:pt idx="9">
                  <c:v>5.64</c:v>
                </c:pt>
                <c:pt idx="10">
                  <c:v>5.64</c:v>
                </c:pt>
                <c:pt idx="11">
                  <c:v>5.64</c:v>
                </c:pt>
                <c:pt idx="12">
                  <c:v>5.64</c:v>
                </c:pt>
                <c:pt idx="13">
                  <c:v>5.64</c:v>
                </c:pt>
                <c:pt idx="14">
                  <c:v>5.64</c:v>
                </c:pt>
                <c:pt idx="15">
                  <c:v>5.64</c:v>
                </c:pt>
                <c:pt idx="16">
                  <c:v>5.64</c:v>
                </c:pt>
                <c:pt idx="17">
                  <c:v>5.64</c:v>
                </c:pt>
                <c:pt idx="18">
                  <c:v>5.64</c:v>
                </c:pt>
                <c:pt idx="19">
                  <c:v>5.64</c:v>
                </c:pt>
                <c:pt idx="20">
                  <c:v>5.64</c:v>
                </c:pt>
                <c:pt idx="21">
                  <c:v>5.64</c:v>
                </c:pt>
                <c:pt idx="22">
                  <c:v>5.64</c:v>
                </c:pt>
                <c:pt idx="23">
                  <c:v>5.64</c:v>
                </c:pt>
                <c:pt idx="24">
                  <c:v>5.64</c:v>
                </c:pt>
                <c:pt idx="25">
                  <c:v>5.64</c:v>
                </c:pt>
                <c:pt idx="26">
                  <c:v>5.64</c:v>
                </c:pt>
                <c:pt idx="27">
                  <c:v>5.64</c:v>
                </c:pt>
                <c:pt idx="28">
                  <c:v>5.64</c:v>
                </c:pt>
                <c:pt idx="29">
                  <c:v>5.64</c:v>
                </c:pt>
                <c:pt idx="30">
                  <c:v>5.64</c:v>
                </c:pt>
                <c:pt idx="31">
                  <c:v>5.64</c:v>
                </c:pt>
                <c:pt idx="32">
                  <c:v>5.64</c:v>
                </c:pt>
              </c:numCache>
            </c:numRef>
          </c:val>
          <c:smooth val="0"/>
          <c:extLst>
            <c:ext xmlns:c16="http://schemas.microsoft.com/office/drawing/2014/chart" uri="{C3380CC4-5D6E-409C-BE32-E72D297353CC}">
              <c16:uniqueId val="{00000003-DF3F-4CAB-9F23-369057D23759}"/>
            </c:ext>
          </c:extLst>
        </c:ser>
        <c:dLbls>
          <c:showLegendKey val="0"/>
          <c:showVal val="0"/>
          <c:showCatName val="0"/>
          <c:showSerName val="0"/>
          <c:showPercent val="0"/>
          <c:showBubbleSize val="0"/>
        </c:dLbls>
        <c:marker val="1"/>
        <c:smooth val="0"/>
        <c:axId val="140511872"/>
        <c:axId val="140796288"/>
      </c:lineChart>
      <c:catAx>
        <c:axId val="140511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796288"/>
        <c:crosses val="autoZero"/>
        <c:auto val="1"/>
        <c:lblAlgn val="ctr"/>
        <c:lblOffset val="100"/>
        <c:tickMarkSkip val="1"/>
        <c:noMultiLvlLbl val="0"/>
      </c:catAx>
      <c:valAx>
        <c:axId val="140796288"/>
        <c:scaling>
          <c:orientation val="minMax"/>
          <c:max val="17"/>
          <c:min val="0"/>
        </c:scaling>
        <c:delete val="0"/>
        <c:axPos val="l"/>
        <c:majorGridlines>
          <c:spPr>
            <a:ln w="6350" cap="flat" cmpd="sng" algn="ctr">
              <a:solidFill>
                <a:schemeClr val="tx1">
                  <a:lumMod val="15000"/>
                  <a:lumOff val="85000"/>
                </a:schemeClr>
              </a:solidFill>
              <a:prstDash val="sysDot"/>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40511872"/>
        <c:crossesAt val="1"/>
        <c:crossBetween val="midCat"/>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7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noFill/>
            </a:ln>
            <a:effectLst/>
          </c:spPr>
          <c:invertIfNegative val="0"/>
          <c:dPt>
            <c:idx val="5"/>
            <c:invertIfNegative val="0"/>
            <c:bubble3D val="0"/>
            <c:spPr>
              <a:solidFill>
                <a:srgbClr val="C00000"/>
              </a:solidFill>
              <a:ln>
                <a:noFill/>
              </a:ln>
              <a:effectLst/>
            </c:spPr>
            <c:extLst>
              <c:ext xmlns:c16="http://schemas.microsoft.com/office/drawing/2014/chart" uri="{C3380CC4-5D6E-409C-BE32-E72D297353CC}">
                <c16:uniqueId val="{00000001-92E0-43BE-AFB2-287EA1EDDB2A}"/>
              </c:ext>
            </c:extLst>
          </c:dPt>
          <c:dLbls>
            <c:dLbl>
              <c:idx val="2"/>
              <c:layout>
                <c:manualLayout>
                  <c:x val="1.386518887771658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2E0-43BE-AFB2-287EA1EDDB2A}"/>
                </c:ext>
              </c:extLst>
            </c:dLbl>
            <c:dLbl>
              <c:idx val="4"/>
              <c:layout>
                <c:manualLayout>
                  <c:x val="-5.5732125950216406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2E0-43BE-AFB2-287EA1EDDB2A}"/>
                </c:ext>
              </c:extLst>
            </c:dLbl>
            <c:dLbl>
              <c:idx val="7"/>
              <c:layout>
                <c:manualLayout>
                  <c:x val="3.9012488165151404E-2"/>
                  <c:y val="1.836656983483249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2E0-43BE-AFB2-287EA1EDDB2A}"/>
                </c:ext>
              </c:extLst>
            </c:dLbl>
            <c:dLbl>
              <c:idx val="10"/>
              <c:layout>
                <c:manualLayout>
                  <c:x val="-8.3191133266300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2E0-43BE-AFB2-287EA1EDDB2A}"/>
                </c:ext>
              </c:extLst>
            </c:dLbl>
            <c:dLbl>
              <c:idx val="14"/>
              <c:layout>
                <c:manualLayout>
                  <c:x val="5.3695928592664534E-3"/>
                  <c:y val="1.903326185797088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2E0-43BE-AFB2-287EA1EDDB2A}"/>
                </c:ext>
              </c:extLst>
            </c:dLbl>
            <c:dLbl>
              <c:idx val="16"/>
              <c:layout>
                <c:manualLayout>
                  <c:x val="-1.114642519004331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2E0-43BE-AFB2-287EA1EDDB2A}"/>
                </c:ext>
              </c:extLst>
            </c:dLbl>
            <c:dLbl>
              <c:idx val="22"/>
              <c:layout>
                <c:manualLayout>
                  <c:x val="8.1561991567773353E-3"/>
                  <c:y val="-3.3671655719352834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2E0-43BE-AFB2-287EA1EDDB2A}"/>
                </c:ext>
              </c:extLst>
            </c:dLbl>
            <c:dLbl>
              <c:idx val="26"/>
              <c:layout>
                <c:manualLayout>
                  <c:x val="-8.3598188925324054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2E0-43BE-AFB2-287EA1EDDB2A}"/>
                </c:ext>
              </c:extLst>
            </c:dLbl>
            <c:dLbl>
              <c:idx val="30"/>
              <c:layout>
                <c:manualLayout>
                  <c:x val="3.1380489137907927E-3"/>
                  <c:y val="1.83664763531962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2E0-43BE-AFB2-287EA1EDDB2A}"/>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'ПАКЕТ УПС'!$C$41:$C$72</c:f>
              <c:strCache>
                <c:ptCount val="32"/>
                <c:pt idx="0">
                  <c:v>Северна Македонија</c:v>
                </c:pt>
                <c:pt idx="1">
                  <c:v>Црна Гора</c:v>
                </c:pt>
                <c:pt idx="2">
                  <c:v>Молдавија</c:v>
                </c:pt>
                <c:pt idx="3">
                  <c:v>Турска</c:v>
                </c:pt>
                <c:pt idx="4">
                  <c:v>Бугарска</c:v>
                </c:pt>
                <c:pt idx="5">
                  <c:v>Србија</c:v>
                </c:pt>
                <c:pt idx="6">
                  <c:v>Румунија</c:v>
                </c:pt>
                <c:pt idx="7">
                  <c:v>Литванија</c:v>
                </c:pt>
                <c:pt idx="8">
                  <c:v>Грчка</c:v>
                </c:pt>
                <c:pt idx="9">
                  <c:v>Пољска</c:v>
                </c:pt>
                <c:pt idx="10">
                  <c:v>Кипар</c:v>
                </c:pt>
                <c:pt idx="11">
                  <c:v>Словачка</c:v>
                </c:pt>
                <c:pt idx="12">
                  <c:v>Словенија</c:v>
                </c:pt>
                <c:pt idx="13">
                  <c:v>Финска</c:v>
                </c:pt>
                <c:pt idx="14">
                  <c:v>Немачка</c:v>
                </c:pt>
                <c:pt idx="15">
                  <c:v>Хрватска</c:v>
                </c:pt>
                <c:pt idx="16">
                  <c:v>Мађарска</c:v>
                </c:pt>
                <c:pt idx="17">
                  <c:v>Естонија</c:v>
                </c:pt>
                <c:pt idx="18">
                  <c:v>Норвешка</c:v>
                </c:pt>
                <c:pt idx="19">
                  <c:v>Литванија</c:v>
                </c:pt>
                <c:pt idx="20">
                  <c:v>Аустрија</c:v>
                </c:pt>
                <c:pt idx="21">
                  <c:v>Чешка</c:v>
                </c:pt>
                <c:pt idx="22">
                  <c:v>Холандија</c:v>
                </c:pt>
                <c:pt idx="23">
                  <c:v>Португалија</c:v>
                </c:pt>
                <c:pt idx="24">
                  <c:v>Белгија</c:v>
                </c:pt>
                <c:pt idx="25">
                  <c:v>Данска</c:v>
                </c:pt>
                <c:pt idx="26">
                  <c:v>Ирска</c:v>
                </c:pt>
                <c:pt idx="27">
                  <c:v>Луксембург</c:v>
                </c:pt>
                <c:pt idx="28">
                  <c:v>Малта</c:v>
                </c:pt>
                <c:pt idx="29">
                  <c:v>Шведска</c:v>
                </c:pt>
                <c:pt idx="30">
                  <c:v>Италија</c:v>
                </c:pt>
                <c:pt idx="31">
                  <c:v>Француска</c:v>
                </c:pt>
              </c:strCache>
            </c:strRef>
          </c:cat>
          <c:val>
            <c:numRef>
              <c:f>'ПАКЕТ УПС'!$D$41:$D$72</c:f>
              <c:numCache>
                <c:formatCode>0.00</c:formatCode>
                <c:ptCount val="32"/>
                <c:pt idx="0">
                  <c:v>0.7000000000000004</c:v>
                </c:pt>
                <c:pt idx="1">
                  <c:v>0.77000000000000046</c:v>
                </c:pt>
                <c:pt idx="2">
                  <c:v>1.3</c:v>
                </c:pt>
                <c:pt idx="3">
                  <c:v>1.41</c:v>
                </c:pt>
                <c:pt idx="4">
                  <c:v>1.6400000000000001</c:v>
                </c:pt>
                <c:pt idx="5">
                  <c:v>1.71</c:v>
                </c:pt>
                <c:pt idx="6">
                  <c:v>1.85</c:v>
                </c:pt>
                <c:pt idx="7">
                  <c:v>2.9499999999999997</c:v>
                </c:pt>
                <c:pt idx="8">
                  <c:v>3.5</c:v>
                </c:pt>
                <c:pt idx="9">
                  <c:v>3.8299999999999987</c:v>
                </c:pt>
                <c:pt idx="10">
                  <c:v>4.5</c:v>
                </c:pt>
                <c:pt idx="11">
                  <c:v>4.5</c:v>
                </c:pt>
                <c:pt idx="12">
                  <c:v>4.71</c:v>
                </c:pt>
                <c:pt idx="13">
                  <c:v>4.76</c:v>
                </c:pt>
                <c:pt idx="14">
                  <c:v>4.79</c:v>
                </c:pt>
                <c:pt idx="15">
                  <c:v>5.18</c:v>
                </c:pt>
                <c:pt idx="16">
                  <c:v>5.54</c:v>
                </c:pt>
                <c:pt idx="17">
                  <c:v>5.56</c:v>
                </c:pt>
                <c:pt idx="18">
                  <c:v>5.98</c:v>
                </c:pt>
                <c:pt idx="19">
                  <c:v>6.21</c:v>
                </c:pt>
                <c:pt idx="20">
                  <c:v>6.29</c:v>
                </c:pt>
                <c:pt idx="21">
                  <c:v>6.7</c:v>
                </c:pt>
                <c:pt idx="22">
                  <c:v>6.95</c:v>
                </c:pt>
                <c:pt idx="23">
                  <c:v>7</c:v>
                </c:pt>
                <c:pt idx="24">
                  <c:v>7.8</c:v>
                </c:pt>
                <c:pt idx="25">
                  <c:v>8.06</c:v>
                </c:pt>
                <c:pt idx="26">
                  <c:v>9</c:v>
                </c:pt>
                <c:pt idx="27">
                  <c:v>9</c:v>
                </c:pt>
                <c:pt idx="28">
                  <c:v>9</c:v>
                </c:pt>
                <c:pt idx="29">
                  <c:v>9.23</c:v>
                </c:pt>
                <c:pt idx="30">
                  <c:v>9.4</c:v>
                </c:pt>
                <c:pt idx="31">
                  <c:v>9.5500000000000007</c:v>
                </c:pt>
              </c:numCache>
            </c:numRef>
          </c:val>
          <c:extLst>
            <c:ext xmlns:c16="http://schemas.microsoft.com/office/drawing/2014/chart" uri="{C3380CC4-5D6E-409C-BE32-E72D297353CC}">
              <c16:uniqueId val="{0000000D-92E0-43BE-AFB2-287EA1EDDB2A}"/>
            </c:ext>
          </c:extLst>
        </c:ser>
        <c:dLbls>
          <c:showLegendKey val="0"/>
          <c:showVal val="0"/>
          <c:showCatName val="0"/>
          <c:showSerName val="0"/>
          <c:showPercent val="0"/>
          <c:showBubbleSize val="0"/>
        </c:dLbls>
        <c:gapWidth val="182"/>
        <c:axId val="140898688"/>
        <c:axId val="140900224"/>
      </c:barChart>
      <c:scatterChart>
        <c:scatterStyle val="smoothMarker"/>
        <c:varyColors val="0"/>
        <c:ser>
          <c:idx val="1"/>
          <c:order val="1"/>
          <c:tx>
            <c:strRef>
              <c:f>'ПАКЕТ УПС'!$E$40</c:f>
              <c:strCache>
                <c:ptCount val="1"/>
                <c:pt idx="0">
                  <c:v>Ср.вредност</c:v>
                </c:pt>
              </c:strCache>
            </c:strRef>
          </c:tx>
          <c:spPr>
            <a:ln w="19050" cap="rnd">
              <a:solidFill>
                <a:srgbClr val="C00000"/>
              </a:solidFill>
              <a:round/>
            </a:ln>
            <a:effectLst/>
          </c:spPr>
          <c:marker>
            <c:symbol val="none"/>
          </c:marker>
          <c:dLbls>
            <c:dLbl>
              <c:idx val="33"/>
              <c:layout>
                <c:manualLayout>
                  <c:x val="-3.8998884260391872E-2"/>
                  <c:y val="-1.726298483948124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E-92E0-43BE-AFB2-287EA1EDDB2A}"/>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'ПАКЕТ УПС'!$E$41:$E$75</c:f>
              <c:numCache>
                <c:formatCode>0.00</c:formatCode>
                <c:ptCount val="35"/>
                <c:pt idx="0">
                  <c:v>5.64</c:v>
                </c:pt>
                <c:pt idx="1">
                  <c:v>5.64</c:v>
                </c:pt>
                <c:pt idx="2">
                  <c:v>5.64</c:v>
                </c:pt>
                <c:pt idx="3">
                  <c:v>5.64</c:v>
                </c:pt>
                <c:pt idx="4">
                  <c:v>5.64</c:v>
                </c:pt>
                <c:pt idx="5">
                  <c:v>5.64</c:v>
                </c:pt>
                <c:pt idx="6">
                  <c:v>5.64</c:v>
                </c:pt>
                <c:pt idx="7">
                  <c:v>5.64</c:v>
                </c:pt>
                <c:pt idx="8">
                  <c:v>5.64</c:v>
                </c:pt>
                <c:pt idx="9">
                  <c:v>5.64</c:v>
                </c:pt>
                <c:pt idx="10">
                  <c:v>5.64</c:v>
                </c:pt>
                <c:pt idx="11">
                  <c:v>5.64</c:v>
                </c:pt>
                <c:pt idx="12">
                  <c:v>5.64</c:v>
                </c:pt>
                <c:pt idx="13">
                  <c:v>5.64</c:v>
                </c:pt>
                <c:pt idx="14">
                  <c:v>5.64</c:v>
                </c:pt>
                <c:pt idx="15">
                  <c:v>5.64</c:v>
                </c:pt>
                <c:pt idx="16">
                  <c:v>5.64</c:v>
                </c:pt>
                <c:pt idx="17">
                  <c:v>5.64</c:v>
                </c:pt>
                <c:pt idx="18">
                  <c:v>5.64</c:v>
                </c:pt>
                <c:pt idx="19">
                  <c:v>5.64</c:v>
                </c:pt>
                <c:pt idx="20">
                  <c:v>5.64</c:v>
                </c:pt>
                <c:pt idx="21">
                  <c:v>5.64</c:v>
                </c:pt>
                <c:pt idx="22">
                  <c:v>5.64</c:v>
                </c:pt>
                <c:pt idx="23">
                  <c:v>5.64</c:v>
                </c:pt>
                <c:pt idx="24">
                  <c:v>5.64</c:v>
                </c:pt>
                <c:pt idx="25">
                  <c:v>5.64</c:v>
                </c:pt>
                <c:pt idx="26">
                  <c:v>5.64</c:v>
                </c:pt>
                <c:pt idx="27">
                  <c:v>5.64</c:v>
                </c:pt>
                <c:pt idx="28">
                  <c:v>5.64</c:v>
                </c:pt>
                <c:pt idx="29">
                  <c:v>5.64</c:v>
                </c:pt>
                <c:pt idx="30">
                  <c:v>5.64</c:v>
                </c:pt>
                <c:pt idx="31">
                  <c:v>5.64</c:v>
                </c:pt>
                <c:pt idx="32">
                  <c:v>5.64</c:v>
                </c:pt>
                <c:pt idx="33">
                  <c:v>5.64</c:v>
                </c:pt>
                <c:pt idx="34">
                  <c:v>5.64</c:v>
                </c:pt>
              </c:numCache>
            </c:numRef>
          </c:xVal>
          <c:yVal>
            <c:numRef>
              <c:f>'ПАКЕТ УПС'!$D$41:$D$75</c:f>
              <c:numCache>
                <c:formatCode>0.00</c:formatCode>
                <c:ptCount val="35"/>
                <c:pt idx="0">
                  <c:v>0.7000000000000004</c:v>
                </c:pt>
                <c:pt idx="1">
                  <c:v>0.77000000000000046</c:v>
                </c:pt>
                <c:pt idx="2">
                  <c:v>1.3</c:v>
                </c:pt>
                <c:pt idx="3">
                  <c:v>1.41</c:v>
                </c:pt>
                <c:pt idx="4">
                  <c:v>1.6400000000000001</c:v>
                </c:pt>
                <c:pt idx="5">
                  <c:v>1.71</c:v>
                </c:pt>
                <c:pt idx="6">
                  <c:v>1.85</c:v>
                </c:pt>
                <c:pt idx="7">
                  <c:v>2.9499999999999997</c:v>
                </c:pt>
                <c:pt idx="8">
                  <c:v>3.5</c:v>
                </c:pt>
                <c:pt idx="9">
                  <c:v>3.8299999999999987</c:v>
                </c:pt>
                <c:pt idx="10">
                  <c:v>4.5</c:v>
                </c:pt>
                <c:pt idx="11">
                  <c:v>4.5</c:v>
                </c:pt>
                <c:pt idx="12">
                  <c:v>4.71</c:v>
                </c:pt>
                <c:pt idx="13">
                  <c:v>4.76</c:v>
                </c:pt>
                <c:pt idx="14">
                  <c:v>4.79</c:v>
                </c:pt>
                <c:pt idx="15">
                  <c:v>5.18</c:v>
                </c:pt>
                <c:pt idx="16">
                  <c:v>5.54</c:v>
                </c:pt>
                <c:pt idx="17">
                  <c:v>5.56</c:v>
                </c:pt>
                <c:pt idx="18">
                  <c:v>5.98</c:v>
                </c:pt>
                <c:pt idx="19">
                  <c:v>6.21</c:v>
                </c:pt>
                <c:pt idx="20">
                  <c:v>6.29</c:v>
                </c:pt>
                <c:pt idx="21">
                  <c:v>6.7</c:v>
                </c:pt>
                <c:pt idx="22">
                  <c:v>6.95</c:v>
                </c:pt>
                <c:pt idx="23">
                  <c:v>7</c:v>
                </c:pt>
                <c:pt idx="24">
                  <c:v>7.8</c:v>
                </c:pt>
                <c:pt idx="25">
                  <c:v>8.06</c:v>
                </c:pt>
                <c:pt idx="26">
                  <c:v>9</c:v>
                </c:pt>
                <c:pt idx="27">
                  <c:v>9</c:v>
                </c:pt>
                <c:pt idx="28">
                  <c:v>9</c:v>
                </c:pt>
                <c:pt idx="29">
                  <c:v>9.23</c:v>
                </c:pt>
                <c:pt idx="30">
                  <c:v>9.4</c:v>
                </c:pt>
                <c:pt idx="31">
                  <c:v>9.5500000000000007</c:v>
                </c:pt>
                <c:pt idx="32">
                  <c:v>16.850000000000001</c:v>
                </c:pt>
                <c:pt idx="33">
                  <c:v>0</c:v>
                </c:pt>
                <c:pt idx="34">
                  <c:v>19</c:v>
                </c:pt>
              </c:numCache>
            </c:numRef>
          </c:yVal>
          <c:smooth val="1"/>
          <c:extLst>
            <c:ext xmlns:c16="http://schemas.microsoft.com/office/drawing/2014/chart" uri="{C3380CC4-5D6E-409C-BE32-E72D297353CC}">
              <c16:uniqueId val="{0000000F-92E0-43BE-AFB2-287EA1EDDB2A}"/>
            </c:ext>
          </c:extLst>
        </c:ser>
        <c:dLbls>
          <c:showLegendKey val="0"/>
          <c:showVal val="0"/>
          <c:showCatName val="0"/>
          <c:showSerName val="0"/>
          <c:showPercent val="0"/>
          <c:showBubbleSize val="0"/>
        </c:dLbls>
        <c:axId val="140985472"/>
        <c:axId val="140901760"/>
      </c:scatterChart>
      <c:catAx>
        <c:axId val="1408986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900224"/>
        <c:crosses val="autoZero"/>
        <c:auto val="1"/>
        <c:lblAlgn val="ctr"/>
        <c:lblOffset val="100"/>
        <c:noMultiLvlLbl val="0"/>
      </c:catAx>
      <c:valAx>
        <c:axId val="140900224"/>
        <c:scaling>
          <c:orientation val="minMax"/>
          <c:max val="10.5"/>
          <c:min val="0"/>
        </c:scaling>
        <c:delete val="0"/>
        <c:axPos val="b"/>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w="6350">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898688"/>
        <c:crosses val="autoZero"/>
        <c:crossBetween val="between"/>
      </c:valAx>
      <c:valAx>
        <c:axId val="140901760"/>
        <c:scaling>
          <c:orientation val="minMax"/>
          <c:max val="4"/>
        </c:scaling>
        <c:delete val="1"/>
        <c:axPos val="r"/>
        <c:numFmt formatCode="0.00" sourceLinked="1"/>
        <c:majorTickMark val="out"/>
        <c:minorTickMark val="none"/>
        <c:tickLblPos val="nextTo"/>
        <c:crossAx val="140985472"/>
        <c:crosses val="max"/>
        <c:crossBetween val="midCat"/>
      </c:valAx>
      <c:valAx>
        <c:axId val="140985472"/>
        <c:scaling>
          <c:orientation val="minMax"/>
        </c:scaling>
        <c:delete val="1"/>
        <c:axPos val="b"/>
        <c:numFmt formatCode="0.00" sourceLinked="1"/>
        <c:majorTickMark val="out"/>
        <c:minorTickMark val="none"/>
        <c:tickLblPos val="nextTo"/>
        <c:crossAx val="14090176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50726635220272"/>
          <c:y val="1.5924932029236255E-2"/>
          <c:w val="0.85584814464720593"/>
          <c:h val="0.81447918505702477"/>
        </c:manualLayout>
      </c:layout>
      <c:barChart>
        <c:barDir val="col"/>
        <c:grouping val="clustered"/>
        <c:varyColors val="0"/>
        <c:ser>
          <c:idx val="0"/>
          <c:order val="0"/>
          <c:tx>
            <c:strRef>
              <c:f>ОПЕРАТОРИ!$F$8</c:f>
              <c:strCache>
                <c:ptCount val="1"/>
                <c:pt idx="0">
                  <c:v>Број оператора</c:v>
                </c:pt>
              </c:strCache>
            </c:strRef>
          </c:tx>
          <c:spPr>
            <a:ln>
              <a:no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ОПЕРАТОРИ!$E$19:$E$28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ОПЕРАТОРИ!$F$19:$F$28</c:f>
              <c:numCache>
                <c:formatCode>#,##0</c:formatCode>
                <c:ptCount val="10"/>
                <c:pt idx="0">
                  <c:v>36</c:v>
                </c:pt>
                <c:pt idx="1">
                  <c:v>48</c:v>
                </c:pt>
                <c:pt idx="2">
                  <c:v>50</c:v>
                </c:pt>
                <c:pt idx="3">
                  <c:v>37</c:v>
                </c:pt>
                <c:pt idx="4">
                  <c:v>34</c:v>
                </c:pt>
                <c:pt idx="5">
                  <c:v>34</c:v>
                </c:pt>
                <c:pt idx="6">
                  <c:v>39</c:v>
                </c:pt>
                <c:pt idx="7">
                  <c:v>42</c:v>
                </c:pt>
                <c:pt idx="8">
                  <c:v>46</c:v>
                </c:pt>
                <c:pt idx="9">
                  <c:v>43</c:v>
                </c:pt>
              </c:numCache>
            </c:numRef>
          </c:val>
          <c:extLst>
            <c:ext xmlns:c16="http://schemas.microsoft.com/office/drawing/2014/chart" uri="{C3380CC4-5D6E-409C-BE32-E72D297353CC}">
              <c16:uniqueId val="{00000000-3460-4E5C-9097-7076B325E878}"/>
            </c:ext>
          </c:extLst>
        </c:ser>
        <c:ser>
          <c:idx val="1"/>
          <c:order val="1"/>
          <c:tx>
            <c:strRef>
              <c:f>ОПЕРАТОРИ!$H$8</c:f>
              <c:strCache>
                <c:ptCount val="1"/>
                <c:pt idx="0">
                  <c:v>Годишња варијација</c:v>
                </c:pt>
              </c:strCache>
            </c:strRef>
          </c:tx>
          <c:invertIfNegative val="0"/>
          <c:cat>
            <c:numRef>
              <c:f>ОПЕРАТОРИ!$E$19:$E$28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ОПЕРАТОРИ!$H$19:$H$28</c:f>
              <c:numCache>
                <c:formatCode>0%</c:formatCode>
                <c:ptCount val="10"/>
                <c:pt idx="1">
                  <c:v>0.33333333333333326</c:v>
                </c:pt>
                <c:pt idx="2">
                  <c:v>4.1666666666666741E-2</c:v>
                </c:pt>
                <c:pt idx="3">
                  <c:v>-0.26</c:v>
                </c:pt>
                <c:pt idx="4">
                  <c:v>-8.108108108108103E-2</c:v>
                </c:pt>
                <c:pt idx="5">
                  <c:v>0</c:v>
                </c:pt>
                <c:pt idx="6">
                  <c:v>0.14705882352941169</c:v>
                </c:pt>
                <c:pt idx="7">
                  <c:v>7.6923076923076872E-2</c:v>
                </c:pt>
                <c:pt idx="8">
                  <c:v>9.5238095238095344E-2</c:v>
                </c:pt>
                <c:pt idx="9">
                  <c:v>-6.5217391304347783E-2</c:v>
                </c:pt>
              </c:numCache>
            </c:numRef>
          </c:val>
          <c:extLst>
            <c:ext xmlns:c16="http://schemas.microsoft.com/office/drawing/2014/chart" uri="{C3380CC4-5D6E-409C-BE32-E72D297353CC}">
              <c16:uniqueId val="{00000001-3460-4E5C-9097-7076B325E878}"/>
            </c:ext>
          </c:extLst>
        </c:ser>
        <c:ser>
          <c:idx val="2"/>
          <c:order val="2"/>
          <c:tx>
            <c:strRef>
              <c:f>ОПЕРАТОРИ!$I$8</c:f>
              <c:strCache>
                <c:ptCount val="1"/>
                <c:pt idx="0">
                  <c:v>Варијација 2015=100%</c:v>
                </c:pt>
              </c:strCache>
            </c:strRef>
          </c:tx>
          <c:invertIfNegative val="0"/>
          <c:cat>
            <c:numRef>
              <c:f>ОПЕРАТОРИ!$E$19:$E$28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ОПЕРАТОРИ!$I$19:$I$28</c:f>
              <c:numCache>
                <c:formatCode>0%</c:formatCode>
                <c:ptCount val="10"/>
                <c:pt idx="1">
                  <c:v>0.33333333333333304</c:v>
                </c:pt>
                <c:pt idx="2">
                  <c:v>0.38888888888888884</c:v>
                </c:pt>
                <c:pt idx="3">
                  <c:v>2.7777777777777679E-2</c:v>
                </c:pt>
                <c:pt idx="4">
                  <c:v>-5.555555555555558E-2</c:v>
                </c:pt>
                <c:pt idx="5">
                  <c:v>-5.555555555555558E-2</c:v>
                </c:pt>
                <c:pt idx="6">
                  <c:v>8.3333333333333259E-2</c:v>
                </c:pt>
                <c:pt idx="7">
                  <c:v>0.16666666666666674</c:v>
                </c:pt>
                <c:pt idx="8">
                  <c:v>0.27777777777777768</c:v>
                </c:pt>
                <c:pt idx="9">
                  <c:v>0.19444444444444442</c:v>
                </c:pt>
              </c:numCache>
            </c:numRef>
          </c:val>
          <c:extLst>
            <c:ext xmlns:c16="http://schemas.microsoft.com/office/drawing/2014/chart" uri="{C3380CC4-5D6E-409C-BE32-E72D297353CC}">
              <c16:uniqueId val="{00000002-3460-4E5C-9097-7076B325E878}"/>
            </c:ext>
          </c:extLst>
        </c:ser>
        <c:dLbls>
          <c:showLegendKey val="0"/>
          <c:showVal val="0"/>
          <c:showCatName val="0"/>
          <c:showSerName val="0"/>
          <c:showPercent val="0"/>
          <c:showBubbleSize val="0"/>
        </c:dLbls>
        <c:gapWidth val="100"/>
        <c:overlap val="100"/>
        <c:axId val="1944850800"/>
        <c:axId val="1"/>
      </c:barChart>
      <c:catAx>
        <c:axId val="1944850800"/>
        <c:scaling>
          <c:orientation val="minMax"/>
        </c:scaling>
        <c:delete val="0"/>
        <c:axPos val="b"/>
        <c:numFmt formatCode="General" sourceLinked="1"/>
        <c:majorTickMark val="out"/>
        <c:minorTickMark val="none"/>
        <c:tickLblPos val="nextTo"/>
        <c:txPr>
          <a:bodyPr rot="0" vert="horz" anchor="t" anchorCtr="1"/>
          <a:lstStyle/>
          <a:p>
            <a:pPr>
              <a:defRPr sz="4000" b="0" i="0" u="none" strike="noStrike" baseline="0">
                <a:solidFill>
                  <a:srgbClr val="000000"/>
                </a:solidFill>
                <a:latin typeface="Calibri"/>
                <a:ea typeface="Calibri"/>
                <a:cs typeface="Calibri"/>
              </a:defRPr>
            </a:pPr>
            <a:endParaRPr lang="en-US"/>
          </a:p>
        </c:txPr>
        <c:crossAx val="1"/>
        <c:crosses val="autoZero"/>
        <c:auto val="1"/>
        <c:lblAlgn val="ctr"/>
        <c:lblOffset val="100"/>
        <c:noMultiLvlLbl val="0"/>
      </c:catAx>
      <c:valAx>
        <c:axId val="1"/>
        <c:scaling>
          <c:orientation val="minMax"/>
          <c:max val="65"/>
          <c:min val="0"/>
        </c:scaling>
        <c:delete val="1"/>
        <c:axPos val="l"/>
        <c:majorGridlines>
          <c:spPr>
            <a:ln w="6350">
              <a:solidFill>
                <a:schemeClr val="bg1">
                  <a:lumMod val="75000"/>
                </a:schemeClr>
              </a:solidFill>
              <a:prstDash val="sysDot"/>
            </a:ln>
          </c:spPr>
        </c:majorGridlines>
        <c:numFmt formatCode="#,##0" sourceLinked="1"/>
        <c:majorTickMark val="out"/>
        <c:minorTickMark val="none"/>
        <c:tickLblPos val="nextTo"/>
        <c:crossAx val="1944850800"/>
        <c:crosses val="autoZero"/>
        <c:crossBetween val="between"/>
      </c:valAx>
      <c:dTable>
        <c:showHorzBorder val="1"/>
        <c:showVertBorder val="1"/>
        <c:showOutline val="1"/>
        <c:showKeys val="0"/>
        <c:txPr>
          <a:bodyPr/>
          <a:lstStyle/>
          <a:p>
            <a:pPr rtl="0">
              <a:defRPr sz="1000"/>
            </a:pPr>
            <a:endParaRPr lang="en-US"/>
          </a:p>
        </c:txPr>
      </c:dTable>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Пројекције!$D$25</c:f>
              <c:strCache>
                <c:ptCount val="1"/>
                <c:pt idx="0">
                  <c:v>Историјски подаци</c:v>
                </c:pt>
              </c:strCache>
            </c:strRef>
          </c:tx>
          <c:spPr>
            <a:ln w="15875" cap="rnd">
              <a:solidFill>
                <a:schemeClr val="accent2"/>
              </a:solidFill>
              <a:round/>
            </a:ln>
            <a:effectLst/>
          </c:spPr>
          <c:marker>
            <c:symbol val="circle"/>
            <c:size val="5"/>
            <c:spPr>
              <a:solidFill>
                <a:schemeClr val="accent2"/>
              </a:solidFill>
              <a:ln w="9525">
                <a:solidFill>
                  <a:schemeClr val="accent2"/>
                </a:solidFill>
              </a:ln>
              <a:effectLst/>
            </c:spPr>
          </c:marker>
          <c:cat>
            <c:numRef>
              <c:f>Пројекције!$C$26:$C$41</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Пројекције!$D$26:$D$41</c:f>
              <c:numCache>
                <c:formatCode>0</c:formatCode>
                <c:ptCount val="16"/>
                <c:pt idx="0">
                  <c:v>286</c:v>
                </c:pt>
                <c:pt idx="1">
                  <c:v>277.89999999999975</c:v>
                </c:pt>
                <c:pt idx="2">
                  <c:v>285.39999999999975</c:v>
                </c:pt>
                <c:pt idx="3">
                  <c:v>283.60000000000002</c:v>
                </c:pt>
                <c:pt idx="4">
                  <c:v>263</c:v>
                </c:pt>
                <c:pt idx="5">
                  <c:v>258.5</c:v>
                </c:pt>
                <c:pt idx="6">
                  <c:v>259.7</c:v>
                </c:pt>
                <c:pt idx="7">
                  <c:v>248.2</c:v>
                </c:pt>
                <c:pt idx="8">
                  <c:v>224.1</c:v>
                </c:pt>
                <c:pt idx="9">
                  <c:v>209</c:v>
                </c:pt>
              </c:numCache>
            </c:numRef>
          </c:val>
          <c:smooth val="0"/>
          <c:extLst>
            <c:ext xmlns:c16="http://schemas.microsoft.com/office/drawing/2014/chart" uri="{C3380CC4-5D6E-409C-BE32-E72D297353CC}">
              <c16:uniqueId val="{00000000-807F-426A-A3D0-D5CE9BCA3C4C}"/>
            </c:ext>
          </c:extLst>
        </c:ser>
        <c:ser>
          <c:idx val="1"/>
          <c:order val="1"/>
          <c:tx>
            <c:strRef>
              <c:f>Пројекције!$E$25</c:f>
              <c:strCache>
                <c:ptCount val="1"/>
                <c:pt idx="0">
                  <c:v>Песимистички сценарио </c:v>
                </c:pt>
              </c:strCache>
            </c:strRef>
          </c:tx>
          <c:spPr>
            <a:ln w="15875" cap="rnd">
              <a:solidFill>
                <a:srgbClr val="FF0000"/>
              </a:solidFill>
              <a:prstDash val="dash"/>
              <a:round/>
            </a:ln>
            <a:effectLst/>
          </c:spPr>
          <c:marker>
            <c:symbol val="none"/>
          </c:marker>
          <c:cat>
            <c:numRef>
              <c:f>Пројекције!$C$26:$C$41</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Пројекције!$E$26:$E$41</c:f>
              <c:numCache>
                <c:formatCode>General</c:formatCode>
                <c:ptCount val="16"/>
                <c:pt idx="9" formatCode="0">
                  <c:v>209</c:v>
                </c:pt>
                <c:pt idx="10">
                  <c:v>204</c:v>
                </c:pt>
                <c:pt idx="11">
                  <c:v>197</c:v>
                </c:pt>
                <c:pt idx="12">
                  <c:v>189</c:v>
                </c:pt>
                <c:pt idx="13">
                  <c:v>181</c:v>
                </c:pt>
                <c:pt idx="14">
                  <c:v>174</c:v>
                </c:pt>
                <c:pt idx="15">
                  <c:v>166</c:v>
                </c:pt>
              </c:numCache>
            </c:numRef>
          </c:val>
          <c:smooth val="0"/>
          <c:extLst>
            <c:ext xmlns:c16="http://schemas.microsoft.com/office/drawing/2014/chart" uri="{C3380CC4-5D6E-409C-BE32-E72D297353CC}">
              <c16:uniqueId val="{00000001-807F-426A-A3D0-D5CE9BCA3C4C}"/>
            </c:ext>
          </c:extLst>
        </c:ser>
        <c:ser>
          <c:idx val="2"/>
          <c:order val="2"/>
          <c:tx>
            <c:strRef>
              <c:f>Пројекције!$F$25</c:f>
              <c:strCache>
                <c:ptCount val="1"/>
                <c:pt idx="0">
                  <c:v>Реални сценарио </c:v>
                </c:pt>
              </c:strCache>
            </c:strRef>
          </c:tx>
          <c:spPr>
            <a:ln w="15875" cap="rnd">
              <a:solidFill>
                <a:schemeClr val="accent5">
                  <a:lumMod val="75000"/>
                </a:schemeClr>
              </a:solidFill>
              <a:prstDash val="dash"/>
              <a:round/>
            </a:ln>
            <a:effectLst/>
          </c:spPr>
          <c:marker>
            <c:symbol val="circle"/>
            <c:size val="5"/>
            <c:spPr>
              <a:solidFill>
                <a:schemeClr val="accent5">
                  <a:lumMod val="75000"/>
                </a:schemeClr>
              </a:solidFill>
              <a:ln w="9525">
                <a:solidFill>
                  <a:schemeClr val="accent5">
                    <a:lumMod val="75000"/>
                  </a:schemeClr>
                </a:solidFill>
              </a:ln>
              <a:effectLst/>
            </c:spPr>
          </c:marker>
          <c:cat>
            <c:numRef>
              <c:f>Пројекције!$C$26:$C$41</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Пројекције!$F$26:$F$41</c:f>
              <c:numCache>
                <c:formatCode>General</c:formatCode>
                <c:ptCount val="16"/>
                <c:pt idx="9" formatCode="0">
                  <c:v>209</c:v>
                </c:pt>
                <c:pt idx="10">
                  <c:v>215</c:v>
                </c:pt>
                <c:pt idx="11">
                  <c:v>207</c:v>
                </c:pt>
                <c:pt idx="12">
                  <c:v>199</c:v>
                </c:pt>
                <c:pt idx="13">
                  <c:v>191</c:v>
                </c:pt>
                <c:pt idx="14">
                  <c:v>183</c:v>
                </c:pt>
                <c:pt idx="15">
                  <c:v>174</c:v>
                </c:pt>
              </c:numCache>
            </c:numRef>
          </c:val>
          <c:smooth val="0"/>
          <c:extLst>
            <c:ext xmlns:c16="http://schemas.microsoft.com/office/drawing/2014/chart" uri="{C3380CC4-5D6E-409C-BE32-E72D297353CC}">
              <c16:uniqueId val="{00000002-807F-426A-A3D0-D5CE9BCA3C4C}"/>
            </c:ext>
          </c:extLst>
        </c:ser>
        <c:ser>
          <c:idx val="3"/>
          <c:order val="3"/>
          <c:tx>
            <c:strRef>
              <c:f>Пројекције!$G$25</c:f>
              <c:strCache>
                <c:ptCount val="1"/>
                <c:pt idx="0">
                  <c:v>Оптимистички сценарио </c:v>
                </c:pt>
              </c:strCache>
            </c:strRef>
          </c:tx>
          <c:spPr>
            <a:ln w="15875" cap="rnd">
              <a:solidFill>
                <a:schemeClr val="accent6">
                  <a:lumMod val="75000"/>
                </a:schemeClr>
              </a:solidFill>
              <a:prstDash val="dash"/>
              <a:round/>
            </a:ln>
            <a:effectLst/>
          </c:spPr>
          <c:marker>
            <c:symbol val="none"/>
          </c:marker>
          <c:cat>
            <c:numRef>
              <c:f>Пројекције!$C$26:$C$41</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Пројекције!$G$26:$G$41</c:f>
              <c:numCache>
                <c:formatCode>General</c:formatCode>
                <c:ptCount val="16"/>
                <c:pt idx="9" formatCode="0">
                  <c:v>209</c:v>
                </c:pt>
                <c:pt idx="10">
                  <c:v>226</c:v>
                </c:pt>
                <c:pt idx="11">
                  <c:v>217</c:v>
                </c:pt>
                <c:pt idx="12">
                  <c:v>209</c:v>
                </c:pt>
                <c:pt idx="13">
                  <c:v>201</c:v>
                </c:pt>
                <c:pt idx="14">
                  <c:v>192</c:v>
                </c:pt>
                <c:pt idx="15">
                  <c:v>183</c:v>
                </c:pt>
              </c:numCache>
            </c:numRef>
          </c:val>
          <c:smooth val="0"/>
          <c:extLst>
            <c:ext xmlns:c16="http://schemas.microsoft.com/office/drawing/2014/chart" uri="{C3380CC4-5D6E-409C-BE32-E72D297353CC}">
              <c16:uniqueId val="{00000003-807F-426A-A3D0-D5CE9BCA3C4C}"/>
            </c:ext>
          </c:extLst>
        </c:ser>
        <c:dLbls>
          <c:showLegendKey val="0"/>
          <c:showVal val="0"/>
          <c:showCatName val="0"/>
          <c:showSerName val="0"/>
          <c:showPercent val="0"/>
          <c:showBubbleSize val="0"/>
        </c:dLbls>
        <c:marker val="1"/>
        <c:smooth val="0"/>
        <c:axId val="141195136"/>
        <c:axId val="141196672"/>
      </c:lineChart>
      <c:catAx>
        <c:axId val="141195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196672"/>
        <c:crosses val="autoZero"/>
        <c:auto val="1"/>
        <c:lblAlgn val="ctr"/>
        <c:lblOffset val="100"/>
        <c:noMultiLvlLbl val="0"/>
      </c:catAx>
      <c:valAx>
        <c:axId val="141196672"/>
        <c:scaling>
          <c:orientation val="minMax"/>
          <c:min val="140"/>
        </c:scaling>
        <c:delete val="0"/>
        <c:axPos val="l"/>
        <c:majorGridlines>
          <c:spPr>
            <a:ln w="9525" cap="flat" cmpd="sng" algn="ctr">
              <a:solidFill>
                <a:schemeClr val="tx1">
                  <a:lumMod val="15000"/>
                  <a:lumOff val="85000"/>
                </a:schemeClr>
              </a:solidFill>
              <a:prstDash val="sysDot"/>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195136"/>
        <c:crosses val="autoZero"/>
        <c:crossBetween val="between"/>
      </c:valAx>
      <c:spPr>
        <a:noFill/>
        <a:ln>
          <a:noFill/>
        </a:ln>
        <a:effectLst/>
      </c:spPr>
    </c:plotArea>
    <c:legend>
      <c:legendPos val="tr"/>
      <c:layout>
        <c:manualLayout>
          <c:xMode val="edge"/>
          <c:yMode val="edge"/>
          <c:x val="0.6410365573101604"/>
          <c:y val="1.7334775926409553E-2"/>
          <c:w val="0.34636501749298981"/>
          <c:h val="0.19501759411509395"/>
        </c:manualLayout>
      </c:layout>
      <c:overlay val="1"/>
      <c:spPr>
        <a:noFill/>
        <a:ln>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Пројекције!$D$64</c:f>
              <c:strCache>
                <c:ptCount val="1"/>
                <c:pt idx="0">
                  <c:v>Историјски подаци</c:v>
                </c:pt>
              </c:strCache>
            </c:strRef>
          </c:tx>
          <c:spPr>
            <a:ln w="15875" cap="rnd">
              <a:solidFill>
                <a:schemeClr val="accent2"/>
              </a:solidFill>
              <a:round/>
            </a:ln>
            <a:effectLst/>
          </c:spPr>
          <c:marker>
            <c:symbol val="circle"/>
            <c:size val="5"/>
            <c:spPr>
              <a:solidFill>
                <a:schemeClr val="accent2"/>
              </a:solidFill>
              <a:ln w="9525">
                <a:solidFill>
                  <a:schemeClr val="accent2"/>
                </a:solidFill>
              </a:ln>
              <a:effectLst/>
            </c:spPr>
          </c:marker>
          <c:cat>
            <c:numRef>
              <c:f>Пројекције!$C$65:$C$80</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Пројекције!$D$65:$D$80</c:f>
              <c:numCache>
                <c:formatCode>General</c:formatCode>
                <c:ptCount val="16"/>
                <c:pt idx="0">
                  <c:v>385</c:v>
                </c:pt>
                <c:pt idx="1">
                  <c:v>693</c:v>
                </c:pt>
                <c:pt idx="2">
                  <c:v>921</c:v>
                </c:pt>
                <c:pt idx="3">
                  <c:v>981</c:v>
                </c:pt>
                <c:pt idx="4">
                  <c:v>1140</c:v>
                </c:pt>
                <c:pt idx="5">
                  <c:v>904</c:v>
                </c:pt>
                <c:pt idx="6">
                  <c:v>966</c:v>
                </c:pt>
                <c:pt idx="7">
                  <c:v>1557</c:v>
                </c:pt>
                <c:pt idx="8">
                  <c:v>2446</c:v>
                </c:pt>
                <c:pt idx="9">
                  <c:v>2590</c:v>
                </c:pt>
              </c:numCache>
            </c:numRef>
          </c:val>
          <c:smooth val="0"/>
          <c:extLst>
            <c:ext xmlns:c16="http://schemas.microsoft.com/office/drawing/2014/chart" uri="{C3380CC4-5D6E-409C-BE32-E72D297353CC}">
              <c16:uniqueId val="{00000000-4895-4994-8008-8EAE5B5867EB}"/>
            </c:ext>
          </c:extLst>
        </c:ser>
        <c:ser>
          <c:idx val="1"/>
          <c:order val="1"/>
          <c:tx>
            <c:strRef>
              <c:f>Пројекције!$E$64</c:f>
              <c:strCache>
                <c:ptCount val="1"/>
                <c:pt idx="0">
                  <c:v>Песимистички сценарио </c:v>
                </c:pt>
              </c:strCache>
            </c:strRef>
          </c:tx>
          <c:spPr>
            <a:ln w="15875" cap="rnd">
              <a:solidFill>
                <a:srgbClr val="FF0000"/>
              </a:solidFill>
              <a:prstDash val="dash"/>
              <a:round/>
            </a:ln>
            <a:effectLst/>
          </c:spPr>
          <c:marker>
            <c:symbol val="none"/>
          </c:marker>
          <c:cat>
            <c:numRef>
              <c:f>Пројекције!$C$65:$C$80</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Пројекције!$E$65:$E$80</c:f>
              <c:numCache>
                <c:formatCode>General</c:formatCode>
                <c:ptCount val="16"/>
                <c:pt idx="9">
                  <c:v>2590</c:v>
                </c:pt>
                <c:pt idx="10" formatCode="0">
                  <c:v>2350</c:v>
                </c:pt>
                <c:pt idx="11" formatCode="0">
                  <c:v>2430</c:v>
                </c:pt>
                <c:pt idx="12" formatCode="0">
                  <c:v>2510</c:v>
                </c:pt>
                <c:pt idx="13" formatCode="0">
                  <c:v>2580</c:v>
                </c:pt>
                <c:pt idx="14" formatCode="0">
                  <c:v>2640</c:v>
                </c:pt>
                <c:pt idx="15" formatCode="0">
                  <c:v>2700</c:v>
                </c:pt>
              </c:numCache>
            </c:numRef>
          </c:val>
          <c:smooth val="0"/>
          <c:extLst>
            <c:ext xmlns:c16="http://schemas.microsoft.com/office/drawing/2014/chart" uri="{C3380CC4-5D6E-409C-BE32-E72D297353CC}">
              <c16:uniqueId val="{00000001-4895-4994-8008-8EAE5B5867EB}"/>
            </c:ext>
          </c:extLst>
        </c:ser>
        <c:ser>
          <c:idx val="2"/>
          <c:order val="2"/>
          <c:tx>
            <c:strRef>
              <c:f>Пројекције!$F$64</c:f>
              <c:strCache>
                <c:ptCount val="1"/>
                <c:pt idx="0">
                  <c:v>Реални сценарио </c:v>
                </c:pt>
              </c:strCache>
            </c:strRef>
          </c:tx>
          <c:spPr>
            <a:ln w="15875" cap="rnd">
              <a:solidFill>
                <a:schemeClr val="accent5">
                  <a:lumMod val="75000"/>
                </a:schemeClr>
              </a:solidFill>
              <a:round/>
            </a:ln>
            <a:effectLst/>
          </c:spPr>
          <c:marker>
            <c:symbol val="circle"/>
            <c:size val="5"/>
            <c:spPr>
              <a:solidFill>
                <a:schemeClr val="accent5">
                  <a:lumMod val="75000"/>
                </a:schemeClr>
              </a:solidFill>
              <a:ln w="9525">
                <a:solidFill>
                  <a:schemeClr val="accent3"/>
                </a:solidFill>
              </a:ln>
              <a:effectLst/>
            </c:spPr>
          </c:marker>
          <c:cat>
            <c:numRef>
              <c:f>Пројекције!$C$65:$C$80</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Пројекције!$F$65:$F$80</c:f>
              <c:numCache>
                <c:formatCode>General</c:formatCode>
                <c:ptCount val="16"/>
                <c:pt idx="9">
                  <c:v>2590</c:v>
                </c:pt>
                <c:pt idx="10" formatCode="0">
                  <c:v>2425</c:v>
                </c:pt>
                <c:pt idx="11" formatCode="0">
                  <c:v>2638</c:v>
                </c:pt>
                <c:pt idx="12" formatCode="0">
                  <c:v>2850</c:v>
                </c:pt>
                <c:pt idx="13" formatCode="0">
                  <c:v>3062</c:v>
                </c:pt>
                <c:pt idx="14" formatCode="0">
                  <c:v>3274</c:v>
                </c:pt>
                <c:pt idx="15" formatCode="0">
                  <c:v>3487</c:v>
                </c:pt>
              </c:numCache>
            </c:numRef>
          </c:val>
          <c:smooth val="0"/>
          <c:extLst>
            <c:ext xmlns:c16="http://schemas.microsoft.com/office/drawing/2014/chart" uri="{C3380CC4-5D6E-409C-BE32-E72D297353CC}">
              <c16:uniqueId val="{00000002-4895-4994-8008-8EAE5B5867EB}"/>
            </c:ext>
          </c:extLst>
        </c:ser>
        <c:ser>
          <c:idx val="3"/>
          <c:order val="3"/>
          <c:tx>
            <c:strRef>
              <c:f>Пројекције!$G$64</c:f>
              <c:strCache>
                <c:ptCount val="1"/>
                <c:pt idx="0">
                  <c:v>Оптимистички сценарио </c:v>
                </c:pt>
              </c:strCache>
            </c:strRef>
          </c:tx>
          <c:spPr>
            <a:ln w="15875" cap="rnd">
              <a:solidFill>
                <a:schemeClr val="accent6">
                  <a:lumMod val="75000"/>
                </a:schemeClr>
              </a:solidFill>
              <a:prstDash val="dash"/>
              <a:round/>
            </a:ln>
            <a:effectLst/>
          </c:spPr>
          <c:marker>
            <c:symbol val="none"/>
          </c:marker>
          <c:cat>
            <c:numRef>
              <c:f>Пројекције!$C$65:$C$80</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Пројекције!$G$65:$G$80</c:f>
              <c:numCache>
                <c:formatCode>General</c:formatCode>
                <c:ptCount val="16"/>
                <c:pt idx="9">
                  <c:v>2590</c:v>
                </c:pt>
                <c:pt idx="10" formatCode="0">
                  <c:v>2600</c:v>
                </c:pt>
                <c:pt idx="11" formatCode="0">
                  <c:v>2950</c:v>
                </c:pt>
                <c:pt idx="12" formatCode="0">
                  <c:v>3300</c:v>
                </c:pt>
                <c:pt idx="13" formatCode="0">
                  <c:v>3680</c:v>
                </c:pt>
                <c:pt idx="14" formatCode="0">
                  <c:v>4100</c:v>
                </c:pt>
                <c:pt idx="15" formatCode="0">
                  <c:v>4550</c:v>
                </c:pt>
              </c:numCache>
            </c:numRef>
          </c:val>
          <c:smooth val="0"/>
          <c:extLst>
            <c:ext xmlns:c16="http://schemas.microsoft.com/office/drawing/2014/chart" uri="{C3380CC4-5D6E-409C-BE32-E72D297353CC}">
              <c16:uniqueId val="{00000003-4895-4994-8008-8EAE5B5867EB}"/>
            </c:ext>
          </c:extLst>
        </c:ser>
        <c:dLbls>
          <c:showLegendKey val="0"/>
          <c:showVal val="0"/>
          <c:showCatName val="0"/>
          <c:showSerName val="0"/>
          <c:showPercent val="0"/>
          <c:showBubbleSize val="0"/>
        </c:dLbls>
        <c:marker val="1"/>
        <c:smooth val="0"/>
        <c:axId val="141243520"/>
        <c:axId val="141245056"/>
      </c:lineChart>
      <c:catAx>
        <c:axId val="141243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245056"/>
        <c:crosses val="autoZero"/>
        <c:auto val="1"/>
        <c:lblAlgn val="ctr"/>
        <c:lblOffset val="100"/>
        <c:noMultiLvlLbl val="0"/>
      </c:catAx>
      <c:valAx>
        <c:axId val="141245056"/>
        <c:scaling>
          <c:orientation val="minMax"/>
        </c:scaling>
        <c:delete val="0"/>
        <c:axPos val="l"/>
        <c:majorGridlines>
          <c:spPr>
            <a:ln w="9525" cap="flat" cmpd="sng" algn="ctr">
              <a:solidFill>
                <a:schemeClr val="tx1">
                  <a:lumMod val="15000"/>
                  <a:lumOff val="85000"/>
                </a:schemeClr>
              </a:solidFill>
              <a:prstDash val="sysDash"/>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243520"/>
        <c:crosses val="autoZero"/>
        <c:crossBetween val="between"/>
      </c:valAx>
      <c:spPr>
        <a:noFill/>
        <a:ln>
          <a:noFill/>
        </a:ln>
        <a:effectLst/>
      </c:spPr>
    </c:plotArea>
    <c:legend>
      <c:legendPos val="tr"/>
      <c:layout>
        <c:manualLayout>
          <c:xMode val="edge"/>
          <c:yMode val="edge"/>
          <c:x val="0.6640246898575386"/>
          <c:y val="0.69485705948471765"/>
          <c:w val="0.33014454505204527"/>
          <c:h val="0.20571570085150959"/>
        </c:manualLayout>
      </c:layout>
      <c:overlay val="1"/>
      <c:spPr>
        <a:noFill/>
        <a:ln>
          <a:solidFill>
            <a:schemeClr val="accent1"/>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71642319593314"/>
          <c:y val="6.6268699507490085E-4"/>
          <c:w val="0.8656914276534623"/>
          <c:h val="0.82570983314585766"/>
        </c:manualLayout>
      </c:layout>
      <c:barChart>
        <c:barDir val="col"/>
        <c:grouping val="clustered"/>
        <c:varyColors val="0"/>
        <c:ser>
          <c:idx val="0"/>
          <c:order val="0"/>
          <c:tx>
            <c:v>Ук. обим</c:v>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Sheet1!$C$10:$C$19</c:f>
              <c:numCache>
                <c:formatCode>#,##0</c:formatCode>
                <c:ptCount val="10"/>
                <c:pt idx="0">
                  <c:v>286</c:v>
                </c:pt>
                <c:pt idx="1">
                  <c:v>277.89999999999975</c:v>
                </c:pt>
                <c:pt idx="2">
                  <c:v>285.39999999999975</c:v>
                </c:pt>
                <c:pt idx="3">
                  <c:v>283.60000000000002</c:v>
                </c:pt>
                <c:pt idx="4">
                  <c:v>263</c:v>
                </c:pt>
                <c:pt idx="5">
                  <c:v>258.5</c:v>
                </c:pt>
                <c:pt idx="6">
                  <c:v>259.7</c:v>
                </c:pt>
                <c:pt idx="7">
                  <c:v>248.2</c:v>
                </c:pt>
                <c:pt idx="8">
                  <c:v>224.1</c:v>
                </c:pt>
                <c:pt idx="9" formatCode="General">
                  <c:v>209</c:v>
                </c:pt>
              </c:numCache>
            </c:numRef>
          </c:val>
          <c:extLst>
            <c:ext xmlns:c16="http://schemas.microsoft.com/office/drawing/2014/chart" uri="{C3380CC4-5D6E-409C-BE32-E72D297353CC}">
              <c16:uniqueId val="{00000000-314F-497D-9AFD-2BE095299070}"/>
            </c:ext>
          </c:extLst>
        </c:ser>
        <c:ser>
          <c:idx val="1"/>
          <c:order val="1"/>
          <c:tx>
            <c:v>Годишња варијација</c:v>
          </c:tx>
          <c:spPr>
            <a:solidFill>
              <a:schemeClr val="accent2"/>
            </a:solidFill>
            <a:ln>
              <a:noFill/>
            </a:ln>
            <a:effectLst/>
          </c:spPr>
          <c:invertIfNegative val="0"/>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Sheet1!$F$10:$F$19</c:f>
              <c:numCache>
                <c:formatCode>0.0%</c:formatCode>
                <c:ptCount val="10"/>
                <c:pt idx="1">
                  <c:v>-2.8321678321678426E-2</c:v>
                </c:pt>
                <c:pt idx="2">
                  <c:v>2.6988125224901148E-2</c:v>
                </c:pt>
                <c:pt idx="3">
                  <c:v>-6.3069376313943416E-3</c:v>
                </c:pt>
                <c:pt idx="4">
                  <c:v>-7.2637517630465553E-2</c:v>
                </c:pt>
                <c:pt idx="5">
                  <c:v>-1.7110266159695794E-2</c:v>
                </c:pt>
                <c:pt idx="6">
                  <c:v>4.6421663442939324E-3</c:v>
                </c:pt>
                <c:pt idx="7">
                  <c:v>-4.4281863688871756E-2</c:v>
                </c:pt>
                <c:pt idx="8">
                  <c:v>-9.7099113618049904E-2</c:v>
                </c:pt>
                <c:pt idx="9">
                  <c:v>-6.7380633645693966E-2</c:v>
                </c:pt>
              </c:numCache>
            </c:numRef>
          </c:val>
          <c:extLst>
            <c:ext xmlns:c16="http://schemas.microsoft.com/office/drawing/2014/chart" uri="{C3380CC4-5D6E-409C-BE32-E72D297353CC}">
              <c16:uniqueId val="{00000001-314F-497D-9AFD-2BE095299070}"/>
            </c:ext>
          </c:extLst>
        </c:ser>
        <c:ser>
          <c:idx val="2"/>
          <c:order val="2"/>
          <c:tx>
            <c:strRef>
              <c:f>Sheet1!$K$4</c:f>
              <c:strCache>
                <c:ptCount val="1"/>
                <c:pt idx="0">
                  <c:v>Варијација 2015=100%</c:v>
                </c:pt>
              </c:strCache>
            </c:strRef>
          </c:tx>
          <c:spPr>
            <a:solidFill>
              <a:schemeClr val="accent3"/>
            </a:solidFill>
            <a:ln>
              <a:noFill/>
            </a:ln>
            <a:effectLst/>
          </c:spPr>
          <c:invertIfNegative val="0"/>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Sheet1!$G$10:$G$19</c:f>
              <c:numCache>
                <c:formatCode>0.0%</c:formatCode>
                <c:ptCount val="10"/>
                <c:pt idx="1">
                  <c:v>-2.8321678321678426E-2</c:v>
                </c:pt>
                <c:pt idx="2">
                  <c:v>-2.0979020979021738E-3</c:v>
                </c:pt>
                <c:pt idx="3">
                  <c:v>-8.3916083916083586E-3</c:v>
                </c:pt>
                <c:pt idx="4">
                  <c:v>-8.0419580419580389E-2</c:v>
                </c:pt>
                <c:pt idx="5">
                  <c:v>-9.615384615384627E-2</c:v>
                </c:pt>
                <c:pt idx="6">
                  <c:v>-9.195804195804215E-2</c:v>
                </c:pt>
                <c:pt idx="7">
                  <c:v>-0.13216783216783237</c:v>
                </c:pt>
                <c:pt idx="8">
                  <c:v>-0.21643356643356648</c:v>
                </c:pt>
                <c:pt idx="9">
                  <c:v>-0.26923076923076938</c:v>
                </c:pt>
              </c:numCache>
            </c:numRef>
          </c:val>
          <c:extLst>
            <c:ext xmlns:c16="http://schemas.microsoft.com/office/drawing/2014/chart" uri="{C3380CC4-5D6E-409C-BE32-E72D297353CC}">
              <c16:uniqueId val="{00000002-314F-497D-9AFD-2BE095299070}"/>
            </c:ext>
          </c:extLst>
        </c:ser>
        <c:dLbls>
          <c:showLegendKey val="0"/>
          <c:showVal val="0"/>
          <c:showCatName val="0"/>
          <c:showSerName val="0"/>
          <c:showPercent val="0"/>
          <c:showBubbleSize val="0"/>
        </c:dLbls>
        <c:gapWidth val="90"/>
        <c:overlap val="90"/>
        <c:axId val="66501248"/>
        <c:axId val="66511232"/>
      </c:barChart>
      <c:catAx>
        <c:axId val="66501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66511232"/>
        <c:crosses val="autoZero"/>
        <c:auto val="0"/>
        <c:lblAlgn val="ctr"/>
        <c:lblOffset val="100"/>
        <c:noMultiLvlLbl val="0"/>
      </c:catAx>
      <c:valAx>
        <c:axId val="66511232"/>
        <c:scaling>
          <c:orientation val="minMax"/>
          <c:max val="300"/>
          <c:min val="18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crossAx val="66501248"/>
        <c:crosses val="autoZero"/>
        <c:crossBetween val="between"/>
        <c:majorUnit val="20"/>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Пројекције!$D$100</c:f>
              <c:strCache>
                <c:ptCount val="1"/>
                <c:pt idx="0">
                  <c:v>Историјски подаци</c:v>
                </c:pt>
              </c:strCache>
            </c:strRef>
          </c:tx>
          <c:spPr>
            <a:ln w="15875" cap="rnd">
              <a:solidFill>
                <a:schemeClr val="accent2"/>
              </a:solidFill>
              <a:round/>
            </a:ln>
            <a:effectLst/>
          </c:spPr>
          <c:marker>
            <c:symbol val="circle"/>
            <c:size val="5"/>
            <c:spPr>
              <a:solidFill>
                <a:schemeClr val="accent2"/>
              </a:solidFill>
              <a:ln w="9525">
                <a:solidFill>
                  <a:schemeClr val="accent2"/>
                </a:solidFill>
              </a:ln>
              <a:effectLst/>
            </c:spPr>
          </c:marker>
          <c:cat>
            <c:numRef>
              <c:f>Пројекције!$C$101:$C$116</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Пројекције!$D$101:$D$116</c:f>
              <c:numCache>
                <c:formatCode>_(* #,##0_);_(* \(#,##0\);_(* "-"_);_(@_)</c:formatCode>
                <c:ptCount val="16"/>
                <c:pt idx="0">
                  <c:v>23228</c:v>
                </c:pt>
                <c:pt idx="1">
                  <c:v>27186</c:v>
                </c:pt>
                <c:pt idx="2">
                  <c:v>30928</c:v>
                </c:pt>
                <c:pt idx="3">
                  <c:v>35314</c:v>
                </c:pt>
                <c:pt idx="4">
                  <c:v>37692</c:v>
                </c:pt>
                <c:pt idx="5">
                  <c:v>42628</c:v>
                </c:pt>
                <c:pt idx="6">
                  <c:v>47329</c:v>
                </c:pt>
                <c:pt idx="7">
                  <c:v>46339</c:v>
                </c:pt>
                <c:pt idx="8">
                  <c:v>46998</c:v>
                </c:pt>
                <c:pt idx="9">
                  <c:v>53848</c:v>
                </c:pt>
              </c:numCache>
            </c:numRef>
          </c:val>
          <c:smooth val="0"/>
          <c:extLst>
            <c:ext xmlns:c16="http://schemas.microsoft.com/office/drawing/2014/chart" uri="{C3380CC4-5D6E-409C-BE32-E72D297353CC}">
              <c16:uniqueId val="{00000000-E16B-4ADA-A1BC-16D8B93B0BDE}"/>
            </c:ext>
          </c:extLst>
        </c:ser>
        <c:ser>
          <c:idx val="1"/>
          <c:order val="1"/>
          <c:tx>
            <c:strRef>
              <c:f>Пројекције!$E$100</c:f>
              <c:strCache>
                <c:ptCount val="1"/>
                <c:pt idx="0">
                  <c:v>Песимистички сценарио </c:v>
                </c:pt>
              </c:strCache>
            </c:strRef>
          </c:tx>
          <c:spPr>
            <a:ln w="15875" cap="rnd">
              <a:solidFill>
                <a:srgbClr val="FF0000"/>
              </a:solidFill>
              <a:prstDash val="dash"/>
              <a:round/>
            </a:ln>
            <a:effectLst/>
          </c:spPr>
          <c:marker>
            <c:symbol val="none"/>
          </c:marker>
          <c:cat>
            <c:numRef>
              <c:f>Пројекције!$C$101:$C$116</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Пројекције!$E$101:$E$116</c:f>
              <c:numCache>
                <c:formatCode>General</c:formatCode>
                <c:ptCount val="16"/>
                <c:pt idx="9" formatCode="#,##0">
                  <c:v>53848</c:v>
                </c:pt>
                <c:pt idx="10" formatCode="#,##0">
                  <c:v>54925</c:v>
                </c:pt>
                <c:pt idx="11" formatCode="#,##0">
                  <c:v>56023</c:v>
                </c:pt>
                <c:pt idx="12" formatCode="#,##0">
                  <c:v>57144</c:v>
                </c:pt>
                <c:pt idx="13" formatCode="#,##0">
                  <c:v>58287</c:v>
                </c:pt>
                <c:pt idx="14" formatCode="#,##0">
                  <c:v>59453</c:v>
                </c:pt>
                <c:pt idx="15" formatCode="#,##0">
                  <c:v>60642</c:v>
                </c:pt>
              </c:numCache>
            </c:numRef>
          </c:val>
          <c:smooth val="0"/>
          <c:extLst>
            <c:ext xmlns:c16="http://schemas.microsoft.com/office/drawing/2014/chart" uri="{C3380CC4-5D6E-409C-BE32-E72D297353CC}">
              <c16:uniqueId val="{00000001-E16B-4ADA-A1BC-16D8B93B0BDE}"/>
            </c:ext>
          </c:extLst>
        </c:ser>
        <c:ser>
          <c:idx val="2"/>
          <c:order val="2"/>
          <c:tx>
            <c:strRef>
              <c:f>Пројекције!$F$100</c:f>
              <c:strCache>
                <c:ptCount val="1"/>
                <c:pt idx="0">
                  <c:v>Реални сценарио </c:v>
                </c:pt>
              </c:strCache>
            </c:strRef>
          </c:tx>
          <c:spPr>
            <a:ln w="15875" cap="rnd">
              <a:solidFill>
                <a:schemeClr val="accent5">
                  <a:lumMod val="75000"/>
                </a:schemeClr>
              </a:solidFill>
              <a:round/>
            </a:ln>
            <a:effectLst/>
          </c:spPr>
          <c:marker>
            <c:symbol val="circle"/>
            <c:size val="5"/>
            <c:spPr>
              <a:solidFill>
                <a:schemeClr val="accent5">
                  <a:lumMod val="75000"/>
                </a:schemeClr>
              </a:solidFill>
              <a:ln w="9525">
                <a:solidFill>
                  <a:schemeClr val="accent5">
                    <a:lumMod val="75000"/>
                  </a:schemeClr>
                </a:solidFill>
              </a:ln>
              <a:effectLst/>
            </c:spPr>
          </c:marker>
          <c:cat>
            <c:numRef>
              <c:f>Пројекције!$C$101:$C$116</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Пројекције!$F$101:$F$116</c:f>
              <c:numCache>
                <c:formatCode>General</c:formatCode>
                <c:ptCount val="16"/>
                <c:pt idx="9" formatCode="#,##0">
                  <c:v>53848</c:v>
                </c:pt>
                <c:pt idx="10" formatCode="#,##0">
                  <c:v>56540</c:v>
                </c:pt>
                <c:pt idx="11" formatCode="#,##0">
                  <c:v>59367</c:v>
                </c:pt>
                <c:pt idx="12" formatCode="#,##0">
                  <c:v>62335</c:v>
                </c:pt>
                <c:pt idx="13" formatCode="#,##0">
                  <c:v>65452</c:v>
                </c:pt>
                <c:pt idx="14" formatCode="#,##0">
                  <c:v>68724</c:v>
                </c:pt>
                <c:pt idx="15" formatCode="#,##0">
                  <c:v>72160</c:v>
                </c:pt>
              </c:numCache>
            </c:numRef>
          </c:val>
          <c:smooth val="0"/>
          <c:extLst>
            <c:ext xmlns:c16="http://schemas.microsoft.com/office/drawing/2014/chart" uri="{C3380CC4-5D6E-409C-BE32-E72D297353CC}">
              <c16:uniqueId val="{00000002-E16B-4ADA-A1BC-16D8B93B0BDE}"/>
            </c:ext>
          </c:extLst>
        </c:ser>
        <c:ser>
          <c:idx val="3"/>
          <c:order val="3"/>
          <c:tx>
            <c:strRef>
              <c:f>Пројекције!$G$100</c:f>
              <c:strCache>
                <c:ptCount val="1"/>
                <c:pt idx="0">
                  <c:v>Оптимистички сценарио </c:v>
                </c:pt>
              </c:strCache>
            </c:strRef>
          </c:tx>
          <c:spPr>
            <a:ln w="15875" cap="rnd">
              <a:solidFill>
                <a:schemeClr val="accent6">
                  <a:lumMod val="75000"/>
                </a:schemeClr>
              </a:solidFill>
              <a:prstDash val="dash"/>
              <a:round/>
            </a:ln>
            <a:effectLst/>
          </c:spPr>
          <c:marker>
            <c:symbol val="none"/>
          </c:marker>
          <c:cat>
            <c:numRef>
              <c:f>Пројекције!$C$101:$C$116</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Пројекције!$G$101:$G$116</c:f>
              <c:numCache>
                <c:formatCode>General</c:formatCode>
                <c:ptCount val="16"/>
                <c:pt idx="9" formatCode="#,##0">
                  <c:v>53848</c:v>
                </c:pt>
                <c:pt idx="10" formatCode="#,##0">
                  <c:v>58156</c:v>
                </c:pt>
                <c:pt idx="11" formatCode="#,##0">
                  <c:v>62808</c:v>
                </c:pt>
                <c:pt idx="12" formatCode="#,##0">
                  <c:v>67833</c:v>
                </c:pt>
                <c:pt idx="13" formatCode="#,##0">
                  <c:v>73260</c:v>
                </c:pt>
                <c:pt idx="14" formatCode="#,##0">
                  <c:v>79121</c:v>
                </c:pt>
                <c:pt idx="15" formatCode="#,##0">
                  <c:v>85451</c:v>
                </c:pt>
              </c:numCache>
            </c:numRef>
          </c:val>
          <c:smooth val="0"/>
          <c:extLst>
            <c:ext xmlns:c16="http://schemas.microsoft.com/office/drawing/2014/chart" uri="{C3380CC4-5D6E-409C-BE32-E72D297353CC}">
              <c16:uniqueId val="{00000003-E16B-4ADA-A1BC-16D8B93B0BDE}"/>
            </c:ext>
          </c:extLst>
        </c:ser>
        <c:dLbls>
          <c:showLegendKey val="0"/>
          <c:showVal val="0"/>
          <c:showCatName val="0"/>
          <c:showSerName val="0"/>
          <c:showPercent val="0"/>
          <c:showBubbleSize val="0"/>
        </c:dLbls>
        <c:marker val="1"/>
        <c:smooth val="0"/>
        <c:axId val="141312384"/>
        <c:axId val="141313920"/>
      </c:lineChart>
      <c:catAx>
        <c:axId val="141312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313920"/>
        <c:crosses val="autoZero"/>
        <c:auto val="1"/>
        <c:lblAlgn val="ctr"/>
        <c:lblOffset val="100"/>
        <c:noMultiLvlLbl val="0"/>
      </c:catAx>
      <c:valAx>
        <c:axId val="141313920"/>
        <c:scaling>
          <c:orientation val="minMax"/>
          <c:min val="20000"/>
        </c:scaling>
        <c:delete val="0"/>
        <c:axPos val="l"/>
        <c:majorGridlines>
          <c:spPr>
            <a:ln w="9525" cap="flat" cmpd="sng" algn="ctr">
              <a:solidFill>
                <a:schemeClr val="tx1">
                  <a:lumMod val="15000"/>
                  <a:lumOff val="85000"/>
                </a:schemeClr>
              </a:solidFill>
              <a:prstDash val="sysDot"/>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312384"/>
        <c:crosses val="autoZero"/>
        <c:crossBetween val="between"/>
      </c:valAx>
      <c:spPr>
        <a:noFill/>
        <a:ln>
          <a:noFill/>
        </a:ln>
        <a:effectLst/>
      </c:spPr>
    </c:plotArea>
    <c:legend>
      <c:legendPos val="tr"/>
      <c:layout>
        <c:manualLayout>
          <c:xMode val="edge"/>
          <c:yMode val="edge"/>
          <c:x val="0.6507185581956616"/>
          <c:y val="0.65878660952864154"/>
          <c:w val="0.33513460486678431"/>
          <c:h val="0.21276749943039056"/>
        </c:manualLayout>
      </c:layout>
      <c:overlay val="1"/>
      <c:spPr>
        <a:noFill/>
        <a:ln>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Sheet1!$J$4</c:f>
              <c:strCache>
                <c:ptCount val="1"/>
                <c:pt idx="0">
                  <c:v>Међународни саобраћај</c:v>
                </c:pt>
              </c:strCache>
            </c:strRef>
          </c:tx>
          <c:spPr>
            <a:solidFill>
              <a:srgbClr val="0070C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Sheet1!$J$10:$J$19</c:f>
              <c:numCache>
                <c:formatCode>General</c:formatCode>
                <c:ptCount val="10"/>
                <c:pt idx="0">
                  <c:v>66</c:v>
                </c:pt>
                <c:pt idx="1">
                  <c:v>72</c:v>
                </c:pt>
                <c:pt idx="2">
                  <c:v>77</c:v>
                </c:pt>
                <c:pt idx="3">
                  <c:v>95</c:v>
                </c:pt>
                <c:pt idx="4">
                  <c:v>115</c:v>
                </c:pt>
                <c:pt idx="5">
                  <c:v>132</c:v>
                </c:pt>
                <c:pt idx="6">
                  <c:v>151</c:v>
                </c:pt>
                <c:pt idx="7">
                  <c:v>139</c:v>
                </c:pt>
                <c:pt idx="8">
                  <c:v>147</c:v>
                </c:pt>
                <c:pt idx="9">
                  <c:v>152</c:v>
                </c:pt>
              </c:numCache>
            </c:numRef>
          </c:val>
          <c:extLst>
            <c:ext xmlns:c16="http://schemas.microsoft.com/office/drawing/2014/chart" uri="{C3380CC4-5D6E-409C-BE32-E72D297353CC}">
              <c16:uniqueId val="{00000000-7DC5-4718-A693-126B9122D8A8}"/>
            </c:ext>
          </c:extLst>
        </c:ser>
        <c:ser>
          <c:idx val="0"/>
          <c:order val="1"/>
          <c:tx>
            <c:strRef>
              <c:f>Sheet1!$I$4</c:f>
              <c:strCache>
                <c:ptCount val="1"/>
                <c:pt idx="0">
                  <c:v>Унутрашњи саобраћај</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Sheet1!$I$10:$I$19</c:f>
              <c:numCache>
                <c:formatCode>General</c:formatCode>
                <c:ptCount val="10"/>
                <c:pt idx="0">
                  <c:v>319</c:v>
                </c:pt>
                <c:pt idx="1">
                  <c:v>621</c:v>
                </c:pt>
                <c:pt idx="2">
                  <c:v>844</c:v>
                </c:pt>
                <c:pt idx="3">
                  <c:v>886</c:v>
                </c:pt>
                <c:pt idx="4">
                  <c:v>1025</c:v>
                </c:pt>
                <c:pt idx="5">
                  <c:v>772</c:v>
                </c:pt>
                <c:pt idx="6">
                  <c:v>815</c:v>
                </c:pt>
                <c:pt idx="7">
                  <c:v>1418</c:v>
                </c:pt>
                <c:pt idx="8">
                  <c:v>2299</c:v>
                </c:pt>
                <c:pt idx="9">
                  <c:v>2438</c:v>
                </c:pt>
              </c:numCache>
            </c:numRef>
          </c:val>
          <c:extLst>
            <c:ext xmlns:c16="http://schemas.microsoft.com/office/drawing/2014/chart" uri="{C3380CC4-5D6E-409C-BE32-E72D297353CC}">
              <c16:uniqueId val="{00000001-7DC5-4718-A693-126B9122D8A8}"/>
            </c:ext>
          </c:extLst>
        </c:ser>
        <c:dLbls>
          <c:showLegendKey val="0"/>
          <c:showVal val="0"/>
          <c:showCatName val="0"/>
          <c:showSerName val="0"/>
          <c:showPercent val="0"/>
          <c:showBubbleSize val="0"/>
        </c:dLbls>
        <c:gapWidth val="100"/>
        <c:overlap val="100"/>
        <c:axId val="89850240"/>
        <c:axId val="89851776"/>
      </c:barChart>
      <c:lineChart>
        <c:grouping val="standard"/>
        <c:varyColors val="0"/>
        <c:ser>
          <c:idx val="2"/>
          <c:order val="2"/>
          <c:tx>
            <c:v>УКУПНО</c:v>
          </c:tx>
          <c:spPr>
            <a:ln w="28575" cap="rnd">
              <a:noFill/>
              <a:round/>
            </a:ln>
            <a:effectLst/>
          </c:spPr>
          <c:marker>
            <c:symbol val="none"/>
          </c:marker>
          <c:val>
            <c:numRef>
              <c:f>Sheet1!$H$10:$H$19</c:f>
              <c:numCache>
                <c:formatCode>General</c:formatCode>
                <c:ptCount val="10"/>
                <c:pt idx="0">
                  <c:v>385</c:v>
                </c:pt>
                <c:pt idx="1">
                  <c:v>693</c:v>
                </c:pt>
                <c:pt idx="2">
                  <c:v>921</c:v>
                </c:pt>
                <c:pt idx="3">
                  <c:v>981</c:v>
                </c:pt>
                <c:pt idx="4">
                  <c:v>1140</c:v>
                </c:pt>
                <c:pt idx="5">
                  <c:v>904</c:v>
                </c:pt>
                <c:pt idx="6">
                  <c:v>966</c:v>
                </c:pt>
                <c:pt idx="7">
                  <c:v>1557</c:v>
                </c:pt>
                <c:pt idx="8">
                  <c:v>2446</c:v>
                </c:pt>
                <c:pt idx="9">
                  <c:v>2590</c:v>
                </c:pt>
              </c:numCache>
            </c:numRef>
          </c:val>
          <c:smooth val="0"/>
          <c:extLst>
            <c:ext xmlns:c16="http://schemas.microsoft.com/office/drawing/2014/chart" uri="{C3380CC4-5D6E-409C-BE32-E72D297353CC}">
              <c16:uniqueId val="{00000002-7DC5-4718-A693-126B9122D8A8}"/>
            </c:ext>
          </c:extLst>
        </c:ser>
        <c:ser>
          <c:idx val="3"/>
          <c:order val="3"/>
          <c:tx>
            <c:strRef>
              <c:f>Sheet1!$K$4</c:f>
              <c:strCache>
                <c:ptCount val="1"/>
                <c:pt idx="0">
                  <c:v>Варијација 2015=100%</c:v>
                </c:pt>
              </c:strCache>
            </c:strRef>
          </c:tx>
          <c:spPr>
            <a:ln w="25400" cap="rnd">
              <a:noFill/>
              <a:round/>
            </a:ln>
            <a:effectLst/>
          </c:spPr>
          <c:marker>
            <c:symbol val="none"/>
          </c:marker>
          <c:val>
            <c:numRef>
              <c:f>Sheet1!$K$10:$K$19</c:f>
              <c:numCache>
                <c:formatCode>0%</c:formatCode>
                <c:ptCount val="10"/>
                <c:pt idx="1">
                  <c:v>0.8</c:v>
                </c:pt>
                <c:pt idx="2">
                  <c:v>1.3922077922077922</c:v>
                </c:pt>
                <c:pt idx="3">
                  <c:v>1.5480519480519481</c:v>
                </c:pt>
                <c:pt idx="4">
                  <c:v>1.9610389610389625</c:v>
                </c:pt>
                <c:pt idx="5">
                  <c:v>1.3480519480519488</c:v>
                </c:pt>
                <c:pt idx="6">
                  <c:v>1.5090909090909093</c:v>
                </c:pt>
                <c:pt idx="7">
                  <c:v>3.0441558441558438</c:v>
                </c:pt>
                <c:pt idx="8">
                  <c:v>5.3532467532467525</c:v>
                </c:pt>
                <c:pt idx="9">
                  <c:v>5.7272727272727284</c:v>
                </c:pt>
              </c:numCache>
            </c:numRef>
          </c:val>
          <c:smooth val="0"/>
          <c:extLst>
            <c:ext xmlns:c16="http://schemas.microsoft.com/office/drawing/2014/chart" uri="{C3380CC4-5D6E-409C-BE32-E72D297353CC}">
              <c16:uniqueId val="{00000003-7DC5-4718-A693-126B9122D8A8}"/>
            </c:ext>
          </c:extLst>
        </c:ser>
        <c:dLbls>
          <c:showLegendKey val="0"/>
          <c:showVal val="0"/>
          <c:showCatName val="0"/>
          <c:showSerName val="0"/>
          <c:showPercent val="0"/>
          <c:showBubbleSize val="0"/>
        </c:dLbls>
        <c:marker val="1"/>
        <c:smooth val="0"/>
        <c:axId val="89850240"/>
        <c:axId val="89851776"/>
      </c:lineChart>
      <c:catAx>
        <c:axId val="89850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9851776"/>
        <c:crosses val="autoZero"/>
        <c:auto val="1"/>
        <c:lblAlgn val="ctr"/>
        <c:lblOffset val="100"/>
        <c:noMultiLvlLbl val="0"/>
      </c:catAx>
      <c:valAx>
        <c:axId val="89851776"/>
        <c:scaling>
          <c:orientation val="minMax"/>
          <c:max val="2600"/>
          <c:min val="0"/>
        </c:scaling>
        <c:delete val="1"/>
        <c:axPos val="l"/>
        <c:majorGridlines>
          <c:spPr>
            <a:ln w="6350" cap="flat" cmpd="sng" algn="ctr">
              <a:solidFill>
                <a:schemeClr val="tx1">
                  <a:lumMod val="15000"/>
                  <a:lumOff val="85000"/>
                </a:schemeClr>
              </a:solidFill>
              <a:prstDash val="sysDot"/>
              <a:round/>
            </a:ln>
            <a:effectLst/>
          </c:spPr>
        </c:majorGridlines>
        <c:numFmt formatCode="General" sourceLinked="1"/>
        <c:majorTickMark val="out"/>
        <c:minorTickMark val="none"/>
        <c:tickLblPos val="nextTo"/>
        <c:crossAx val="89850240"/>
        <c:crosses val="autoZero"/>
        <c:crossBetween val="between"/>
        <c:majorUnit val="40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Sheet1!$L$4</c:f>
              <c:strCache>
                <c:ptCount val="1"/>
                <c:pt idx="0">
                  <c:v>Укупан обим пакета</c:v>
                </c:pt>
              </c:strCache>
            </c:strRef>
          </c:tx>
          <c:spPr>
            <a:solidFill>
              <a:schemeClr val="accent1"/>
            </a:solidFill>
            <a:ln>
              <a:noFill/>
            </a:ln>
            <a:effectLst/>
          </c:spPr>
          <c:invertIfNegative val="0"/>
          <c:cat>
            <c:numRef>
              <c:f>Sheet1!$B$11:$B$19</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Sheet1!$L$11:$L$19</c:f>
              <c:numCache>
                <c:formatCode>0%</c:formatCode>
                <c:ptCount val="9"/>
                <c:pt idx="0">
                  <c:v>0.8</c:v>
                </c:pt>
                <c:pt idx="1">
                  <c:v>0.32900432900432924</c:v>
                </c:pt>
                <c:pt idx="2">
                  <c:v>6.5146579804560303E-2</c:v>
                </c:pt>
                <c:pt idx="3">
                  <c:v>0.16207951070336388</c:v>
                </c:pt>
                <c:pt idx="4">
                  <c:v>-0.20701754385964921</c:v>
                </c:pt>
                <c:pt idx="5">
                  <c:v>6.8584070796460228E-2</c:v>
                </c:pt>
                <c:pt idx="6">
                  <c:v>0.6118012422360255</c:v>
                </c:pt>
                <c:pt idx="7">
                  <c:v>0.57096981374438083</c:v>
                </c:pt>
                <c:pt idx="8">
                  <c:v>5.8871627146361453E-2</c:v>
                </c:pt>
              </c:numCache>
            </c:numRef>
          </c:val>
          <c:extLst>
            <c:ext xmlns:c16="http://schemas.microsoft.com/office/drawing/2014/chart" uri="{C3380CC4-5D6E-409C-BE32-E72D297353CC}">
              <c16:uniqueId val="{00000000-4A8D-4DAB-96C6-2D3615E764EC}"/>
            </c:ext>
          </c:extLst>
        </c:ser>
        <c:ser>
          <c:idx val="1"/>
          <c:order val="1"/>
          <c:tx>
            <c:strRef>
              <c:f>Sheet1!$M$4</c:f>
              <c:strCache>
                <c:ptCount val="1"/>
                <c:pt idx="0">
                  <c:v>Унутрашњи саобраћај</c:v>
                </c:pt>
              </c:strCache>
            </c:strRef>
          </c:tx>
          <c:spPr>
            <a:solidFill>
              <a:srgbClr val="C00000"/>
            </a:solidFill>
            <a:ln>
              <a:noFill/>
            </a:ln>
            <a:effectLst/>
          </c:spPr>
          <c:invertIfNegative val="0"/>
          <c:cat>
            <c:numRef>
              <c:f>Sheet1!$B$11:$B$19</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Sheet1!$M$11:$M$19</c:f>
              <c:numCache>
                <c:formatCode>0%</c:formatCode>
                <c:ptCount val="9"/>
                <c:pt idx="0">
                  <c:v>0.94670846394984365</c:v>
                </c:pt>
                <c:pt idx="1">
                  <c:v>0.35909822866344632</c:v>
                </c:pt>
                <c:pt idx="2">
                  <c:v>4.9763033175355409E-2</c:v>
                </c:pt>
                <c:pt idx="3">
                  <c:v>0.15688487584650121</c:v>
                </c:pt>
                <c:pt idx="4">
                  <c:v>-0.24682926829268292</c:v>
                </c:pt>
                <c:pt idx="5">
                  <c:v>5.5699481865284964E-2</c:v>
                </c:pt>
                <c:pt idx="6">
                  <c:v>0.73987730061349777</c:v>
                </c:pt>
                <c:pt idx="7">
                  <c:v>0.62129760225670005</c:v>
                </c:pt>
                <c:pt idx="8">
                  <c:v>6.0461070030448025E-2</c:v>
                </c:pt>
              </c:numCache>
            </c:numRef>
          </c:val>
          <c:extLst>
            <c:ext xmlns:c16="http://schemas.microsoft.com/office/drawing/2014/chart" uri="{C3380CC4-5D6E-409C-BE32-E72D297353CC}">
              <c16:uniqueId val="{00000001-4A8D-4DAB-96C6-2D3615E764EC}"/>
            </c:ext>
          </c:extLst>
        </c:ser>
        <c:ser>
          <c:idx val="2"/>
          <c:order val="2"/>
          <c:tx>
            <c:strRef>
              <c:f>Sheet1!$N$4</c:f>
              <c:strCache>
                <c:ptCount val="1"/>
                <c:pt idx="0">
                  <c:v>Међународни саобраћај</c:v>
                </c:pt>
              </c:strCache>
            </c:strRef>
          </c:tx>
          <c:spPr>
            <a:solidFill>
              <a:schemeClr val="accent3"/>
            </a:solidFill>
            <a:ln>
              <a:noFill/>
            </a:ln>
            <a:effectLst/>
          </c:spPr>
          <c:invertIfNegative val="0"/>
          <c:cat>
            <c:numRef>
              <c:f>Sheet1!$B$11:$B$19</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Sheet1!$N$11:$N$19</c:f>
              <c:numCache>
                <c:formatCode>0%</c:formatCode>
                <c:ptCount val="9"/>
                <c:pt idx="0">
                  <c:v>9.0909090909090898E-2</c:v>
                </c:pt>
                <c:pt idx="1">
                  <c:v>6.9444444444444434E-2</c:v>
                </c:pt>
                <c:pt idx="2">
                  <c:v>0.23376623376623407</c:v>
                </c:pt>
                <c:pt idx="3">
                  <c:v>0.21052631578947381</c:v>
                </c:pt>
                <c:pt idx="4">
                  <c:v>0.14782608695652188</c:v>
                </c:pt>
                <c:pt idx="5">
                  <c:v>0.14393939393939426</c:v>
                </c:pt>
                <c:pt idx="6">
                  <c:v>-7.9470198675496664E-2</c:v>
                </c:pt>
                <c:pt idx="7">
                  <c:v>5.7553956834532509E-2</c:v>
                </c:pt>
                <c:pt idx="8">
                  <c:v>3.4013605442176936E-2</c:v>
                </c:pt>
              </c:numCache>
            </c:numRef>
          </c:val>
          <c:extLst>
            <c:ext xmlns:c16="http://schemas.microsoft.com/office/drawing/2014/chart" uri="{C3380CC4-5D6E-409C-BE32-E72D297353CC}">
              <c16:uniqueId val="{00000002-4A8D-4DAB-96C6-2D3615E764EC}"/>
            </c:ext>
          </c:extLst>
        </c:ser>
        <c:dLbls>
          <c:showLegendKey val="0"/>
          <c:showVal val="0"/>
          <c:showCatName val="0"/>
          <c:showSerName val="0"/>
          <c:showPercent val="0"/>
          <c:showBubbleSize val="0"/>
        </c:dLbls>
        <c:gapWidth val="219"/>
        <c:overlap val="-27"/>
        <c:axId val="89935872"/>
        <c:axId val="89937408"/>
      </c:barChart>
      <c:catAx>
        <c:axId val="89935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9937408"/>
        <c:crosses val="autoZero"/>
        <c:auto val="1"/>
        <c:lblAlgn val="ctr"/>
        <c:lblOffset val="100"/>
        <c:noMultiLvlLbl val="0"/>
      </c:catAx>
      <c:valAx>
        <c:axId val="89937408"/>
        <c:scaling>
          <c:orientation val="minMax"/>
          <c:max val="1"/>
        </c:scaling>
        <c:delete val="1"/>
        <c:axPos val="l"/>
        <c:majorGridlines>
          <c:spPr>
            <a:ln w="9525" cap="flat" cmpd="sng" algn="ctr">
              <a:solidFill>
                <a:schemeClr val="tx1">
                  <a:lumMod val="15000"/>
                  <a:lumOff val="85000"/>
                </a:schemeClr>
              </a:solidFill>
              <a:prstDash val="sysDash"/>
              <a:round/>
            </a:ln>
            <a:effectLst/>
          </c:spPr>
        </c:majorGridlines>
        <c:numFmt formatCode="0%" sourceLinked="1"/>
        <c:majorTickMark val="none"/>
        <c:minorTickMark val="none"/>
        <c:tickLblPos val="nextTo"/>
        <c:crossAx val="899358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893640621995508"/>
          <c:y val="3.273809523809524E-2"/>
          <c:w val="0.82818805584896937"/>
          <c:h val="0.82570983314585766"/>
        </c:manualLayout>
      </c:layout>
      <c:barChart>
        <c:barDir val="col"/>
        <c:grouping val="clustered"/>
        <c:varyColors val="0"/>
        <c:ser>
          <c:idx val="0"/>
          <c:order val="0"/>
          <c:tx>
            <c:strRef>
              <c:f>експрес!$C$4</c:f>
              <c:strCache>
                <c:ptCount val="1"/>
                <c:pt idx="0">
                  <c:v>Ук.обим </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експрес!$B$10:$B$19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c:numRef>
          </c:cat>
          <c:val>
            <c:numRef>
              <c:f>експрес!$C$10:$C$19</c:f>
              <c:numCache>
                <c:formatCode>#,##0</c:formatCode>
                <c:ptCount val="10"/>
                <c:pt idx="0">
                  <c:v>23228</c:v>
                </c:pt>
                <c:pt idx="1">
                  <c:v>27186</c:v>
                </c:pt>
                <c:pt idx="2">
                  <c:v>30928</c:v>
                </c:pt>
                <c:pt idx="3">
                  <c:v>35314</c:v>
                </c:pt>
                <c:pt idx="4">
                  <c:v>37692</c:v>
                </c:pt>
                <c:pt idx="5" formatCode="_(* #,##0_);_(* \(#,##0\);_(* &quot;-&quot;_);_(@_)">
                  <c:v>42628</c:v>
                </c:pt>
                <c:pt idx="6" formatCode="_(* #,##0_);_(* \(#,##0\);_(* &quot;-&quot;_);_(@_)">
                  <c:v>47329</c:v>
                </c:pt>
                <c:pt idx="7" formatCode="_(* #,##0_);_(* \(#,##0\);_(* &quot;-&quot;_);_(@_)">
                  <c:v>46339</c:v>
                </c:pt>
                <c:pt idx="8" formatCode="_(* #,##0_);_(* \(#,##0\);_(* &quot;-&quot;_);_(@_)">
                  <c:v>46998</c:v>
                </c:pt>
                <c:pt idx="9" formatCode="_(* #,##0_);_(* \(#,##0\);_(* &quot;-&quot;_);_(@_)">
                  <c:v>53848</c:v>
                </c:pt>
              </c:numCache>
              <c:extLst/>
            </c:numRef>
          </c:val>
          <c:extLst>
            <c:ext xmlns:c16="http://schemas.microsoft.com/office/drawing/2014/chart" uri="{C3380CC4-5D6E-409C-BE32-E72D297353CC}">
              <c16:uniqueId val="{00000000-EFD0-4735-87E0-12335977CEBA}"/>
            </c:ext>
          </c:extLst>
        </c:ser>
        <c:ser>
          <c:idx val="1"/>
          <c:order val="1"/>
          <c:tx>
            <c:v>Годишња варијација</c:v>
          </c:tx>
          <c:spPr>
            <a:solidFill>
              <a:schemeClr val="accent2"/>
            </a:solidFill>
            <a:ln>
              <a:noFill/>
            </a:ln>
            <a:effectLst/>
          </c:spPr>
          <c:invertIfNegative val="0"/>
          <c:cat>
            <c:numRef>
              <c:f>експрес!$B$10:$B$19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c:numRef>
          </c:cat>
          <c:val>
            <c:numRef>
              <c:f>експрес!$F$10:$F$19</c:f>
              <c:numCache>
                <c:formatCode>0%</c:formatCode>
                <c:ptCount val="10"/>
                <c:pt idx="1">
                  <c:v>0.17039779576373348</c:v>
                </c:pt>
                <c:pt idx="2">
                  <c:v>0.13764437578165234</c:v>
                </c:pt>
                <c:pt idx="3">
                  <c:v>0.14181324366270054</c:v>
                </c:pt>
                <c:pt idx="4">
                  <c:v>6.7338732514017133E-2</c:v>
                </c:pt>
                <c:pt idx="5">
                  <c:v>0.13095617107078428</c:v>
                </c:pt>
                <c:pt idx="6">
                  <c:v>0.11027962841324956</c:v>
                </c:pt>
                <c:pt idx="7">
                  <c:v>-2.0917407931712033E-2</c:v>
                </c:pt>
                <c:pt idx="8">
                  <c:v>1.4221282289216489E-2</c:v>
                </c:pt>
                <c:pt idx="9">
                  <c:v>0.14575088301629877</c:v>
                </c:pt>
              </c:numCache>
              <c:extLst/>
            </c:numRef>
          </c:val>
          <c:extLst>
            <c:ext xmlns:c16="http://schemas.microsoft.com/office/drawing/2014/chart" uri="{C3380CC4-5D6E-409C-BE32-E72D297353CC}">
              <c16:uniqueId val="{00000001-EFD0-4735-87E0-12335977CEBA}"/>
            </c:ext>
          </c:extLst>
        </c:ser>
        <c:ser>
          <c:idx val="2"/>
          <c:order val="2"/>
          <c:tx>
            <c:v>Варијација 2015=100%</c:v>
          </c:tx>
          <c:spPr>
            <a:solidFill>
              <a:schemeClr val="accent3"/>
            </a:solidFill>
            <a:ln>
              <a:noFill/>
            </a:ln>
            <a:effectLst/>
          </c:spPr>
          <c:invertIfNegative val="0"/>
          <c:cat>
            <c:numRef>
              <c:f>експрес!$B$10:$B$19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c:numRef>
          </c:cat>
          <c:val>
            <c:numRef>
              <c:f>експрес!$G$10:$G$19</c:f>
              <c:numCache>
                <c:formatCode>0%</c:formatCode>
                <c:ptCount val="10"/>
                <c:pt idx="1">
                  <c:v>0.17039779576373348</c:v>
                </c:pt>
                <c:pt idx="2">
                  <c:v>0.33149646977785513</c:v>
                </c:pt>
                <c:pt idx="3">
                  <c:v>0.52032030308248667</c:v>
                </c:pt>
                <c:pt idx="4">
                  <c:v>0.62269674530738772</c:v>
                </c:pt>
                <c:pt idx="5">
                  <c:v>0.83519889788186674</c:v>
                </c:pt>
                <c:pt idx="6">
                  <c:v>1.0375839504046838</c:v>
                </c:pt>
                <c:pt idx="7">
                  <c:v>0.99496297571895898</c:v>
                </c:pt>
                <c:pt idx="8">
                  <c:v>1.0233339073531935</c:v>
                </c:pt>
                <c:pt idx="9">
                  <c:v>1.3182366109867401</c:v>
                </c:pt>
              </c:numCache>
              <c:extLst/>
            </c:numRef>
          </c:val>
          <c:extLst>
            <c:ext xmlns:c16="http://schemas.microsoft.com/office/drawing/2014/chart" uri="{C3380CC4-5D6E-409C-BE32-E72D297353CC}">
              <c16:uniqueId val="{00000002-EFD0-4735-87E0-12335977CEBA}"/>
            </c:ext>
          </c:extLst>
        </c:ser>
        <c:dLbls>
          <c:showLegendKey val="0"/>
          <c:showVal val="0"/>
          <c:showCatName val="0"/>
          <c:showSerName val="0"/>
          <c:showPercent val="0"/>
          <c:showBubbleSize val="0"/>
        </c:dLbls>
        <c:gapWidth val="128"/>
        <c:overlap val="87"/>
        <c:axId val="90578944"/>
        <c:axId val="90580480"/>
      </c:barChart>
      <c:catAx>
        <c:axId val="90578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90580480"/>
        <c:crosses val="autoZero"/>
        <c:auto val="0"/>
        <c:lblAlgn val="ctr"/>
        <c:lblOffset val="100"/>
        <c:noMultiLvlLbl val="0"/>
      </c:catAx>
      <c:valAx>
        <c:axId val="90580480"/>
        <c:scaling>
          <c:orientation val="minMax"/>
          <c:max val="56000"/>
          <c:min val="0"/>
        </c:scaling>
        <c:delete val="1"/>
        <c:axPos val="l"/>
        <c:majorGridlines>
          <c:spPr>
            <a:ln w="9525" cap="flat" cmpd="sng" algn="ctr">
              <a:solidFill>
                <a:schemeClr val="tx1">
                  <a:lumMod val="15000"/>
                  <a:lumOff val="85000"/>
                </a:schemeClr>
              </a:solidFill>
              <a:prstDash val="sysDash"/>
              <a:round/>
            </a:ln>
            <a:effectLst/>
          </c:spPr>
        </c:majorGridlines>
        <c:numFmt formatCode="#,##0" sourceLinked="1"/>
        <c:majorTickMark val="out"/>
        <c:minorTickMark val="none"/>
        <c:tickLblPos val="nextTo"/>
        <c:crossAx val="90578944"/>
        <c:crosses val="autoZero"/>
        <c:crossBetween val="between"/>
        <c:majorUnit val="10000"/>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50726635220284"/>
          <c:y val="1.5924932029236255E-2"/>
          <c:w val="0.85584814464720593"/>
          <c:h val="0.81447918505702432"/>
        </c:manualLayout>
      </c:layout>
      <c:barChart>
        <c:barDir val="col"/>
        <c:grouping val="clustered"/>
        <c:varyColors val="0"/>
        <c:ser>
          <c:idx val="0"/>
          <c:order val="0"/>
          <c:tx>
            <c:strRef>
              <c:f>ПРИХОД!$F$8</c:f>
              <c:strCache>
                <c:ptCount val="1"/>
                <c:pt idx="0">
                  <c:v>Ук приход</c:v>
                </c:pt>
              </c:strCache>
            </c:strRef>
          </c:tx>
          <c:spPr>
            <a:ln>
              <a:no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ПРИХОД!$E$19:$E$28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ПРИХОД!$F$19:$F$28</c:f>
              <c:numCache>
                <c:formatCode>#,##0</c:formatCode>
                <c:ptCount val="10"/>
                <c:pt idx="0">
                  <c:v>16073</c:v>
                </c:pt>
                <c:pt idx="1">
                  <c:v>16836</c:v>
                </c:pt>
                <c:pt idx="2">
                  <c:v>18078</c:v>
                </c:pt>
                <c:pt idx="3">
                  <c:v>19607</c:v>
                </c:pt>
                <c:pt idx="4">
                  <c:v>21193</c:v>
                </c:pt>
                <c:pt idx="5">
                  <c:v>23427</c:v>
                </c:pt>
                <c:pt idx="6">
                  <c:v>27721</c:v>
                </c:pt>
                <c:pt idx="7">
                  <c:v>29391</c:v>
                </c:pt>
                <c:pt idx="8">
                  <c:v>33571</c:v>
                </c:pt>
                <c:pt idx="9">
                  <c:v>37427</c:v>
                </c:pt>
              </c:numCache>
            </c:numRef>
          </c:val>
          <c:extLst>
            <c:ext xmlns:c16="http://schemas.microsoft.com/office/drawing/2014/chart" uri="{C3380CC4-5D6E-409C-BE32-E72D297353CC}">
              <c16:uniqueId val="{00000000-2060-409C-AF5C-08133A2334CF}"/>
            </c:ext>
          </c:extLst>
        </c:ser>
        <c:ser>
          <c:idx val="1"/>
          <c:order val="1"/>
          <c:tx>
            <c:strRef>
              <c:f>ПРИХОД!$G$8</c:f>
              <c:strCache>
                <c:ptCount val="1"/>
                <c:pt idx="0">
                  <c:v>Годишња варијација</c:v>
                </c:pt>
              </c:strCache>
            </c:strRef>
          </c:tx>
          <c:invertIfNegative val="0"/>
          <c:cat>
            <c:numRef>
              <c:f>ПРИХОД!$E$19:$E$28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ПРИХОД!$G$19:$G$28</c:f>
              <c:numCache>
                <c:formatCode>0.0%</c:formatCode>
                <c:ptCount val="10"/>
                <c:pt idx="1">
                  <c:v>4.7470913955079984E-2</c:v>
                </c:pt>
                <c:pt idx="2">
                  <c:v>7.377049180327877E-2</c:v>
                </c:pt>
                <c:pt idx="3">
                  <c:v>8.4577940037614832E-2</c:v>
                </c:pt>
                <c:pt idx="4">
                  <c:v>8.0889478247564664E-2</c:v>
                </c:pt>
                <c:pt idx="5">
                  <c:v>0.10541216439390365</c:v>
                </c:pt>
                <c:pt idx="6">
                  <c:v>0.18329278183292802</c:v>
                </c:pt>
                <c:pt idx="7">
                  <c:v>6.0243136971970701E-2</c:v>
                </c:pt>
                <c:pt idx="8">
                  <c:v>0.14222040760777122</c:v>
                </c:pt>
                <c:pt idx="9">
                  <c:v>0.11486104077924414</c:v>
                </c:pt>
              </c:numCache>
            </c:numRef>
          </c:val>
          <c:extLst>
            <c:ext xmlns:c16="http://schemas.microsoft.com/office/drawing/2014/chart" uri="{C3380CC4-5D6E-409C-BE32-E72D297353CC}">
              <c16:uniqueId val="{00000001-2060-409C-AF5C-08133A2334CF}"/>
            </c:ext>
          </c:extLst>
        </c:ser>
        <c:ser>
          <c:idx val="2"/>
          <c:order val="2"/>
          <c:tx>
            <c:strRef>
              <c:f>ПРИХОД!$H$8</c:f>
              <c:strCache>
                <c:ptCount val="1"/>
                <c:pt idx="0">
                  <c:v>Варијација 2015=100%</c:v>
                </c:pt>
              </c:strCache>
            </c:strRef>
          </c:tx>
          <c:invertIfNegative val="0"/>
          <c:cat>
            <c:numRef>
              <c:f>ПРИХОД!$E$19:$E$28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ПРИХОД!$H$19:$H$28</c:f>
              <c:numCache>
                <c:formatCode>0.0%</c:formatCode>
                <c:ptCount val="10"/>
                <c:pt idx="1">
                  <c:v>4.7470913955079984E-2</c:v>
                </c:pt>
                <c:pt idx="2">
                  <c:v>0.12474335842717604</c:v>
                </c:pt>
                <c:pt idx="3">
                  <c:v>0.21987183475393524</c:v>
                </c:pt>
                <c:pt idx="4">
                  <c:v>0.31854663099608072</c:v>
                </c:pt>
                <c:pt idx="5">
                  <c:v>0.45753748522366733</c:v>
                </c:pt>
                <c:pt idx="6">
                  <c:v>0.72469358551608321</c:v>
                </c:pt>
                <c:pt idx="7">
                  <c:v>0.82859453742300804</c:v>
                </c:pt>
                <c:pt idx="8">
                  <c:v>1.0886579978846513</c:v>
                </c:pt>
                <c:pt idx="9">
                  <c:v>1.3285634293535753</c:v>
                </c:pt>
              </c:numCache>
            </c:numRef>
          </c:val>
          <c:extLst>
            <c:ext xmlns:c16="http://schemas.microsoft.com/office/drawing/2014/chart" uri="{C3380CC4-5D6E-409C-BE32-E72D297353CC}">
              <c16:uniqueId val="{00000002-2060-409C-AF5C-08133A2334CF}"/>
            </c:ext>
          </c:extLst>
        </c:ser>
        <c:dLbls>
          <c:showLegendKey val="0"/>
          <c:showVal val="0"/>
          <c:showCatName val="0"/>
          <c:showSerName val="0"/>
          <c:showPercent val="0"/>
          <c:showBubbleSize val="0"/>
        </c:dLbls>
        <c:gapWidth val="100"/>
        <c:overlap val="100"/>
        <c:axId val="90611712"/>
        <c:axId val="90613248"/>
      </c:barChart>
      <c:catAx>
        <c:axId val="90611712"/>
        <c:scaling>
          <c:orientation val="minMax"/>
        </c:scaling>
        <c:delete val="0"/>
        <c:axPos val="b"/>
        <c:numFmt formatCode="General" sourceLinked="1"/>
        <c:majorTickMark val="out"/>
        <c:minorTickMark val="none"/>
        <c:tickLblPos val="nextTo"/>
        <c:txPr>
          <a:bodyPr rot="0" vert="horz"/>
          <a:lstStyle/>
          <a:p>
            <a:pPr>
              <a:defRPr/>
            </a:pPr>
            <a:endParaRPr lang="en-US"/>
          </a:p>
        </c:txPr>
        <c:crossAx val="90613248"/>
        <c:crosses val="autoZero"/>
        <c:auto val="1"/>
        <c:lblAlgn val="ctr"/>
        <c:lblOffset val="100"/>
        <c:noMultiLvlLbl val="0"/>
      </c:catAx>
      <c:valAx>
        <c:axId val="90613248"/>
        <c:scaling>
          <c:orientation val="minMax"/>
          <c:max val="39000"/>
          <c:min val="10000"/>
        </c:scaling>
        <c:delete val="1"/>
        <c:axPos val="l"/>
        <c:majorGridlines>
          <c:spPr>
            <a:ln>
              <a:solidFill>
                <a:schemeClr val="bg1">
                  <a:lumMod val="75000"/>
                </a:schemeClr>
              </a:solidFill>
              <a:prstDash val="sysDash"/>
            </a:ln>
          </c:spPr>
        </c:majorGridlines>
        <c:numFmt formatCode="#,##0" sourceLinked="1"/>
        <c:majorTickMark val="out"/>
        <c:minorTickMark val="none"/>
        <c:tickLblPos val="nextTo"/>
        <c:crossAx val="90611712"/>
        <c:crosses val="autoZero"/>
        <c:crossBetween val="between"/>
        <c:majorUnit val="5000"/>
      </c:valAx>
      <c:dTable>
        <c:showHorzBorder val="1"/>
        <c:showVertBorder val="1"/>
        <c:showOutline val="1"/>
        <c:showKeys val="0"/>
      </c:dTable>
    </c:plotArea>
    <c:plotVisOnly val="1"/>
    <c:dispBlanksAs val="gap"/>
    <c:showDLblsOverMax val="0"/>
  </c:chart>
  <c:spPr>
    <a:ln>
      <a:noFill/>
    </a:ln>
  </c:spPr>
  <c:txPr>
    <a:bodyPr/>
    <a:lstStyle/>
    <a:p>
      <a:pPr>
        <a:defRPr sz="8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'Sr vrednost do 20g'!$D$5</c:f>
              <c:strCache>
                <c:ptCount val="1"/>
                <c:pt idx="0">
                  <c:v>2019</c:v>
                </c:pt>
              </c:strCache>
            </c:strRef>
          </c:tx>
          <c:spPr>
            <a:solidFill>
              <a:schemeClr val="bg1">
                <a:lumMod val="75000"/>
              </a:schemeClr>
            </a:solidFill>
            <a:ln>
              <a:noFill/>
            </a:ln>
            <a:effectLst/>
          </c:spPr>
          <c:invertIfNegative val="0"/>
          <c:cat>
            <c:strRef>
              <c:f>'Sr vrednost do 20g'!$C$6:$C$30</c:f>
              <c:strCache>
                <c:ptCount val="25"/>
                <c:pt idx="0">
                  <c:v>AT</c:v>
                </c:pt>
                <c:pt idx="1">
                  <c:v>BE</c:v>
                </c:pt>
                <c:pt idx="2">
                  <c:v>BG</c:v>
                </c:pt>
                <c:pt idx="3">
                  <c:v>CY</c:v>
                </c:pt>
                <c:pt idx="4">
                  <c:v>CZ</c:v>
                </c:pt>
                <c:pt idx="5">
                  <c:v>DK</c:v>
                </c:pt>
                <c:pt idx="6">
                  <c:v>EE</c:v>
                </c:pt>
                <c:pt idx="7">
                  <c:v>EL</c:v>
                </c:pt>
                <c:pt idx="8">
                  <c:v>ES</c:v>
                </c:pt>
                <c:pt idx="9">
                  <c:v>FI</c:v>
                </c:pt>
                <c:pt idx="10">
                  <c:v>FR</c:v>
                </c:pt>
                <c:pt idx="11">
                  <c:v>HR</c:v>
                </c:pt>
                <c:pt idx="12">
                  <c:v>HU</c:v>
                </c:pt>
                <c:pt idx="13">
                  <c:v>IT</c:v>
                </c:pt>
                <c:pt idx="14">
                  <c:v>LT</c:v>
                </c:pt>
                <c:pt idx="15">
                  <c:v>LV</c:v>
                </c:pt>
                <c:pt idx="16">
                  <c:v>MD</c:v>
                </c:pt>
                <c:pt idx="17">
                  <c:v>MK</c:v>
                </c:pt>
                <c:pt idx="18">
                  <c:v>PL</c:v>
                </c:pt>
                <c:pt idx="19">
                  <c:v>PT</c:v>
                </c:pt>
                <c:pt idx="20">
                  <c:v>RO</c:v>
                </c:pt>
                <c:pt idx="21">
                  <c:v>RS</c:v>
                </c:pt>
                <c:pt idx="22">
                  <c:v>SI</c:v>
                </c:pt>
                <c:pt idx="23">
                  <c:v>SK</c:v>
                </c:pt>
                <c:pt idx="24">
                  <c:v>TR</c:v>
                </c:pt>
              </c:strCache>
            </c:strRef>
          </c:cat>
          <c:val>
            <c:numRef>
              <c:f>'Sr vrednost do 20g'!$D$6:$D$30</c:f>
              <c:numCache>
                <c:formatCode>0.00</c:formatCode>
                <c:ptCount val="25"/>
                <c:pt idx="0">
                  <c:v>0.7000000000000004</c:v>
                </c:pt>
                <c:pt idx="1">
                  <c:v>0.9500000000000004</c:v>
                </c:pt>
                <c:pt idx="2">
                  <c:v>0.33000000000000035</c:v>
                </c:pt>
                <c:pt idx="3">
                  <c:v>0.34</c:v>
                </c:pt>
                <c:pt idx="5">
                  <c:v>1.34</c:v>
                </c:pt>
                <c:pt idx="7">
                  <c:v>0.65000000000000058</c:v>
                </c:pt>
                <c:pt idx="8">
                  <c:v>0.60000000000000042</c:v>
                </c:pt>
                <c:pt idx="9">
                  <c:v>1.5</c:v>
                </c:pt>
                <c:pt idx="10">
                  <c:v>0.88</c:v>
                </c:pt>
                <c:pt idx="11">
                  <c:v>0.4100000000000002</c:v>
                </c:pt>
                <c:pt idx="12">
                  <c:v>0.32000000000000023</c:v>
                </c:pt>
                <c:pt idx="13">
                  <c:v>1.1000000000000001</c:v>
                </c:pt>
                <c:pt idx="14">
                  <c:v>0.49000000000000021</c:v>
                </c:pt>
                <c:pt idx="15">
                  <c:v>0.5</c:v>
                </c:pt>
                <c:pt idx="16">
                  <c:v>9.0000000000000024E-2</c:v>
                </c:pt>
                <c:pt idx="17">
                  <c:v>0.2900000000000002</c:v>
                </c:pt>
                <c:pt idx="18">
                  <c:v>0.59</c:v>
                </c:pt>
                <c:pt idx="19">
                  <c:v>0.53</c:v>
                </c:pt>
                <c:pt idx="20">
                  <c:v>0.30000000000000021</c:v>
                </c:pt>
                <c:pt idx="21">
                  <c:v>0.23</c:v>
                </c:pt>
                <c:pt idx="23">
                  <c:v>0.5</c:v>
                </c:pt>
                <c:pt idx="24">
                  <c:v>7.0000000000000021E-2</c:v>
                </c:pt>
              </c:numCache>
            </c:numRef>
          </c:val>
          <c:extLst>
            <c:ext xmlns:c16="http://schemas.microsoft.com/office/drawing/2014/chart" uri="{C3380CC4-5D6E-409C-BE32-E72D297353CC}">
              <c16:uniqueId val="{00000000-EBD3-4634-9CA1-6F1EC059B7E7}"/>
            </c:ext>
          </c:extLst>
        </c:ser>
        <c:ser>
          <c:idx val="1"/>
          <c:order val="1"/>
          <c:tx>
            <c:strRef>
              <c:f>'Sr vrednost do 20g'!$E$5</c:f>
              <c:strCache>
                <c:ptCount val="1"/>
                <c:pt idx="0">
                  <c:v>2022</c:v>
                </c:pt>
              </c:strCache>
            </c:strRef>
          </c:tx>
          <c:spPr>
            <a:solidFill>
              <a:schemeClr val="accent1">
                <a:lumMod val="75000"/>
              </a:schemeClr>
            </a:solidFill>
            <a:ln>
              <a:noFill/>
            </a:ln>
            <a:effectLst/>
          </c:spPr>
          <c:invertIfNegative val="0"/>
          <c:cat>
            <c:strRef>
              <c:f>'Sr vrednost do 20g'!$C$6:$C$30</c:f>
              <c:strCache>
                <c:ptCount val="25"/>
                <c:pt idx="0">
                  <c:v>AT</c:v>
                </c:pt>
                <c:pt idx="1">
                  <c:v>BE</c:v>
                </c:pt>
                <c:pt idx="2">
                  <c:v>BG</c:v>
                </c:pt>
                <c:pt idx="3">
                  <c:v>CY</c:v>
                </c:pt>
                <c:pt idx="4">
                  <c:v>CZ</c:v>
                </c:pt>
                <c:pt idx="5">
                  <c:v>DK</c:v>
                </c:pt>
                <c:pt idx="6">
                  <c:v>EE</c:v>
                </c:pt>
                <c:pt idx="7">
                  <c:v>EL</c:v>
                </c:pt>
                <c:pt idx="8">
                  <c:v>ES</c:v>
                </c:pt>
                <c:pt idx="9">
                  <c:v>FI</c:v>
                </c:pt>
                <c:pt idx="10">
                  <c:v>FR</c:v>
                </c:pt>
                <c:pt idx="11">
                  <c:v>HR</c:v>
                </c:pt>
                <c:pt idx="12">
                  <c:v>HU</c:v>
                </c:pt>
                <c:pt idx="13">
                  <c:v>IT</c:v>
                </c:pt>
                <c:pt idx="14">
                  <c:v>LT</c:v>
                </c:pt>
                <c:pt idx="15">
                  <c:v>LV</c:v>
                </c:pt>
                <c:pt idx="16">
                  <c:v>MD</c:v>
                </c:pt>
                <c:pt idx="17">
                  <c:v>MK</c:v>
                </c:pt>
                <c:pt idx="18">
                  <c:v>PL</c:v>
                </c:pt>
                <c:pt idx="19">
                  <c:v>PT</c:v>
                </c:pt>
                <c:pt idx="20">
                  <c:v>RO</c:v>
                </c:pt>
                <c:pt idx="21">
                  <c:v>RS</c:v>
                </c:pt>
                <c:pt idx="22">
                  <c:v>SI</c:v>
                </c:pt>
                <c:pt idx="23">
                  <c:v>SK</c:v>
                </c:pt>
                <c:pt idx="24">
                  <c:v>TR</c:v>
                </c:pt>
              </c:strCache>
            </c:strRef>
          </c:cat>
          <c:val>
            <c:numRef>
              <c:f>'Sr vrednost do 20g'!$E$6:$E$30</c:f>
              <c:numCache>
                <c:formatCode>0.00</c:formatCode>
                <c:ptCount val="25"/>
                <c:pt idx="0">
                  <c:v>0.74000000000000044</c:v>
                </c:pt>
                <c:pt idx="1">
                  <c:v>1.1900000000000008</c:v>
                </c:pt>
                <c:pt idx="2">
                  <c:v>0.33000000000000035</c:v>
                </c:pt>
                <c:pt idx="3">
                  <c:v>0.34</c:v>
                </c:pt>
                <c:pt idx="4">
                  <c:v>0.8</c:v>
                </c:pt>
                <c:pt idx="5">
                  <c:v>1.61</c:v>
                </c:pt>
                <c:pt idx="6">
                  <c:v>0.9</c:v>
                </c:pt>
                <c:pt idx="7">
                  <c:v>0.9</c:v>
                </c:pt>
                <c:pt idx="8">
                  <c:v>0.75000000000000044</c:v>
                </c:pt>
                <c:pt idx="9">
                  <c:v>1.9500000000000008</c:v>
                </c:pt>
                <c:pt idx="10">
                  <c:v>1.159999999999999</c:v>
                </c:pt>
                <c:pt idx="11">
                  <c:v>0.44</c:v>
                </c:pt>
                <c:pt idx="12">
                  <c:v>0.39000000000000024</c:v>
                </c:pt>
                <c:pt idx="13">
                  <c:v>1.1000000000000001</c:v>
                </c:pt>
                <c:pt idx="14">
                  <c:v>0.55000000000000004</c:v>
                </c:pt>
                <c:pt idx="16">
                  <c:v>9.0000000000000024E-2</c:v>
                </c:pt>
                <c:pt idx="17">
                  <c:v>0.4100000000000002</c:v>
                </c:pt>
                <c:pt idx="18">
                  <c:v>0.81</c:v>
                </c:pt>
                <c:pt idx="19">
                  <c:v>0.54</c:v>
                </c:pt>
                <c:pt idx="20">
                  <c:v>0.52</c:v>
                </c:pt>
                <c:pt idx="21">
                  <c:v>0.26</c:v>
                </c:pt>
                <c:pt idx="22">
                  <c:v>0.62000000000000044</c:v>
                </c:pt>
                <c:pt idx="23">
                  <c:v>0.65000000000000058</c:v>
                </c:pt>
                <c:pt idx="24">
                  <c:v>0.14000000000000001</c:v>
                </c:pt>
              </c:numCache>
            </c:numRef>
          </c:val>
          <c:extLst>
            <c:ext xmlns:c16="http://schemas.microsoft.com/office/drawing/2014/chart" uri="{C3380CC4-5D6E-409C-BE32-E72D297353CC}">
              <c16:uniqueId val="{00000001-EBD3-4634-9CA1-6F1EC059B7E7}"/>
            </c:ext>
          </c:extLst>
        </c:ser>
        <c:ser>
          <c:idx val="2"/>
          <c:order val="2"/>
          <c:tx>
            <c:strRef>
              <c:f>'Sr vrednost do 20g'!$F$5</c:f>
              <c:strCache>
                <c:ptCount val="1"/>
                <c:pt idx="0">
                  <c:v>2023</c:v>
                </c:pt>
              </c:strCache>
            </c:strRef>
          </c:tx>
          <c:spPr>
            <a:solidFill>
              <a:srgbClr val="C00000"/>
            </a:solidFill>
            <a:ln>
              <a:noFill/>
            </a:ln>
            <a:effectLst/>
          </c:spPr>
          <c:invertIfNegative val="0"/>
          <c:cat>
            <c:strRef>
              <c:f>'Sr vrednost do 20g'!$C$6:$C$30</c:f>
              <c:strCache>
                <c:ptCount val="25"/>
                <c:pt idx="0">
                  <c:v>AT</c:v>
                </c:pt>
                <c:pt idx="1">
                  <c:v>BE</c:v>
                </c:pt>
                <c:pt idx="2">
                  <c:v>BG</c:v>
                </c:pt>
                <c:pt idx="3">
                  <c:v>CY</c:v>
                </c:pt>
                <c:pt idx="4">
                  <c:v>CZ</c:v>
                </c:pt>
                <c:pt idx="5">
                  <c:v>DK</c:v>
                </c:pt>
                <c:pt idx="6">
                  <c:v>EE</c:v>
                </c:pt>
                <c:pt idx="7">
                  <c:v>EL</c:v>
                </c:pt>
                <c:pt idx="8">
                  <c:v>ES</c:v>
                </c:pt>
                <c:pt idx="9">
                  <c:v>FI</c:v>
                </c:pt>
                <c:pt idx="10">
                  <c:v>FR</c:v>
                </c:pt>
                <c:pt idx="11">
                  <c:v>HR</c:v>
                </c:pt>
                <c:pt idx="12">
                  <c:v>HU</c:v>
                </c:pt>
                <c:pt idx="13">
                  <c:v>IT</c:v>
                </c:pt>
                <c:pt idx="14">
                  <c:v>LT</c:v>
                </c:pt>
                <c:pt idx="15">
                  <c:v>LV</c:v>
                </c:pt>
                <c:pt idx="16">
                  <c:v>MD</c:v>
                </c:pt>
                <c:pt idx="17">
                  <c:v>MK</c:v>
                </c:pt>
                <c:pt idx="18">
                  <c:v>PL</c:v>
                </c:pt>
                <c:pt idx="19">
                  <c:v>PT</c:v>
                </c:pt>
                <c:pt idx="20">
                  <c:v>RO</c:v>
                </c:pt>
                <c:pt idx="21">
                  <c:v>RS</c:v>
                </c:pt>
                <c:pt idx="22">
                  <c:v>SI</c:v>
                </c:pt>
                <c:pt idx="23">
                  <c:v>SK</c:v>
                </c:pt>
                <c:pt idx="24">
                  <c:v>TR</c:v>
                </c:pt>
              </c:strCache>
            </c:strRef>
          </c:cat>
          <c:val>
            <c:numRef>
              <c:f>'Sr vrednost do 20g'!$F$6:$F$30</c:f>
              <c:numCache>
                <c:formatCode>0.00</c:formatCode>
                <c:ptCount val="25"/>
                <c:pt idx="0">
                  <c:v>0.81</c:v>
                </c:pt>
                <c:pt idx="1">
                  <c:v>1.3900000000000001</c:v>
                </c:pt>
                <c:pt idx="2">
                  <c:v>0.38000000000000023</c:v>
                </c:pt>
                <c:pt idx="3">
                  <c:v>0.34</c:v>
                </c:pt>
                <c:pt idx="4">
                  <c:v>0.88</c:v>
                </c:pt>
                <c:pt idx="5">
                  <c:v>1.61</c:v>
                </c:pt>
                <c:pt idx="6">
                  <c:v>0.9</c:v>
                </c:pt>
                <c:pt idx="7">
                  <c:v>0.9</c:v>
                </c:pt>
                <c:pt idx="8">
                  <c:v>0.78</c:v>
                </c:pt>
                <c:pt idx="9">
                  <c:v>2.1</c:v>
                </c:pt>
                <c:pt idx="10">
                  <c:v>1.159999999999999</c:v>
                </c:pt>
                <c:pt idx="11">
                  <c:v>0.47000000000000008</c:v>
                </c:pt>
                <c:pt idx="12">
                  <c:v>0.47000000000000008</c:v>
                </c:pt>
                <c:pt idx="13">
                  <c:v>1.2</c:v>
                </c:pt>
                <c:pt idx="14">
                  <c:v>0.55000000000000004</c:v>
                </c:pt>
                <c:pt idx="16">
                  <c:v>0.14000000000000001</c:v>
                </c:pt>
                <c:pt idx="17">
                  <c:v>0.58000000000000007</c:v>
                </c:pt>
                <c:pt idx="18">
                  <c:v>0.88</c:v>
                </c:pt>
                <c:pt idx="19">
                  <c:v>0.56999999999999995</c:v>
                </c:pt>
                <c:pt idx="20">
                  <c:v>0.58000000000000007</c:v>
                </c:pt>
                <c:pt idx="21">
                  <c:v>0.26</c:v>
                </c:pt>
                <c:pt idx="22">
                  <c:v>0.69000000000000039</c:v>
                </c:pt>
                <c:pt idx="23">
                  <c:v>0.75000000000000044</c:v>
                </c:pt>
                <c:pt idx="24">
                  <c:v>0.26</c:v>
                </c:pt>
              </c:numCache>
            </c:numRef>
          </c:val>
          <c:extLst>
            <c:ext xmlns:c16="http://schemas.microsoft.com/office/drawing/2014/chart" uri="{C3380CC4-5D6E-409C-BE32-E72D297353CC}">
              <c16:uniqueId val="{00000002-EBD3-4634-9CA1-6F1EC059B7E7}"/>
            </c:ext>
          </c:extLst>
        </c:ser>
        <c:dLbls>
          <c:showLegendKey val="0"/>
          <c:showVal val="0"/>
          <c:showCatName val="0"/>
          <c:showSerName val="0"/>
          <c:showPercent val="0"/>
          <c:showBubbleSize val="0"/>
        </c:dLbls>
        <c:gapWidth val="219"/>
        <c:axId val="91366144"/>
        <c:axId val="91367680"/>
      </c:barChart>
      <c:lineChart>
        <c:grouping val="standard"/>
        <c:varyColors val="0"/>
        <c:ser>
          <c:idx val="3"/>
          <c:order val="3"/>
          <c:tx>
            <c:strRef>
              <c:f>'Sr vrednost do 20g'!$G$5</c:f>
              <c:strCache>
                <c:ptCount val="1"/>
                <c:pt idx="0">
                  <c:v>Ср.вр.</c:v>
                </c:pt>
              </c:strCache>
            </c:strRef>
          </c:tx>
          <c:spPr>
            <a:ln w="19050" cap="rnd">
              <a:solidFill>
                <a:schemeClr val="accent4"/>
              </a:solidFill>
              <a:round/>
            </a:ln>
            <a:effectLst/>
          </c:spPr>
          <c:marker>
            <c:symbol val="none"/>
          </c:marker>
          <c:cat>
            <c:strRef>
              <c:f>'Sr vrednost do 20g'!$C$6:$C$30</c:f>
              <c:strCache>
                <c:ptCount val="25"/>
                <c:pt idx="0">
                  <c:v>AT</c:v>
                </c:pt>
                <c:pt idx="1">
                  <c:v>BE</c:v>
                </c:pt>
                <c:pt idx="2">
                  <c:v>BG</c:v>
                </c:pt>
                <c:pt idx="3">
                  <c:v>CY</c:v>
                </c:pt>
                <c:pt idx="4">
                  <c:v>CZ</c:v>
                </c:pt>
                <c:pt idx="5">
                  <c:v>DK</c:v>
                </c:pt>
                <c:pt idx="6">
                  <c:v>EE</c:v>
                </c:pt>
                <c:pt idx="7">
                  <c:v>EL</c:v>
                </c:pt>
                <c:pt idx="8">
                  <c:v>ES</c:v>
                </c:pt>
                <c:pt idx="9">
                  <c:v>FI</c:v>
                </c:pt>
                <c:pt idx="10">
                  <c:v>FR</c:v>
                </c:pt>
                <c:pt idx="11">
                  <c:v>HR</c:v>
                </c:pt>
                <c:pt idx="12">
                  <c:v>HU</c:v>
                </c:pt>
                <c:pt idx="13">
                  <c:v>IT</c:v>
                </c:pt>
                <c:pt idx="14">
                  <c:v>LT</c:v>
                </c:pt>
                <c:pt idx="15">
                  <c:v>LV</c:v>
                </c:pt>
                <c:pt idx="16">
                  <c:v>MD</c:v>
                </c:pt>
                <c:pt idx="17">
                  <c:v>MK</c:v>
                </c:pt>
                <c:pt idx="18">
                  <c:v>PL</c:v>
                </c:pt>
                <c:pt idx="19">
                  <c:v>PT</c:v>
                </c:pt>
                <c:pt idx="20">
                  <c:v>RO</c:v>
                </c:pt>
                <c:pt idx="21">
                  <c:v>RS</c:v>
                </c:pt>
                <c:pt idx="22">
                  <c:v>SI</c:v>
                </c:pt>
                <c:pt idx="23">
                  <c:v>SK</c:v>
                </c:pt>
                <c:pt idx="24">
                  <c:v>TR</c:v>
                </c:pt>
              </c:strCache>
            </c:strRef>
          </c:cat>
          <c:val>
            <c:numRef>
              <c:f>'Sr vrednost do 20g'!$G$6:$G$30</c:f>
              <c:numCache>
                <c:formatCode>0.00</c:formatCode>
                <c:ptCount val="25"/>
                <c:pt idx="0">
                  <c:v>0.78</c:v>
                </c:pt>
                <c:pt idx="1">
                  <c:v>0.78</c:v>
                </c:pt>
                <c:pt idx="2">
                  <c:v>0.78</c:v>
                </c:pt>
                <c:pt idx="3">
                  <c:v>0.78</c:v>
                </c:pt>
                <c:pt idx="4">
                  <c:v>0.78</c:v>
                </c:pt>
                <c:pt idx="5">
                  <c:v>0.78</c:v>
                </c:pt>
                <c:pt idx="6">
                  <c:v>0.78</c:v>
                </c:pt>
                <c:pt idx="7">
                  <c:v>0.78</c:v>
                </c:pt>
                <c:pt idx="8">
                  <c:v>0.78</c:v>
                </c:pt>
                <c:pt idx="9">
                  <c:v>0.78</c:v>
                </c:pt>
                <c:pt idx="10">
                  <c:v>0.78</c:v>
                </c:pt>
                <c:pt idx="11">
                  <c:v>0.78</c:v>
                </c:pt>
                <c:pt idx="12">
                  <c:v>0.78</c:v>
                </c:pt>
                <c:pt idx="13">
                  <c:v>0.78</c:v>
                </c:pt>
                <c:pt idx="14">
                  <c:v>0.78</c:v>
                </c:pt>
                <c:pt idx="15">
                  <c:v>0.78</c:v>
                </c:pt>
                <c:pt idx="16">
                  <c:v>0.78</c:v>
                </c:pt>
                <c:pt idx="17">
                  <c:v>0.78</c:v>
                </c:pt>
                <c:pt idx="18">
                  <c:v>0.78</c:v>
                </c:pt>
                <c:pt idx="19">
                  <c:v>0.78</c:v>
                </c:pt>
                <c:pt idx="20">
                  <c:v>0.78</c:v>
                </c:pt>
                <c:pt idx="21">
                  <c:v>0.78</c:v>
                </c:pt>
                <c:pt idx="22">
                  <c:v>0.78</c:v>
                </c:pt>
                <c:pt idx="23">
                  <c:v>0.78</c:v>
                </c:pt>
                <c:pt idx="24">
                  <c:v>0.78</c:v>
                </c:pt>
              </c:numCache>
            </c:numRef>
          </c:val>
          <c:smooth val="0"/>
          <c:extLst>
            <c:ext xmlns:c16="http://schemas.microsoft.com/office/drawing/2014/chart" uri="{C3380CC4-5D6E-409C-BE32-E72D297353CC}">
              <c16:uniqueId val="{00000003-EBD3-4634-9CA1-6F1EC059B7E7}"/>
            </c:ext>
          </c:extLst>
        </c:ser>
        <c:dLbls>
          <c:showLegendKey val="0"/>
          <c:showVal val="0"/>
          <c:showCatName val="0"/>
          <c:showSerName val="0"/>
          <c:showPercent val="0"/>
          <c:showBubbleSize val="0"/>
        </c:dLbls>
        <c:marker val="1"/>
        <c:smooth val="0"/>
        <c:axId val="91366144"/>
        <c:axId val="91367680"/>
      </c:lineChart>
      <c:catAx>
        <c:axId val="91366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91367680"/>
        <c:crosses val="autoZero"/>
        <c:auto val="1"/>
        <c:lblAlgn val="ctr"/>
        <c:lblOffset val="100"/>
        <c:noMultiLvlLbl val="0"/>
      </c:catAx>
      <c:valAx>
        <c:axId val="91367680"/>
        <c:scaling>
          <c:orientation val="minMax"/>
          <c:max val="1.5"/>
          <c:min val="0"/>
        </c:scaling>
        <c:delete val="0"/>
        <c:axPos val="l"/>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9136614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noFill/>
            </a:ln>
            <a:effectLst/>
          </c:spPr>
          <c:invertIfNegative val="0"/>
          <c:dPt>
            <c:idx val="1"/>
            <c:invertIfNegative val="0"/>
            <c:bubble3D val="0"/>
            <c:spPr>
              <a:solidFill>
                <a:srgbClr val="C00000"/>
              </a:solidFill>
              <a:ln>
                <a:noFill/>
              </a:ln>
              <a:effectLst/>
            </c:spPr>
            <c:extLst>
              <c:ext xmlns:c16="http://schemas.microsoft.com/office/drawing/2014/chart" uri="{C3380CC4-5D6E-409C-BE32-E72D297353CC}">
                <c16:uniqueId val="{00000001-3A11-4D4A-B669-3F609EF4AC77}"/>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'Sr vrednos do 20g (2023 сортир)'!$C$3:$C$26</c:f>
              <c:strCache>
                <c:ptCount val="24"/>
                <c:pt idx="0">
                  <c:v>Молдавија</c:v>
                </c:pt>
                <c:pt idx="1">
                  <c:v>Србија</c:v>
                </c:pt>
                <c:pt idx="2">
                  <c:v>Турска</c:v>
                </c:pt>
                <c:pt idx="3">
                  <c:v>Кипар</c:v>
                </c:pt>
                <c:pt idx="4">
                  <c:v>Бугарска</c:v>
                </c:pt>
                <c:pt idx="5">
                  <c:v>Хрватска</c:v>
                </c:pt>
                <c:pt idx="6">
                  <c:v>Мађарска</c:v>
                </c:pt>
                <c:pt idx="7">
                  <c:v>Литванија</c:v>
                </c:pt>
                <c:pt idx="8">
                  <c:v>Португалија</c:v>
                </c:pt>
                <c:pt idx="9">
                  <c:v>Македонија</c:v>
                </c:pt>
                <c:pt idx="10">
                  <c:v>Румунија</c:v>
                </c:pt>
                <c:pt idx="11">
                  <c:v>Словенија</c:v>
                </c:pt>
                <c:pt idx="12">
                  <c:v>Словачка</c:v>
                </c:pt>
                <c:pt idx="13">
                  <c:v>Шпанија</c:v>
                </c:pt>
                <c:pt idx="14">
                  <c:v>Аустрија</c:v>
                </c:pt>
                <c:pt idx="15">
                  <c:v>Чешка</c:v>
                </c:pt>
                <c:pt idx="16">
                  <c:v>Пољска</c:v>
                </c:pt>
                <c:pt idx="17">
                  <c:v>Естонија</c:v>
                </c:pt>
                <c:pt idx="18">
                  <c:v>Грчка</c:v>
                </c:pt>
                <c:pt idx="19">
                  <c:v>Француска</c:v>
                </c:pt>
                <c:pt idx="20">
                  <c:v>Италија</c:v>
                </c:pt>
                <c:pt idx="21">
                  <c:v>Белгија</c:v>
                </c:pt>
                <c:pt idx="22">
                  <c:v>Данска</c:v>
                </c:pt>
                <c:pt idx="23">
                  <c:v>Финска</c:v>
                </c:pt>
              </c:strCache>
            </c:strRef>
          </c:cat>
          <c:val>
            <c:numRef>
              <c:f>'Sr vrednos do 20g (2023 сортир)'!$D$3:$D$26</c:f>
              <c:numCache>
                <c:formatCode>0.00</c:formatCode>
                <c:ptCount val="24"/>
                <c:pt idx="0">
                  <c:v>0.14000000000000001</c:v>
                </c:pt>
                <c:pt idx="1">
                  <c:v>0.26</c:v>
                </c:pt>
                <c:pt idx="2">
                  <c:v>0.26</c:v>
                </c:pt>
                <c:pt idx="3">
                  <c:v>0.34</c:v>
                </c:pt>
                <c:pt idx="4">
                  <c:v>0.38000000000000023</c:v>
                </c:pt>
                <c:pt idx="5">
                  <c:v>0.47000000000000008</c:v>
                </c:pt>
                <c:pt idx="6">
                  <c:v>0.47000000000000008</c:v>
                </c:pt>
                <c:pt idx="7">
                  <c:v>0.55000000000000004</c:v>
                </c:pt>
                <c:pt idx="8">
                  <c:v>0.56999999999999995</c:v>
                </c:pt>
                <c:pt idx="9">
                  <c:v>0.58000000000000007</c:v>
                </c:pt>
                <c:pt idx="10">
                  <c:v>0.58000000000000007</c:v>
                </c:pt>
                <c:pt idx="11">
                  <c:v>0.69000000000000039</c:v>
                </c:pt>
                <c:pt idx="12">
                  <c:v>0.75000000000000044</c:v>
                </c:pt>
                <c:pt idx="13">
                  <c:v>0.78</c:v>
                </c:pt>
                <c:pt idx="14">
                  <c:v>0.81</c:v>
                </c:pt>
                <c:pt idx="15">
                  <c:v>0.88</c:v>
                </c:pt>
                <c:pt idx="16">
                  <c:v>0.88</c:v>
                </c:pt>
                <c:pt idx="17">
                  <c:v>0.9</c:v>
                </c:pt>
                <c:pt idx="18">
                  <c:v>0.9</c:v>
                </c:pt>
                <c:pt idx="19">
                  <c:v>1.159999999999999</c:v>
                </c:pt>
                <c:pt idx="20">
                  <c:v>1.2</c:v>
                </c:pt>
                <c:pt idx="21">
                  <c:v>1.3900000000000001</c:v>
                </c:pt>
                <c:pt idx="22">
                  <c:v>1.61</c:v>
                </c:pt>
                <c:pt idx="23">
                  <c:v>2.1</c:v>
                </c:pt>
              </c:numCache>
            </c:numRef>
          </c:val>
          <c:extLst>
            <c:ext xmlns:c16="http://schemas.microsoft.com/office/drawing/2014/chart" uri="{C3380CC4-5D6E-409C-BE32-E72D297353CC}">
              <c16:uniqueId val="{00000002-3A11-4D4A-B669-3F609EF4AC77}"/>
            </c:ext>
          </c:extLst>
        </c:ser>
        <c:dLbls>
          <c:showLegendKey val="0"/>
          <c:showVal val="0"/>
          <c:showCatName val="0"/>
          <c:showSerName val="0"/>
          <c:showPercent val="0"/>
          <c:showBubbleSize val="0"/>
        </c:dLbls>
        <c:gapWidth val="182"/>
        <c:axId val="91404928"/>
        <c:axId val="91410816"/>
      </c:barChart>
      <c:scatterChart>
        <c:scatterStyle val="smoothMarker"/>
        <c:varyColors val="0"/>
        <c:ser>
          <c:idx val="1"/>
          <c:order val="1"/>
          <c:tx>
            <c:strRef>
              <c:f>'Sr vrednos do 20g (2023 сортир)'!$E$2</c:f>
              <c:strCache>
                <c:ptCount val="1"/>
                <c:pt idx="0">
                  <c:v>Ср.вредност</c:v>
                </c:pt>
              </c:strCache>
            </c:strRef>
          </c:tx>
          <c:spPr>
            <a:ln w="19050" cap="rnd">
              <a:solidFill>
                <a:srgbClr val="C00000"/>
              </a:solidFill>
              <a:round/>
            </a:ln>
            <a:effectLst/>
          </c:spPr>
          <c:marker>
            <c:symbol val="none"/>
          </c:marker>
          <c:dPt>
            <c:idx val="14"/>
            <c:bubble3D val="0"/>
            <c:spPr>
              <a:ln w="28575" cap="rnd">
                <a:noFill/>
                <a:round/>
              </a:ln>
              <a:effectLst/>
            </c:spPr>
            <c:extLst>
              <c:ext xmlns:c16="http://schemas.microsoft.com/office/drawing/2014/chart" uri="{C3380CC4-5D6E-409C-BE32-E72D297353CC}">
                <c16:uniqueId val="{00000004-3A11-4D4A-B669-3F609EF4AC77}"/>
              </c:ext>
            </c:extLst>
          </c:dPt>
          <c:dLbls>
            <c:dLbl>
              <c:idx val="24"/>
              <c:layout>
                <c:manualLayout>
                  <c:x val="-2.7767803723439635E-2"/>
                  <c:y val="-2.0936328612875605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5-3A11-4D4A-B669-3F609EF4AC77}"/>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'Sr vrednos do 20g (2023 сортир)'!$E$3:$E$28</c:f>
              <c:numCache>
                <c:formatCode>0.00</c:formatCode>
                <c:ptCount val="26"/>
                <c:pt idx="0">
                  <c:v>0.78</c:v>
                </c:pt>
                <c:pt idx="1">
                  <c:v>0.78</c:v>
                </c:pt>
                <c:pt idx="2">
                  <c:v>0.78</c:v>
                </c:pt>
                <c:pt idx="3">
                  <c:v>0.78</c:v>
                </c:pt>
                <c:pt idx="4">
                  <c:v>0.78</c:v>
                </c:pt>
                <c:pt idx="5">
                  <c:v>0.78</c:v>
                </c:pt>
                <c:pt idx="6">
                  <c:v>0.78</c:v>
                </c:pt>
                <c:pt idx="7">
                  <c:v>0.78</c:v>
                </c:pt>
                <c:pt idx="8">
                  <c:v>0.78</c:v>
                </c:pt>
                <c:pt idx="9">
                  <c:v>0.78</c:v>
                </c:pt>
                <c:pt idx="10">
                  <c:v>0.78</c:v>
                </c:pt>
                <c:pt idx="11">
                  <c:v>0.78</c:v>
                </c:pt>
                <c:pt idx="12">
                  <c:v>0.78</c:v>
                </c:pt>
                <c:pt idx="13">
                  <c:v>0.78</c:v>
                </c:pt>
                <c:pt idx="14">
                  <c:v>0.78</c:v>
                </c:pt>
                <c:pt idx="15">
                  <c:v>0.78</c:v>
                </c:pt>
                <c:pt idx="16">
                  <c:v>0.78</c:v>
                </c:pt>
                <c:pt idx="17">
                  <c:v>0.78</c:v>
                </c:pt>
                <c:pt idx="18">
                  <c:v>0.78</c:v>
                </c:pt>
                <c:pt idx="19">
                  <c:v>0.78</c:v>
                </c:pt>
                <c:pt idx="20">
                  <c:v>0.78</c:v>
                </c:pt>
                <c:pt idx="21">
                  <c:v>0.78</c:v>
                </c:pt>
                <c:pt idx="22">
                  <c:v>0.78</c:v>
                </c:pt>
                <c:pt idx="23">
                  <c:v>0.78</c:v>
                </c:pt>
                <c:pt idx="24">
                  <c:v>0.78</c:v>
                </c:pt>
                <c:pt idx="25">
                  <c:v>0.78</c:v>
                </c:pt>
              </c:numCache>
            </c:numRef>
          </c:xVal>
          <c:yVal>
            <c:numRef>
              <c:f>'Sr vrednos do 20g (2023 сортир)'!$D$3:$D$28</c:f>
              <c:numCache>
                <c:formatCode>0.00</c:formatCode>
                <c:ptCount val="26"/>
                <c:pt idx="0">
                  <c:v>0.14000000000000001</c:v>
                </c:pt>
                <c:pt idx="1">
                  <c:v>0.26</c:v>
                </c:pt>
                <c:pt idx="2">
                  <c:v>0.26</c:v>
                </c:pt>
                <c:pt idx="3">
                  <c:v>0.34</c:v>
                </c:pt>
                <c:pt idx="4">
                  <c:v>0.38000000000000023</c:v>
                </c:pt>
                <c:pt idx="5">
                  <c:v>0.47000000000000008</c:v>
                </c:pt>
                <c:pt idx="6">
                  <c:v>0.47000000000000008</c:v>
                </c:pt>
                <c:pt idx="7">
                  <c:v>0.55000000000000004</c:v>
                </c:pt>
                <c:pt idx="8">
                  <c:v>0.56999999999999995</c:v>
                </c:pt>
                <c:pt idx="9">
                  <c:v>0.58000000000000007</c:v>
                </c:pt>
                <c:pt idx="10">
                  <c:v>0.58000000000000007</c:v>
                </c:pt>
                <c:pt idx="11">
                  <c:v>0.69000000000000039</c:v>
                </c:pt>
                <c:pt idx="12">
                  <c:v>0.75000000000000044</c:v>
                </c:pt>
                <c:pt idx="13">
                  <c:v>0.78</c:v>
                </c:pt>
                <c:pt idx="14">
                  <c:v>0.81</c:v>
                </c:pt>
                <c:pt idx="15">
                  <c:v>0.88</c:v>
                </c:pt>
                <c:pt idx="16">
                  <c:v>0.88</c:v>
                </c:pt>
                <c:pt idx="17">
                  <c:v>0.9</c:v>
                </c:pt>
                <c:pt idx="18">
                  <c:v>0.9</c:v>
                </c:pt>
                <c:pt idx="19">
                  <c:v>1.159999999999999</c:v>
                </c:pt>
                <c:pt idx="20">
                  <c:v>1.2</c:v>
                </c:pt>
                <c:pt idx="21">
                  <c:v>1.3900000000000001</c:v>
                </c:pt>
                <c:pt idx="22">
                  <c:v>1.61</c:v>
                </c:pt>
                <c:pt idx="23">
                  <c:v>2.1</c:v>
                </c:pt>
                <c:pt idx="24">
                  <c:v>0</c:v>
                </c:pt>
                <c:pt idx="25">
                  <c:v>4</c:v>
                </c:pt>
              </c:numCache>
            </c:numRef>
          </c:yVal>
          <c:smooth val="1"/>
          <c:extLst>
            <c:ext xmlns:c16="http://schemas.microsoft.com/office/drawing/2014/chart" uri="{C3380CC4-5D6E-409C-BE32-E72D297353CC}">
              <c16:uniqueId val="{00000006-3A11-4D4A-B669-3F609EF4AC77}"/>
            </c:ext>
          </c:extLst>
        </c:ser>
        <c:dLbls>
          <c:showLegendKey val="0"/>
          <c:showVal val="0"/>
          <c:showCatName val="0"/>
          <c:showSerName val="0"/>
          <c:showPercent val="0"/>
          <c:showBubbleSize val="0"/>
        </c:dLbls>
        <c:axId val="91413888"/>
        <c:axId val="91412352"/>
      </c:scatterChart>
      <c:catAx>
        <c:axId val="914049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410816"/>
        <c:crosses val="autoZero"/>
        <c:auto val="1"/>
        <c:lblAlgn val="ctr"/>
        <c:lblOffset val="100"/>
        <c:noMultiLvlLbl val="0"/>
      </c:catAx>
      <c:valAx>
        <c:axId val="91410816"/>
        <c:scaling>
          <c:orientation val="minMax"/>
          <c:max val="2.2000000000000002"/>
          <c:min val="0"/>
        </c:scaling>
        <c:delete val="0"/>
        <c:axPos val="b"/>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w="6350">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404928"/>
        <c:crosses val="autoZero"/>
        <c:crossBetween val="between"/>
      </c:valAx>
      <c:valAx>
        <c:axId val="91412352"/>
        <c:scaling>
          <c:orientation val="minMax"/>
          <c:max val="4"/>
        </c:scaling>
        <c:delete val="1"/>
        <c:axPos val="r"/>
        <c:numFmt formatCode="0.00" sourceLinked="1"/>
        <c:majorTickMark val="out"/>
        <c:minorTickMark val="none"/>
        <c:tickLblPos val="nextTo"/>
        <c:crossAx val="91413888"/>
        <c:crosses val="max"/>
        <c:crossBetween val="midCat"/>
      </c:valAx>
      <c:valAx>
        <c:axId val="91413888"/>
        <c:scaling>
          <c:orientation val="minMax"/>
        </c:scaling>
        <c:delete val="1"/>
        <c:axPos val="b"/>
        <c:numFmt formatCode="0.00" sourceLinked="1"/>
        <c:majorTickMark val="out"/>
        <c:minorTickMark val="none"/>
        <c:tickLblPos val="nextTo"/>
        <c:crossAx val="91412352"/>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'Sr vrednost do 20g PRIO'!$D$5</c:f>
              <c:strCache>
                <c:ptCount val="1"/>
                <c:pt idx="0">
                  <c:v>2019</c:v>
                </c:pt>
              </c:strCache>
            </c:strRef>
          </c:tx>
          <c:spPr>
            <a:solidFill>
              <a:schemeClr val="bg1">
                <a:lumMod val="75000"/>
              </a:schemeClr>
            </a:solidFill>
            <a:ln>
              <a:noFill/>
            </a:ln>
            <a:effectLst/>
          </c:spPr>
          <c:invertIfNegative val="0"/>
          <c:cat>
            <c:strRef>
              <c:f>'Sr vrednost do 20g PRIO'!$C$6:$C$35</c:f>
              <c:strCache>
                <c:ptCount val="30"/>
                <c:pt idx="0">
                  <c:v>AT</c:v>
                </c:pt>
                <c:pt idx="1">
                  <c:v>BE</c:v>
                </c:pt>
                <c:pt idx="2">
                  <c:v>BG</c:v>
                </c:pt>
                <c:pt idx="3">
                  <c:v>CY</c:v>
                </c:pt>
                <c:pt idx="4">
                  <c:v>CZ</c:v>
                </c:pt>
                <c:pt idx="5">
                  <c:v>DE</c:v>
                </c:pt>
                <c:pt idx="6">
                  <c:v>DK</c:v>
                </c:pt>
                <c:pt idx="7">
                  <c:v>EE</c:v>
                </c:pt>
                <c:pt idx="8">
                  <c:v>EL</c:v>
                </c:pt>
                <c:pt idx="9">
                  <c:v>FI</c:v>
                </c:pt>
                <c:pt idx="10">
                  <c:v>FR</c:v>
                </c:pt>
                <c:pt idx="11">
                  <c:v>HR</c:v>
                </c:pt>
                <c:pt idx="12">
                  <c:v>HU</c:v>
                </c:pt>
                <c:pt idx="13">
                  <c:v>IE</c:v>
                </c:pt>
                <c:pt idx="14">
                  <c:v>IT</c:v>
                </c:pt>
                <c:pt idx="15">
                  <c:v>LT</c:v>
                </c:pt>
                <c:pt idx="16">
                  <c:v>LU</c:v>
                </c:pt>
                <c:pt idx="17">
                  <c:v>LV</c:v>
                </c:pt>
                <c:pt idx="18">
                  <c:v>ME</c:v>
                </c:pt>
                <c:pt idx="19">
                  <c:v>MT</c:v>
                </c:pt>
                <c:pt idx="20">
                  <c:v>NL</c:v>
                </c:pt>
                <c:pt idx="21">
                  <c:v>NO</c:v>
                </c:pt>
                <c:pt idx="22">
                  <c:v>PL</c:v>
                </c:pt>
                <c:pt idx="23">
                  <c:v>PT</c:v>
                </c:pt>
                <c:pt idx="24">
                  <c:v>RO</c:v>
                </c:pt>
                <c:pt idx="25">
                  <c:v>RS</c:v>
                </c:pt>
                <c:pt idx="26">
                  <c:v>SE</c:v>
                </c:pt>
                <c:pt idx="27">
                  <c:v>SI</c:v>
                </c:pt>
                <c:pt idx="28">
                  <c:v>SK</c:v>
                </c:pt>
                <c:pt idx="29">
                  <c:v>TR</c:v>
                </c:pt>
              </c:strCache>
            </c:strRef>
          </c:cat>
          <c:val>
            <c:numRef>
              <c:f>'Sr vrednost do 20g PRIO'!$D$6:$D$35</c:f>
              <c:numCache>
                <c:formatCode>0.00</c:formatCode>
                <c:ptCount val="30"/>
                <c:pt idx="0">
                  <c:v>0.8</c:v>
                </c:pt>
                <c:pt idx="1">
                  <c:v>1</c:v>
                </c:pt>
                <c:pt idx="2">
                  <c:v>0.56000000000000005</c:v>
                </c:pt>
                <c:pt idx="3">
                  <c:v>0.4100000000000002</c:v>
                </c:pt>
                <c:pt idx="4">
                  <c:v>0.8</c:v>
                </c:pt>
                <c:pt idx="5">
                  <c:v>0.7000000000000004</c:v>
                </c:pt>
                <c:pt idx="6">
                  <c:v>3.8899999999999997</c:v>
                </c:pt>
                <c:pt idx="7">
                  <c:v>0.65000000000000058</c:v>
                </c:pt>
                <c:pt idx="8">
                  <c:v>0.72000000000000042</c:v>
                </c:pt>
                <c:pt idx="9">
                  <c:v>3</c:v>
                </c:pt>
                <c:pt idx="10">
                  <c:v>1.05</c:v>
                </c:pt>
                <c:pt idx="11">
                  <c:v>0.86000000000000043</c:v>
                </c:pt>
                <c:pt idx="12">
                  <c:v>0.42000000000000021</c:v>
                </c:pt>
                <c:pt idx="13">
                  <c:v>1</c:v>
                </c:pt>
                <c:pt idx="14">
                  <c:v>2.8</c:v>
                </c:pt>
                <c:pt idx="15">
                  <c:v>0.55000000000000004</c:v>
                </c:pt>
                <c:pt idx="16">
                  <c:v>0.8</c:v>
                </c:pt>
                <c:pt idx="17">
                  <c:v>0.56999999999999995</c:v>
                </c:pt>
                <c:pt idx="18">
                  <c:v>0.30000000000000021</c:v>
                </c:pt>
                <c:pt idx="19">
                  <c:v>0.28000000000000008</c:v>
                </c:pt>
                <c:pt idx="20">
                  <c:v>0.87000000000000044</c:v>
                </c:pt>
                <c:pt idx="21">
                  <c:v>1.37</c:v>
                </c:pt>
                <c:pt idx="22">
                  <c:v>0.72000000000000042</c:v>
                </c:pt>
                <c:pt idx="23">
                  <c:v>0.65000000000000058</c:v>
                </c:pt>
                <c:pt idx="24">
                  <c:v>0.52</c:v>
                </c:pt>
                <c:pt idx="26">
                  <c:v>0.76000000000000045</c:v>
                </c:pt>
                <c:pt idx="27">
                  <c:v>0.4800000000000002</c:v>
                </c:pt>
                <c:pt idx="28">
                  <c:v>0.7000000000000004</c:v>
                </c:pt>
                <c:pt idx="29">
                  <c:v>0.1800000000000001</c:v>
                </c:pt>
              </c:numCache>
            </c:numRef>
          </c:val>
          <c:extLst>
            <c:ext xmlns:c16="http://schemas.microsoft.com/office/drawing/2014/chart" uri="{C3380CC4-5D6E-409C-BE32-E72D297353CC}">
              <c16:uniqueId val="{00000000-9331-4BB6-9BD8-0548B8361962}"/>
            </c:ext>
          </c:extLst>
        </c:ser>
        <c:ser>
          <c:idx val="1"/>
          <c:order val="1"/>
          <c:tx>
            <c:strRef>
              <c:f>'Sr vrednost do 20g PRIO'!$E$5</c:f>
              <c:strCache>
                <c:ptCount val="1"/>
                <c:pt idx="0">
                  <c:v>2022</c:v>
                </c:pt>
              </c:strCache>
            </c:strRef>
          </c:tx>
          <c:spPr>
            <a:solidFill>
              <a:schemeClr val="accent1">
                <a:lumMod val="75000"/>
              </a:schemeClr>
            </a:solidFill>
            <a:ln>
              <a:noFill/>
            </a:ln>
            <a:effectLst/>
          </c:spPr>
          <c:invertIfNegative val="0"/>
          <c:cat>
            <c:strRef>
              <c:f>'Sr vrednost do 20g PRIO'!$C$6:$C$35</c:f>
              <c:strCache>
                <c:ptCount val="30"/>
                <c:pt idx="0">
                  <c:v>AT</c:v>
                </c:pt>
                <c:pt idx="1">
                  <c:v>BE</c:v>
                </c:pt>
                <c:pt idx="2">
                  <c:v>BG</c:v>
                </c:pt>
                <c:pt idx="3">
                  <c:v>CY</c:v>
                </c:pt>
                <c:pt idx="4">
                  <c:v>CZ</c:v>
                </c:pt>
                <c:pt idx="5">
                  <c:v>DE</c:v>
                </c:pt>
                <c:pt idx="6">
                  <c:v>DK</c:v>
                </c:pt>
                <c:pt idx="7">
                  <c:v>EE</c:v>
                </c:pt>
                <c:pt idx="8">
                  <c:v>EL</c:v>
                </c:pt>
                <c:pt idx="9">
                  <c:v>FI</c:v>
                </c:pt>
                <c:pt idx="10">
                  <c:v>FR</c:v>
                </c:pt>
                <c:pt idx="11">
                  <c:v>HR</c:v>
                </c:pt>
                <c:pt idx="12">
                  <c:v>HU</c:v>
                </c:pt>
                <c:pt idx="13">
                  <c:v>IE</c:v>
                </c:pt>
                <c:pt idx="14">
                  <c:v>IT</c:v>
                </c:pt>
                <c:pt idx="15">
                  <c:v>LT</c:v>
                </c:pt>
                <c:pt idx="16">
                  <c:v>LU</c:v>
                </c:pt>
                <c:pt idx="17">
                  <c:v>LV</c:v>
                </c:pt>
                <c:pt idx="18">
                  <c:v>ME</c:v>
                </c:pt>
                <c:pt idx="19">
                  <c:v>MT</c:v>
                </c:pt>
                <c:pt idx="20">
                  <c:v>NL</c:v>
                </c:pt>
                <c:pt idx="21">
                  <c:v>NO</c:v>
                </c:pt>
                <c:pt idx="22">
                  <c:v>PL</c:v>
                </c:pt>
                <c:pt idx="23">
                  <c:v>PT</c:v>
                </c:pt>
                <c:pt idx="24">
                  <c:v>RO</c:v>
                </c:pt>
                <c:pt idx="25">
                  <c:v>RS</c:v>
                </c:pt>
                <c:pt idx="26">
                  <c:v>SE</c:v>
                </c:pt>
                <c:pt idx="27">
                  <c:v>SI</c:v>
                </c:pt>
                <c:pt idx="28">
                  <c:v>SK</c:v>
                </c:pt>
                <c:pt idx="29">
                  <c:v>TR</c:v>
                </c:pt>
              </c:strCache>
            </c:strRef>
          </c:cat>
          <c:val>
            <c:numRef>
              <c:f>'Sr vrednost do 20g PRIO'!$E$6:$E$35</c:f>
              <c:numCache>
                <c:formatCode>0.00</c:formatCode>
                <c:ptCount val="30"/>
                <c:pt idx="0">
                  <c:v>0.85000000000000042</c:v>
                </c:pt>
                <c:pt idx="1">
                  <c:v>1.8900000000000001</c:v>
                </c:pt>
                <c:pt idx="2">
                  <c:v>0.56000000000000005</c:v>
                </c:pt>
                <c:pt idx="3">
                  <c:v>0.4100000000000002</c:v>
                </c:pt>
                <c:pt idx="4">
                  <c:v>1.1000000000000001</c:v>
                </c:pt>
                <c:pt idx="5">
                  <c:v>0.85000000000000042</c:v>
                </c:pt>
                <c:pt idx="6">
                  <c:v>3.8899999999999997</c:v>
                </c:pt>
                <c:pt idx="7">
                  <c:v>1.5</c:v>
                </c:pt>
                <c:pt idx="8">
                  <c:v>1.9000000000000001</c:v>
                </c:pt>
                <c:pt idx="9">
                  <c:v>3.3499999999999988</c:v>
                </c:pt>
                <c:pt idx="10">
                  <c:v>1.43</c:v>
                </c:pt>
                <c:pt idx="11">
                  <c:v>0.86000000000000043</c:v>
                </c:pt>
                <c:pt idx="12">
                  <c:v>0.54</c:v>
                </c:pt>
                <c:pt idx="13">
                  <c:v>1.1000000000000001</c:v>
                </c:pt>
                <c:pt idx="14">
                  <c:v>2.8</c:v>
                </c:pt>
                <c:pt idx="15">
                  <c:v>0.60000000000000042</c:v>
                </c:pt>
                <c:pt idx="16">
                  <c:v>0.8</c:v>
                </c:pt>
                <c:pt idx="17">
                  <c:v>1.2</c:v>
                </c:pt>
                <c:pt idx="18">
                  <c:v>0.30000000000000021</c:v>
                </c:pt>
                <c:pt idx="19">
                  <c:v>0.30000000000000021</c:v>
                </c:pt>
                <c:pt idx="20">
                  <c:v>0.96000000000000041</c:v>
                </c:pt>
                <c:pt idx="21">
                  <c:v>1.54</c:v>
                </c:pt>
                <c:pt idx="22">
                  <c:v>1.01</c:v>
                </c:pt>
                <c:pt idx="23">
                  <c:v>0.7000000000000004</c:v>
                </c:pt>
                <c:pt idx="24">
                  <c:v>0.79</c:v>
                </c:pt>
                <c:pt idx="25">
                  <c:v>0.38000000000000023</c:v>
                </c:pt>
                <c:pt idx="26">
                  <c:v>1.1000000000000001</c:v>
                </c:pt>
                <c:pt idx="27">
                  <c:v>0.67000000000000071</c:v>
                </c:pt>
                <c:pt idx="28">
                  <c:v>0.8</c:v>
                </c:pt>
                <c:pt idx="29">
                  <c:v>0.42000000000000021</c:v>
                </c:pt>
              </c:numCache>
            </c:numRef>
          </c:val>
          <c:extLst>
            <c:ext xmlns:c16="http://schemas.microsoft.com/office/drawing/2014/chart" uri="{C3380CC4-5D6E-409C-BE32-E72D297353CC}">
              <c16:uniqueId val="{00000001-9331-4BB6-9BD8-0548B8361962}"/>
            </c:ext>
          </c:extLst>
        </c:ser>
        <c:ser>
          <c:idx val="2"/>
          <c:order val="2"/>
          <c:tx>
            <c:strRef>
              <c:f>'Sr vrednost do 20g PRIO'!$F$5</c:f>
              <c:strCache>
                <c:ptCount val="1"/>
                <c:pt idx="0">
                  <c:v>2023</c:v>
                </c:pt>
              </c:strCache>
            </c:strRef>
          </c:tx>
          <c:spPr>
            <a:solidFill>
              <a:srgbClr val="C00000"/>
            </a:solidFill>
            <a:ln>
              <a:noFill/>
            </a:ln>
            <a:effectLst/>
          </c:spPr>
          <c:invertIfNegative val="0"/>
          <c:cat>
            <c:strRef>
              <c:f>'Sr vrednost do 20g PRIO'!$C$6:$C$35</c:f>
              <c:strCache>
                <c:ptCount val="30"/>
                <c:pt idx="0">
                  <c:v>AT</c:v>
                </c:pt>
                <c:pt idx="1">
                  <c:v>BE</c:v>
                </c:pt>
                <c:pt idx="2">
                  <c:v>BG</c:v>
                </c:pt>
                <c:pt idx="3">
                  <c:v>CY</c:v>
                </c:pt>
                <c:pt idx="4">
                  <c:v>CZ</c:v>
                </c:pt>
                <c:pt idx="5">
                  <c:v>DE</c:v>
                </c:pt>
                <c:pt idx="6">
                  <c:v>DK</c:v>
                </c:pt>
                <c:pt idx="7">
                  <c:v>EE</c:v>
                </c:pt>
                <c:pt idx="8">
                  <c:v>EL</c:v>
                </c:pt>
                <c:pt idx="9">
                  <c:v>FI</c:v>
                </c:pt>
                <c:pt idx="10">
                  <c:v>FR</c:v>
                </c:pt>
                <c:pt idx="11">
                  <c:v>HR</c:v>
                </c:pt>
                <c:pt idx="12">
                  <c:v>HU</c:v>
                </c:pt>
                <c:pt idx="13">
                  <c:v>IE</c:v>
                </c:pt>
                <c:pt idx="14">
                  <c:v>IT</c:v>
                </c:pt>
                <c:pt idx="15">
                  <c:v>LT</c:v>
                </c:pt>
                <c:pt idx="16">
                  <c:v>LU</c:v>
                </c:pt>
                <c:pt idx="17">
                  <c:v>LV</c:v>
                </c:pt>
                <c:pt idx="18">
                  <c:v>ME</c:v>
                </c:pt>
                <c:pt idx="19">
                  <c:v>MT</c:v>
                </c:pt>
                <c:pt idx="20">
                  <c:v>NL</c:v>
                </c:pt>
                <c:pt idx="21">
                  <c:v>NO</c:v>
                </c:pt>
                <c:pt idx="22">
                  <c:v>PL</c:v>
                </c:pt>
                <c:pt idx="23">
                  <c:v>PT</c:v>
                </c:pt>
                <c:pt idx="24">
                  <c:v>RO</c:v>
                </c:pt>
                <c:pt idx="25">
                  <c:v>RS</c:v>
                </c:pt>
                <c:pt idx="26">
                  <c:v>SE</c:v>
                </c:pt>
                <c:pt idx="27">
                  <c:v>SI</c:v>
                </c:pt>
                <c:pt idx="28">
                  <c:v>SK</c:v>
                </c:pt>
                <c:pt idx="29">
                  <c:v>TR</c:v>
                </c:pt>
              </c:strCache>
            </c:strRef>
          </c:cat>
          <c:val>
            <c:numRef>
              <c:f>'Sr vrednost do 20g PRIO'!$F$6:$F$35</c:f>
              <c:numCache>
                <c:formatCode>0.00</c:formatCode>
                <c:ptCount val="30"/>
                <c:pt idx="0">
                  <c:v>1</c:v>
                </c:pt>
                <c:pt idx="1">
                  <c:v>2.17</c:v>
                </c:pt>
                <c:pt idx="2">
                  <c:v>0.64000000000000046</c:v>
                </c:pt>
                <c:pt idx="3">
                  <c:v>0.4100000000000002</c:v>
                </c:pt>
                <c:pt idx="4">
                  <c:v>1.1800000000000008</c:v>
                </c:pt>
                <c:pt idx="5">
                  <c:v>0.85000000000000042</c:v>
                </c:pt>
                <c:pt idx="6">
                  <c:v>4.3</c:v>
                </c:pt>
                <c:pt idx="7">
                  <c:v>1.5</c:v>
                </c:pt>
                <c:pt idx="8">
                  <c:v>1.9000000000000001</c:v>
                </c:pt>
                <c:pt idx="9">
                  <c:v>3.6</c:v>
                </c:pt>
                <c:pt idx="11">
                  <c:v>0.86000000000000043</c:v>
                </c:pt>
                <c:pt idx="12">
                  <c:v>0.67000000000000071</c:v>
                </c:pt>
                <c:pt idx="13">
                  <c:v>1.25</c:v>
                </c:pt>
                <c:pt idx="14">
                  <c:v>2.8</c:v>
                </c:pt>
                <c:pt idx="15">
                  <c:v>0.60000000000000042</c:v>
                </c:pt>
                <c:pt idx="16">
                  <c:v>1</c:v>
                </c:pt>
                <c:pt idx="17">
                  <c:v>1.6500000000000001</c:v>
                </c:pt>
                <c:pt idx="18">
                  <c:v>0.30000000000000021</c:v>
                </c:pt>
                <c:pt idx="19">
                  <c:v>0.37000000000000022</c:v>
                </c:pt>
                <c:pt idx="20">
                  <c:v>1.01</c:v>
                </c:pt>
                <c:pt idx="21">
                  <c:v>1.71</c:v>
                </c:pt>
                <c:pt idx="22">
                  <c:v>1.08</c:v>
                </c:pt>
                <c:pt idx="23">
                  <c:v>0.74000000000000044</c:v>
                </c:pt>
                <c:pt idx="24">
                  <c:v>0.99</c:v>
                </c:pt>
                <c:pt idx="25">
                  <c:v>0.38000000000000023</c:v>
                </c:pt>
                <c:pt idx="26">
                  <c:v>1.27</c:v>
                </c:pt>
                <c:pt idx="27">
                  <c:v>0.74000000000000044</c:v>
                </c:pt>
                <c:pt idx="28">
                  <c:v>1</c:v>
                </c:pt>
                <c:pt idx="29">
                  <c:v>0.72000000000000042</c:v>
                </c:pt>
              </c:numCache>
            </c:numRef>
          </c:val>
          <c:extLst>
            <c:ext xmlns:c16="http://schemas.microsoft.com/office/drawing/2014/chart" uri="{C3380CC4-5D6E-409C-BE32-E72D297353CC}">
              <c16:uniqueId val="{00000002-9331-4BB6-9BD8-0548B8361962}"/>
            </c:ext>
          </c:extLst>
        </c:ser>
        <c:dLbls>
          <c:showLegendKey val="0"/>
          <c:showVal val="0"/>
          <c:showCatName val="0"/>
          <c:showSerName val="0"/>
          <c:showPercent val="0"/>
          <c:showBubbleSize val="0"/>
        </c:dLbls>
        <c:gapWidth val="219"/>
        <c:axId val="105994496"/>
        <c:axId val="116330496"/>
      </c:barChart>
      <c:lineChart>
        <c:grouping val="standard"/>
        <c:varyColors val="0"/>
        <c:ser>
          <c:idx val="3"/>
          <c:order val="3"/>
          <c:tx>
            <c:strRef>
              <c:f>'Sr vrednost do 20g PRIO'!$G$5</c:f>
              <c:strCache>
                <c:ptCount val="1"/>
                <c:pt idx="0">
                  <c:v>Ср.вр.</c:v>
                </c:pt>
              </c:strCache>
            </c:strRef>
          </c:tx>
          <c:spPr>
            <a:ln w="19050" cap="rnd">
              <a:solidFill>
                <a:schemeClr val="accent4"/>
              </a:solidFill>
              <a:round/>
            </a:ln>
            <a:effectLst/>
          </c:spPr>
          <c:marker>
            <c:symbol val="none"/>
          </c:marker>
          <c:cat>
            <c:strRef>
              <c:f>'Sr vrednost do 20g PRIO'!$C$6:$C$35</c:f>
              <c:strCache>
                <c:ptCount val="30"/>
                <c:pt idx="0">
                  <c:v>AT</c:v>
                </c:pt>
                <c:pt idx="1">
                  <c:v>BE</c:v>
                </c:pt>
                <c:pt idx="2">
                  <c:v>BG</c:v>
                </c:pt>
                <c:pt idx="3">
                  <c:v>CY</c:v>
                </c:pt>
                <c:pt idx="4">
                  <c:v>CZ</c:v>
                </c:pt>
                <c:pt idx="5">
                  <c:v>DE</c:v>
                </c:pt>
                <c:pt idx="6">
                  <c:v>DK</c:v>
                </c:pt>
                <c:pt idx="7">
                  <c:v>EE</c:v>
                </c:pt>
                <c:pt idx="8">
                  <c:v>EL</c:v>
                </c:pt>
                <c:pt idx="9">
                  <c:v>FI</c:v>
                </c:pt>
                <c:pt idx="10">
                  <c:v>FR</c:v>
                </c:pt>
                <c:pt idx="11">
                  <c:v>HR</c:v>
                </c:pt>
                <c:pt idx="12">
                  <c:v>HU</c:v>
                </c:pt>
                <c:pt idx="13">
                  <c:v>IE</c:v>
                </c:pt>
                <c:pt idx="14">
                  <c:v>IT</c:v>
                </c:pt>
                <c:pt idx="15">
                  <c:v>LT</c:v>
                </c:pt>
                <c:pt idx="16">
                  <c:v>LU</c:v>
                </c:pt>
                <c:pt idx="17">
                  <c:v>LV</c:v>
                </c:pt>
                <c:pt idx="18">
                  <c:v>ME</c:v>
                </c:pt>
                <c:pt idx="19">
                  <c:v>MT</c:v>
                </c:pt>
                <c:pt idx="20">
                  <c:v>NL</c:v>
                </c:pt>
                <c:pt idx="21">
                  <c:v>NO</c:v>
                </c:pt>
                <c:pt idx="22">
                  <c:v>PL</c:v>
                </c:pt>
                <c:pt idx="23">
                  <c:v>PT</c:v>
                </c:pt>
                <c:pt idx="24">
                  <c:v>RO</c:v>
                </c:pt>
                <c:pt idx="25">
                  <c:v>RS</c:v>
                </c:pt>
                <c:pt idx="26">
                  <c:v>SE</c:v>
                </c:pt>
                <c:pt idx="27">
                  <c:v>SI</c:v>
                </c:pt>
                <c:pt idx="28">
                  <c:v>SK</c:v>
                </c:pt>
                <c:pt idx="29">
                  <c:v>TR</c:v>
                </c:pt>
              </c:strCache>
            </c:strRef>
          </c:cat>
          <c:val>
            <c:numRef>
              <c:f>'Sr vrednost do 20g PRIO'!$G$6:$G$35</c:f>
              <c:numCache>
                <c:formatCode>0.00</c:formatCode>
                <c:ptCount val="30"/>
                <c:pt idx="0">
                  <c:v>1.27</c:v>
                </c:pt>
                <c:pt idx="1">
                  <c:v>1.27</c:v>
                </c:pt>
                <c:pt idx="2">
                  <c:v>1.27</c:v>
                </c:pt>
                <c:pt idx="3">
                  <c:v>1.27</c:v>
                </c:pt>
                <c:pt idx="4">
                  <c:v>1.27</c:v>
                </c:pt>
                <c:pt idx="5">
                  <c:v>1.27</c:v>
                </c:pt>
                <c:pt idx="6">
                  <c:v>1.27</c:v>
                </c:pt>
                <c:pt idx="7">
                  <c:v>1.27</c:v>
                </c:pt>
                <c:pt idx="8">
                  <c:v>1.27</c:v>
                </c:pt>
                <c:pt idx="9">
                  <c:v>1.27</c:v>
                </c:pt>
                <c:pt idx="10">
                  <c:v>1.27</c:v>
                </c:pt>
                <c:pt idx="11">
                  <c:v>1.27</c:v>
                </c:pt>
                <c:pt idx="12">
                  <c:v>1.27</c:v>
                </c:pt>
                <c:pt idx="13">
                  <c:v>1.27</c:v>
                </c:pt>
                <c:pt idx="14">
                  <c:v>1.27</c:v>
                </c:pt>
                <c:pt idx="15">
                  <c:v>1.27</c:v>
                </c:pt>
                <c:pt idx="16">
                  <c:v>1.27</c:v>
                </c:pt>
                <c:pt idx="17">
                  <c:v>1.27</c:v>
                </c:pt>
                <c:pt idx="18">
                  <c:v>1.27</c:v>
                </c:pt>
                <c:pt idx="19">
                  <c:v>1.27</c:v>
                </c:pt>
                <c:pt idx="20">
                  <c:v>1.27</c:v>
                </c:pt>
                <c:pt idx="21">
                  <c:v>1.27</c:v>
                </c:pt>
                <c:pt idx="22">
                  <c:v>1.27</c:v>
                </c:pt>
                <c:pt idx="23">
                  <c:v>1.27</c:v>
                </c:pt>
                <c:pt idx="24">
                  <c:v>1.27</c:v>
                </c:pt>
                <c:pt idx="25">
                  <c:v>1.27</c:v>
                </c:pt>
                <c:pt idx="26">
                  <c:v>1.27</c:v>
                </c:pt>
                <c:pt idx="27">
                  <c:v>1.27</c:v>
                </c:pt>
                <c:pt idx="28">
                  <c:v>1.27</c:v>
                </c:pt>
                <c:pt idx="29">
                  <c:v>1.27</c:v>
                </c:pt>
              </c:numCache>
            </c:numRef>
          </c:val>
          <c:smooth val="0"/>
          <c:extLst>
            <c:ext xmlns:c16="http://schemas.microsoft.com/office/drawing/2014/chart" uri="{C3380CC4-5D6E-409C-BE32-E72D297353CC}">
              <c16:uniqueId val="{00000003-9331-4BB6-9BD8-0548B8361962}"/>
            </c:ext>
          </c:extLst>
        </c:ser>
        <c:dLbls>
          <c:showLegendKey val="0"/>
          <c:showVal val="0"/>
          <c:showCatName val="0"/>
          <c:showSerName val="0"/>
          <c:showPercent val="0"/>
          <c:showBubbleSize val="0"/>
        </c:dLbls>
        <c:marker val="1"/>
        <c:smooth val="0"/>
        <c:axId val="105994496"/>
        <c:axId val="116330496"/>
      </c:lineChart>
      <c:catAx>
        <c:axId val="105994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16330496"/>
        <c:crosses val="autoZero"/>
        <c:auto val="1"/>
        <c:lblAlgn val="ctr"/>
        <c:lblOffset val="100"/>
        <c:noMultiLvlLbl val="0"/>
      </c:catAx>
      <c:valAx>
        <c:axId val="116330496"/>
        <c:scaling>
          <c:orientation val="minMax"/>
          <c:max val="4.5"/>
          <c:min val="0"/>
        </c:scaling>
        <c:delete val="0"/>
        <c:axPos val="l"/>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0599449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DD45E6F-2DA6-442C-BFC7-4C1CB13BAA78}">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BB7C4-8D73-44DE-98A4-7EEDDE487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23947</Words>
  <Characters>125249</Characters>
  <Application>Microsoft Office Word</Application>
  <DocSecurity>0</DocSecurity>
  <Lines>4318</Lines>
  <Paragraphs>2162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Slađana Trubint</dc:creator>
  <cp:lastModifiedBy>Bojan Grgić</cp:lastModifiedBy>
  <cp:revision>2</cp:revision>
  <cp:lastPrinted>2026-02-18T11:05:00Z</cp:lastPrinted>
  <dcterms:created xsi:type="dcterms:W3CDTF">2026-02-23T09:44:00Z</dcterms:created>
  <dcterms:modified xsi:type="dcterms:W3CDTF">2026-02-23T09:44:00Z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96843560-2485-43ab-b16d-4b2a77519cdd</vt:lpwstr>
  </property>
</Properties>
</file>