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0B3DB4" w14:textId="77777777" w:rsidR="00EE76E6" w:rsidRDefault="002B7721" w:rsidP="002B7721">
      <w:pPr>
        <w:shd w:val="clear" w:color="auto" w:fill="FFFFFF"/>
        <w:jc w:val="center"/>
        <w:rPr>
          <w:b/>
          <w:lang w:val="sr-Cyrl-RS"/>
        </w:rPr>
      </w:pPr>
      <w:r w:rsidRPr="00EE76E6">
        <w:rPr>
          <w:b/>
          <w:lang w:val="sr-Cyrl-RS"/>
        </w:rPr>
        <w:t>ИЗЈАВ</w:t>
      </w:r>
      <w:r w:rsidR="00C526E2" w:rsidRPr="00EE76E6">
        <w:rPr>
          <w:b/>
          <w:lang w:val="sr-Cyrl-RS"/>
        </w:rPr>
        <w:t>А</w:t>
      </w:r>
      <w:r w:rsidRPr="00EE76E6">
        <w:rPr>
          <w:b/>
          <w:lang w:val="sr-Cyrl-RS"/>
        </w:rPr>
        <w:t xml:space="preserve"> О УСКЛАЂЕНОСТИ ПРОПИСА</w:t>
      </w:r>
    </w:p>
    <w:p w14:paraId="0EF2E658" w14:textId="3F364BEB" w:rsidR="002B7721" w:rsidRPr="00EE76E6" w:rsidRDefault="002B7721" w:rsidP="002B7721">
      <w:pPr>
        <w:shd w:val="clear" w:color="auto" w:fill="FFFFFF"/>
        <w:jc w:val="center"/>
        <w:rPr>
          <w:b/>
          <w:lang w:val="sr-Cyrl-RS"/>
        </w:rPr>
      </w:pPr>
      <w:r w:rsidRPr="00EE76E6">
        <w:rPr>
          <w:b/>
          <w:lang w:val="sr-Cyrl-RS"/>
        </w:rPr>
        <w:t xml:space="preserve"> СА ПРОПИСИМА ЕВРОПСКЕ УНИЈЕ</w:t>
      </w:r>
    </w:p>
    <w:p w14:paraId="177B64B6" w14:textId="77777777" w:rsidR="002B7721" w:rsidRPr="005B4924" w:rsidRDefault="002B7721" w:rsidP="002B7721">
      <w:pPr>
        <w:pStyle w:val="FootnoteText"/>
        <w:spacing w:line="240" w:lineRule="auto"/>
        <w:rPr>
          <w:lang w:val="sr-Cyrl-RS"/>
        </w:rPr>
      </w:pPr>
    </w:p>
    <w:p w14:paraId="73D34A12" w14:textId="5AE04083" w:rsidR="002B7721" w:rsidRPr="005B4924" w:rsidRDefault="002B7721" w:rsidP="002B7721">
      <w:pPr>
        <w:jc w:val="both"/>
        <w:rPr>
          <w:lang w:val="sr-Cyrl-RS"/>
        </w:rPr>
      </w:pPr>
      <w:r w:rsidRPr="005B4924">
        <w:rPr>
          <w:lang w:val="sr-Cyrl-RS"/>
        </w:rPr>
        <w:t xml:space="preserve">1. </w:t>
      </w:r>
      <w:r w:rsidR="004E0623" w:rsidRPr="005B4924">
        <w:rPr>
          <w:lang w:val="sr-Cyrl-RS"/>
        </w:rPr>
        <w:t>O</w:t>
      </w:r>
      <w:r w:rsidRPr="005B4924">
        <w:rPr>
          <w:lang w:val="sr-Cyrl-RS"/>
        </w:rPr>
        <w:t xml:space="preserve">влашћени предлагач </w:t>
      </w:r>
      <w:r w:rsidR="004E0623" w:rsidRPr="005B4924">
        <w:rPr>
          <w:lang w:val="sr-Cyrl-RS"/>
        </w:rPr>
        <w:t xml:space="preserve">– Влада </w:t>
      </w:r>
    </w:p>
    <w:p w14:paraId="0BCD77F9" w14:textId="77777777" w:rsidR="002B7721" w:rsidRPr="005B4924" w:rsidRDefault="002B7721" w:rsidP="002B7721">
      <w:pPr>
        <w:rPr>
          <w:lang w:val="sr-Cyrl-RS"/>
        </w:rPr>
      </w:pPr>
    </w:p>
    <w:p w14:paraId="6480406E" w14:textId="628173B3" w:rsidR="002B7721" w:rsidRPr="005B4924" w:rsidRDefault="004E0623" w:rsidP="002B7721">
      <w:pPr>
        <w:rPr>
          <w:lang w:val="sr-Cyrl-RS"/>
        </w:rPr>
      </w:pPr>
      <w:r w:rsidRPr="005B4924">
        <w:rPr>
          <w:lang w:val="sr-Cyrl-RS"/>
        </w:rPr>
        <w:t xml:space="preserve"> Обрађивач -</w:t>
      </w:r>
      <w:r w:rsidR="00EE76E6">
        <w:rPr>
          <w:lang w:val="sr-Cyrl-RS"/>
        </w:rPr>
        <w:t xml:space="preserve"> М</w:t>
      </w:r>
      <w:r w:rsidR="00EE76E6" w:rsidRPr="005B4924">
        <w:rPr>
          <w:lang w:val="sr-Cyrl-RS"/>
        </w:rPr>
        <w:t xml:space="preserve">инистарство рударства и енергетике </w:t>
      </w:r>
    </w:p>
    <w:p w14:paraId="2734A5E9" w14:textId="77777777" w:rsidR="002B7721" w:rsidRPr="005B4924" w:rsidRDefault="002B7721" w:rsidP="002B7721">
      <w:pPr>
        <w:jc w:val="both"/>
        <w:rPr>
          <w:lang w:val="sr-Cyrl-RS"/>
        </w:rPr>
      </w:pPr>
    </w:p>
    <w:p w14:paraId="29CDAF57" w14:textId="77777777" w:rsidR="002B7721" w:rsidRPr="005B4924" w:rsidRDefault="002B7721" w:rsidP="002B7721">
      <w:pPr>
        <w:jc w:val="both"/>
        <w:rPr>
          <w:lang w:val="sr-Cyrl-RS"/>
        </w:rPr>
      </w:pPr>
      <w:r w:rsidRPr="005B4924">
        <w:rPr>
          <w:lang w:val="sr-Cyrl-RS"/>
        </w:rPr>
        <w:t>2. Назив прописа</w:t>
      </w:r>
    </w:p>
    <w:p w14:paraId="52CC7253" w14:textId="77777777" w:rsidR="002B7721" w:rsidRPr="005B4924" w:rsidRDefault="002B7721" w:rsidP="002B7721">
      <w:pPr>
        <w:jc w:val="both"/>
        <w:rPr>
          <w:lang w:val="sr-Cyrl-RS"/>
        </w:rPr>
      </w:pPr>
    </w:p>
    <w:p w14:paraId="5E5DE41F" w14:textId="471E243E" w:rsidR="00776D93" w:rsidRPr="005B4924" w:rsidRDefault="004E0623" w:rsidP="00776D93">
      <w:pPr>
        <w:spacing w:before="120" w:after="120"/>
        <w:jc w:val="both"/>
        <w:rPr>
          <w:rFonts w:eastAsia="Calibri"/>
          <w:lang w:val="sr-Cyrl-RS" w:eastAsia="en-US"/>
        </w:rPr>
      </w:pPr>
      <w:r w:rsidRPr="005B4924">
        <w:rPr>
          <w:rFonts w:eastAsia="Calibri"/>
          <w:lang w:val="sr-Cyrl-RS" w:eastAsia="en-US"/>
        </w:rPr>
        <w:t xml:space="preserve">ПРЕДЛОГ </w:t>
      </w:r>
      <w:r w:rsidR="00164BD8" w:rsidRPr="005B4924">
        <w:rPr>
          <w:rFonts w:eastAsia="Calibri"/>
          <w:lang w:val="sr-Cyrl-RS" w:eastAsia="en-US"/>
        </w:rPr>
        <w:t>ЗАКОН</w:t>
      </w:r>
      <w:r w:rsidR="009C7494" w:rsidRPr="005B4924">
        <w:rPr>
          <w:rFonts w:eastAsia="Calibri"/>
          <w:lang w:val="sr-Cyrl-RS" w:eastAsia="en-US"/>
        </w:rPr>
        <w:t>А</w:t>
      </w:r>
      <w:r w:rsidR="0088768B" w:rsidRPr="005B4924">
        <w:rPr>
          <w:rFonts w:eastAsia="Calibri"/>
          <w:lang w:val="sr-Cyrl-RS" w:eastAsia="en-US"/>
        </w:rPr>
        <w:t xml:space="preserve"> </w:t>
      </w:r>
      <w:r w:rsidR="00164BD8" w:rsidRPr="005B4924">
        <w:rPr>
          <w:rFonts w:eastAsia="Calibri"/>
          <w:lang w:val="sr-Cyrl-RS" w:eastAsia="en-US"/>
        </w:rPr>
        <w:t>О ГАСУ</w:t>
      </w:r>
    </w:p>
    <w:p w14:paraId="484C3E20" w14:textId="72BFEE12" w:rsidR="00A1594D" w:rsidRPr="005B4924" w:rsidRDefault="00A1594D" w:rsidP="00776D93">
      <w:pPr>
        <w:spacing w:before="120" w:after="120"/>
        <w:jc w:val="both"/>
        <w:rPr>
          <w:rFonts w:eastAsia="Calibri"/>
          <w:lang w:val="sr-Cyrl-RS" w:eastAsia="en-US"/>
        </w:rPr>
      </w:pPr>
      <w:r w:rsidRPr="005B4924">
        <w:rPr>
          <w:rFonts w:eastAsia="Calibri"/>
          <w:lang w:val="sr-Cyrl-RS" w:eastAsia="en-US"/>
        </w:rPr>
        <w:t xml:space="preserve">DRAF OF LAW </w:t>
      </w:r>
      <w:r w:rsidR="00F06551" w:rsidRPr="005B4924">
        <w:rPr>
          <w:rFonts w:eastAsia="Calibri"/>
          <w:lang w:val="sr-Cyrl-RS" w:eastAsia="en-US"/>
        </w:rPr>
        <w:t>ON GAS</w:t>
      </w:r>
    </w:p>
    <w:p w14:paraId="1BA41763" w14:textId="77777777" w:rsidR="00776D93" w:rsidRPr="005B4924" w:rsidRDefault="00776D93" w:rsidP="00776D93">
      <w:pPr>
        <w:spacing w:before="120" w:after="120"/>
        <w:jc w:val="both"/>
        <w:rPr>
          <w:rFonts w:eastAsia="Calibri"/>
          <w:lang w:val="sr-Cyrl-RS" w:eastAsia="en-US"/>
        </w:rPr>
      </w:pPr>
    </w:p>
    <w:p w14:paraId="1124F4B1" w14:textId="77777777" w:rsidR="002B7721" w:rsidRPr="005B4924" w:rsidRDefault="002B7721" w:rsidP="002B7721">
      <w:pPr>
        <w:jc w:val="both"/>
        <w:rPr>
          <w:lang w:val="sr-Cyrl-RS"/>
        </w:rPr>
      </w:pPr>
      <w:r w:rsidRPr="005B4924">
        <w:rPr>
          <w:lang w:val="sr-Cyrl-R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14:paraId="51CBF0E2" w14:textId="77777777" w:rsidR="00CC1721" w:rsidRPr="005B4924" w:rsidRDefault="00CC1721" w:rsidP="002B7721">
      <w:pPr>
        <w:jc w:val="both"/>
        <w:rPr>
          <w:lang w:val="sr-Cyrl-RS"/>
        </w:rPr>
      </w:pPr>
    </w:p>
    <w:p w14:paraId="17E4EBFD" w14:textId="77777777" w:rsidR="002B7721" w:rsidRPr="005B4924" w:rsidRDefault="002B7721" w:rsidP="002B7721">
      <w:pPr>
        <w:jc w:val="both"/>
        <w:rPr>
          <w:lang w:val="sr-Cyrl-RS"/>
        </w:rPr>
      </w:pPr>
      <w:r w:rsidRPr="005B4924">
        <w:rPr>
          <w:lang w:val="sr-Cyrl-RS"/>
        </w:rPr>
        <w:t>а) Одредба Споразума која се односи на нормативну садржину прописа,</w:t>
      </w:r>
    </w:p>
    <w:p w14:paraId="443E133D" w14:textId="77777777" w:rsidR="00CC1721" w:rsidRPr="005B4924" w:rsidRDefault="00CC1721" w:rsidP="002B7721">
      <w:pPr>
        <w:jc w:val="both"/>
        <w:rPr>
          <w:lang w:val="sr-Cyrl-RS"/>
        </w:rPr>
      </w:pPr>
    </w:p>
    <w:p w14:paraId="1C74EC32" w14:textId="1CCE7466" w:rsidR="00CC1721" w:rsidRPr="005B4924" w:rsidRDefault="00CC1721" w:rsidP="00CC1721">
      <w:pPr>
        <w:jc w:val="both"/>
        <w:rPr>
          <w:lang w:val="sr-Cyrl-RS"/>
        </w:rPr>
      </w:pPr>
      <w:r w:rsidRPr="005B4924">
        <w:rPr>
          <w:lang w:val="sr-Cyrl-RS"/>
        </w:rPr>
        <w:t>Наслов VIII Политике сарадње, члан 109. - Енергетика</w:t>
      </w:r>
    </w:p>
    <w:p w14:paraId="4C95F642" w14:textId="77777777" w:rsidR="00CC1721" w:rsidRPr="005B4924" w:rsidRDefault="00CC1721" w:rsidP="002B7721">
      <w:pPr>
        <w:jc w:val="both"/>
        <w:rPr>
          <w:lang w:val="sr-Cyrl-RS"/>
        </w:rPr>
      </w:pPr>
    </w:p>
    <w:p w14:paraId="30150F61" w14:textId="77777777" w:rsidR="002B7721" w:rsidRPr="005B4924" w:rsidRDefault="002B7721" w:rsidP="002B7721">
      <w:pPr>
        <w:jc w:val="both"/>
        <w:rPr>
          <w:lang w:val="sr-Cyrl-RS"/>
        </w:rPr>
      </w:pPr>
      <w:r w:rsidRPr="005B4924">
        <w:rPr>
          <w:lang w:val="sr-Cyrl-RS"/>
        </w:rPr>
        <w:t>б) Прелазни рок за усклађивање законодавства према одредбама Споразума,</w:t>
      </w:r>
    </w:p>
    <w:p w14:paraId="32FBC811" w14:textId="77777777" w:rsidR="00CC1721" w:rsidRPr="005B4924" w:rsidRDefault="00CC1721" w:rsidP="002B7721">
      <w:pPr>
        <w:jc w:val="both"/>
        <w:rPr>
          <w:lang w:val="sr-Cyrl-RS"/>
        </w:rPr>
      </w:pPr>
    </w:p>
    <w:p w14:paraId="00370720" w14:textId="418530A0" w:rsidR="00CC1721" w:rsidRPr="005B4924" w:rsidRDefault="00CC1721" w:rsidP="00CC1721">
      <w:pPr>
        <w:jc w:val="both"/>
        <w:rPr>
          <w:lang w:val="sr-Cyrl-RS"/>
        </w:rPr>
      </w:pPr>
      <w:r w:rsidRPr="005B4924">
        <w:rPr>
          <w:lang w:val="sr-Cyrl-RS"/>
        </w:rPr>
        <w:t>- општи рок</w:t>
      </w:r>
      <w:r w:rsidR="00896299" w:rsidRPr="005B4924">
        <w:rPr>
          <w:lang w:val="sr-Cyrl-RS"/>
        </w:rPr>
        <w:t>, чл. 72</w:t>
      </w:r>
      <w:r w:rsidR="008A3D2B" w:rsidRPr="005B4924">
        <w:rPr>
          <w:lang w:val="sr-Cyrl-RS"/>
        </w:rPr>
        <w:t>.</w:t>
      </w:r>
      <w:r w:rsidR="00896299" w:rsidRPr="005B4924">
        <w:rPr>
          <w:lang w:val="sr-Cyrl-RS"/>
        </w:rPr>
        <w:t xml:space="preserve"> у вези са чл.</w:t>
      </w:r>
      <w:r w:rsidR="008A3D2B" w:rsidRPr="005B4924">
        <w:rPr>
          <w:lang w:val="sr-Cyrl-RS"/>
        </w:rPr>
        <w:t xml:space="preserve"> </w:t>
      </w:r>
      <w:r w:rsidR="00896299" w:rsidRPr="005B4924">
        <w:rPr>
          <w:lang w:val="sr-Cyrl-RS"/>
        </w:rPr>
        <w:t>8</w:t>
      </w:r>
      <w:r w:rsidR="008A3D2B" w:rsidRPr="005B4924">
        <w:rPr>
          <w:lang w:val="sr-Cyrl-RS"/>
        </w:rPr>
        <w:t>.</w:t>
      </w:r>
      <w:r w:rsidR="00896299" w:rsidRPr="005B4924">
        <w:rPr>
          <w:lang w:val="sr-Cyrl-RS"/>
        </w:rPr>
        <w:t xml:space="preserve"> Споразума</w:t>
      </w:r>
    </w:p>
    <w:p w14:paraId="5A190D06" w14:textId="77777777" w:rsidR="00CC1721" w:rsidRPr="005B4924" w:rsidRDefault="00CC1721" w:rsidP="002B7721">
      <w:pPr>
        <w:jc w:val="both"/>
        <w:rPr>
          <w:lang w:val="sr-Cyrl-RS"/>
        </w:rPr>
      </w:pPr>
    </w:p>
    <w:p w14:paraId="0E157414" w14:textId="77777777" w:rsidR="002B7721" w:rsidRPr="005B4924" w:rsidRDefault="002B7721" w:rsidP="002B7721">
      <w:pPr>
        <w:jc w:val="both"/>
        <w:rPr>
          <w:lang w:val="sr-Cyrl-RS"/>
        </w:rPr>
      </w:pPr>
      <w:r w:rsidRPr="005B4924">
        <w:rPr>
          <w:lang w:val="sr-Cyrl-RS"/>
        </w:rPr>
        <w:t>в) Оцена испуњености обавезе које произлазе из наведене одредбе Споразума,</w:t>
      </w:r>
    </w:p>
    <w:p w14:paraId="6812DD68" w14:textId="77777777" w:rsidR="00CC1721" w:rsidRPr="005B4924" w:rsidRDefault="00CC1721" w:rsidP="002B7721">
      <w:pPr>
        <w:jc w:val="both"/>
        <w:rPr>
          <w:lang w:val="sr-Cyrl-RS"/>
        </w:rPr>
      </w:pPr>
    </w:p>
    <w:p w14:paraId="36C4DD30" w14:textId="77777777" w:rsidR="00CC1721" w:rsidRPr="005B4924" w:rsidRDefault="00CC1721" w:rsidP="00CC1721">
      <w:pPr>
        <w:contextualSpacing/>
        <w:rPr>
          <w:lang w:val="sr-Cyrl-RS"/>
        </w:rPr>
      </w:pPr>
      <w:r w:rsidRPr="005B4924">
        <w:rPr>
          <w:lang w:val="sr-Cyrl-RS"/>
        </w:rPr>
        <w:t xml:space="preserve">- делимично испуњава </w:t>
      </w:r>
    </w:p>
    <w:p w14:paraId="39663E53" w14:textId="77777777" w:rsidR="00CC1721" w:rsidRPr="005B4924" w:rsidRDefault="00CC1721" w:rsidP="002B7721">
      <w:pPr>
        <w:jc w:val="both"/>
        <w:rPr>
          <w:lang w:val="sr-Cyrl-RS"/>
        </w:rPr>
      </w:pPr>
    </w:p>
    <w:p w14:paraId="2271BF5C" w14:textId="77777777" w:rsidR="002B7721" w:rsidRPr="005B4924" w:rsidRDefault="002B7721" w:rsidP="002B7721">
      <w:pPr>
        <w:jc w:val="both"/>
        <w:rPr>
          <w:lang w:val="sr-Cyrl-RS"/>
        </w:rPr>
      </w:pPr>
      <w:r w:rsidRPr="005B4924">
        <w:rPr>
          <w:lang w:val="sr-Cyrl-RS"/>
        </w:rPr>
        <w:t>г) Разлози за делимично испуњавање, односно неиспуњавање обавеза које произлазе из наведене одредбе Споразума,</w:t>
      </w:r>
    </w:p>
    <w:p w14:paraId="00C6F1A9" w14:textId="77777777" w:rsidR="00CC1721" w:rsidRPr="005B4924" w:rsidRDefault="00CC1721" w:rsidP="002B7721">
      <w:pPr>
        <w:jc w:val="both"/>
        <w:rPr>
          <w:lang w:val="sr-Cyrl-RS"/>
        </w:rPr>
      </w:pPr>
    </w:p>
    <w:p w14:paraId="6B318D93" w14:textId="77777777" w:rsidR="00CC1721" w:rsidRPr="005B4924" w:rsidRDefault="00CC1721" w:rsidP="00CC1721">
      <w:pPr>
        <w:jc w:val="both"/>
        <w:rPr>
          <w:lang w:val="sr-Cyrl-RS"/>
        </w:rPr>
      </w:pPr>
      <w:r w:rsidRPr="005B4924">
        <w:rPr>
          <w:lang w:val="sr-Cyrl-RS"/>
        </w:rPr>
        <w:t xml:space="preserve">Потпуна усклађеност са чланом 109. оствариће се након </w:t>
      </w:r>
      <w:r w:rsidR="00F32581" w:rsidRPr="005B4924">
        <w:rPr>
          <w:lang w:val="sr-Cyrl-RS"/>
        </w:rPr>
        <w:t>приступања</w:t>
      </w:r>
      <w:r w:rsidRPr="005B4924">
        <w:rPr>
          <w:lang w:val="sr-Cyrl-RS"/>
        </w:rPr>
        <w:t xml:space="preserve"> Републике Србије Европској унији и транспоновања чланова везаних за чланице Европске уније који су сада непримењиви. </w:t>
      </w:r>
    </w:p>
    <w:p w14:paraId="67112E8C" w14:textId="77777777" w:rsidR="00CC1721" w:rsidRPr="005B4924" w:rsidRDefault="00CC1721" w:rsidP="002B7721">
      <w:pPr>
        <w:jc w:val="both"/>
        <w:rPr>
          <w:lang w:val="sr-Cyrl-RS"/>
        </w:rPr>
      </w:pPr>
    </w:p>
    <w:p w14:paraId="193396B1" w14:textId="77777777" w:rsidR="002B7721" w:rsidRPr="005B4924" w:rsidRDefault="002B7721" w:rsidP="002B7721">
      <w:pPr>
        <w:jc w:val="both"/>
        <w:rPr>
          <w:lang w:val="sr-Cyrl-RS"/>
        </w:rPr>
      </w:pPr>
      <w:r w:rsidRPr="005B4924">
        <w:rPr>
          <w:lang w:val="sr-Cyrl-RS"/>
        </w:rPr>
        <w:t>д) Веза са Националним програмом за усвајање правних тековина Европске уније.</w:t>
      </w:r>
    </w:p>
    <w:p w14:paraId="6B28B201" w14:textId="77777777" w:rsidR="00CC1721" w:rsidRPr="005B4924" w:rsidRDefault="00CC1721" w:rsidP="002B7721">
      <w:pPr>
        <w:jc w:val="both"/>
        <w:rPr>
          <w:lang w:val="sr-Cyrl-RS"/>
        </w:rPr>
      </w:pPr>
    </w:p>
    <w:p w14:paraId="5C33B9E2" w14:textId="77777777" w:rsidR="009C3464" w:rsidRPr="005B4924" w:rsidRDefault="009C3464" w:rsidP="009C3464">
      <w:pPr>
        <w:jc w:val="both"/>
        <w:rPr>
          <w:lang w:val="sr-Cyrl-RS"/>
        </w:rPr>
      </w:pPr>
      <w:r w:rsidRPr="005B4924">
        <w:rPr>
          <w:lang w:val="sr-Cyrl-RS"/>
        </w:rPr>
        <w:t xml:space="preserve">Место у структури НПАА: Поглавље III – Способност преузимања обавеза из чланства у ЕУ;  Потпоглавље 3.15 – Енергетика; 3.15.1 – Енергетско тржиште и сигурност снабдевања. </w:t>
      </w:r>
    </w:p>
    <w:p w14:paraId="476F0A63" w14:textId="24D8384B" w:rsidR="009C3464" w:rsidRPr="005B4924" w:rsidRDefault="009C3464" w:rsidP="009C3464">
      <w:pPr>
        <w:jc w:val="both"/>
        <w:rPr>
          <w:lang w:val="sr-Cyrl-RS"/>
        </w:rPr>
      </w:pPr>
      <w:r w:rsidRPr="005B4924">
        <w:rPr>
          <w:lang w:val="sr-Cyrl-RS"/>
        </w:rPr>
        <w:t>Шифра прописа у бази НПАА: 2025-</w:t>
      </w:r>
      <w:r w:rsidR="00F66F36" w:rsidRPr="005B4924">
        <w:rPr>
          <w:lang w:val="sr-Cyrl-RS"/>
        </w:rPr>
        <w:t>71</w:t>
      </w:r>
    </w:p>
    <w:p w14:paraId="09EE5867" w14:textId="1B407837" w:rsidR="009C3464" w:rsidRDefault="009C3464" w:rsidP="009C3464">
      <w:pPr>
        <w:jc w:val="both"/>
        <w:rPr>
          <w:lang w:val="sr-Cyrl-RS"/>
        </w:rPr>
      </w:pPr>
      <w:r w:rsidRPr="005B4924">
        <w:rPr>
          <w:lang w:val="sr-Cyrl-RS"/>
        </w:rPr>
        <w:t>Рок за доношење: 2025/I</w:t>
      </w:r>
      <w:r w:rsidR="00985FFA" w:rsidRPr="005B4924">
        <w:rPr>
          <w:lang w:val="sr-Cyrl-RS"/>
        </w:rPr>
        <w:t>V</w:t>
      </w:r>
    </w:p>
    <w:p w14:paraId="135095D3" w14:textId="159069D7" w:rsidR="00EE76E6" w:rsidRDefault="00EE76E6" w:rsidP="009C3464">
      <w:pPr>
        <w:jc w:val="both"/>
        <w:rPr>
          <w:lang w:val="sr-Cyrl-RS"/>
        </w:rPr>
      </w:pPr>
    </w:p>
    <w:p w14:paraId="60391AB2" w14:textId="09C20458" w:rsidR="00EE76E6" w:rsidRDefault="00EE76E6" w:rsidP="009C3464">
      <w:pPr>
        <w:jc w:val="both"/>
        <w:rPr>
          <w:lang w:val="sr-Cyrl-RS"/>
        </w:rPr>
      </w:pPr>
    </w:p>
    <w:p w14:paraId="732D6A19" w14:textId="77777777" w:rsidR="00EE76E6" w:rsidRPr="005B4924" w:rsidRDefault="00EE76E6" w:rsidP="009C3464">
      <w:pPr>
        <w:jc w:val="both"/>
        <w:rPr>
          <w:lang w:val="sr-Cyrl-RS"/>
        </w:rPr>
      </w:pPr>
    </w:p>
    <w:p w14:paraId="5DC5E99D" w14:textId="77777777" w:rsidR="002B7721" w:rsidRPr="005B4924" w:rsidRDefault="002B7721" w:rsidP="002B7721">
      <w:pPr>
        <w:jc w:val="both"/>
        <w:rPr>
          <w:lang w:val="sr-Cyrl-RS"/>
        </w:rPr>
      </w:pPr>
    </w:p>
    <w:p w14:paraId="0CA00ABF" w14:textId="77777777" w:rsidR="002B7721" w:rsidRPr="005B4924" w:rsidRDefault="002B7721" w:rsidP="002B7721">
      <w:pPr>
        <w:jc w:val="both"/>
        <w:rPr>
          <w:lang w:val="sr-Cyrl-RS"/>
        </w:rPr>
      </w:pPr>
      <w:r w:rsidRPr="005B4924">
        <w:rPr>
          <w:lang w:val="sr-Cyrl-RS"/>
        </w:rPr>
        <w:lastRenderedPageBreak/>
        <w:t>4. Усклађеност прописа са прописима Европске уније:</w:t>
      </w:r>
    </w:p>
    <w:p w14:paraId="72C90BA3" w14:textId="77777777" w:rsidR="002B7721" w:rsidRPr="005B4924" w:rsidRDefault="002B7721" w:rsidP="002B7721">
      <w:pPr>
        <w:jc w:val="both"/>
        <w:rPr>
          <w:lang w:val="sr-Cyrl-RS"/>
        </w:rPr>
      </w:pPr>
    </w:p>
    <w:p w14:paraId="25D06CA5" w14:textId="2CC73C49" w:rsidR="002B7721" w:rsidRPr="005B4924" w:rsidRDefault="002B7721" w:rsidP="002B7721">
      <w:pPr>
        <w:jc w:val="both"/>
        <w:rPr>
          <w:lang w:val="sr-Cyrl-RS"/>
        </w:rPr>
      </w:pPr>
      <w:r w:rsidRPr="005B4924">
        <w:rPr>
          <w:lang w:val="sr-Cyrl-RS"/>
        </w:rPr>
        <w:t>а) Навођење одредби примарних извора права Европске уније и оцене усклађености са њима,</w:t>
      </w:r>
    </w:p>
    <w:p w14:paraId="72608319" w14:textId="77777777" w:rsidR="00434233" w:rsidRPr="005B4924" w:rsidRDefault="00434233" w:rsidP="002B7721">
      <w:pPr>
        <w:jc w:val="both"/>
        <w:rPr>
          <w:lang w:val="sr-Cyrl-RS"/>
        </w:rPr>
      </w:pPr>
    </w:p>
    <w:p w14:paraId="2E95B615" w14:textId="30AF9DB2" w:rsidR="003B2717" w:rsidRPr="005B4924" w:rsidRDefault="0067754A" w:rsidP="00BE5ED4">
      <w:pPr>
        <w:spacing w:after="120"/>
        <w:jc w:val="both"/>
        <w:rPr>
          <w:lang w:val="sr-Cyrl-RS"/>
        </w:rPr>
      </w:pPr>
      <w:r w:rsidRPr="005B4924">
        <w:rPr>
          <w:lang w:val="sr-Cyrl-RS"/>
        </w:rPr>
        <w:t>Уговор о функционисању Европске уније, Део трећи, Политике заједнице и унутрашње мере, Наслов XXI, Енергетика, члан 194.</w:t>
      </w:r>
      <w:r w:rsidR="00EC563D" w:rsidRPr="005B4924">
        <w:rPr>
          <w:lang w:val="sr-Cyrl-RS"/>
        </w:rPr>
        <w:t xml:space="preserve"> </w:t>
      </w:r>
      <w:r w:rsidR="00B746EE" w:rsidRPr="005B4924">
        <w:rPr>
          <w:lang w:val="sr-Cyrl-RS"/>
        </w:rPr>
        <w:t xml:space="preserve">- </w:t>
      </w:r>
      <w:r w:rsidR="00BE5ED4" w:rsidRPr="005B4924">
        <w:rPr>
          <w:lang w:val="sr-Cyrl-RS"/>
        </w:rPr>
        <w:t>потпуно</w:t>
      </w:r>
      <w:r w:rsidR="00B746EE" w:rsidRPr="005B4924">
        <w:rPr>
          <w:lang w:val="sr-Cyrl-RS"/>
        </w:rPr>
        <w:t xml:space="preserve"> усклађено </w:t>
      </w:r>
    </w:p>
    <w:p w14:paraId="47D2026A" w14:textId="0E69DB71" w:rsidR="00BE5ED4" w:rsidRPr="005B4924" w:rsidRDefault="00BE5ED4" w:rsidP="00BE5ED4">
      <w:pPr>
        <w:spacing w:after="120"/>
        <w:jc w:val="both"/>
        <w:rPr>
          <w:lang w:val="sr-Cyrl-RS"/>
        </w:rPr>
      </w:pPr>
      <w:bookmarkStart w:id="0" w:name="_Hlk211252250"/>
      <w:r w:rsidRPr="005B4924">
        <w:rPr>
          <w:lang w:val="sr-Cyrl-RS"/>
        </w:rPr>
        <w:t xml:space="preserve">Уговор о оснивању Енергетске заједнице између Европске заједнице и Републике Албаније, Републике Бугарске, Босне и Херцеговине, Републике Хрватске, Бивше Југословенске Републике Македоније, Републике Црне Горе, Румуније, Републике Србије и Привремене Мисије Уједињених нација на Косову у складу са Резолуцијом 1244 Савета безбедности Уједињених нација, Глава II - acquis о енергетици, члан 10. и ГЛАВА VII - прилагођавање и развој acquis, члан 25. – потпуно усклађено </w:t>
      </w:r>
    </w:p>
    <w:bookmarkEnd w:id="0"/>
    <w:p w14:paraId="799442C2" w14:textId="77777777" w:rsidR="00BE5ED4" w:rsidRPr="005B4924" w:rsidRDefault="00BE5ED4" w:rsidP="002B7721">
      <w:pPr>
        <w:jc w:val="both"/>
        <w:rPr>
          <w:lang w:val="sr-Cyrl-RS"/>
        </w:rPr>
      </w:pPr>
    </w:p>
    <w:p w14:paraId="40770591" w14:textId="77777777" w:rsidR="00F32581" w:rsidRPr="005B4924" w:rsidRDefault="00F32581" w:rsidP="002B7721">
      <w:pPr>
        <w:jc w:val="both"/>
        <w:rPr>
          <w:lang w:val="sr-Cyrl-RS"/>
        </w:rPr>
      </w:pPr>
    </w:p>
    <w:p w14:paraId="311D5F86" w14:textId="77777777" w:rsidR="002B7721" w:rsidRPr="005B4924" w:rsidRDefault="002B7721" w:rsidP="002B7721">
      <w:pPr>
        <w:jc w:val="both"/>
        <w:rPr>
          <w:lang w:val="sr-Cyrl-RS"/>
        </w:rPr>
      </w:pPr>
      <w:r w:rsidRPr="005B4924">
        <w:rPr>
          <w:lang w:val="sr-Cyrl-RS"/>
        </w:rPr>
        <w:t>б) Навођење секундарних извора права Европске уније и оцене усклађености са њима,</w:t>
      </w:r>
    </w:p>
    <w:p w14:paraId="64EA5B37" w14:textId="77777777" w:rsidR="00E15778" w:rsidRPr="005B4924" w:rsidRDefault="00E15778" w:rsidP="002B7721">
      <w:pPr>
        <w:jc w:val="both"/>
        <w:rPr>
          <w:lang w:val="sr-Cyrl-RS"/>
        </w:rPr>
      </w:pPr>
    </w:p>
    <w:p w14:paraId="2553969C" w14:textId="304C41E3" w:rsidR="00E15778" w:rsidRPr="005B4924" w:rsidRDefault="00E15778" w:rsidP="00DF18FA">
      <w:pPr>
        <w:pStyle w:val="ListParagraph"/>
        <w:numPr>
          <w:ilvl w:val="0"/>
          <w:numId w:val="2"/>
        </w:numPr>
        <w:tabs>
          <w:tab w:val="left" w:pos="0"/>
          <w:tab w:val="left" w:pos="284"/>
        </w:tabs>
        <w:spacing w:after="120"/>
        <w:ind w:left="0" w:firstLine="0"/>
        <w:contextualSpacing w:val="0"/>
        <w:jc w:val="both"/>
        <w:rPr>
          <w:lang w:val="sr-Cyrl-RS"/>
        </w:rPr>
      </w:pPr>
      <w:r w:rsidRPr="005B4924">
        <w:rPr>
          <w:lang w:val="sr-Cyrl-RS"/>
        </w:rPr>
        <w:t>Директива Европског парламента и Савета 2009/73/ЕЗ о заједничким правилима за унутрашње тржиште природног гаса, којом се укида Директива 2003/55/ЕЗ</w:t>
      </w:r>
      <w:r w:rsidRPr="005B4924">
        <w:rPr>
          <w:bCs/>
          <w:lang w:val="sr-Cyrl-RS"/>
        </w:rPr>
        <w:t xml:space="preserve"> (</w:t>
      </w:r>
      <w:r w:rsidRPr="005B4924">
        <w:rPr>
          <w:i/>
          <w:iCs/>
          <w:lang w:val="sr-Cyrl-RS"/>
        </w:rPr>
        <w:t>Сл</w:t>
      </w:r>
      <w:r w:rsidR="005B4924">
        <w:rPr>
          <w:i/>
          <w:iCs/>
          <w:lang w:val="sr-Cyrl-RS"/>
        </w:rPr>
        <w:t>ужбени</w:t>
      </w:r>
      <w:r w:rsidRPr="005B4924">
        <w:rPr>
          <w:i/>
          <w:iCs/>
          <w:lang w:val="sr-Cyrl-RS"/>
        </w:rPr>
        <w:t xml:space="preserve"> лист бр. L 211, 14.8.2009, p. 94–136)</w:t>
      </w:r>
    </w:p>
    <w:p w14:paraId="12C5AC43" w14:textId="77777777" w:rsidR="00E15778" w:rsidRPr="005B4924" w:rsidRDefault="00E15778" w:rsidP="00DF18FA">
      <w:pPr>
        <w:spacing w:after="120"/>
        <w:jc w:val="both"/>
        <w:rPr>
          <w:bCs/>
          <w:lang w:val="sr-Cyrl-RS"/>
        </w:rPr>
      </w:pPr>
      <w:r w:rsidRPr="005B4924">
        <w:rPr>
          <w:bCs/>
          <w:lang w:val="sr-Cyrl-RS"/>
        </w:rPr>
        <w:t>Directive 2009/73/EC of the European Parliament and of the Council of 13 July 2009 concerning common rules for the internal market in natural gas and repealing Directive 2003/55/EC (</w:t>
      </w:r>
      <w:r w:rsidRPr="005B4924">
        <w:rPr>
          <w:bCs/>
          <w:i/>
          <w:iCs/>
          <w:lang w:val="sr-Cyrl-RS"/>
        </w:rPr>
        <w:t>Official Journal L 211, 14/08/2009 P. 0094 – 0136)</w:t>
      </w:r>
    </w:p>
    <w:p w14:paraId="446E5068" w14:textId="77777777" w:rsidR="00E15778" w:rsidRPr="005B4924" w:rsidRDefault="00E15778" w:rsidP="00E15778">
      <w:pPr>
        <w:jc w:val="both"/>
        <w:outlineLvl w:val="0"/>
        <w:rPr>
          <w:bCs/>
          <w:kern w:val="36"/>
          <w:lang w:val="sr-Cyrl-RS" w:eastAsia="en-US"/>
        </w:rPr>
      </w:pPr>
      <w:bookmarkStart w:id="1" w:name="content"/>
      <w:r w:rsidRPr="005B4924">
        <w:rPr>
          <w:bCs/>
          <w:kern w:val="36"/>
          <w:lang w:val="sr-Cyrl-RS" w:eastAsia="en-US"/>
        </w:rPr>
        <w:t>32009L0073</w:t>
      </w:r>
    </w:p>
    <w:bookmarkEnd w:id="1"/>
    <w:p w14:paraId="570F819B" w14:textId="5757F1C7" w:rsidR="00E15778" w:rsidRPr="005B4924" w:rsidRDefault="0080383E" w:rsidP="00E15778">
      <w:pPr>
        <w:jc w:val="both"/>
        <w:rPr>
          <w:lang w:val="sr-Cyrl-RS" w:eastAsia="en-US"/>
        </w:rPr>
      </w:pPr>
      <w:r w:rsidRPr="005B4924">
        <w:rPr>
          <w:lang w:val="sr-Cyrl-RS" w:eastAsia="en-US"/>
        </w:rPr>
        <w:t>Делимично</w:t>
      </w:r>
      <w:r w:rsidR="00E15778" w:rsidRPr="005B4924">
        <w:rPr>
          <w:lang w:val="sr-Cyrl-RS" w:eastAsia="en-US"/>
        </w:rPr>
        <w:t xml:space="preserve"> усклађено</w:t>
      </w:r>
    </w:p>
    <w:p w14:paraId="297F0A23" w14:textId="77777777" w:rsidR="00E15778" w:rsidRPr="005B4924" w:rsidRDefault="00E15778" w:rsidP="00E15778">
      <w:pPr>
        <w:jc w:val="both"/>
        <w:outlineLvl w:val="0"/>
        <w:rPr>
          <w:iCs/>
          <w:lang w:val="sr-Cyrl-RS"/>
        </w:rPr>
      </w:pPr>
    </w:p>
    <w:p w14:paraId="70C5608A" w14:textId="7D9F7103" w:rsidR="00E15778" w:rsidRPr="005B4924" w:rsidRDefault="00E15778" w:rsidP="00DF18FA">
      <w:pPr>
        <w:pStyle w:val="ListParagraph"/>
        <w:numPr>
          <w:ilvl w:val="0"/>
          <w:numId w:val="2"/>
        </w:numPr>
        <w:tabs>
          <w:tab w:val="left" w:pos="0"/>
          <w:tab w:val="left" w:pos="284"/>
        </w:tabs>
        <w:spacing w:after="120"/>
        <w:ind w:left="0" w:firstLine="0"/>
        <w:contextualSpacing w:val="0"/>
        <w:jc w:val="both"/>
        <w:rPr>
          <w:lang w:val="sr-Cyrl-RS"/>
        </w:rPr>
      </w:pPr>
      <w:r w:rsidRPr="005B4924">
        <w:rPr>
          <w:lang w:val="sr-Cyrl-RS"/>
        </w:rPr>
        <w:t>Уредба Европског парламента и Савета 715/2009 о условима за приступ мрежама за транспорт  природног гаса, на основу које престаје да важи Уредба (ЕЗ) бр. 1775/2005</w:t>
      </w:r>
      <w:r w:rsidR="00DF18FA" w:rsidRPr="005B4924">
        <w:rPr>
          <w:lang w:val="sr-Cyrl-RS"/>
        </w:rPr>
        <w:t xml:space="preserve"> </w:t>
      </w:r>
      <w:r w:rsidRPr="005B4924">
        <w:rPr>
          <w:lang w:val="sr-Cyrl-RS"/>
        </w:rPr>
        <w:t>(Сл</w:t>
      </w:r>
      <w:r w:rsidR="001D34A4">
        <w:rPr>
          <w:lang w:val="sr-Cyrl-RS"/>
        </w:rPr>
        <w:t>ужбени</w:t>
      </w:r>
      <w:r w:rsidRPr="005B4924">
        <w:rPr>
          <w:lang w:val="sr-Cyrl-RS"/>
        </w:rPr>
        <w:t xml:space="preserve"> лист бр. L 289, 13.7.2009, p. 1–13)</w:t>
      </w:r>
    </w:p>
    <w:p w14:paraId="5F157169" w14:textId="77777777" w:rsidR="00E15778" w:rsidRPr="005B4924" w:rsidRDefault="00E15778" w:rsidP="00DF18FA">
      <w:pPr>
        <w:pStyle w:val="ListParagraph"/>
        <w:tabs>
          <w:tab w:val="left" w:pos="0"/>
          <w:tab w:val="left" w:pos="284"/>
        </w:tabs>
        <w:spacing w:after="120"/>
        <w:ind w:left="0"/>
        <w:contextualSpacing w:val="0"/>
        <w:jc w:val="both"/>
        <w:rPr>
          <w:lang w:val="sr-Cyrl-RS"/>
        </w:rPr>
      </w:pPr>
      <w:r w:rsidRPr="005B4924">
        <w:rPr>
          <w:lang w:val="sr-Cyrl-RS"/>
        </w:rPr>
        <w:t>Regulation (EC) No 715/2009 of the European Parliament and of the Council of 13 July 2009 on conditions for access to the natural gas transmission networks and repealing Regulation (EC) No 1775/2005 (Official Journal L 211, 14/08/2009 P. 0036 – 0054)</w:t>
      </w:r>
    </w:p>
    <w:p w14:paraId="77B4F0B9" w14:textId="77777777" w:rsidR="0080383E" w:rsidRPr="005B4924" w:rsidRDefault="00E15778" w:rsidP="00E15778">
      <w:pPr>
        <w:jc w:val="both"/>
        <w:rPr>
          <w:bCs/>
          <w:color w:val="333333"/>
          <w:lang w:val="sr-Cyrl-RS"/>
        </w:rPr>
      </w:pPr>
      <w:r w:rsidRPr="005B4924">
        <w:rPr>
          <w:bCs/>
          <w:color w:val="333333"/>
          <w:lang w:val="sr-Cyrl-RS"/>
        </w:rPr>
        <w:t>32009R0715</w:t>
      </w:r>
      <w:bookmarkStart w:id="2" w:name="_Hlk213608478"/>
    </w:p>
    <w:p w14:paraId="01D8027A" w14:textId="07D796DD" w:rsidR="00E15778" w:rsidRPr="005B4924" w:rsidRDefault="0016746F" w:rsidP="00E15778">
      <w:pPr>
        <w:jc w:val="both"/>
        <w:rPr>
          <w:bCs/>
          <w:color w:val="333333"/>
          <w:lang w:val="sr-Cyrl-RS"/>
        </w:rPr>
      </w:pPr>
      <w:r w:rsidRPr="005B4924">
        <w:rPr>
          <w:bCs/>
          <w:color w:val="333333"/>
          <w:lang w:val="sr-Cyrl-RS"/>
        </w:rPr>
        <w:t>Делимично</w:t>
      </w:r>
      <w:r w:rsidR="00E15778" w:rsidRPr="005B4924">
        <w:rPr>
          <w:bCs/>
          <w:color w:val="333333"/>
          <w:lang w:val="sr-Cyrl-RS"/>
        </w:rPr>
        <w:t xml:space="preserve"> усклађено</w:t>
      </w:r>
    </w:p>
    <w:bookmarkEnd w:id="2"/>
    <w:p w14:paraId="2AB8227E" w14:textId="77777777" w:rsidR="00E15778" w:rsidRPr="005B4924" w:rsidRDefault="00E15778" w:rsidP="00E15778">
      <w:pPr>
        <w:jc w:val="both"/>
        <w:outlineLvl w:val="0"/>
        <w:rPr>
          <w:bCs/>
          <w:color w:val="000000"/>
          <w:kern w:val="32"/>
          <w:lang w:val="sr-Cyrl-RS"/>
        </w:rPr>
      </w:pPr>
    </w:p>
    <w:p w14:paraId="75569E42" w14:textId="0C8BBD6C" w:rsidR="00F32581" w:rsidRPr="005B4924" w:rsidRDefault="00434233" w:rsidP="00D04D63">
      <w:pPr>
        <w:pStyle w:val="ListParagraph"/>
        <w:numPr>
          <w:ilvl w:val="0"/>
          <w:numId w:val="2"/>
        </w:numPr>
        <w:tabs>
          <w:tab w:val="left" w:pos="0"/>
          <w:tab w:val="left" w:pos="284"/>
        </w:tabs>
        <w:spacing w:after="120"/>
        <w:ind w:left="0" w:firstLine="0"/>
        <w:jc w:val="both"/>
        <w:rPr>
          <w:lang w:val="sr-Cyrl-RS"/>
        </w:rPr>
      </w:pPr>
      <w:r w:rsidRPr="005B4924">
        <w:rPr>
          <w:lang w:val="sr-Cyrl-RS"/>
        </w:rPr>
        <w:t>Уредба (ЕУ) 2017/1938 Европског парламента и Савета од 25. октобра 2017. године о мерама заштите сигурности снабдевања гасом и стављању ван снаге Уредбе (ЕУ) бр. 994/2010 (</w:t>
      </w:r>
      <w:r w:rsidRPr="005B4924">
        <w:rPr>
          <w:i/>
          <w:iCs/>
          <w:lang w:val="sr-Cyrl-RS"/>
        </w:rPr>
        <w:t>Сл</w:t>
      </w:r>
      <w:r w:rsidR="001D34A4">
        <w:rPr>
          <w:i/>
          <w:iCs/>
          <w:lang w:val="sr-Cyrl-RS"/>
        </w:rPr>
        <w:t xml:space="preserve">ужбени </w:t>
      </w:r>
      <w:r w:rsidRPr="005B4924">
        <w:rPr>
          <w:i/>
          <w:iCs/>
          <w:lang w:val="sr-Cyrl-RS"/>
        </w:rPr>
        <w:t>лист бр. L 280, 28.10.2017, p. 1–56</w:t>
      </w:r>
      <w:r w:rsidRPr="005B4924">
        <w:rPr>
          <w:lang w:val="sr-Cyrl-RS"/>
        </w:rPr>
        <w:t>)</w:t>
      </w:r>
    </w:p>
    <w:p w14:paraId="4D68FDF1" w14:textId="591CCB10" w:rsidR="003618C3" w:rsidRPr="005B4924" w:rsidRDefault="00434233" w:rsidP="00D04D63">
      <w:pPr>
        <w:spacing w:after="120"/>
        <w:jc w:val="both"/>
        <w:rPr>
          <w:lang w:val="sr-Cyrl-RS"/>
        </w:rPr>
      </w:pPr>
      <w:r w:rsidRPr="005B4924">
        <w:rPr>
          <w:lang w:val="sr-Cyrl-RS"/>
        </w:rPr>
        <w:t>Regulation (EU) 2017/1938 of the European Parliament and of the Council of 25 October 2017 concerning measures to safeguard the security of gas supply and repealing Regulation (EU) No 994/2010, OJ L 280, 28.10.2017, p. 1–56</w:t>
      </w:r>
      <w:r w:rsidR="003618C3" w:rsidRPr="005B4924">
        <w:rPr>
          <w:lang w:val="sr-Cyrl-RS"/>
        </w:rPr>
        <w:t xml:space="preserve">) </w:t>
      </w:r>
    </w:p>
    <w:p w14:paraId="53A4E9D1" w14:textId="3A49B001" w:rsidR="00C07A78" w:rsidRPr="005B4924" w:rsidRDefault="00C07A78" w:rsidP="003618C3">
      <w:pPr>
        <w:jc w:val="both"/>
        <w:rPr>
          <w:lang w:val="sr-Cyrl-RS"/>
        </w:rPr>
      </w:pPr>
      <w:r w:rsidRPr="005B4924">
        <w:rPr>
          <w:lang w:val="sr-Cyrl-RS"/>
        </w:rPr>
        <w:t>32017R1938</w:t>
      </w:r>
    </w:p>
    <w:p w14:paraId="44043375" w14:textId="7855F618" w:rsidR="00103357" w:rsidRPr="005B4924" w:rsidRDefault="0016746F" w:rsidP="00103357">
      <w:pPr>
        <w:jc w:val="both"/>
        <w:rPr>
          <w:bCs/>
          <w:lang w:val="sr-Cyrl-RS"/>
        </w:rPr>
      </w:pPr>
      <w:r w:rsidRPr="005B4924">
        <w:rPr>
          <w:bCs/>
          <w:lang w:val="sr-Cyrl-RS"/>
        </w:rPr>
        <w:t>Делимично</w:t>
      </w:r>
      <w:r w:rsidR="00103357" w:rsidRPr="005B4924">
        <w:rPr>
          <w:bCs/>
          <w:lang w:val="sr-Cyrl-RS"/>
        </w:rPr>
        <w:t xml:space="preserve"> усклађено</w:t>
      </w:r>
    </w:p>
    <w:p w14:paraId="02986096" w14:textId="77777777" w:rsidR="0034472C" w:rsidRPr="005B4924" w:rsidRDefault="0034472C" w:rsidP="002B7721">
      <w:pPr>
        <w:jc w:val="both"/>
        <w:rPr>
          <w:lang w:val="sr-Cyrl-RS"/>
        </w:rPr>
      </w:pPr>
    </w:p>
    <w:p w14:paraId="2872AD5C" w14:textId="49CE18C0" w:rsidR="002B7721" w:rsidRPr="005B4924" w:rsidRDefault="002B7721" w:rsidP="002B7721">
      <w:pPr>
        <w:jc w:val="both"/>
        <w:rPr>
          <w:lang w:val="sr-Cyrl-RS"/>
        </w:rPr>
      </w:pPr>
      <w:r w:rsidRPr="005B4924">
        <w:rPr>
          <w:lang w:val="sr-Cyrl-RS"/>
        </w:rPr>
        <w:t>в) Навођење осталих извора права Европске уније и усклађенoст са њима,</w:t>
      </w:r>
    </w:p>
    <w:p w14:paraId="6299F779" w14:textId="0A6A03A0" w:rsidR="003618C3" w:rsidRPr="005B4924" w:rsidRDefault="00C729C8" w:rsidP="002B7721">
      <w:pPr>
        <w:jc w:val="both"/>
        <w:rPr>
          <w:lang w:val="sr-Cyrl-RS"/>
        </w:rPr>
      </w:pPr>
      <w:r w:rsidRPr="005B4924">
        <w:rPr>
          <w:lang w:val="sr-Cyrl-RS"/>
        </w:rPr>
        <w:t>/</w:t>
      </w:r>
      <w:r w:rsidR="003618C3" w:rsidRPr="005B4924">
        <w:rPr>
          <w:lang w:val="sr-Cyrl-RS"/>
        </w:rPr>
        <w:t xml:space="preserve"> </w:t>
      </w:r>
    </w:p>
    <w:p w14:paraId="592AECF0" w14:textId="77777777" w:rsidR="00FC240F" w:rsidRPr="005B4924" w:rsidRDefault="00FC240F" w:rsidP="002B7721">
      <w:pPr>
        <w:jc w:val="both"/>
        <w:rPr>
          <w:lang w:val="sr-Cyrl-RS"/>
        </w:rPr>
      </w:pPr>
    </w:p>
    <w:p w14:paraId="47B7C69B" w14:textId="77777777" w:rsidR="002B7721" w:rsidRPr="005B4924" w:rsidRDefault="002B7721" w:rsidP="002B7721">
      <w:pPr>
        <w:jc w:val="both"/>
        <w:rPr>
          <w:lang w:val="sr-Cyrl-RS"/>
        </w:rPr>
      </w:pPr>
      <w:r w:rsidRPr="005B4924">
        <w:rPr>
          <w:lang w:val="sr-Cyrl-RS"/>
        </w:rPr>
        <w:t>г) Разлози за делимичну усклађеност, односно неусклађеност,</w:t>
      </w:r>
    </w:p>
    <w:p w14:paraId="704B067E" w14:textId="77777777" w:rsidR="003618C3" w:rsidRPr="005B4924" w:rsidRDefault="003618C3" w:rsidP="002B7721">
      <w:pPr>
        <w:jc w:val="both"/>
        <w:rPr>
          <w:lang w:val="sr-Cyrl-RS"/>
        </w:rPr>
      </w:pPr>
    </w:p>
    <w:p w14:paraId="7C4F42FB" w14:textId="04EB896B" w:rsidR="0089290F" w:rsidRPr="005B4924" w:rsidRDefault="0089290F" w:rsidP="0089290F">
      <w:pPr>
        <w:jc w:val="both"/>
        <w:rPr>
          <w:lang w:val="sr-Cyrl-RS"/>
        </w:rPr>
      </w:pPr>
      <w:bookmarkStart w:id="3" w:name="_Hlk211252276"/>
      <w:r w:rsidRPr="005B4924">
        <w:rPr>
          <w:lang w:val="sr-Cyrl-RS"/>
        </w:rPr>
        <w:t xml:space="preserve">Одредбе </w:t>
      </w:r>
      <w:r w:rsidR="00EE2F6E" w:rsidRPr="005B4924">
        <w:rPr>
          <w:lang w:val="sr-Cyrl-RS"/>
        </w:rPr>
        <w:t>Директиве 2009/73/ЕЗ,  Уредбе</w:t>
      </w:r>
      <w:r w:rsidR="00EB45E9" w:rsidRPr="005B4924">
        <w:rPr>
          <w:lang w:val="sr-Cyrl-RS"/>
        </w:rPr>
        <w:t xml:space="preserve"> (ЕУ)</w:t>
      </w:r>
      <w:r w:rsidR="00EE2F6E" w:rsidRPr="005B4924">
        <w:rPr>
          <w:lang w:val="sr-Cyrl-RS"/>
        </w:rPr>
        <w:t xml:space="preserve"> 715/2009 и Уредб</w:t>
      </w:r>
      <w:r w:rsidR="00EB45E9" w:rsidRPr="005B4924">
        <w:rPr>
          <w:lang w:val="sr-Cyrl-RS"/>
        </w:rPr>
        <w:t>е</w:t>
      </w:r>
      <w:r w:rsidR="00EE2F6E" w:rsidRPr="005B4924">
        <w:rPr>
          <w:lang w:val="sr-Cyrl-RS"/>
        </w:rPr>
        <w:t xml:space="preserve"> (ЕУ) 2017/1938</w:t>
      </w:r>
      <w:r w:rsidR="00EB45E9" w:rsidRPr="005B4924">
        <w:rPr>
          <w:lang w:val="sr-Cyrl-RS"/>
        </w:rPr>
        <w:t xml:space="preserve"> </w:t>
      </w:r>
      <w:r w:rsidRPr="005B4924">
        <w:rPr>
          <w:lang w:val="sr-Cyrl-RS"/>
        </w:rPr>
        <w:t xml:space="preserve">се односе на права и/или обавезе Европске уније чланица и нису примењиве до приступања Републике Србије Европској унији. </w:t>
      </w:r>
    </w:p>
    <w:bookmarkEnd w:id="3"/>
    <w:p w14:paraId="5BAAA42B" w14:textId="77777777" w:rsidR="00B66DD5" w:rsidRPr="005B4924" w:rsidRDefault="00B66DD5" w:rsidP="00B66DD5">
      <w:pPr>
        <w:jc w:val="both"/>
        <w:rPr>
          <w:lang w:val="sr-Cyrl-RS"/>
        </w:rPr>
      </w:pPr>
    </w:p>
    <w:p w14:paraId="359D485F" w14:textId="41D2B48F" w:rsidR="003618C3" w:rsidRPr="005B4924" w:rsidRDefault="00542722" w:rsidP="002B7721">
      <w:pPr>
        <w:jc w:val="both"/>
        <w:rPr>
          <w:lang w:val="sr-Cyrl-RS"/>
        </w:rPr>
      </w:pPr>
      <w:r w:rsidRPr="005B4924">
        <w:rPr>
          <w:lang w:val="sr-Cyrl-RS"/>
        </w:rPr>
        <w:t xml:space="preserve"> </w:t>
      </w:r>
    </w:p>
    <w:p w14:paraId="6DEE221A" w14:textId="77777777" w:rsidR="002B7721" w:rsidRPr="005B4924" w:rsidRDefault="002B7721" w:rsidP="002B7721">
      <w:pPr>
        <w:jc w:val="both"/>
        <w:rPr>
          <w:lang w:val="sr-Cyrl-RS"/>
        </w:rPr>
      </w:pPr>
      <w:r w:rsidRPr="005B4924">
        <w:rPr>
          <w:lang w:val="sr-Cyrl-RS"/>
        </w:rPr>
        <w:t>д) Рок у којем је предвиђено постизање потпуне усклађености прописа са прописима Европске уније.</w:t>
      </w:r>
    </w:p>
    <w:p w14:paraId="639F251F" w14:textId="77777777" w:rsidR="003618C3" w:rsidRPr="005B4924" w:rsidRDefault="003618C3" w:rsidP="002B7721">
      <w:pPr>
        <w:jc w:val="both"/>
        <w:rPr>
          <w:lang w:val="sr-Cyrl-RS"/>
        </w:rPr>
      </w:pPr>
    </w:p>
    <w:p w14:paraId="00351BEF" w14:textId="6FB7AAE3" w:rsidR="0080179B" w:rsidRPr="005B4924" w:rsidRDefault="0080179B" w:rsidP="0080179B">
      <w:pPr>
        <w:jc w:val="both"/>
        <w:rPr>
          <w:lang w:val="sr-Cyrl-RS"/>
        </w:rPr>
      </w:pPr>
      <w:r w:rsidRPr="005B4924">
        <w:rPr>
          <w:lang w:val="sr-Cyrl-RS"/>
        </w:rPr>
        <w:t>Потпуна усклађеност биће постигнута до приступања Републике Србије Е</w:t>
      </w:r>
      <w:r w:rsidR="00001995">
        <w:rPr>
          <w:lang w:val="sr-Cyrl-RS"/>
        </w:rPr>
        <w:t>вропској унији</w:t>
      </w:r>
      <w:r w:rsidRPr="005B4924">
        <w:rPr>
          <w:lang w:val="sr-Cyrl-RS"/>
        </w:rPr>
        <w:t>.</w:t>
      </w:r>
    </w:p>
    <w:p w14:paraId="2C7938D7" w14:textId="77777777" w:rsidR="00542722" w:rsidRPr="005B4924" w:rsidRDefault="00542722" w:rsidP="002B7721">
      <w:pPr>
        <w:jc w:val="both"/>
        <w:rPr>
          <w:i/>
          <w:lang w:val="sr-Cyrl-RS"/>
        </w:rPr>
      </w:pPr>
    </w:p>
    <w:p w14:paraId="4E94ABF4" w14:textId="52626642" w:rsidR="002B7721" w:rsidRPr="005B4924" w:rsidRDefault="002B7721" w:rsidP="002B7721">
      <w:pPr>
        <w:jc w:val="both"/>
        <w:rPr>
          <w:color w:val="000000"/>
          <w:lang w:val="sr-Cyrl-RS"/>
        </w:rPr>
      </w:pPr>
      <w:r w:rsidRPr="005B4924">
        <w:rPr>
          <w:lang w:val="sr-Cyrl-R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5B4924">
        <w:rPr>
          <w:color w:val="000000"/>
          <w:lang w:val="sr-Cyrl-R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23F9DA34" w14:textId="4334C9C4" w:rsidR="008F7C1E" w:rsidRPr="005B4924" w:rsidRDefault="008F7C1E" w:rsidP="002B7721">
      <w:pPr>
        <w:jc w:val="both"/>
        <w:rPr>
          <w:color w:val="000000"/>
          <w:lang w:val="sr-Cyrl-RS"/>
        </w:rPr>
      </w:pPr>
    </w:p>
    <w:p w14:paraId="5B2D4BFA" w14:textId="73C8A59C" w:rsidR="008F7C1E" w:rsidRPr="005B4924" w:rsidRDefault="008F7C1E" w:rsidP="002B7721">
      <w:pPr>
        <w:jc w:val="both"/>
        <w:rPr>
          <w:color w:val="000000"/>
          <w:lang w:val="sr-Cyrl-RS"/>
        </w:rPr>
      </w:pPr>
      <w:r w:rsidRPr="005B4924">
        <w:rPr>
          <w:color w:val="000000"/>
          <w:lang w:val="sr-Cyrl-RS"/>
        </w:rPr>
        <w:t>/</w:t>
      </w:r>
    </w:p>
    <w:p w14:paraId="38958ECD" w14:textId="77777777" w:rsidR="002B7721" w:rsidRPr="005B4924" w:rsidRDefault="002B7721" w:rsidP="002B7721">
      <w:pPr>
        <w:jc w:val="both"/>
        <w:rPr>
          <w:lang w:val="sr-Cyrl-RS"/>
        </w:rPr>
      </w:pPr>
    </w:p>
    <w:p w14:paraId="5C941C2C" w14:textId="77777777" w:rsidR="002B7721" w:rsidRPr="005B4924" w:rsidRDefault="002B7721" w:rsidP="002B7721">
      <w:pPr>
        <w:jc w:val="both"/>
        <w:rPr>
          <w:lang w:val="sr-Cyrl-RS"/>
        </w:rPr>
      </w:pPr>
      <w:r w:rsidRPr="005B4924">
        <w:rPr>
          <w:lang w:val="sr-Cyrl-RS"/>
        </w:rPr>
        <w:t>6. Да ли су претходно наведени извори права Европске уније преведени на српски језик?</w:t>
      </w:r>
    </w:p>
    <w:p w14:paraId="5ABAF08B" w14:textId="77777777" w:rsidR="00D33517" w:rsidRPr="005B4924" w:rsidRDefault="00D33517" w:rsidP="00E30731">
      <w:pPr>
        <w:jc w:val="both"/>
        <w:rPr>
          <w:lang w:val="sr-Cyrl-RS"/>
        </w:rPr>
      </w:pPr>
    </w:p>
    <w:p w14:paraId="3909ABB0" w14:textId="1A80D012" w:rsidR="00E30731" w:rsidRPr="005B4924" w:rsidRDefault="00AC5EDD" w:rsidP="00E30731">
      <w:pPr>
        <w:jc w:val="both"/>
        <w:rPr>
          <w:lang w:val="sr-Cyrl-RS"/>
        </w:rPr>
      </w:pPr>
      <w:r w:rsidRPr="005B4924">
        <w:rPr>
          <w:lang w:val="sr-Cyrl-RS"/>
        </w:rPr>
        <w:t>НЕ</w:t>
      </w:r>
    </w:p>
    <w:p w14:paraId="430C4166" w14:textId="77777777" w:rsidR="003618C3" w:rsidRPr="005B4924" w:rsidRDefault="003618C3" w:rsidP="002B7721">
      <w:pPr>
        <w:jc w:val="both"/>
        <w:rPr>
          <w:lang w:val="sr-Cyrl-RS"/>
        </w:rPr>
      </w:pPr>
    </w:p>
    <w:p w14:paraId="4835C450" w14:textId="77777777" w:rsidR="002B7721" w:rsidRPr="005B4924" w:rsidRDefault="002B7721" w:rsidP="002B7721">
      <w:pPr>
        <w:jc w:val="both"/>
        <w:rPr>
          <w:lang w:val="sr-Cyrl-RS"/>
        </w:rPr>
      </w:pPr>
      <w:r w:rsidRPr="005B4924">
        <w:rPr>
          <w:lang w:val="sr-Cyrl-RS"/>
        </w:rPr>
        <w:t>7. Да ли је пропис преведен на неки службени језик Европске уније?</w:t>
      </w:r>
    </w:p>
    <w:p w14:paraId="51B91E3B" w14:textId="77777777" w:rsidR="00E30731" w:rsidRPr="005B4924" w:rsidRDefault="00E30731" w:rsidP="002B7721">
      <w:pPr>
        <w:jc w:val="both"/>
        <w:rPr>
          <w:lang w:val="sr-Cyrl-RS"/>
        </w:rPr>
      </w:pPr>
    </w:p>
    <w:p w14:paraId="45C9B039" w14:textId="77777777" w:rsidR="00E30731" w:rsidRPr="005B4924" w:rsidRDefault="00E30731" w:rsidP="002B7721">
      <w:pPr>
        <w:jc w:val="both"/>
        <w:rPr>
          <w:lang w:val="sr-Cyrl-RS"/>
        </w:rPr>
      </w:pPr>
      <w:r w:rsidRPr="005B4924">
        <w:rPr>
          <w:lang w:val="sr-Cyrl-RS"/>
        </w:rPr>
        <w:t xml:space="preserve">НЕ </w:t>
      </w:r>
    </w:p>
    <w:p w14:paraId="657A5F09" w14:textId="77777777" w:rsidR="002B7721" w:rsidRPr="005B4924" w:rsidRDefault="002B7721" w:rsidP="002B7721">
      <w:pPr>
        <w:jc w:val="both"/>
        <w:rPr>
          <w:lang w:val="sr-Cyrl-RS"/>
        </w:rPr>
      </w:pPr>
    </w:p>
    <w:p w14:paraId="229CBE6D" w14:textId="77777777" w:rsidR="002B7721" w:rsidRPr="005B4924" w:rsidRDefault="002B7721" w:rsidP="002B7721">
      <w:pPr>
        <w:jc w:val="both"/>
        <w:rPr>
          <w:lang w:val="sr-Cyrl-RS"/>
        </w:rPr>
      </w:pPr>
      <w:r w:rsidRPr="005B4924">
        <w:rPr>
          <w:lang w:val="sr-Cyrl-RS"/>
        </w:rPr>
        <w:t>8. Сарадња са Европском унијом и учешће консултаната у изради прописа и њихово мишљење о усклађености.</w:t>
      </w:r>
    </w:p>
    <w:p w14:paraId="7242337C" w14:textId="77777777" w:rsidR="00E30731" w:rsidRPr="005B4924" w:rsidRDefault="00E30731" w:rsidP="002B7721">
      <w:pPr>
        <w:jc w:val="both"/>
        <w:rPr>
          <w:lang w:val="sr-Cyrl-RS"/>
        </w:rPr>
      </w:pPr>
    </w:p>
    <w:p w14:paraId="70BE1EB8" w14:textId="77777777" w:rsidR="00E30731" w:rsidRPr="005B4924" w:rsidRDefault="00E30731" w:rsidP="002B7721">
      <w:pPr>
        <w:jc w:val="both"/>
        <w:rPr>
          <w:lang w:val="sr-Cyrl-RS"/>
        </w:rPr>
      </w:pPr>
      <w:r w:rsidRPr="005B4924">
        <w:rPr>
          <w:lang w:val="sr-Cyrl-RS"/>
        </w:rPr>
        <w:t xml:space="preserve">НЕ </w:t>
      </w:r>
    </w:p>
    <w:p w14:paraId="012FBF33" w14:textId="1FC6BBE8" w:rsidR="00F87EDD" w:rsidRPr="005B4924" w:rsidRDefault="00F87EDD" w:rsidP="002B7721">
      <w:pPr>
        <w:rPr>
          <w:lang w:val="sr-Cyrl-RS"/>
        </w:rPr>
      </w:pPr>
    </w:p>
    <w:sectPr w:rsidR="00F87EDD" w:rsidRPr="005B4924" w:rsidSect="00B41B58">
      <w:footerReference w:type="default" r:id="rId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EF9869" w14:textId="77777777" w:rsidR="00DB3F64" w:rsidRDefault="00DB3F64" w:rsidP="00B41B58">
      <w:r>
        <w:separator/>
      </w:r>
    </w:p>
  </w:endnote>
  <w:endnote w:type="continuationSeparator" w:id="0">
    <w:p w14:paraId="0A05D755" w14:textId="77777777" w:rsidR="00DB3F64" w:rsidRDefault="00DB3F64" w:rsidP="00B41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7324432"/>
      <w:docPartObj>
        <w:docPartGallery w:val="Page Numbers (Bottom of Page)"/>
        <w:docPartUnique/>
      </w:docPartObj>
    </w:sdtPr>
    <w:sdtEndPr>
      <w:rPr>
        <w:noProof/>
      </w:rPr>
    </w:sdtEndPr>
    <w:sdtContent>
      <w:p w14:paraId="0D0BDF97" w14:textId="1905C1EC" w:rsidR="00B41B58" w:rsidRDefault="00B41B5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4F207B9" w14:textId="77777777" w:rsidR="00B41B58" w:rsidRDefault="00B41B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E50A3E" w14:textId="77777777" w:rsidR="00DB3F64" w:rsidRDefault="00DB3F64" w:rsidP="00B41B58">
      <w:r>
        <w:separator/>
      </w:r>
    </w:p>
  </w:footnote>
  <w:footnote w:type="continuationSeparator" w:id="0">
    <w:p w14:paraId="08703518" w14:textId="77777777" w:rsidR="00DB3F64" w:rsidRDefault="00DB3F64" w:rsidP="00B41B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6F0A13"/>
    <w:multiLevelType w:val="hybridMultilevel"/>
    <w:tmpl w:val="35660E10"/>
    <w:lvl w:ilvl="0" w:tplc="67B629CA">
      <w:start w:val="1"/>
      <w:numFmt w:val="decimal"/>
      <w:lvlText w:val="%1."/>
      <w:lvlJc w:val="left"/>
      <w:pPr>
        <w:ind w:left="720" w:hanging="360"/>
      </w:pPr>
      <w:rPr>
        <w:rFonts w:hint="default"/>
        <w:b w:val="0"/>
        <w:i w:val="0"/>
        <w:color w:val="auto"/>
        <w:sz w:val="24"/>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32E83EE0"/>
    <w:multiLevelType w:val="hybridMultilevel"/>
    <w:tmpl w:val="EC5E9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69238189">
    <w:abstractNumId w:val="1"/>
  </w:num>
  <w:num w:numId="2" w16cid:durableId="1780176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7721"/>
    <w:rsid w:val="00001995"/>
    <w:rsid w:val="00051431"/>
    <w:rsid w:val="00072169"/>
    <w:rsid w:val="000A5E7F"/>
    <w:rsid w:val="000F12F0"/>
    <w:rsid w:val="00103357"/>
    <w:rsid w:val="00115E36"/>
    <w:rsid w:val="001438E8"/>
    <w:rsid w:val="00164BD8"/>
    <w:rsid w:val="0016667E"/>
    <w:rsid w:val="0016746F"/>
    <w:rsid w:val="00194644"/>
    <w:rsid w:val="001D176A"/>
    <w:rsid w:val="001D1D86"/>
    <w:rsid w:val="001D34A4"/>
    <w:rsid w:val="001E6E70"/>
    <w:rsid w:val="00243346"/>
    <w:rsid w:val="002636F9"/>
    <w:rsid w:val="002B7721"/>
    <w:rsid w:val="002C2893"/>
    <w:rsid w:val="002D2FDB"/>
    <w:rsid w:val="0034472C"/>
    <w:rsid w:val="003618C3"/>
    <w:rsid w:val="003A74F0"/>
    <w:rsid w:val="003B2717"/>
    <w:rsid w:val="003E1FD0"/>
    <w:rsid w:val="003F605C"/>
    <w:rsid w:val="004231EA"/>
    <w:rsid w:val="00434233"/>
    <w:rsid w:val="00442DB1"/>
    <w:rsid w:val="004818DF"/>
    <w:rsid w:val="004B619D"/>
    <w:rsid w:val="004E0623"/>
    <w:rsid w:val="004E365C"/>
    <w:rsid w:val="004F0F43"/>
    <w:rsid w:val="00542722"/>
    <w:rsid w:val="00553EF9"/>
    <w:rsid w:val="0056632A"/>
    <w:rsid w:val="0059722E"/>
    <w:rsid w:val="005A34B3"/>
    <w:rsid w:val="005B4924"/>
    <w:rsid w:val="005E13CE"/>
    <w:rsid w:val="006661D0"/>
    <w:rsid w:val="0067754A"/>
    <w:rsid w:val="006C40C5"/>
    <w:rsid w:val="00776D93"/>
    <w:rsid w:val="00795952"/>
    <w:rsid w:val="0080179B"/>
    <w:rsid w:val="0080383E"/>
    <w:rsid w:val="00834EF2"/>
    <w:rsid w:val="008624BD"/>
    <w:rsid w:val="008664FB"/>
    <w:rsid w:val="0088768B"/>
    <w:rsid w:val="0089290F"/>
    <w:rsid w:val="00896299"/>
    <w:rsid w:val="008A3D2B"/>
    <w:rsid w:val="008B4760"/>
    <w:rsid w:val="008B6006"/>
    <w:rsid w:val="008D7E7B"/>
    <w:rsid w:val="008F7C1E"/>
    <w:rsid w:val="00906B80"/>
    <w:rsid w:val="00943A45"/>
    <w:rsid w:val="00946980"/>
    <w:rsid w:val="00985FFA"/>
    <w:rsid w:val="009A3F81"/>
    <w:rsid w:val="009B6E5B"/>
    <w:rsid w:val="009C3464"/>
    <w:rsid w:val="009C7494"/>
    <w:rsid w:val="009D7BCA"/>
    <w:rsid w:val="00A1594D"/>
    <w:rsid w:val="00A37431"/>
    <w:rsid w:val="00A4518D"/>
    <w:rsid w:val="00A5675B"/>
    <w:rsid w:val="00A72173"/>
    <w:rsid w:val="00AA0E6A"/>
    <w:rsid w:val="00AA4DD9"/>
    <w:rsid w:val="00AC5EDD"/>
    <w:rsid w:val="00B41B58"/>
    <w:rsid w:val="00B66DD5"/>
    <w:rsid w:val="00B746EE"/>
    <w:rsid w:val="00B808DE"/>
    <w:rsid w:val="00B84E18"/>
    <w:rsid w:val="00B9713A"/>
    <w:rsid w:val="00BB5570"/>
    <w:rsid w:val="00BE3FAA"/>
    <w:rsid w:val="00BE5ED4"/>
    <w:rsid w:val="00C07A78"/>
    <w:rsid w:val="00C526E2"/>
    <w:rsid w:val="00C729C8"/>
    <w:rsid w:val="00CC1721"/>
    <w:rsid w:val="00D04D63"/>
    <w:rsid w:val="00D33517"/>
    <w:rsid w:val="00D44469"/>
    <w:rsid w:val="00D67452"/>
    <w:rsid w:val="00D82C9F"/>
    <w:rsid w:val="00D960E4"/>
    <w:rsid w:val="00DB3F64"/>
    <w:rsid w:val="00DF18FA"/>
    <w:rsid w:val="00DF3A3D"/>
    <w:rsid w:val="00E15778"/>
    <w:rsid w:val="00E244C6"/>
    <w:rsid w:val="00E30731"/>
    <w:rsid w:val="00E9202D"/>
    <w:rsid w:val="00EA72CF"/>
    <w:rsid w:val="00EB45E9"/>
    <w:rsid w:val="00EC563D"/>
    <w:rsid w:val="00EE2F6E"/>
    <w:rsid w:val="00EE76E6"/>
    <w:rsid w:val="00F06551"/>
    <w:rsid w:val="00F32581"/>
    <w:rsid w:val="00F4143A"/>
    <w:rsid w:val="00F5166D"/>
    <w:rsid w:val="00F633B4"/>
    <w:rsid w:val="00F66F36"/>
    <w:rsid w:val="00F87EDD"/>
    <w:rsid w:val="00FA3CFA"/>
    <w:rsid w:val="00FB383B"/>
    <w:rsid w:val="00FC240F"/>
    <w:rsid w:val="00FC6863"/>
    <w:rsid w:val="00FD13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F93C1"/>
  <w15:docId w15:val="{AA7E58A8-28BA-40DC-A17D-E97EB6580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7721"/>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2B7721"/>
    <w:pPr>
      <w:spacing w:line="240" w:lineRule="atLeast"/>
      <w:jc w:val="both"/>
    </w:pPr>
    <w:rPr>
      <w:szCs w:val="20"/>
      <w:lang w:val="hu-HU"/>
    </w:rPr>
  </w:style>
  <w:style w:type="character" w:customStyle="1" w:styleId="FootnoteTextChar">
    <w:name w:val="Footnote Text Char"/>
    <w:basedOn w:val="DefaultParagraphFont"/>
    <w:link w:val="FootnoteText"/>
    <w:semiHidden/>
    <w:rsid w:val="002B7721"/>
    <w:rPr>
      <w:rFonts w:ascii="Times New Roman" w:eastAsia="Times New Roman" w:hAnsi="Times New Roman" w:cs="Times New Roman"/>
      <w:sz w:val="24"/>
      <w:szCs w:val="20"/>
      <w:lang w:val="hu-HU" w:eastAsia="hr-HR"/>
    </w:rPr>
  </w:style>
  <w:style w:type="paragraph" w:styleId="ListParagraph">
    <w:name w:val="List Paragraph"/>
    <w:basedOn w:val="Normal"/>
    <w:uiPriority w:val="34"/>
    <w:qFormat/>
    <w:rsid w:val="002B7721"/>
    <w:pPr>
      <w:ind w:left="720"/>
      <w:contextualSpacing/>
    </w:pPr>
  </w:style>
  <w:style w:type="character" w:customStyle="1" w:styleId="Bodytext3">
    <w:name w:val="Body text (3)_"/>
    <w:basedOn w:val="DefaultParagraphFont"/>
    <w:link w:val="Bodytext30"/>
    <w:rsid w:val="002B7721"/>
    <w:rPr>
      <w:rFonts w:ascii="Times New Roman" w:eastAsia="Times New Roman" w:hAnsi="Times New Roman" w:cs="Times New Roman"/>
      <w:b/>
      <w:bCs/>
      <w:shd w:val="clear" w:color="auto" w:fill="FFFFFF"/>
    </w:rPr>
  </w:style>
  <w:style w:type="paragraph" w:customStyle="1" w:styleId="Bodytext30">
    <w:name w:val="Body text (3)"/>
    <w:basedOn w:val="Normal"/>
    <w:link w:val="Bodytext3"/>
    <w:rsid w:val="002B7721"/>
    <w:pPr>
      <w:widowControl w:val="0"/>
      <w:shd w:val="clear" w:color="auto" w:fill="FFFFFF"/>
      <w:spacing w:after="360" w:line="0" w:lineRule="atLeast"/>
      <w:jc w:val="right"/>
    </w:pPr>
    <w:rPr>
      <w:b/>
      <w:bCs/>
      <w:sz w:val="22"/>
      <w:szCs w:val="22"/>
      <w:lang w:val="en-US" w:eastAsia="en-US"/>
    </w:rPr>
  </w:style>
  <w:style w:type="character" w:styleId="CommentReference">
    <w:name w:val="annotation reference"/>
    <w:basedOn w:val="DefaultParagraphFont"/>
    <w:uiPriority w:val="99"/>
    <w:semiHidden/>
    <w:unhideWhenUsed/>
    <w:rsid w:val="00946980"/>
    <w:rPr>
      <w:sz w:val="16"/>
      <w:szCs w:val="16"/>
    </w:rPr>
  </w:style>
  <w:style w:type="paragraph" w:styleId="CommentText">
    <w:name w:val="annotation text"/>
    <w:basedOn w:val="Normal"/>
    <w:link w:val="CommentTextChar"/>
    <w:uiPriority w:val="99"/>
    <w:semiHidden/>
    <w:unhideWhenUsed/>
    <w:rsid w:val="00946980"/>
    <w:rPr>
      <w:sz w:val="20"/>
      <w:szCs w:val="20"/>
    </w:rPr>
  </w:style>
  <w:style w:type="character" w:customStyle="1" w:styleId="CommentTextChar">
    <w:name w:val="Comment Text Char"/>
    <w:basedOn w:val="DefaultParagraphFont"/>
    <w:link w:val="CommentText"/>
    <w:uiPriority w:val="99"/>
    <w:semiHidden/>
    <w:rsid w:val="00946980"/>
    <w:rPr>
      <w:rFonts w:ascii="Times New Roman" w:eastAsia="Times New Roman" w:hAnsi="Times New Roman" w:cs="Times New Roman"/>
      <w:sz w:val="20"/>
      <w:szCs w:val="20"/>
      <w:lang w:val="hr-HR" w:eastAsia="hr-HR"/>
    </w:rPr>
  </w:style>
  <w:style w:type="paragraph" w:styleId="CommentSubject">
    <w:name w:val="annotation subject"/>
    <w:basedOn w:val="CommentText"/>
    <w:next w:val="CommentText"/>
    <w:link w:val="CommentSubjectChar"/>
    <w:uiPriority w:val="99"/>
    <w:semiHidden/>
    <w:unhideWhenUsed/>
    <w:rsid w:val="00946980"/>
    <w:rPr>
      <w:b/>
      <w:bCs/>
    </w:rPr>
  </w:style>
  <w:style w:type="character" w:customStyle="1" w:styleId="CommentSubjectChar">
    <w:name w:val="Comment Subject Char"/>
    <w:basedOn w:val="CommentTextChar"/>
    <w:link w:val="CommentSubject"/>
    <w:uiPriority w:val="99"/>
    <w:semiHidden/>
    <w:rsid w:val="00946980"/>
    <w:rPr>
      <w:rFonts w:ascii="Times New Roman" w:eastAsia="Times New Roman" w:hAnsi="Times New Roman" w:cs="Times New Roman"/>
      <w:b/>
      <w:bCs/>
      <w:sz w:val="20"/>
      <w:szCs w:val="20"/>
      <w:lang w:val="hr-HR" w:eastAsia="hr-HR"/>
    </w:rPr>
  </w:style>
  <w:style w:type="paragraph" w:styleId="BalloonText">
    <w:name w:val="Balloon Text"/>
    <w:basedOn w:val="Normal"/>
    <w:link w:val="BalloonTextChar"/>
    <w:uiPriority w:val="99"/>
    <w:semiHidden/>
    <w:unhideWhenUsed/>
    <w:rsid w:val="00946980"/>
    <w:rPr>
      <w:rFonts w:ascii="Tahoma" w:hAnsi="Tahoma" w:cs="Tahoma"/>
      <w:sz w:val="16"/>
      <w:szCs w:val="16"/>
    </w:rPr>
  </w:style>
  <w:style w:type="character" w:customStyle="1" w:styleId="BalloonTextChar">
    <w:name w:val="Balloon Text Char"/>
    <w:basedOn w:val="DefaultParagraphFont"/>
    <w:link w:val="BalloonText"/>
    <w:uiPriority w:val="99"/>
    <w:semiHidden/>
    <w:rsid w:val="00946980"/>
    <w:rPr>
      <w:rFonts w:ascii="Tahoma" w:eastAsia="Times New Roman" w:hAnsi="Tahoma" w:cs="Tahoma"/>
      <w:sz w:val="16"/>
      <w:szCs w:val="16"/>
      <w:lang w:val="hr-HR" w:eastAsia="hr-HR"/>
    </w:rPr>
  </w:style>
  <w:style w:type="paragraph" w:styleId="Revision">
    <w:name w:val="Revision"/>
    <w:hidden/>
    <w:uiPriority w:val="99"/>
    <w:semiHidden/>
    <w:rsid w:val="00FA3CFA"/>
    <w:pPr>
      <w:spacing w:after="0" w:line="240" w:lineRule="auto"/>
    </w:pPr>
    <w:rPr>
      <w:rFonts w:ascii="Times New Roman" w:eastAsia="Times New Roman" w:hAnsi="Times New Roman" w:cs="Times New Roman"/>
      <w:sz w:val="24"/>
      <w:szCs w:val="24"/>
      <w:lang w:val="hr-HR" w:eastAsia="hr-HR"/>
    </w:rPr>
  </w:style>
  <w:style w:type="paragraph" w:styleId="Header">
    <w:name w:val="header"/>
    <w:basedOn w:val="Normal"/>
    <w:link w:val="HeaderChar"/>
    <w:uiPriority w:val="99"/>
    <w:unhideWhenUsed/>
    <w:rsid w:val="00B41B58"/>
    <w:pPr>
      <w:tabs>
        <w:tab w:val="center" w:pos="4680"/>
        <w:tab w:val="right" w:pos="9360"/>
      </w:tabs>
    </w:pPr>
  </w:style>
  <w:style w:type="character" w:customStyle="1" w:styleId="HeaderChar">
    <w:name w:val="Header Char"/>
    <w:basedOn w:val="DefaultParagraphFont"/>
    <w:link w:val="Header"/>
    <w:uiPriority w:val="99"/>
    <w:rsid w:val="00B41B58"/>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B41B58"/>
    <w:pPr>
      <w:tabs>
        <w:tab w:val="center" w:pos="4680"/>
        <w:tab w:val="right" w:pos="9360"/>
      </w:tabs>
    </w:pPr>
  </w:style>
  <w:style w:type="character" w:customStyle="1" w:styleId="FooterChar">
    <w:name w:val="Footer Char"/>
    <w:basedOn w:val="DefaultParagraphFont"/>
    <w:link w:val="Footer"/>
    <w:uiPriority w:val="99"/>
    <w:rsid w:val="00B41B58"/>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375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CBD94-C276-4F6E-A9D3-42F5A1EEC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776</Words>
  <Characters>4426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KEI</Company>
  <LinksUpToDate>false</LinksUpToDate>
  <CharactersWithSpaces>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Snežana Ristić</dc:creator>
  <cp:lastModifiedBy>Ivana Vojinović</cp:lastModifiedBy>
  <cp:revision>2</cp:revision>
  <cp:lastPrinted>2025-03-28T11:51:00Z</cp:lastPrinted>
  <dcterms:created xsi:type="dcterms:W3CDTF">2025-11-24T11:18:00Z</dcterms:created>
  <dcterms:modified xsi:type="dcterms:W3CDTF">2025-11-24T11:18:00Z</dcterms:modified>
</cp:coreProperties>
</file>