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1698A" w14:textId="77777777" w:rsidR="00E569C4" w:rsidRPr="004E09DA" w:rsidRDefault="00E569C4" w:rsidP="00E569C4">
      <w:pPr>
        <w:tabs>
          <w:tab w:val="left" w:pos="720"/>
        </w:tabs>
        <w:jc w:val="center"/>
        <w:rPr>
          <w:lang w:val="sr-Cyrl-CS"/>
        </w:rPr>
      </w:pPr>
      <w:r w:rsidRPr="004E09DA">
        <w:rPr>
          <w:lang w:val="sr-Cyrl-CS"/>
        </w:rPr>
        <w:t xml:space="preserve">ПРЕДЛОГ ЗАКОНА </w:t>
      </w:r>
    </w:p>
    <w:p w14:paraId="524AB716" w14:textId="77777777" w:rsidR="00E569C4" w:rsidRPr="004E09DA" w:rsidRDefault="00E569C4" w:rsidP="00E569C4">
      <w:pPr>
        <w:tabs>
          <w:tab w:val="left" w:pos="720"/>
        </w:tabs>
        <w:jc w:val="center"/>
        <w:rPr>
          <w:lang w:val="sr-Cyrl-CS"/>
        </w:rPr>
      </w:pPr>
      <w:r w:rsidRPr="004E09DA">
        <w:rPr>
          <w:lang w:val="sr-Cyrl-CS"/>
        </w:rPr>
        <w:t>О ИЗМЕНАМА И ДОПУНАМА ЗАКОНА</w:t>
      </w:r>
    </w:p>
    <w:p w14:paraId="175EACAC" w14:textId="77777777" w:rsidR="00E569C4" w:rsidRPr="004E09DA" w:rsidRDefault="00E569C4" w:rsidP="00E569C4">
      <w:pPr>
        <w:tabs>
          <w:tab w:val="left" w:pos="720"/>
        </w:tabs>
        <w:jc w:val="center"/>
        <w:rPr>
          <w:lang w:val="sr-Cyrl-CS"/>
        </w:rPr>
      </w:pPr>
      <w:r w:rsidRPr="004E09DA">
        <w:rPr>
          <w:lang w:val="sr-Cyrl-CS"/>
        </w:rPr>
        <w:t xml:space="preserve"> О НАКНАДАМА ЗА КОРИШЋЕЊЕ ЈАВНИХ ДОБАРА</w:t>
      </w:r>
    </w:p>
    <w:p w14:paraId="2613089F" w14:textId="77777777" w:rsidR="00E569C4" w:rsidRPr="004E09DA" w:rsidRDefault="00E569C4" w:rsidP="00E569C4">
      <w:pPr>
        <w:tabs>
          <w:tab w:val="left" w:pos="720"/>
        </w:tabs>
        <w:jc w:val="center"/>
        <w:rPr>
          <w:highlight w:val="yellow"/>
          <w:lang w:val="sr-Cyrl-CS"/>
        </w:rPr>
      </w:pPr>
    </w:p>
    <w:p w14:paraId="433E6FD6" w14:textId="77777777" w:rsidR="00E569C4" w:rsidRPr="004E09DA" w:rsidRDefault="00E569C4" w:rsidP="00E569C4">
      <w:pPr>
        <w:tabs>
          <w:tab w:val="left" w:pos="720"/>
        </w:tabs>
        <w:spacing w:after="40"/>
        <w:rPr>
          <w:highlight w:val="yellow"/>
          <w:lang w:val="sr-Cyrl-CS"/>
        </w:rPr>
      </w:pPr>
    </w:p>
    <w:p w14:paraId="4D5547CC" w14:textId="77777777" w:rsidR="00E569C4" w:rsidRPr="004E09DA" w:rsidRDefault="00E569C4" w:rsidP="00E569C4">
      <w:pPr>
        <w:tabs>
          <w:tab w:val="left" w:pos="720"/>
        </w:tabs>
        <w:jc w:val="center"/>
        <w:rPr>
          <w:lang w:val="sr-Cyrl-CS"/>
        </w:rPr>
      </w:pPr>
      <w:r w:rsidRPr="004E09DA">
        <w:rPr>
          <w:lang w:val="sr-Cyrl-CS"/>
        </w:rPr>
        <w:t>Члан 1.</w:t>
      </w:r>
    </w:p>
    <w:p w14:paraId="5BB03BE4" w14:textId="77777777" w:rsidR="00E569C4" w:rsidRPr="004E09DA" w:rsidRDefault="00E569C4" w:rsidP="00E569C4">
      <w:pPr>
        <w:shd w:val="clear" w:color="auto" w:fill="FFFFFF" w:themeFill="background1"/>
        <w:ind w:firstLine="720"/>
        <w:rPr>
          <w:lang w:val="sr-Cyrl-CS"/>
        </w:rPr>
      </w:pPr>
      <w:r w:rsidRPr="004E09DA">
        <w:rPr>
          <w:lang w:val="sr-Cyrl-CS"/>
        </w:rPr>
        <w:t>У Закону о накнадама за коришћење јавних добара (</w:t>
      </w:r>
      <w:r w:rsidRPr="004E09DA">
        <w:rPr>
          <w:bCs/>
          <w:iCs/>
          <w:lang w:val="sr-Cyrl-CS"/>
        </w:rPr>
        <w:t>„</w:t>
      </w:r>
      <w:r w:rsidRPr="004E09DA">
        <w:rPr>
          <w:lang w:val="sr-Cyrl-CS"/>
        </w:rPr>
        <w:t>Службени гласник РС</w:t>
      </w:r>
      <w:r w:rsidRPr="004E09DA">
        <w:rPr>
          <w:bCs/>
          <w:iCs/>
          <w:lang w:val="sr-Cyrl-CS"/>
        </w:rPr>
        <w:t>”</w:t>
      </w:r>
      <w:r w:rsidRPr="004E09DA">
        <w:rPr>
          <w:lang w:val="sr-Cyrl-CS"/>
        </w:rPr>
        <w:t>, бр. 95/18, 49/19 и 92/23),</w:t>
      </w:r>
      <w:r w:rsidRPr="004E09DA">
        <w:rPr>
          <w:noProof/>
          <w:lang w:val="sr-Cyrl-CS"/>
        </w:rPr>
        <w:t xml:space="preserve"> у</w:t>
      </w:r>
      <w:r w:rsidRPr="004E09DA">
        <w:rPr>
          <w:lang w:val="sr-Cyrl-CS"/>
        </w:rPr>
        <w:t xml:space="preserve"> члану 37. став 2. мења се и гласи:</w:t>
      </w:r>
    </w:p>
    <w:p w14:paraId="12F6916B" w14:textId="77777777" w:rsidR="00E569C4" w:rsidRPr="004E09DA" w:rsidRDefault="00E569C4" w:rsidP="00E569C4">
      <w:pPr>
        <w:ind w:firstLine="720"/>
        <w:rPr>
          <w:bCs/>
          <w:lang w:val="sr-Cyrl-CS"/>
        </w:rPr>
      </w:pPr>
      <w:r w:rsidRPr="004E09DA">
        <w:rPr>
          <w:bCs/>
          <w:lang w:val="sr-Cyrl-CS"/>
        </w:rPr>
        <w:t>„Изузетно, за електричну енергију основица накнаде је:</w:t>
      </w:r>
    </w:p>
    <w:p w14:paraId="18356574" w14:textId="77777777" w:rsidR="00E569C4" w:rsidRPr="004E09DA" w:rsidRDefault="00E569C4" w:rsidP="00E569C4">
      <w:pPr>
        <w:ind w:firstLine="720"/>
        <w:rPr>
          <w:bCs/>
          <w:lang w:val="sr-Cyrl-CS"/>
        </w:rPr>
      </w:pPr>
      <w:r w:rsidRPr="004E09DA">
        <w:rPr>
          <w:bCs/>
          <w:lang w:val="sr-Cyrl-CS"/>
        </w:rPr>
        <w:t>1) утрошена електрична енергија која се утврђује у складу са прописима којима се уређује коришћење обновљивих извора енергије изражена у kWh за испоручену количину електричне енергије купцу произвођачу;</w:t>
      </w:r>
    </w:p>
    <w:p w14:paraId="5381D3BA" w14:textId="77777777" w:rsidR="00E569C4" w:rsidRPr="004E09DA" w:rsidRDefault="00E569C4" w:rsidP="00E569C4">
      <w:pPr>
        <w:ind w:firstLine="720"/>
        <w:rPr>
          <w:bCs/>
          <w:lang w:val="sr-Cyrl-CS"/>
        </w:rPr>
      </w:pPr>
      <w:r w:rsidRPr="004E09DA">
        <w:rPr>
          <w:bCs/>
          <w:lang w:val="sr-Cyrl-CS"/>
        </w:rPr>
        <w:t>2) процењена количина електричне енергије коју оператор система доставља снабдевачу за одређени обрачунски период, у складу са прописима којима се уређује област енергетике.ˮ</w:t>
      </w:r>
    </w:p>
    <w:p w14:paraId="36A47670" w14:textId="77777777" w:rsidR="00E569C4" w:rsidRPr="004E09DA" w:rsidRDefault="00E569C4" w:rsidP="00E569C4">
      <w:pPr>
        <w:shd w:val="clear" w:color="auto" w:fill="FFFFFF" w:themeFill="background1"/>
        <w:ind w:firstLine="720"/>
        <w:rPr>
          <w:lang w:val="sr-Cyrl-CS"/>
        </w:rPr>
      </w:pPr>
    </w:p>
    <w:p w14:paraId="5E6087CB" w14:textId="77777777" w:rsidR="00E569C4" w:rsidRPr="004E09DA" w:rsidRDefault="00E569C4" w:rsidP="00E569C4">
      <w:pPr>
        <w:shd w:val="clear" w:color="auto" w:fill="FFFFFF" w:themeFill="background1"/>
        <w:tabs>
          <w:tab w:val="left" w:pos="4140"/>
          <w:tab w:val="left" w:pos="4320"/>
          <w:tab w:val="left" w:pos="4860"/>
        </w:tabs>
        <w:ind w:firstLine="720"/>
        <w:rPr>
          <w:lang w:val="sr-Cyrl-CS"/>
        </w:rPr>
      </w:pPr>
      <w:r w:rsidRPr="004E09DA">
        <w:rPr>
          <w:lang w:val="sr-Cyrl-CS"/>
        </w:rPr>
        <w:t xml:space="preserve">                                                            Члан 2.</w:t>
      </w:r>
    </w:p>
    <w:p w14:paraId="3846602C" w14:textId="77777777" w:rsidR="00E569C4" w:rsidRPr="004E09DA" w:rsidRDefault="00E569C4" w:rsidP="00E569C4">
      <w:pPr>
        <w:shd w:val="clear" w:color="auto" w:fill="FFFFFF" w:themeFill="background1"/>
        <w:ind w:firstLine="720"/>
        <w:rPr>
          <w:lang w:val="sr-Cyrl-CS"/>
        </w:rPr>
      </w:pPr>
      <w:r w:rsidRPr="004E09DA">
        <w:rPr>
          <w:lang w:val="sr-Cyrl-CS"/>
        </w:rPr>
        <w:t>У члану 39. став 3, мења се и гласи:</w:t>
      </w:r>
    </w:p>
    <w:p w14:paraId="7EE44143" w14:textId="77777777" w:rsidR="00E569C4" w:rsidRPr="004E09DA" w:rsidRDefault="00E569C4" w:rsidP="00E569C4">
      <w:pPr>
        <w:ind w:firstLine="720"/>
        <w:rPr>
          <w:lang w:val="sr-Cyrl-CS"/>
        </w:rPr>
      </w:pPr>
      <w:r w:rsidRPr="004E09DA">
        <w:rPr>
          <w:lang w:val="sr-Cyrl-CS"/>
        </w:rPr>
        <w:t xml:space="preserve">„Количина електричне енергије која је основица за утврђивање накнаде из става 1. овог члана, утврђује се на основу очитане потрошње преко мерних уређаја на месту примопредаје, односно на основу процењене потрошње електричне енергије од стране оператора система за одређени обрачунски период у складу са законом којим се уређује област енергетике и прописима донетим на основу тог закона.” </w:t>
      </w:r>
    </w:p>
    <w:p w14:paraId="15A899E8" w14:textId="77777777" w:rsidR="00E569C4" w:rsidRPr="004E09DA" w:rsidRDefault="00E569C4" w:rsidP="00E569C4">
      <w:pPr>
        <w:shd w:val="clear" w:color="auto" w:fill="FFFFFF" w:themeFill="background1"/>
        <w:ind w:firstLine="720"/>
        <w:rPr>
          <w:rFonts w:eastAsia="Calibri"/>
          <w:bCs/>
          <w:lang w:val="sr-Cyrl-CS"/>
        </w:rPr>
      </w:pPr>
      <w:r w:rsidRPr="004E09DA">
        <w:rPr>
          <w:lang w:val="sr-Cyrl-CS"/>
        </w:rPr>
        <w:t>У ставу 13. после речи: „купцимаˮ додају се запета и речи: „</w:t>
      </w:r>
      <w:r w:rsidRPr="004E09DA">
        <w:rPr>
          <w:rFonts w:eastAsia="Calibri"/>
          <w:bCs/>
          <w:lang w:val="sr-Cyrl-CS"/>
        </w:rPr>
        <w:t>односно процењене количине електричне енергијеˮ.</w:t>
      </w:r>
    </w:p>
    <w:p w14:paraId="002528C9" w14:textId="77777777" w:rsidR="00E569C4" w:rsidRPr="004E09DA" w:rsidRDefault="00E569C4" w:rsidP="00E569C4">
      <w:pPr>
        <w:shd w:val="clear" w:color="auto" w:fill="FFFFFF" w:themeFill="background1"/>
        <w:ind w:firstLine="720"/>
        <w:rPr>
          <w:rFonts w:eastAsia="Calibri"/>
          <w:bCs/>
          <w:lang w:val="sr-Cyrl-CS"/>
        </w:rPr>
      </w:pPr>
    </w:p>
    <w:p w14:paraId="2C9A4FC8" w14:textId="77777777" w:rsidR="00E569C4" w:rsidRPr="004E09DA" w:rsidRDefault="00E569C4" w:rsidP="00E569C4">
      <w:pPr>
        <w:shd w:val="clear" w:color="auto" w:fill="FFFFFF" w:themeFill="background1"/>
        <w:ind w:firstLine="720"/>
        <w:rPr>
          <w:lang w:val="sr-Cyrl-CS"/>
        </w:rPr>
      </w:pPr>
      <w:r w:rsidRPr="004E09DA">
        <w:rPr>
          <w:rFonts w:eastAsia="Calibri"/>
          <w:bCs/>
          <w:lang w:val="sr-Cyrl-CS"/>
        </w:rPr>
        <w:t xml:space="preserve">                                                           Члан 3.</w:t>
      </w:r>
    </w:p>
    <w:p w14:paraId="36F37E4E" w14:textId="77777777" w:rsidR="00E569C4" w:rsidRPr="004E09DA" w:rsidRDefault="00E569C4" w:rsidP="00E569C4">
      <w:pPr>
        <w:shd w:val="clear" w:color="auto" w:fill="FFFFFF" w:themeFill="background1"/>
        <w:ind w:firstLine="720"/>
        <w:rPr>
          <w:lang w:val="sr-Cyrl-CS" w:eastAsia="de-DE"/>
        </w:rPr>
      </w:pPr>
      <w:r w:rsidRPr="004E09DA">
        <w:rPr>
          <w:lang w:val="sr-Cyrl-CS"/>
        </w:rPr>
        <w:t>У члану 58. став 4. речи: „</w:t>
      </w:r>
      <w:r w:rsidRPr="004E09DA">
        <w:rPr>
          <w:noProof/>
          <w:lang w:val="sr-Cyrl-CS"/>
        </w:rPr>
        <w:t>пут, односно влака</w:t>
      </w:r>
      <w:r w:rsidRPr="004E09DA">
        <w:rPr>
          <w:lang w:val="sr-Cyrl-CS" w:eastAsia="de-DE"/>
        </w:rPr>
        <w:t>ˮ замењују се речима: „осим влакаˮ.</w:t>
      </w:r>
    </w:p>
    <w:p w14:paraId="3641459C" w14:textId="77777777" w:rsidR="00E569C4" w:rsidRPr="004E09DA" w:rsidRDefault="00E569C4" w:rsidP="00E569C4">
      <w:pPr>
        <w:shd w:val="clear" w:color="auto" w:fill="FFFFFF" w:themeFill="background1"/>
        <w:ind w:firstLine="720"/>
        <w:rPr>
          <w:lang w:val="sr-Cyrl-CS" w:eastAsia="de-DE"/>
        </w:rPr>
      </w:pPr>
      <w:r w:rsidRPr="004E09DA">
        <w:rPr>
          <w:highlight w:val="yellow"/>
          <w:lang w:val="sr-Cyrl-CS" w:eastAsia="de-DE"/>
        </w:rPr>
        <w:t xml:space="preserve"> </w:t>
      </w:r>
    </w:p>
    <w:p w14:paraId="01185242" w14:textId="77777777" w:rsidR="00E569C4" w:rsidRPr="004E09DA" w:rsidRDefault="00E569C4" w:rsidP="00E569C4">
      <w:pPr>
        <w:jc w:val="center"/>
        <w:rPr>
          <w:lang w:val="sr-Cyrl-CS"/>
        </w:rPr>
      </w:pPr>
      <w:r w:rsidRPr="004E09DA">
        <w:rPr>
          <w:lang w:val="sr-Cyrl-CS"/>
        </w:rPr>
        <w:t>Члан 4.</w:t>
      </w:r>
    </w:p>
    <w:p w14:paraId="1D1866A0" w14:textId="77777777" w:rsidR="00E569C4" w:rsidRPr="004E09DA" w:rsidRDefault="00E569C4" w:rsidP="00E569C4">
      <w:pPr>
        <w:tabs>
          <w:tab w:val="left" w:pos="720"/>
        </w:tabs>
        <w:rPr>
          <w:lang w:val="sr-Cyrl-CS"/>
        </w:rPr>
      </w:pPr>
      <w:r w:rsidRPr="004E09DA">
        <w:rPr>
          <w:lang w:val="sr-Cyrl-CS"/>
        </w:rPr>
        <w:tab/>
        <w:t xml:space="preserve">У члану 88. став 11. мења се и гласи: </w:t>
      </w:r>
    </w:p>
    <w:p w14:paraId="4C25C7E4" w14:textId="77777777" w:rsidR="00E569C4" w:rsidRPr="004E09DA" w:rsidRDefault="00E569C4" w:rsidP="00E569C4">
      <w:pPr>
        <w:ind w:firstLine="720"/>
        <w:rPr>
          <w:lang w:val="sr-Cyrl-CS" w:eastAsia="en-GB"/>
        </w:rPr>
      </w:pPr>
      <w:r w:rsidRPr="004E09DA">
        <w:rPr>
          <w:lang w:val="sr-Cyrl-CS"/>
        </w:rPr>
        <w:t>„Решење из става 1. овог члана је коначно и против њега се може покренути управни спор</w:t>
      </w:r>
      <w:r w:rsidRPr="004E09DA">
        <w:rPr>
          <w:lang w:val="sr-Cyrl-CS" w:eastAsia="de-DE"/>
        </w:rPr>
        <w:t>.</w:t>
      </w:r>
      <w:r w:rsidRPr="004E09DA">
        <w:rPr>
          <w:lang w:val="sr-Cyrl-CS" w:eastAsia="en-GB"/>
        </w:rPr>
        <w:t>ˮ</w:t>
      </w:r>
    </w:p>
    <w:p w14:paraId="60724AE8" w14:textId="77777777" w:rsidR="00E569C4" w:rsidRPr="004E09DA" w:rsidRDefault="00E569C4" w:rsidP="00E569C4">
      <w:pPr>
        <w:ind w:firstLine="720"/>
        <w:rPr>
          <w:lang w:val="sr-Cyrl-CS"/>
        </w:rPr>
      </w:pPr>
      <w:r w:rsidRPr="004E09DA">
        <w:rPr>
          <w:lang w:val="sr-Cyrl-CS" w:eastAsia="en-GB"/>
        </w:rPr>
        <w:t xml:space="preserve">Став 12. брише се. </w:t>
      </w:r>
    </w:p>
    <w:p w14:paraId="1BB09CF8" w14:textId="77777777" w:rsidR="00E569C4" w:rsidRPr="004E09DA" w:rsidRDefault="00E569C4" w:rsidP="00E569C4">
      <w:pPr>
        <w:tabs>
          <w:tab w:val="left" w:pos="1170"/>
        </w:tabs>
        <w:ind w:firstLine="720"/>
        <w:rPr>
          <w:lang w:val="sr-Cyrl-CS" w:eastAsia="en-GB"/>
        </w:rPr>
      </w:pPr>
    </w:p>
    <w:p w14:paraId="6182A524" w14:textId="77777777" w:rsidR="00E569C4" w:rsidRPr="004E09DA" w:rsidRDefault="00E569C4" w:rsidP="00E569C4">
      <w:pPr>
        <w:autoSpaceDE w:val="0"/>
        <w:autoSpaceDN w:val="0"/>
        <w:adjustRightInd w:val="0"/>
        <w:jc w:val="center"/>
        <w:rPr>
          <w:lang w:val="sr-Cyrl-CS"/>
        </w:rPr>
      </w:pPr>
      <w:r w:rsidRPr="004E09DA">
        <w:rPr>
          <w:lang w:val="sr-Cyrl-CS"/>
        </w:rPr>
        <w:t>Члан 5.</w:t>
      </w:r>
    </w:p>
    <w:p w14:paraId="6C06481E" w14:textId="77777777" w:rsidR="00E569C4" w:rsidRPr="004E09DA" w:rsidRDefault="00E569C4" w:rsidP="00E569C4">
      <w:pPr>
        <w:tabs>
          <w:tab w:val="left" w:pos="720"/>
        </w:tabs>
        <w:rPr>
          <w:lang w:val="sr-Cyrl-CS"/>
        </w:rPr>
      </w:pPr>
      <w:r w:rsidRPr="004E09DA">
        <w:rPr>
          <w:lang w:val="sr-Cyrl-CS"/>
        </w:rPr>
        <w:tab/>
        <w:t xml:space="preserve">У члану 93. став 9. мења се и гласи: </w:t>
      </w:r>
    </w:p>
    <w:p w14:paraId="48099245" w14:textId="77777777" w:rsidR="00E569C4" w:rsidRPr="004E09DA" w:rsidRDefault="00E569C4" w:rsidP="00E569C4">
      <w:pPr>
        <w:ind w:firstLine="720"/>
        <w:rPr>
          <w:lang w:val="sr-Cyrl-CS" w:eastAsia="en-GB"/>
        </w:rPr>
      </w:pPr>
      <w:r w:rsidRPr="004E09DA">
        <w:rPr>
          <w:lang w:val="sr-Cyrl-CS"/>
        </w:rPr>
        <w:t>„Решење из става 1. овог члана је коначно и против њега се може покренути управни спор</w:t>
      </w:r>
      <w:r w:rsidRPr="004E09DA">
        <w:rPr>
          <w:lang w:val="sr-Cyrl-CS" w:eastAsia="de-DE"/>
        </w:rPr>
        <w:t>.</w:t>
      </w:r>
      <w:r w:rsidRPr="004E09DA">
        <w:rPr>
          <w:lang w:val="sr-Cyrl-CS" w:eastAsia="en-GB"/>
        </w:rPr>
        <w:t>ˮ</w:t>
      </w:r>
    </w:p>
    <w:p w14:paraId="323D4625" w14:textId="77777777" w:rsidR="00E569C4" w:rsidRPr="004E09DA" w:rsidRDefault="00E569C4" w:rsidP="00E569C4">
      <w:pPr>
        <w:ind w:firstLine="720"/>
        <w:rPr>
          <w:lang w:val="sr-Cyrl-CS" w:eastAsia="en-GB"/>
        </w:rPr>
      </w:pPr>
      <w:r w:rsidRPr="004E09DA">
        <w:rPr>
          <w:lang w:val="sr-Cyrl-CS" w:eastAsia="en-GB"/>
        </w:rPr>
        <w:t xml:space="preserve">Став 10. брише се. </w:t>
      </w:r>
    </w:p>
    <w:p w14:paraId="73B8D48D" w14:textId="77777777" w:rsidR="00E569C4" w:rsidRPr="004E09DA" w:rsidRDefault="00E569C4" w:rsidP="00E569C4">
      <w:pPr>
        <w:ind w:firstLine="720"/>
        <w:rPr>
          <w:lang w:val="sr-Cyrl-CS"/>
        </w:rPr>
      </w:pPr>
      <w:r w:rsidRPr="004E09DA">
        <w:rPr>
          <w:lang w:val="sr-Cyrl-CS"/>
        </w:rPr>
        <w:t>Досадашњи став 11. постаје став 10.</w:t>
      </w:r>
    </w:p>
    <w:p w14:paraId="14BF20A2" w14:textId="77777777" w:rsidR="00E569C4" w:rsidRPr="004E09DA" w:rsidRDefault="00E569C4" w:rsidP="00E569C4">
      <w:pPr>
        <w:autoSpaceDE w:val="0"/>
        <w:autoSpaceDN w:val="0"/>
        <w:adjustRightInd w:val="0"/>
        <w:ind w:firstLine="720"/>
        <w:rPr>
          <w:highlight w:val="yellow"/>
          <w:lang w:val="sr-Cyrl-CS" w:eastAsia="de-DE"/>
        </w:rPr>
      </w:pPr>
      <w:r w:rsidRPr="004E09DA">
        <w:rPr>
          <w:highlight w:val="yellow"/>
          <w:lang w:val="sr-Cyrl-CS" w:eastAsia="de-DE"/>
        </w:rPr>
        <w:t xml:space="preserve"> </w:t>
      </w:r>
    </w:p>
    <w:p w14:paraId="0353A0A0" w14:textId="77777777" w:rsidR="00E569C4" w:rsidRPr="004E09DA" w:rsidRDefault="00E569C4" w:rsidP="00E569C4">
      <w:pPr>
        <w:autoSpaceDE w:val="0"/>
        <w:autoSpaceDN w:val="0"/>
        <w:adjustRightInd w:val="0"/>
        <w:jc w:val="center"/>
        <w:rPr>
          <w:lang w:val="sr-Cyrl-CS"/>
        </w:rPr>
      </w:pPr>
      <w:r w:rsidRPr="004E09DA">
        <w:rPr>
          <w:lang w:val="sr-Cyrl-CS"/>
        </w:rPr>
        <w:t>Члан 6.</w:t>
      </w:r>
    </w:p>
    <w:p w14:paraId="3A45CF53" w14:textId="77777777" w:rsidR="00E569C4" w:rsidRPr="004E09DA" w:rsidRDefault="00E569C4" w:rsidP="00E569C4">
      <w:pPr>
        <w:autoSpaceDE w:val="0"/>
        <w:autoSpaceDN w:val="0"/>
        <w:adjustRightInd w:val="0"/>
        <w:rPr>
          <w:lang w:val="sr-Cyrl-CS"/>
        </w:rPr>
      </w:pPr>
      <w:r w:rsidRPr="004E09DA">
        <w:rPr>
          <w:lang w:val="sr-Cyrl-CS"/>
        </w:rPr>
        <w:tab/>
        <w:t>У члану 103. став 1. после речи: „министарствуˮ додају се запета и речи: „</w:t>
      </w:r>
      <w:r w:rsidRPr="004E09DA">
        <w:rPr>
          <w:rFonts w:eastAsia="Calibri"/>
          <w:lang w:val="sr-Cyrl-CS"/>
        </w:rPr>
        <w:t>а за рибарско подручје које се налази на територији аутономне покрајине надлежном покрајинском органу,ˮ.</w:t>
      </w:r>
    </w:p>
    <w:p w14:paraId="232F7BA6" w14:textId="77777777" w:rsidR="00E569C4" w:rsidRPr="004E09DA" w:rsidRDefault="00E569C4" w:rsidP="00E569C4">
      <w:pPr>
        <w:autoSpaceDE w:val="0"/>
        <w:autoSpaceDN w:val="0"/>
        <w:adjustRightInd w:val="0"/>
        <w:jc w:val="center"/>
        <w:rPr>
          <w:lang w:val="sr-Cyrl-CS"/>
        </w:rPr>
      </w:pPr>
      <w:r w:rsidRPr="004E09DA">
        <w:rPr>
          <w:lang w:val="sr-Cyrl-CS"/>
        </w:rPr>
        <w:lastRenderedPageBreak/>
        <w:t>Члан 7.</w:t>
      </w:r>
    </w:p>
    <w:p w14:paraId="6FA74746" w14:textId="77777777" w:rsidR="00E569C4" w:rsidRPr="004E09DA" w:rsidRDefault="00E569C4" w:rsidP="00E569C4">
      <w:pPr>
        <w:keepNext/>
        <w:ind w:right="720" w:firstLine="720"/>
        <w:rPr>
          <w:rFonts w:eastAsia="Calibri"/>
          <w:lang w:val="sr-Cyrl-CS" w:eastAsia="zh-CN"/>
        </w:rPr>
      </w:pPr>
      <w:r w:rsidRPr="004E09DA">
        <w:rPr>
          <w:rFonts w:eastAsia="Calibri"/>
          <w:lang w:val="sr-Cyrl-CS" w:eastAsia="zh-CN"/>
        </w:rPr>
        <w:t xml:space="preserve">У члану 105. став 1. тачка 2) мења се и гласи: </w:t>
      </w:r>
    </w:p>
    <w:p w14:paraId="7F663C91" w14:textId="77777777" w:rsidR="00E569C4" w:rsidRPr="004E09DA" w:rsidRDefault="00E569C4" w:rsidP="00E569C4">
      <w:pPr>
        <w:ind w:firstLine="567"/>
        <w:rPr>
          <w:lang w:val="sr-Cyrl-CS"/>
        </w:rPr>
      </w:pPr>
      <w:r w:rsidRPr="004E09DA">
        <w:rPr>
          <w:rFonts w:eastAsia="Calibri"/>
          <w:lang w:val="sr-Cyrl-CS" w:eastAsia="zh-CN"/>
        </w:rPr>
        <w:t xml:space="preserve">  „</w:t>
      </w:r>
      <w:r w:rsidRPr="004E09DA">
        <w:rPr>
          <w:lang w:val="sr-Cyrl-CS"/>
        </w:rPr>
        <w:t>2) викендице и друге некомерцијалне објекте за одмор на територији заштићеног подручја;</w:t>
      </w:r>
      <w:r w:rsidRPr="004E09DA">
        <w:rPr>
          <w:lang w:val="sr-Cyrl-CS" w:eastAsia="de-DE"/>
        </w:rPr>
        <w:t>ˮ.</w:t>
      </w:r>
    </w:p>
    <w:p w14:paraId="102E757F" w14:textId="77777777" w:rsidR="00E569C4" w:rsidRPr="004E09DA" w:rsidRDefault="00E569C4" w:rsidP="00E569C4">
      <w:pPr>
        <w:autoSpaceDE w:val="0"/>
        <w:autoSpaceDN w:val="0"/>
        <w:adjustRightInd w:val="0"/>
        <w:jc w:val="center"/>
        <w:rPr>
          <w:highlight w:val="yellow"/>
          <w:lang w:val="sr-Cyrl-CS"/>
        </w:rPr>
      </w:pPr>
    </w:p>
    <w:p w14:paraId="615E557D" w14:textId="77777777" w:rsidR="00E569C4" w:rsidRPr="004E09DA" w:rsidRDefault="00E569C4" w:rsidP="00E569C4">
      <w:pPr>
        <w:autoSpaceDE w:val="0"/>
        <w:autoSpaceDN w:val="0"/>
        <w:adjustRightInd w:val="0"/>
        <w:jc w:val="center"/>
        <w:rPr>
          <w:lang w:val="sr-Cyrl-CS"/>
        </w:rPr>
      </w:pPr>
      <w:r w:rsidRPr="004E09DA">
        <w:rPr>
          <w:lang w:val="sr-Cyrl-CS"/>
        </w:rPr>
        <w:t>Члан 8.</w:t>
      </w:r>
    </w:p>
    <w:p w14:paraId="7B0279C4" w14:textId="77777777" w:rsidR="00E569C4" w:rsidRPr="004E09DA" w:rsidRDefault="00E569C4" w:rsidP="00E569C4">
      <w:pPr>
        <w:shd w:val="clear" w:color="auto" w:fill="FFFFFF" w:themeFill="background1"/>
        <w:ind w:firstLine="720"/>
        <w:rPr>
          <w:lang w:val="sr-Cyrl-CS" w:eastAsia="de-DE"/>
        </w:rPr>
      </w:pPr>
      <w:r w:rsidRPr="004E09DA">
        <w:rPr>
          <w:lang w:val="sr-Cyrl-CS"/>
        </w:rPr>
        <w:t xml:space="preserve">У члану 108. став 6. </w:t>
      </w:r>
      <w:r w:rsidRPr="004E09DA">
        <w:rPr>
          <w:lang w:val="sr-Cyrl-CS" w:eastAsia="de-DE"/>
        </w:rPr>
        <w:t>мења се и гласи:</w:t>
      </w:r>
    </w:p>
    <w:p w14:paraId="290660D8" w14:textId="77777777" w:rsidR="00E569C4" w:rsidRPr="004E09DA" w:rsidRDefault="00E569C4" w:rsidP="00E569C4">
      <w:pPr>
        <w:rPr>
          <w:lang w:val="sr-Cyrl-CS"/>
        </w:rPr>
      </w:pPr>
      <w:r w:rsidRPr="004E09DA">
        <w:rPr>
          <w:lang w:val="sr-Cyrl-CS" w:eastAsia="de-DE"/>
        </w:rPr>
        <w:t xml:space="preserve">  „</w:t>
      </w:r>
      <w:r w:rsidRPr="004E09DA">
        <w:rPr>
          <w:lang w:val="sr-Cyrl-CS"/>
        </w:rPr>
        <w:t>На решење из става 1. овог члана може се изјавити жалба министарству у чијој су надлежности послови заштите животне средине (за национални парк и када је заштићено подручје проглашено актом Владе), односно органу у чијој су надлежности послови заштите животне средине аутономне покрајине (за национални парк и када је заштићено подручје проглашено актом Владе а налази се на територији аутономне покрајине, односно када је проглашено актом надлежног органа аутономне покрајине), односно органу у чијој су надлежности послови заштите животне средине јединице локалне самоуправе (када је заштићено подручје проглашено актом јединице локалне самоуправе).”</w:t>
      </w:r>
    </w:p>
    <w:p w14:paraId="74BE160F" w14:textId="77777777" w:rsidR="00E569C4" w:rsidRPr="004E09DA" w:rsidRDefault="00E569C4" w:rsidP="00E569C4">
      <w:pPr>
        <w:ind w:firstLine="709"/>
        <w:rPr>
          <w:lang w:val="sr-Cyrl-CS" w:eastAsia="de-DE"/>
        </w:rPr>
      </w:pPr>
      <w:r w:rsidRPr="004E09DA">
        <w:rPr>
          <w:lang w:val="sr-Cyrl-CS" w:eastAsia="de-DE"/>
        </w:rPr>
        <w:t>Додаје се став 7, који гласи:</w:t>
      </w:r>
    </w:p>
    <w:p w14:paraId="3B612440" w14:textId="77777777" w:rsidR="00E569C4" w:rsidRPr="004E09DA" w:rsidRDefault="00E569C4" w:rsidP="00E569C4">
      <w:pPr>
        <w:ind w:firstLine="720"/>
        <w:rPr>
          <w:lang w:val="sr-Cyrl-CS"/>
        </w:rPr>
      </w:pPr>
      <w:r w:rsidRPr="004E09DA">
        <w:rPr>
          <w:lang w:val="sr-Cyrl-CS"/>
        </w:rPr>
        <w:t>„Жалба из става 6. овог члана не одлаже извршење решења.”.</w:t>
      </w:r>
    </w:p>
    <w:p w14:paraId="18B88D2F" w14:textId="77777777" w:rsidR="00E569C4" w:rsidRPr="004E09DA" w:rsidRDefault="00E569C4" w:rsidP="00E569C4">
      <w:pPr>
        <w:tabs>
          <w:tab w:val="left" w:pos="720"/>
        </w:tabs>
        <w:rPr>
          <w:highlight w:val="yellow"/>
          <w:lang w:val="sr-Cyrl-CS"/>
        </w:rPr>
      </w:pPr>
    </w:p>
    <w:p w14:paraId="7B0D070F" w14:textId="77777777" w:rsidR="00E569C4" w:rsidRPr="004E09DA" w:rsidRDefault="00E569C4" w:rsidP="00E569C4">
      <w:pPr>
        <w:autoSpaceDE w:val="0"/>
        <w:autoSpaceDN w:val="0"/>
        <w:adjustRightInd w:val="0"/>
        <w:jc w:val="center"/>
        <w:rPr>
          <w:lang w:val="sr-Cyrl-CS"/>
        </w:rPr>
      </w:pPr>
      <w:r w:rsidRPr="004E09DA">
        <w:rPr>
          <w:lang w:val="sr-Cyrl-CS"/>
        </w:rPr>
        <w:t>Члан 9.</w:t>
      </w:r>
    </w:p>
    <w:p w14:paraId="3DD4B320" w14:textId="77777777" w:rsidR="00E569C4" w:rsidRPr="004E09DA" w:rsidRDefault="00E569C4" w:rsidP="00E569C4">
      <w:pPr>
        <w:tabs>
          <w:tab w:val="left" w:pos="1152"/>
        </w:tabs>
        <w:ind w:firstLine="720"/>
        <w:rPr>
          <w:lang w:val="sr-Cyrl-CS"/>
        </w:rPr>
      </w:pPr>
      <w:r w:rsidRPr="004E09DA">
        <w:rPr>
          <w:lang w:val="sr-Cyrl-CS"/>
        </w:rPr>
        <w:t>У члану 109. став 1. тачка 8) тачка на крају замењује се тачком и запетом.</w:t>
      </w:r>
    </w:p>
    <w:p w14:paraId="23E8A306" w14:textId="77777777" w:rsidR="00E569C4" w:rsidRPr="004E09DA" w:rsidRDefault="00E569C4" w:rsidP="00E569C4">
      <w:pPr>
        <w:tabs>
          <w:tab w:val="left" w:pos="1152"/>
        </w:tabs>
        <w:ind w:firstLine="720"/>
        <w:rPr>
          <w:lang w:val="sr-Cyrl-CS"/>
        </w:rPr>
      </w:pPr>
      <w:r w:rsidRPr="004E09DA">
        <w:rPr>
          <w:lang w:val="sr-Cyrl-CS"/>
        </w:rPr>
        <w:t>Додаје се тачка 9), која гласи:</w:t>
      </w:r>
    </w:p>
    <w:p w14:paraId="2EC2F333" w14:textId="77777777" w:rsidR="00E569C4" w:rsidRPr="004E09DA" w:rsidRDefault="00E569C4" w:rsidP="00E569C4">
      <w:pPr>
        <w:tabs>
          <w:tab w:val="left" w:pos="1152"/>
        </w:tabs>
        <w:ind w:firstLine="720"/>
        <w:rPr>
          <w:lang w:val="sr-Cyrl-CS"/>
        </w:rPr>
      </w:pPr>
      <w:r w:rsidRPr="004E09DA">
        <w:rPr>
          <w:lang w:val="sr-Cyrl-CS"/>
        </w:rPr>
        <w:t>„9) регистрована активна пољопривредна газдинства која обрађују пољопривредно земљиште у границама заштићеног подручја.ˮ.</w:t>
      </w:r>
    </w:p>
    <w:p w14:paraId="07F8B316" w14:textId="77777777" w:rsidR="00E569C4" w:rsidRPr="004E09DA" w:rsidRDefault="00E569C4" w:rsidP="00E569C4">
      <w:pPr>
        <w:shd w:val="clear" w:color="auto" w:fill="FFFFFF" w:themeFill="background1"/>
        <w:ind w:firstLine="720"/>
        <w:rPr>
          <w:lang w:val="sr-Cyrl-CS" w:eastAsia="de-DE"/>
        </w:rPr>
      </w:pPr>
      <w:r w:rsidRPr="004E09DA">
        <w:rPr>
          <w:lang w:val="sr-Cyrl-CS" w:eastAsia="de-DE"/>
        </w:rPr>
        <w:t>Став 4. мења се и гласи:</w:t>
      </w:r>
    </w:p>
    <w:p w14:paraId="6AFB1860" w14:textId="77777777" w:rsidR="00E569C4" w:rsidRPr="004E09DA" w:rsidRDefault="00E569C4" w:rsidP="00E569C4">
      <w:pPr>
        <w:shd w:val="clear" w:color="auto" w:fill="FFFFFF"/>
        <w:spacing w:after="150"/>
        <w:ind w:firstLine="709"/>
        <w:rPr>
          <w:lang w:val="sr-Cyrl-CS" w:eastAsia="sr-Latn-RS"/>
        </w:rPr>
      </w:pPr>
      <w:r w:rsidRPr="004E09DA">
        <w:rPr>
          <w:lang w:val="sr-Cyrl-CS" w:eastAsia="sr-Latn-RS"/>
        </w:rPr>
        <w:t>„На решење из става 3. овог члана може се изјавити жалба министарству у чијој су надлежности послови заштите животне средине (за национални парк и када је заштићено подручје проглашено актом Владе), односно органу у чијој су надлежности послови заштите животне средине аутономне покрајине (за национални парк и када је заштићено подручје проглашено актом Владе а налази се на територији аутономне покрајине, односно када је проглашено актом надлежног органа аутономне покрајине), односно органу у чијој су надлежности послови заштите животне средине јединице локалне самоуправе (када је заштићено подручје проглашено актом јединице локалне самоуправе).ˮ</w:t>
      </w:r>
    </w:p>
    <w:p w14:paraId="3DE2FC5B" w14:textId="77777777" w:rsidR="00E569C4" w:rsidRPr="004E09DA" w:rsidRDefault="00E569C4" w:rsidP="00E569C4">
      <w:pPr>
        <w:pStyle w:val="Default"/>
        <w:jc w:val="center"/>
        <w:rPr>
          <w:color w:val="auto"/>
          <w:lang w:val="sr-Cyrl-CS"/>
        </w:rPr>
      </w:pPr>
      <w:r w:rsidRPr="004E09DA">
        <w:rPr>
          <w:color w:val="auto"/>
          <w:lang w:val="sr-Cyrl-CS"/>
        </w:rPr>
        <w:t>Члан 10.</w:t>
      </w:r>
    </w:p>
    <w:p w14:paraId="47F81509" w14:textId="77777777" w:rsidR="00E569C4" w:rsidRPr="004E09DA" w:rsidRDefault="00E569C4" w:rsidP="00E569C4">
      <w:pPr>
        <w:tabs>
          <w:tab w:val="left" w:pos="1152"/>
        </w:tabs>
        <w:ind w:firstLine="720"/>
        <w:rPr>
          <w:lang w:val="sr-Cyrl-CS"/>
        </w:rPr>
      </w:pPr>
      <w:r w:rsidRPr="004E09DA">
        <w:rPr>
          <w:lang w:val="sr-Cyrl-CS"/>
        </w:rPr>
        <w:t>У члану 128. став 5. мења се и гласи:</w:t>
      </w:r>
    </w:p>
    <w:p w14:paraId="134BDC47" w14:textId="77777777" w:rsidR="00E569C4" w:rsidRPr="004E09DA" w:rsidRDefault="00E569C4" w:rsidP="00E569C4">
      <w:pPr>
        <w:tabs>
          <w:tab w:val="left" w:pos="1152"/>
        </w:tabs>
        <w:ind w:firstLine="720"/>
        <w:rPr>
          <w:lang w:val="sr-Cyrl-CS"/>
        </w:rPr>
      </w:pPr>
      <w:r w:rsidRPr="004E09DA">
        <w:rPr>
          <w:lang w:val="sr-Cyrl-CS"/>
        </w:rPr>
        <w:t>„Против решења из става 1. овог члана може се изјавити жалба Влади, преко министарства у чијој су надлежности послови заштите животне средине, у року од 15 дана од дана пријема решења.ˮ</w:t>
      </w:r>
    </w:p>
    <w:p w14:paraId="604E59BF" w14:textId="77777777" w:rsidR="00E569C4" w:rsidRPr="004E09DA" w:rsidRDefault="00E569C4" w:rsidP="00E569C4">
      <w:pPr>
        <w:pStyle w:val="Default"/>
        <w:jc w:val="center"/>
        <w:rPr>
          <w:color w:val="auto"/>
          <w:lang w:val="sr-Cyrl-CS"/>
        </w:rPr>
      </w:pPr>
      <w:bookmarkStart w:id="0" w:name="_Hlk211370701"/>
    </w:p>
    <w:p w14:paraId="38D5D8F1" w14:textId="77777777" w:rsidR="00E569C4" w:rsidRPr="004E09DA" w:rsidRDefault="00E569C4" w:rsidP="00E569C4">
      <w:pPr>
        <w:pStyle w:val="Default"/>
        <w:jc w:val="center"/>
        <w:rPr>
          <w:color w:val="auto"/>
          <w:lang w:val="sr-Cyrl-CS"/>
        </w:rPr>
      </w:pPr>
      <w:r w:rsidRPr="004E09DA">
        <w:rPr>
          <w:color w:val="auto"/>
          <w:lang w:val="sr-Cyrl-CS"/>
        </w:rPr>
        <w:t>Члан 11.</w:t>
      </w:r>
    </w:p>
    <w:bookmarkEnd w:id="0"/>
    <w:p w14:paraId="7EF0663F" w14:textId="77777777" w:rsidR="00E569C4" w:rsidRPr="004E09DA" w:rsidRDefault="00E569C4" w:rsidP="00E569C4">
      <w:pPr>
        <w:tabs>
          <w:tab w:val="left" w:pos="1152"/>
        </w:tabs>
        <w:ind w:firstLine="720"/>
        <w:rPr>
          <w:lang w:val="sr-Cyrl-CS"/>
        </w:rPr>
      </w:pPr>
      <w:r w:rsidRPr="004E09DA">
        <w:rPr>
          <w:lang w:val="sr-Cyrl-CS"/>
        </w:rPr>
        <w:t>У члану 138. став 1. после речи: „априла” додају се речи: „текуће годинеˮ.</w:t>
      </w:r>
    </w:p>
    <w:p w14:paraId="678F70C7" w14:textId="77777777" w:rsidR="00E569C4" w:rsidRPr="004E09DA" w:rsidRDefault="00E569C4" w:rsidP="00E569C4">
      <w:pPr>
        <w:ind w:firstLine="720"/>
        <w:jc w:val="center"/>
        <w:rPr>
          <w:color w:val="FF0000"/>
          <w:lang w:val="sr-Cyrl-CS"/>
        </w:rPr>
      </w:pPr>
    </w:p>
    <w:p w14:paraId="04E65FBC" w14:textId="77777777" w:rsidR="00E569C4" w:rsidRPr="004E09DA" w:rsidRDefault="00E569C4" w:rsidP="00E569C4">
      <w:pPr>
        <w:jc w:val="center"/>
        <w:rPr>
          <w:lang w:val="sr-Cyrl-CS"/>
        </w:rPr>
      </w:pPr>
      <w:r w:rsidRPr="004E09DA">
        <w:rPr>
          <w:lang w:val="sr-Cyrl-CS"/>
        </w:rPr>
        <w:t>Члан 12.</w:t>
      </w:r>
    </w:p>
    <w:p w14:paraId="14F34FD2" w14:textId="77777777" w:rsidR="00E569C4" w:rsidRPr="004E09DA" w:rsidRDefault="00E569C4" w:rsidP="00E569C4">
      <w:pPr>
        <w:ind w:firstLine="720"/>
        <w:rPr>
          <w:lang w:val="sr-Cyrl-CS"/>
        </w:rPr>
      </w:pPr>
      <w:r w:rsidRPr="004E09DA">
        <w:rPr>
          <w:lang w:val="sr-Cyrl-CS"/>
        </w:rPr>
        <w:t>У члану 138а став 1. тачка 3)  мења се и гласи:</w:t>
      </w:r>
    </w:p>
    <w:p w14:paraId="5549D852" w14:textId="77777777" w:rsidR="00E569C4" w:rsidRPr="004E09DA" w:rsidRDefault="00E569C4" w:rsidP="00E569C4">
      <w:pPr>
        <w:ind w:firstLine="720"/>
        <w:rPr>
          <w:lang w:val="sr-Cyrl-CS"/>
        </w:rPr>
      </w:pPr>
      <w:r w:rsidRPr="004E09DA">
        <w:rPr>
          <w:lang w:val="sr-Cyrl-CS"/>
        </w:rPr>
        <w:t xml:space="preserve">„3) удружење – недобитна организација, црква и верска заједница, које се финансира искључиво од </w:t>
      </w:r>
      <w:bookmarkStart w:id="1" w:name="_Hlk210930403"/>
      <w:r w:rsidRPr="004E09DA">
        <w:rPr>
          <w:lang w:val="sr-Cyrl-CS"/>
        </w:rPr>
        <w:t>чланарина, чланских доприноса, донација, дотација, субвенција</w:t>
      </w:r>
      <w:bookmarkEnd w:id="1"/>
      <w:r w:rsidRPr="004E09DA">
        <w:rPr>
          <w:lang w:val="sr-Cyrl-CS"/>
        </w:rPr>
        <w:t xml:space="preserve"> и сл. при </w:t>
      </w:r>
      <w:r w:rsidRPr="004E09DA">
        <w:rPr>
          <w:lang w:val="sr-Cyrl-CS"/>
        </w:rPr>
        <w:lastRenderedPageBreak/>
        <w:t>чему на право на ово ослобођење не утиче остваривање других врста прихода који нису пословни;ˮ.</w:t>
      </w:r>
    </w:p>
    <w:p w14:paraId="0CFCA200" w14:textId="77777777" w:rsidR="00E569C4" w:rsidRPr="004E09DA" w:rsidRDefault="00E569C4" w:rsidP="00E569C4">
      <w:pPr>
        <w:ind w:firstLine="720"/>
        <w:jc w:val="center"/>
        <w:rPr>
          <w:lang w:val="sr-Cyrl-CS"/>
        </w:rPr>
      </w:pPr>
    </w:p>
    <w:p w14:paraId="52DF962B" w14:textId="77777777" w:rsidR="00E569C4" w:rsidRPr="004E09DA" w:rsidRDefault="00E569C4" w:rsidP="00E569C4">
      <w:pPr>
        <w:jc w:val="center"/>
        <w:rPr>
          <w:lang w:val="sr-Cyrl-CS"/>
        </w:rPr>
      </w:pPr>
      <w:r w:rsidRPr="004E09DA">
        <w:rPr>
          <w:lang w:val="sr-Cyrl-CS"/>
        </w:rPr>
        <w:t>Члан 13.</w:t>
      </w:r>
    </w:p>
    <w:p w14:paraId="6690C3FD" w14:textId="77777777" w:rsidR="00E569C4" w:rsidRPr="004E09DA" w:rsidRDefault="00E569C4" w:rsidP="00E569C4">
      <w:pPr>
        <w:ind w:firstLine="720"/>
        <w:rPr>
          <w:lang w:val="sr-Cyrl-CS"/>
        </w:rPr>
      </w:pPr>
      <w:r w:rsidRPr="004E09DA">
        <w:rPr>
          <w:lang w:val="sr-Cyrl-CS"/>
        </w:rPr>
        <w:t>У члану 141. додају се ст. 3. и 4, који гласе:</w:t>
      </w:r>
    </w:p>
    <w:p w14:paraId="5ABBAEFA" w14:textId="77777777" w:rsidR="00E569C4" w:rsidRPr="004E09DA" w:rsidRDefault="00E569C4" w:rsidP="00E569C4">
      <w:pPr>
        <w:ind w:firstLine="709"/>
        <w:rPr>
          <w:lang w:val="sr-Cyrl-CS"/>
        </w:rPr>
      </w:pPr>
      <w:r w:rsidRPr="004E09DA">
        <w:rPr>
          <w:lang w:val="sr-Cyrl-CS"/>
        </w:rPr>
        <w:t>„Изузетно, од става 2. овог члана, у случају да се тежина гума – спољних пнеуматика на возилима не може утврдити, основица за обрачун накнаде износи 3% од тежине увезених или произведених возила.</w:t>
      </w:r>
    </w:p>
    <w:p w14:paraId="6D34A680" w14:textId="77777777" w:rsidR="00E569C4" w:rsidRPr="004E09DA" w:rsidRDefault="00E569C4" w:rsidP="00E569C4">
      <w:pPr>
        <w:ind w:firstLine="709"/>
        <w:rPr>
          <w:lang w:val="sr-Cyrl-CS"/>
        </w:rPr>
      </w:pPr>
      <w:r w:rsidRPr="004E09DA">
        <w:rPr>
          <w:lang w:val="sr-Cyrl-CS"/>
        </w:rPr>
        <w:t>Изузетно, од става 2. овог члана, у случају да се тежина акумулатора или стартера које су саставни део произведених или увезених возила из става 2. овог члана не може утврдити, основица за обрачун накнаде износи 1,5% од тежине увезених или произведених возила.ˮ</w:t>
      </w:r>
    </w:p>
    <w:p w14:paraId="17E47C1B" w14:textId="77777777" w:rsidR="00E569C4" w:rsidRPr="004E09DA" w:rsidRDefault="00E569C4" w:rsidP="00E569C4">
      <w:pPr>
        <w:ind w:firstLine="720"/>
        <w:rPr>
          <w:lang w:val="sr-Cyrl-CS"/>
        </w:rPr>
      </w:pPr>
    </w:p>
    <w:p w14:paraId="3379D82C" w14:textId="77777777" w:rsidR="00E569C4" w:rsidRPr="004E09DA" w:rsidRDefault="00E569C4" w:rsidP="00E569C4">
      <w:pPr>
        <w:jc w:val="center"/>
        <w:rPr>
          <w:lang w:val="sr-Cyrl-CS"/>
        </w:rPr>
      </w:pPr>
      <w:r w:rsidRPr="004E09DA">
        <w:rPr>
          <w:lang w:val="sr-Cyrl-CS"/>
        </w:rPr>
        <w:t>Члан 14.</w:t>
      </w:r>
    </w:p>
    <w:p w14:paraId="6466EAF2" w14:textId="77777777" w:rsidR="00E569C4" w:rsidRPr="004E09DA" w:rsidRDefault="00E569C4" w:rsidP="00E569C4">
      <w:pPr>
        <w:ind w:firstLine="720"/>
        <w:rPr>
          <w:lang w:val="sr-Cyrl-CS"/>
        </w:rPr>
      </w:pPr>
      <w:r w:rsidRPr="004E09DA">
        <w:rPr>
          <w:lang w:val="sr-Cyrl-CS"/>
        </w:rPr>
        <w:t xml:space="preserve"> У члану 144. став 4. мења се и гласи:</w:t>
      </w:r>
    </w:p>
    <w:p w14:paraId="5B503362" w14:textId="77777777" w:rsidR="00E569C4" w:rsidRPr="004E09DA" w:rsidRDefault="00E569C4" w:rsidP="00E569C4">
      <w:pPr>
        <w:ind w:firstLine="720"/>
        <w:rPr>
          <w:rFonts w:eastAsia="Calibri"/>
          <w:kern w:val="2"/>
          <w:lang w:val="sr-Cyrl-CS"/>
        </w:rPr>
      </w:pPr>
      <w:r w:rsidRPr="004E09DA">
        <w:rPr>
          <w:lang w:val="sr-Cyrl-CS"/>
        </w:rPr>
        <w:t>„</w:t>
      </w:r>
      <w:r w:rsidRPr="004E09DA">
        <w:rPr>
          <w:rFonts w:eastAsia="Calibri"/>
          <w:kern w:val="2"/>
          <w:lang w:val="sr-Cyrl-CS"/>
        </w:rPr>
        <w:t>Обвезнику накнаде који није доставио Агенцији за заштиту животне средине годишњи извештај о количини увезених производа из става 3. овог члана, Агенција ће на основу царинске исправе утврдити количине увезених производа, сачинити годишњи извештај и доставити министарству у чијој су надлежности послови заштите животне средине, осим за обвезника – увозника производа који после употребе постају посебни токови отпада из члана 140. став 3. тачка 5) овог закона.ˮ</w:t>
      </w:r>
    </w:p>
    <w:p w14:paraId="2ED01EE7" w14:textId="77777777" w:rsidR="00E569C4" w:rsidRPr="004E09DA" w:rsidRDefault="00E569C4" w:rsidP="00E569C4">
      <w:pPr>
        <w:ind w:firstLine="720"/>
        <w:rPr>
          <w:rFonts w:eastAsia="Calibri"/>
          <w:kern w:val="2"/>
          <w:lang w:val="sr-Cyrl-CS"/>
        </w:rPr>
      </w:pPr>
      <w:r w:rsidRPr="004E09DA">
        <w:rPr>
          <w:rFonts w:eastAsia="Calibri"/>
          <w:kern w:val="2"/>
          <w:lang w:val="sr-Cyrl-CS"/>
        </w:rPr>
        <w:t>После става 4. додаје се нови став 5, који гласи:</w:t>
      </w:r>
    </w:p>
    <w:p w14:paraId="013E57C4" w14:textId="77777777" w:rsidR="00E569C4" w:rsidRPr="004E09DA" w:rsidRDefault="00E569C4" w:rsidP="00E569C4">
      <w:pPr>
        <w:ind w:firstLine="720"/>
        <w:rPr>
          <w:lang w:val="sr-Cyrl-CS"/>
        </w:rPr>
      </w:pPr>
      <w:r w:rsidRPr="004E09DA">
        <w:rPr>
          <w:rFonts w:eastAsia="Calibri"/>
          <w:kern w:val="2"/>
          <w:lang w:val="sr-Cyrl-CS"/>
        </w:rPr>
        <w:t>„Агенција за заштиту животне средине ће доставити републичкој инспекцији за заштиту животне средине списак обвезника који нису доставили годишњи извештај из става 3. овог члана, ради поступања инспекције по члану 274. став 1. овог закона.”</w:t>
      </w:r>
    </w:p>
    <w:p w14:paraId="4FB9B77E" w14:textId="77777777" w:rsidR="00E569C4" w:rsidRPr="004E09DA" w:rsidRDefault="00E569C4" w:rsidP="00E569C4">
      <w:pPr>
        <w:ind w:firstLine="720"/>
        <w:rPr>
          <w:lang w:val="sr-Cyrl-CS"/>
        </w:rPr>
      </w:pPr>
      <w:r w:rsidRPr="004E09DA">
        <w:rPr>
          <w:lang w:val="sr-Cyrl-CS"/>
        </w:rPr>
        <w:t>Досадашњи ст. 5. и 6. постају ст. 6. и 7.</w:t>
      </w:r>
    </w:p>
    <w:p w14:paraId="22C14CF2" w14:textId="77777777" w:rsidR="00E569C4" w:rsidRPr="004E09DA" w:rsidRDefault="00E569C4" w:rsidP="00E569C4">
      <w:pPr>
        <w:ind w:firstLine="720"/>
        <w:jc w:val="center"/>
        <w:rPr>
          <w:lang w:val="sr-Cyrl-CS"/>
        </w:rPr>
      </w:pPr>
    </w:p>
    <w:p w14:paraId="6CB19BA1" w14:textId="77777777" w:rsidR="00E569C4" w:rsidRPr="004E09DA" w:rsidRDefault="00E569C4" w:rsidP="00E569C4">
      <w:pPr>
        <w:jc w:val="center"/>
        <w:rPr>
          <w:lang w:val="sr-Cyrl-CS"/>
        </w:rPr>
      </w:pPr>
      <w:bookmarkStart w:id="2" w:name="_Hlk211371362"/>
      <w:r w:rsidRPr="004E09DA">
        <w:rPr>
          <w:lang w:val="sr-Cyrl-CS"/>
        </w:rPr>
        <w:t>Члан 15.</w:t>
      </w:r>
    </w:p>
    <w:p w14:paraId="74AC66C5" w14:textId="77777777" w:rsidR="00E569C4" w:rsidRPr="004E09DA" w:rsidRDefault="00E569C4" w:rsidP="00E569C4">
      <w:pPr>
        <w:ind w:firstLine="720"/>
        <w:rPr>
          <w:lang w:val="sr-Cyrl-CS"/>
        </w:rPr>
      </w:pPr>
      <w:r w:rsidRPr="004E09DA">
        <w:rPr>
          <w:lang w:val="sr-Cyrl-CS"/>
        </w:rPr>
        <w:t>Члан 150. мења се и гласи:</w:t>
      </w:r>
    </w:p>
    <w:p w14:paraId="14EF9A5E" w14:textId="77777777" w:rsidR="00E569C4" w:rsidRPr="004E09DA" w:rsidRDefault="00E569C4" w:rsidP="00E569C4">
      <w:pPr>
        <w:jc w:val="center"/>
        <w:rPr>
          <w:lang w:val="sr-Cyrl-CS"/>
        </w:rPr>
      </w:pPr>
      <w:r w:rsidRPr="004E09DA">
        <w:rPr>
          <w:lang w:val="sr-Cyrl-CS"/>
        </w:rPr>
        <w:t>„Члан 150.</w:t>
      </w:r>
    </w:p>
    <w:p w14:paraId="4701B2EF" w14:textId="77777777" w:rsidR="00E569C4" w:rsidRPr="004E09DA" w:rsidRDefault="00E569C4" w:rsidP="00E569C4">
      <w:pPr>
        <w:ind w:firstLine="720"/>
        <w:rPr>
          <w:lang w:val="sr-Cyrl-CS"/>
        </w:rPr>
      </w:pPr>
      <w:r w:rsidRPr="004E09DA">
        <w:rPr>
          <w:lang w:val="sr-Cyrl-CS"/>
        </w:rPr>
        <w:t>Нaкнaдa за амбалажу се утврђује зa aмбaлaжу или упaкoвaн прoизвoд прeмa врсти (пaпир/кaртoн, плaстикa, стaклo, мeтaл, дрвo и oстaлo) и кoличини aмбaлaжe.</w:t>
      </w:r>
    </w:p>
    <w:p w14:paraId="273A49CD" w14:textId="77777777" w:rsidR="00E569C4" w:rsidRPr="004E09DA" w:rsidRDefault="00E569C4" w:rsidP="00E569C4">
      <w:pPr>
        <w:ind w:firstLine="720"/>
        <w:rPr>
          <w:lang w:val="sr-Cyrl-CS"/>
        </w:rPr>
      </w:pPr>
      <w:r w:rsidRPr="004E09DA">
        <w:rPr>
          <w:lang w:val="sr-Cyrl-CS"/>
        </w:rPr>
        <w:t>Нaкнaдa сe oбрaчунaвa прeмa прeoвлaђуjућeм мaтeриjaлу у сaстaву aмбaлaжe или њeнe кoмпoнeнтe или упaкoвaнoг прoизвoдa, и тo:</w:t>
      </w:r>
    </w:p>
    <w:p w14:paraId="022E0230" w14:textId="77777777" w:rsidR="00E569C4" w:rsidRPr="004E09DA" w:rsidRDefault="00E569C4" w:rsidP="00E569C4">
      <w:pPr>
        <w:ind w:firstLine="720"/>
        <w:rPr>
          <w:lang w:val="sr-Cyrl-CS"/>
        </w:rPr>
      </w:pPr>
      <w:r w:rsidRPr="004E09DA">
        <w:rPr>
          <w:lang w:val="sr-Cyrl-CS"/>
        </w:rPr>
        <w:t>1) нa рaзличитe мaтeриjaлe oд кojих je сaчињeнa вишeслojнa aмбaлaжa кojи сe нe мoгу физички oдвojити или издвojити;</w:t>
      </w:r>
    </w:p>
    <w:p w14:paraId="3A168E34" w14:textId="77777777" w:rsidR="00E569C4" w:rsidRPr="004E09DA" w:rsidRDefault="00E569C4" w:rsidP="00E569C4">
      <w:pPr>
        <w:ind w:firstLine="720"/>
        <w:rPr>
          <w:lang w:val="sr-Cyrl-CS"/>
        </w:rPr>
      </w:pPr>
      <w:r w:rsidRPr="004E09DA">
        <w:rPr>
          <w:lang w:val="sr-Cyrl-CS"/>
        </w:rPr>
        <w:t>2) нa дeлoвe oд кojих je изрaђeнa aмбaлaжa или њeнa кoмпoнeнтa кojи сe нe мoгу физички oдвojити ручнo или jeднoстaвним физичким путeм.</w:t>
      </w:r>
    </w:p>
    <w:p w14:paraId="0E5A4586" w14:textId="77777777" w:rsidR="00E569C4" w:rsidRPr="004E09DA" w:rsidRDefault="00E569C4" w:rsidP="00E569C4">
      <w:pPr>
        <w:ind w:firstLine="720"/>
        <w:rPr>
          <w:lang w:val="sr-Cyrl-CS"/>
        </w:rPr>
      </w:pPr>
      <w:r w:rsidRPr="004E09DA">
        <w:rPr>
          <w:lang w:val="sr-Cyrl-CS"/>
        </w:rPr>
        <w:t>Нaкнaдa сe oбрaчунaвa зa свaку кoмпoнeнту aмбaлaжe или упaкoвaнoг прoизвoдa кoja сe мoжe oдвojити ручнo или jeднoстaвним физичким путeм.</w:t>
      </w:r>
    </w:p>
    <w:p w14:paraId="3829EDFC" w14:textId="77777777" w:rsidR="00E569C4" w:rsidRPr="004E09DA" w:rsidRDefault="00E569C4" w:rsidP="00E569C4">
      <w:pPr>
        <w:ind w:firstLine="720"/>
        <w:rPr>
          <w:lang w:val="sr-Cyrl-CS"/>
        </w:rPr>
      </w:pPr>
      <w:r w:rsidRPr="004E09DA">
        <w:rPr>
          <w:lang w:val="sr-Cyrl-CS"/>
        </w:rPr>
        <w:t>Нaкнaдa зa aмбaлaжу сe oбрaчунaвa прeмa нaмeни aмбaлaжe бeз oбзирa дa ли сe кoристи зa jeднoкрaтну или вишeкрaтну упoтрeбу.</w:t>
      </w:r>
    </w:p>
    <w:p w14:paraId="3B9BC140" w14:textId="77777777" w:rsidR="00E569C4" w:rsidRPr="004E09DA" w:rsidRDefault="00E569C4" w:rsidP="00E569C4">
      <w:pPr>
        <w:ind w:firstLine="720"/>
        <w:rPr>
          <w:lang w:val="sr-Cyrl-CS"/>
        </w:rPr>
      </w:pPr>
      <w:r w:rsidRPr="004E09DA">
        <w:rPr>
          <w:lang w:val="sr-Cyrl-CS"/>
        </w:rPr>
        <w:t>Накнада за амбалажу oбрaчунaвa сe прeмa испуњeнoсти нaциoнaлних циљeвa упрaвљaњa aмбaлaжoм и aмбaлaжним oтпaдoм, и тo:</w:t>
      </w:r>
    </w:p>
    <w:p w14:paraId="615192E2" w14:textId="77777777" w:rsidR="00E569C4" w:rsidRPr="004E09DA" w:rsidRDefault="00E569C4" w:rsidP="00E569C4">
      <w:pPr>
        <w:ind w:firstLine="720"/>
        <w:rPr>
          <w:lang w:val="sr-Cyrl-CS"/>
        </w:rPr>
      </w:pPr>
      <w:r w:rsidRPr="004E09DA">
        <w:rPr>
          <w:lang w:val="sr-Cyrl-CS"/>
        </w:rPr>
        <w:t>1) oпштих циљeвa зa пoнoвнo искoришћeњe и рeциклaжу aмбaлaжнoг oтпaдa бeз oбзирa нa врсту aмбaлaжe;</w:t>
      </w:r>
    </w:p>
    <w:p w14:paraId="117CD1C1" w14:textId="77777777" w:rsidR="00E569C4" w:rsidRPr="004E09DA" w:rsidRDefault="00E569C4" w:rsidP="00E569C4">
      <w:pPr>
        <w:ind w:firstLine="720"/>
        <w:rPr>
          <w:lang w:val="sr-Cyrl-CS"/>
        </w:rPr>
      </w:pPr>
      <w:r w:rsidRPr="004E09DA">
        <w:rPr>
          <w:lang w:val="sr-Cyrl-CS"/>
        </w:rPr>
        <w:lastRenderedPageBreak/>
        <w:t>2) спeцифичних циљeвa зa рeциклaжу aмбaлaжнoг oтпaдa прeмa врсти aмбaлaжe.</w:t>
      </w:r>
    </w:p>
    <w:p w14:paraId="7C8790EE" w14:textId="77777777" w:rsidR="00E569C4" w:rsidRPr="004E09DA" w:rsidRDefault="00E569C4" w:rsidP="00E569C4">
      <w:pPr>
        <w:ind w:firstLine="720"/>
        <w:rPr>
          <w:lang w:val="sr-Cyrl-CS"/>
        </w:rPr>
      </w:pPr>
      <w:r w:rsidRPr="004E09DA">
        <w:rPr>
          <w:lang w:val="sr-Cyrl-CS"/>
        </w:rPr>
        <w:t>Накнаду из става 5. овог члана чини збир накнаде за опште циљеве за поновно искоришћење и рециклажу амбалажног отпада и накнаде за специфичне циљеве за рециклажу по врстама амбалаже:</w:t>
      </w:r>
    </w:p>
    <w:p w14:paraId="77D00706" w14:textId="77777777" w:rsidR="00E569C4" w:rsidRPr="004E09DA" w:rsidRDefault="00E569C4" w:rsidP="00E569C4">
      <w:pPr>
        <w:ind w:firstLine="720"/>
        <w:rPr>
          <w:lang w:val="sr-Cyrl-CS"/>
        </w:rPr>
      </w:pPr>
      <w:r w:rsidRPr="004E09DA">
        <w:rPr>
          <w:lang w:val="sr-Cyrl-CS"/>
        </w:rPr>
        <w:t>Накнада = накнада (општи циљеви) + накнада (специфични циљеви)</w:t>
      </w:r>
    </w:p>
    <w:p w14:paraId="02AA6818" w14:textId="77777777" w:rsidR="00E569C4" w:rsidRPr="004E09DA" w:rsidRDefault="00E569C4" w:rsidP="00E569C4">
      <w:pPr>
        <w:ind w:firstLine="720"/>
        <w:rPr>
          <w:lang w:val="sr-Cyrl-CS"/>
        </w:rPr>
      </w:pPr>
    </w:p>
    <w:p w14:paraId="5E681E62" w14:textId="77777777" w:rsidR="00E569C4" w:rsidRPr="004E09DA" w:rsidRDefault="00E569C4" w:rsidP="00E569C4">
      <w:pPr>
        <w:ind w:firstLine="720"/>
        <w:rPr>
          <w:lang w:val="sr-Cyrl-CS"/>
        </w:rPr>
      </w:pPr>
      <w:r w:rsidRPr="004E09DA">
        <w:rPr>
          <w:lang w:val="sr-Cyrl-CS"/>
        </w:rPr>
        <w:t>Обрачун накнада за опште и специфичне циљеве врши се према следећим формулама:</w:t>
      </w:r>
    </w:p>
    <w:p w14:paraId="5B628240" w14:textId="77777777" w:rsidR="00E569C4" w:rsidRPr="004E09DA" w:rsidRDefault="00E569C4" w:rsidP="00E569C4">
      <w:pPr>
        <w:ind w:firstLine="720"/>
        <w:rPr>
          <w:lang w:val="sr-Cyrl-CS"/>
        </w:rPr>
      </w:pPr>
      <w:r w:rsidRPr="004E09DA">
        <w:rPr>
          <w:lang w:val="sr-Cyrl-CS"/>
        </w:rPr>
        <w:t>1) општи циљеви за поновно искоришћење и рециклажу амбалажног отпада:</w:t>
      </w:r>
    </w:p>
    <w:p w14:paraId="6D2BAA43" w14:textId="77777777" w:rsidR="00E569C4" w:rsidRPr="004E09DA" w:rsidRDefault="00E569C4" w:rsidP="00E569C4">
      <w:pPr>
        <w:ind w:firstLine="720"/>
        <w:rPr>
          <w:lang w:val="sr-Cyrl-CS"/>
        </w:rPr>
      </w:pPr>
      <w:r w:rsidRPr="004E09DA">
        <w:rPr>
          <w:lang w:val="sr-Cyrl-CS"/>
        </w:rPr>
        <w:t xml:space="preserve">накнада (општи циљеви) поновно искоришћење = N x (PI - (Opi+ΣORi)), </w:t>
      </w:r>
      <w:bookmarkStart w:id="3" w:name="_Hlk202261557"/>
      <w:r w:rsidRPr="004E09DA">
        <w:rPr>
          <w:lang w:val="sr-Cyrl-CS"/>
        </w:rPr>
        <w:t xml:space="preserve">при чему је: </w:t>
      </w:r>
      <w:bookmarkStart w:id="4" w:name="_Hlk202261530"/>
      <w:r w:rsidRPr="004E09DA">
        <w:rPr>
          <w:lang w:val="sr-Cyrl-CS"/>
        </w:rPr>
        <w:t xml:space="preserve">PI </w:t>
      </w:r>
      <w:bookmarkStart w:id="5" w:name="_Hlk202342395"/>
      <w:r w:rsidRPr="004E09DA">
        <w:rPr>
          <w:lang w:val="sr-Cyrl-CS"/>
        </w:rPr>
        <w:t>=</w:t>
      </w:r>
      <w:bookmarkEnd w:id="5"/>
      <w:r w:rsidRPr="004E09DA">
        <w:rPr>
          <w:lang w:val="sr-Cyrl-CS"/>
        </w:rPr>
        <w:t xml:space="preserve"> cPI x T; </w:t>
      </w:r>
      <w:bookmarkEnd w:id="3"/>
      <w:bookmarkEnd w:id="4"/>
    </w:p>
    <w:p w14:paraId="3F2FC473" w14:textId="77777777" w:rsidR="00E569C4" w:rsidRPr="004E09DA" w:rsidRDefault="00E569C4" w:rsidP="00E569C4">
      <w:pPr>
        <w:ind w:firstLine="720"/>
        <w:rPr>
          <w:lang w:val="sr-Cyrl-CS"/>
        </w:rPr>
      </w:pPr>
      <w:r w:rsidRPr="004E09DA">
        <w:rPr>
          <w:lang w:val="sr-Cyrl-CS"/>
        </w:rPr>
        <w:t>накнада (општи циљеви) рециклажа = N x (R – ΣORi) где је R = cR x T;</w:t>
      </w:r>
    </w:p>
    <w:p w14:paraId="26905036" w14:textId="77777777" w:rsidR="00E569C4" w:rsidRPr="004E09DA" w:rsidRDefault="00E569C4" w:rsidP="00E569C4">
      <w:pPr>
        <w:ind w:firstLine="720"/>
        <w:rPr>
          <w:lang w:val="sr-Cyrl-CS"/>
        </w:rPr>
      </w:pPr>
      <w:r w:rsidRPr="004E09DA">
        <w:rPr>
          <w:lang w:val="sr-Cyrl-CS"/>
        </w:rPr>
        <w:t xml:space="preserve">где је: </w:t>
      </w:r>
    </w:p>
    <w:p w14:paraId="0961F8B1" w14:textId="77777777" w:rsidR="00E569C4" w:rsidRPr="004E09DA" w:rsidRDefault="00E569C4" w:rsidP="00E569C4">
      <w:pPr>
        <w:ind w:firstLine="720"/>
        <w:rPr>
          <w:lang w:val="sr-Cyrl-CS"/>
        </w:rPr>
      </w:pPr>
      <w:r w:rsidRPr="004E09DA">
        <w:rPr>
          <w:lang w:val="sr-Cyrl-CS"/>
        </w:rPr>
        <w:t>N = коефицијент накнаде за поновно искоришћење и рециклажу 1 kg амбалажног отпада, изражен у динарима;</w:t>
      </w:r>
    </w:p>
    <w:p w14:paraId="0E8E664F" w14:textId="77777777" w:rsidR="00E569C4" w:rsidRPr="004E09DA" w:rsidRDefault="00E569C4" w:rsidP="00E569C4">
      <w:pPr>
        <w:ind w:firstLine="720"/>
        <w:rPr>
          <w:lang w:val="sr-Cyrl-CS"/>
        </w:rPr>
      </w:pPr>
      <w:r w:rsidRPr="004E09DA">
        <w:rPr>
          <w:lang w:val="sr-Cyrl-CS"/>
        </w:rPr>
        <w:t>сPI = проценат поновног искоришћења амбалажног отпада утврђен као општи циљ за сваку годину;</w:t>
      </w:r>
    </w:p>
    <w:p w14:paraId="07F7AD89" w14:textId="77777777" w:rsidR="00E569C4" w:rsidRPr="004E09DA" w:rsidRDefault="00E569C4" w:rsidP="00E569C4">
      <w:pPr>
        <w:ind w:firstLine="720"/>
        <w:rPr>
          <w:lang w:val="sr-Cyrl-CS"/>
        </w:rPr>
      </w:pPr>
      <w:r w:rsidRPr="004E09DA">
        <w:rPr>
          <w:lang w:val="sr-Cyrl-CS"/>
        </w:rPr>
        <w:t>сR = проценат рециклаже амбалажног отпада утврђен као општи циљ за сваку годину;</w:t>
      </w:r>
    </w:p>
    <w:p w14:paraId="43C90329" w14:textId="77777777" w:rsidR="00E569C4" w:rsidRPr="004E09DA" w:rsidRDefault="00E569C4" w:rsidP="00E569C4">
      <w:pPr>
        <w:ind w:firstLine="720"/>
        <w:rPr>
          <w:lang w:val="sr-Cyrl-CS"/>
        </w:rPr>
      </w:pPr>
      <w:r w:rsidRPr="004E09DA">
        <w:rPr>
          <w:lang w:val="sr-Cyrl-CS"/>
        </w:rPr>
        <w:t>R = количина амбалажног отпада коју је неопходно рециклирати према општем циљу изражена у килограмима;</w:t>
      </w:r>
    </w:p>
    <w:p w14:paraId="118B240C" w14:textId="77777777" w:rsidR="00E569C4" w:rsidRPr="004E09DA" w:rsidRDefault="00E569C4" w:rsidP="00E569C4">
      <w:pPr>
        <w:ind w:firstLine="720"/>
        <w:rPr>
          <w:lang w:val="sr-Cyrl-CS"/>
        </w:rPr>
      </w:pPr>
      <w:r w:rsidRPr="004E09DA">
        <w:rPr>
          <w:lang w:val="sr-Cyrl-CS"/>
        </w:rPr>
        <w:t>PI = количина амбалажног отпада коју је неопходно поновно искористити;</w:t>
      </w:r>
    </w:p>
    <w:p w14:paraId="21F2A645" w14:textId="77777777" w:rsidR="00E569C4" w:rsidRPr="004E09DA" w:rsidRDefault="00E569C4" w:rsidP="00E569C4">
      <w:pPr>
        <w:ind w:firstLine="720"/>
        <w:rPr>
          <w:lang w:val="sr-Cyrl-CS"/>
        </w:rPr>
      </w:pPr>
      <w:r w:rsidRPr="004E09DA">
        <w:rPr>
          <w:lang w:val="sr-Cyrl-CS"/>
        </w:rPr>
        <w:t>OPi = укупна количина амбалажног отпада који је поновно искоришћен, изражена у килограмима;</w:t>
      </w:r>
    </w:p>
    <w:p w14:paraId="74E16A99" w14:textId="77777777" w:rsidR="00E569C4" w:rsidRPr="004E09DA" w:rsidRDefault="00E569C4" w:rsidP="00E569C4">
      <w:pPr>
        <w:ind w:firstLine="720"/>
        <w:rPr>
          <w:lang w:val="sr-Cyrl-CS"/>
        </w:rPr>
      </w:pPr>
      <w:r w:rsidRPr="004E09DA">
        <w:rPr>
          <w:lang w:val="sr-Cyrl-CS"/>
        </w:rPr>
        <w:t>ΣORi = укупна количина амбалажног отпада који је рециклиран, изражена у килограмима (i = стакло, папир/картон, метал, пластика, дрво, као и/или други амбалажни материјали);</w:t>
      </w:r>
    </w:p>
    <w:p w14:paraId="06C35F01" w14:textId="77777777" w:rsidR="00E569C4" w:rsidRPr="004E09DA" w:rsidRDefault="00E569C4" w:rsidP="00E569C4">
      <w:pPr>
        <w:ind w:firstLine="720"/>
        <w:rPr>
          <w:lang w:val="sr-Cyrl-CS"/>
        </w:rPr>
      </w:pPr>
      <w:r w:rsidRPr="004E09DA">
        <w:rPr>
          <w:lang w:val="sr-Cyrl-CS"/>
        </w:rPr>
        <w:t>T = укупна количина амбалаже која је пласирана на тржиште у току године изражена у килограмима;</w:t>
      </w:r>
    </w:p>
    <w:p w14:paraId="102060BD" w14:textId="77777777" w:rsidR="00E569C4" w:rsidRPr="004E09DA" w:rsidRDefault="00E569C4" w:rsidP="00E569C4">
      <w:pPr>
        <w:ind w:firstLine="720"/>
        <w:rPr>
          <w:lang w:val="sr-Cyrl-CS"/>
        </w:rPr>
      </w:pPr>
      <w:r w:rsidRPr="004E09DA">
        <w:rPr>
          <w:lang w:val="sr-Cyrl-CS"/>
        </w:rPr>
        <w:t xml:space="preserve">Ако је количина амбалажног отпада који је поновно искоришћен већа од количине коју је неопходно поновно искористити тј. ако је Opi &gt; PI, израз (PI - Opi) се узима да је једнак 0 (нули). </w:t>
      </w:r>
    </w:p>
    <w:p w14:paraId="452BEF0D" w14:textId="77777777" w:rsidR="00E569C4" w:rsidRPr="004E09DA" w:rsidRDefault="00E569C4" w:rsidP="00E569C4">
      <w:pPr>
        <w:ind w:firstLine="720"/>
        <w:rPr>
          <w:lang w:val="sr-Cyrl-CS"/>
        </w:rPr>
      </w:pPr>
      <w:r w:rsidRPr="004E09DA">
        <w:rPr>
          <w:lang w:val="sr-Cyrl-CS"/>
        </w:rPr>
        <w:t>Ако је количина амбалажног отпада који је рециклиран већа од количине коју је неопходно рециклирати тј. ако је OR &gt; R, израз (R - OR) се узима да је једнак 0 (нули).</w:t>
      </w:r>
    </w:p>
    <w:p w14:paraId="417EAEFF" w14:textId="77777777" w:rsidR="00E569C4" w:rsidRPr="004E09DA" w:rsidRDefault="00E569C4" w:rsidP="00E569C4">
      <w:pPr>
        <w:ind w:firstLine="720"/>
        <w:rPr>
          <w:lang w:val="sr-Cyrl-CS"/>
        </w:rPr>
      </w:pPr>
      <w:r w:rsidRPr="004E09DA">
        <w:rPr>
          <w:lang w:val="sr-Cyrl-CS"/>
        </w:rPr>
        <w:t>2) специфични циљеви за рециклажу амбалажног отпада:</w:t>
      </w:r>
    </w:p>
    <w:p w14:paraId="340C4E58" w14:textId="77777777" w:rsidR="00E569C4" w:rsidRPr="004E09DA" w:rsidRDefault="00E569C4" w:rsidP="00E569C4">
      <w:pPr>
        <w:ind w:firstLine="720"/>
        <w:rPr>
          <w:lang w:val="sr-Cyrl-CS"/>
        </w:rPr>
      </w:pPr>
      <w:r w:rsidRPr="004E09DA">
        <w:rPr>
          <w:lang w:val="sr-Cyrl-CS"/>
        </w:rPr>
        <w:t xml:space="preserve">Накнада (специфични циљеви) = </w:t>
      </w:r>
      <w:bookmarkStart w:id="6" w:name="_Hlk202272938"/>
      <w:r w:rsidRPr="004E09DA">
        <w:rPr>
          <w:lang w:val="sr-Cyrl-CS"/>
        </w:rPr>
        <w:t xml:space="preserve">NRi x </w:t>
      </w:r>
      <w:bookmarkEnd w:id="6"/>
      <w:r w:rsidRPr="004E09DA">
        <w:rPr>
          <w:lang w:val="sr-Cyrl-CS"/>
        </w:rPr>
        <w:t>Σ (Ri - ORi) при чему је: R = cR x T;</w:t>
      </w:r>
    </w:p>
    <w:p w14:paraId="57265A69" w14:textId="77777777" w:rsidR="00E569C4" w:rsidRPr="004E09DA" w:rsidRDefault="00E569C4" w:rsidP="00E569C4">
      <w:pPr>
        <w:ind w:firstLine="720"/>
        <w:rPr>
          <w:lang w:val="sr-Cyrl-CS"/>
        </w:rPr>
      </w:pPr>
      <w:r w:rsidRPr="004E09DA">
        <w:rPr>
          <w:lang w:val="sr-Cyrl-CS"/>
        </w:rPr>
        <w:t>где је:</w:t>
      </w:r>
    </w:p>
    <w:p w14:paraId="7567632E" w14:textId="77777777" w:rsidR="00E569C4" w:rsidRPr="004E09DA" w:rsidRDefault="00E569C4" w:rsidP="00E569C4">
      <w:pPr>
        <w:ind w:firstLine="720"/>
        <w:rPr>
          <w:lang w:val="sr-Cyrl-CS"/>
        </w:rPr>
      </w:pPr>
      <w:r w:rsidRPr="004E09DA">
        <w:rPr>
          <w:lang w:val="sr-Cyrl-CS"/>
        </w:rPr>
        <w:t>NR = коефицијент накнаде за рециклажу 1 kg амбалажног отпада према врсти амбалаже, изражен у динарима (i = стакло, метал и дрво);</w:t>
      </w:r>
    </w:p>
    <w:p w14:paraId="1A54D147" w14:textId="77777777" w:rsidR="00E569C4" w:rsidRPr="004E09DA" w:rsidRDefault="00E569C4" w:rsidP="00E569C4">
      <w:pPr>
        <w:ind w:firstLine="720"/>
        <w:rPr>
          <w:lang w:val="sr-Cyrl-CS"/>
        </w:rPr>
      </w:pPr>
      <w:r w:rsidRPr="004E09DA">
        <w:rPr>
          <w:lang w:val="sr-Cyrl-CS"/>
        </w:rPr>
        <w:t>сR = проценат рециклаже амбалажног отпада утврђен као специфични циљ за сваку годину (i = стакло, метал и дрво);</w:t>
      </w:r>
    </w:p>
    <w:p w14:paraId="42ED441E" w14:textId="77777777" w:rsidR="00E569C4" w:rsidRPr="004E09DA" w:rsidRDefault="00E569C4" w:rsidP="00E569C4">
      <w:pPr>
        <w:ind w:firstLine="720"/>
        <w:rPr>
          <w:lang w:val="sr-Cyrl-CS"/>
        </w:rPr>
      </w:pPr>
      <w:r w:rsidRPr="004E09DA">
        <w:rPr>
          <w:lang w:val="sr-Cyrl-CS"/>
        </w:rPr>
        <w:t>T = укупна количина амбалаже која је пласирана на тржиште у току године изражена у килограмима (i = стакло, метал и дрво);</w:t>
      </w:r>
    </w:p>
    <w:p w14:paraId="235B1D00" w14:textId="77777777" w:rsidR="00E569C4" w:rsidRPr="004E09DA" w:rsidRDefault="00E569C4" w:rsidP="00E569C4">
      <w:pPr>
        <w:ind w:firstLine="720"/>
        <w:rPr>
          <w:lang w:val="sr-Cyrl-CS"/>
        </w:rPr>
      </w:pPr>
      <w:r w:rsidRPr="004E09DA">
        <w:rPr>
          <w:lang w:val="sr-Cyrl-CS"/>
        </w:rPr>
        <w:t>R = количина амбалажног отпада према врсти амбалаже коју је неопходно рециклирати према специфичном циљу, изражена у килограмима (i = стакло, метал и дрво);</w:t>
      </w:r>
    </w:p>
    <w:p w14:paraId="79744444" w14:textId="77777777" w:rsidR="00E569C4" w:rsidRPr="004E09DA" w:rsidRDefault="00E569C4" w:rsidP="00E569C4">
      <w:pPr>
        <w:ind w:firstLine="720"/>
        <w:rPr>
          <w:lang w:val="sr-Cyrl-CS"/>
        </w:rPr>
      </w:pPr>
      <w:r w:rsidRPr="004E09DA">
        <w:rPr>
          <w:lang w:val="sr-Cyrl-CS"/>
        </w:rPr>
        <w:lastRenderedPageBreak/>
        <w:t>OR = количина амбалажног отпада према врсти амбалаже која је рециклирана, изражена у килограмима (i = стакло, метал и дрво).</w:t>
      </w:r>
    </w:p>
    <w:p w14:paraId="7C6BD88A" w14:textId="77777777" w:rsidR="00E569C4" w:rsidRPr="004E09DA" w:rsidRDefault="00E569C4" w:rsidP="00E569C4">
      <w:pPr>
        <w:ind w:firstLine="720"/>
        <w:rPr>
          <w:lang w:val="sr-Cyrl-CS"/>
        </w:rPr>
      </w:pPr>
      <w:r w:rsidRPr="004E09DA">
        <w:rPr>
          <w:lang w:val="sr-Cyrl-CS"/>
        </w:rPr>
        <w:t xml:space="preserve">Ако је количина амбалажног отпада који је рециклиран већа од количине коју је неопходно рециклирати тј. ако је ORi </w:t>
      </w:r>
      <w:bookmarkStart w:id="7" w:name="_Hlk202272049"/>
      <w:r w:rsidRPr="004E09DA">
        <w:rPr>
          <w:lang w:val="sr-Cyrl-CS"/>
        </w:rPr>
        <w:t>&gt;</w:t>
      </w:r>
      <w:bookmarkEnd w:id="7"/>
      <w:r w:rsidRPr="004E09DA">
        <w:rPr>
          <w:lang w:val="sr-Cyrl-CS"/>
        </w:rPr>
        <w:t xml:space="preserve"> Ri, израз (Ri - OR i) узима се да је једнак 0 (нули).</w:t>
      </w:r>
    </w:p>
    <w:p w14:paraId="505F1F71" w14:textId="77777777" w:rsidR="00E569C4" w:rsidRPr="004E09DA" w:rsidRDefault="00E569C4" w:rsidP="00E569C4">
      <w:pPr>
        <w:ind w:firstLine="720"/>
        <w:rPr>
          <w:lang w:val="sr-Cyrl-CS"/>
        </w:rPr>
      </w:pPr>
    </w:p>
    <w:p w14:paraId="6C460EE2" w14:textId="77777777" w:rsidR="00E569C4" w:rsidRPr="004E09DA" w:rsidRDefault="00E569C4" w:rsidP="00E569C4">
      <w:pPr>
        <w:ind w:firstLine="720"/>
        <w:rPr>
          <w:lang w:val="sr-Cyrl-CS"/>
        </w:rPr>
      </w:pPr>
      <w:r w:rsidRPr="004E09DA">
        <w:rPr>
          <w:lang w:val="sr-Cyrl-CS"/>
        </w:rPr>
        <w:t>Пластика</w:t>
      </w:r>
    </w:p>
    <w:p w14:paraId="56B5F653" w14:textId="77777777" w:rsidR="00E569C4" w:rsidRPr="004E09DA" w:rsidRDefault="00E569C4" w:rsidP="00E569C4">
      <w:pPr>
        <w:ind w:firstLine="720"/>
        <w:rPr>
          <w:lang w:val="sr-Cyrl-CS"/>
        </w:rPr>
      </w:pPr>
      <w:r w:rsidRPr="004E09DA">
        <w:rPr>
          <w:lang w:val="sr-Cyrl-CS"/>
        </w:rPr>
        <w:t>Накнада за укупну пластику специфичан циљ</w:t>
      </w:r>
    </w:p>
    <w:p w14:paraId="1DB7C2AB" w14:textId="77777777" w:rsidR="00E569C4" w:rsidRPr="004E09DA" w:rsidRDefault="00E569C4" w:rsidP="00E569C4">
      <w:pPr>
        <w:ind w:firstLine="720"/>
        <w:rPr>
          <w:lang w:val="sr-Cyrl-CS"/>
        </w:rPr>
      </w:pPr>
      <w:r w:rsidRPr="004E09DA">
        <w:rPr>
          <w:lang w:val="sr-Cyrl-CS"/>
        </w:rPr>
        <w:t>Nr x (Rp - Σ ORpi) при чему је: Rp = cRp x Tp;</w:t>
      </w:r>
    </w:p>
    <w:p w14:paraId="2DB3DEE8" w14:textId="77777777" w:rsidR="00E569C4" w:rsidRPr="004E09DA" w:rsidRDefault="00E569C4" w:rsidP="00E569C4">
      <w:pPr>
        <w:ind w:firstLine="720"/>
        <w:rPr>
          <w:lang w:val="sr-Cyrl-CS"/>
        </w:rPr>
      </w:pPr>
      <w:r w:rsidRPr="004E09DA">
        <w:rPr>
          <w:lang w:val="sr-Cyrl-CS"/>
        </w:rPr>
        <w:t>где је:</w:t>
      </w:r>
    </w:p>
    <w:p w14:paraId="687B3A61" w14:textId="77777777" w:rsidR="00E569C4" w:rsidRPr="004E09DA" w:rsidRDefault="00E569C4" w:rsidP="00E569C4">
      <w:pPr>
        <w:ind w:firstLine="720"/>
        <w:rPr>
          <w:lang w:val="sr-Cyrl-CS"/>
        </w:rPr>
      </w:pPr>
      <w:r w:rsidRPr="004E09DA">
        <w:rPr>
          <w:lang w:val="sr-Cyrl-CS"/>
        </w:rPr>
        <w:t>Nr = коефицијент накнаде за рециклажу 1 kg пластичног амбалажног отпада, изражен у динарима;</w:t>
      </w:r>
    </w:p>
    <w:p w14:paraId="5A7B7BBF" w14:textId="77777777" w:rsidR="00E569C4" w:rsidRPr="004E09DA" w:rsidRDefault="00E569C4" w:rsidP="00E569C4">
      <w:pPr>
        <w:ind w:firstLine="720"/>
        <w:rPr>
          <w:lang w:val="sr-Cyrl-CS"/>
        </w:rPr>
      </w:pPr>
      <w:r w:rsidRPr="004E09DA">
        <w:rPr>
          <w:lang w:val="sr-Cyrl-CS"/>
        </w:rPr>
        <w:t>Rp = количина пластичног амбалажног отпада коју је неопходно рециклирати према општем циљу изражена у килограмима;</w:t>
      </w:r>
    </w:p>
    <w:p w14:paraId="4E47266D" w14:textId="77777777" w:rsidR="00E569C4" w:rsidRPr="004E09DA" w:rsidRDefault="00E569C4" w:rsidP="00E569C4">
      <w:pPr>
        <w:ind w:firstLine="720"/>
        <w:rPr>
          <w:lang w:val="sr-Cyrl-CS"/>
        </w:rPr>
      </w:pPr>
      <w:r w:rsidRPr="004E09DA">
        <w:rPr>
          <w:lang w:val="sr-Cyrl-CS"/>
        </w:rPr>
        <w:t>cRp = проценат рециклаже пластичног амбалажног отпада утврђен као специфични циљ за сваку годину;</w:t>
      </w:r>
    </w:p>
    <w:p w14:paraId="1A9A0DD9" w14:textId="77777777" w:rsidR="00E569C4" w:rsidRPr="004E09DA" w:rsidRDefault="00E569C4" w:rsidP="00E569C4">
      <w:pPr>
        <w:ind w:firstLine="720"/>
        <w:rPr>
          <w:lang w:val="sr-Cyrl-CS"/>
        </w:rPr>
      </w:pPr>
      <w:r w:rsidRPr="004E09DA">
        <w:rPr>
          <w:lang w:val="sr-Cyrl-CS"/>
        </w:rPr>
        <w:t>Tp = укупна количина пластичне амбалаже која је пласирана на тржиште у току године изражена у килограмима;</w:t>
      </w:r>
    </w:p>
    <w:p w14:paraId="2312070A" w14:textId="77777777" w:rsidR="00E569C4" w:rsidRPr="004E09DA" w:rsidRDefault="00E569C4" w:rsidP="00E569C4">
      <w:pPr>
        <w:ind w:firstLine="720"/>
        <w:rPr>
          <w:lang w:val="sr-Cyrl-CS"/>
        </w:rPr>
      </w:pPr>
      <w:r w:rsidRPr="004E09DA">
        <w:rPr>
          <w:lang w:val="sr-Cyrl-CS"/>
        </w:rPr>
        <w:t>ΣOR p= укупна количина пластичног амбалажног отпада који је рециклиран, изражена у килограмима (i = полиетиле</w:t>
      </w:r>
      <w:r w:rsidR="00496A2E">
        <w:rPr>
          <w:lang w:val="sr-Cyrl-CS"/>
        </w:rPr>
        <w:t>н, пет и остале врсте пластике).</w:t>
      </w:r>
    </w:p>
    <w:p w14:paraId="05A4CFDF" w14:textId="77777777" w:rsidR="00E569C4" w:rsidRPr="004E09DA" w:rsidRDefault="00E569C4" w:rsidP="00E569C4">
      <w:pPr>
        <w:ind w:firstLine="720"/>
        <w:rPr>
          <w:lang w:val="sr-Cyrl-CS"/>
        </w:rPr>
      </w:pPr>
      <w:r w:rsidRPr="004E09DA">
        <w:rPr>
          <w:lang w:val="sr-Cyrl-CS"/>
        </w:rPr>
        <w:t xml:space="preserve">Ако је количина амбалажног отпада који је рециклиран већа од количине коју је неопходно рециклирати тј. ако је ORp </w:t>
      </w:r>
      <w:bookmarkStart w:id="8" w:name="_Hlk202273974"/>
      <w:r w:rsidRPr="004E09DA">
        <w:rPr>
          <w:lang w:val="sr-Cyrl-CS"/>
        </w:rPr>
        <w:t xml:space="preserve">&gt; </w:t>
      </w:r>
      <w:bookmarkEnd w:id="8"/>
      <w:r w:rsidRPr="004E09DA">
        <w:rPr>
          <w:lang w:val="sr-Cyrl-CS"/>
        </w:rPr>
        <w:t>ΣRpi, израз (Rpi - ΣORpi) се узима да је једнак 0 (нули).</w:t>
      </w:r>
    </w:p>
    <w:p w14:paraId="1EC74B32" w14:textId="77777777" w:rsidR="00E569C4" w:rsidRPr="004E09DA" w:rsidRDefault="00E569C4" w:rsidP="00E569C4">
      <w:pPr>
        <w:ind w:firstLine="720"/>
        <w:rPr>
          <w:lang w:val="sr-Cyrl-CS"/>
        </w:rPr>
      </w:pPr>
    </w:p>
    <w:p w14:paraId="5E9C84F2" w14:textId="77777777" w:rsidR="00E569C4" w:rsidRPr="004E09DA" w:rsidRDefault="00E569C4" w:rsidP="00E569C4">
      <w:pPr>
        <w:ind w:firstLine="709"/>
        <w:rPr>
          <w:lang w:val="sr-Cyrl-CS"/>
        </w:rPr>
      </w:pPr>
      <w:r w:rsidRPr="004E09DA">
        <w:rPr>
          <w:lang w:val="sr-Cyrl-CS"/>
        </w:rPr>
        <w:t>Накнада за поједине врсте пластике</w:t>
      </w:r>
    </w:p>
    <w:p w14:paraId="35A51234" w14:textId="77777777" w:rsidR="00E569C4" w:rsidRPr="004E09DA" w:rsidRDefault="00E569C4" w:rsidP="00E569C4">
      <w:pPr>
        <w:ind w:firstLine="709"/>
        <w:rPr>
          <w:lang w:val="sr-Cyrl-CS"/>
        </w:rPr>
      </w:pPr>
      <w:r w:rsidRPr="004E09DA">
        <w:rPr>
          <w:lang w:val="sr-Cyrl-CS"/>
        </w:rPr>
        <w:t>Nrpi x Σ (Rpi - ORpi) при чему је: Rpi = cRpi x Tpi</w:t>
      </w:r>
    </w:p>
    <w:p w14:paraId="18B82A03" w14:textId="77777777" w:rsidR="00E569C4" w:rsidRPr="004E09DA" w:rsidRDefault="00E569C4" w:rsidP="00E569C4">
      <w:pPr>
        <w:ind w:firstLine="709"/>
        <w:rPr>
          <w:lang w:val="sr-Cyrl-CS"/>
        </w:rPr>
      </w:pPr>
      <w:r w:rsidRPr="004E09DA">
        <w:rPr>
          <w:lang w:val="sr-Cyrl-CS"/>
        </w:rPr>
        <w:t>где је:</w:t>
      </w:r>
    </w:p>
    <w:p w14:paraId="6C3075C0" w14:textId="77777777" w:rsidR="00E569C4" w:rsidRPr="004E09DA" w:rsidRDefault="00E569C4" w:rsidP="00E569C4">
      <w:pPr>
        <w:ind w:firstLine="709"/>
        <w:rPr>
          <w:lang w:val="sr-Cyrl-CS"/>
        </w:rPr>
      </w:pPr>
      <w:r w:rsidRPr="004E09DA">
        <w:rPr>
          <w:lang w:val="sr-Cyrl-CS"/>
        </w:rPr>
        <w:t>Nrp = коефицијент накнаде за рециклажу 1 kg појединих врста пластичног амбалажног отпада, изражен у динарима (i = полиетилен, пет и остале врсте пластике);</w:t>
      </w:r>
    </w:p>
    <w:p w14:paraId="1A223D97" w14:textId="77777777" w:rsidR="00E569C4" w:rsidRPr="004E09DA" w:rsidRDefault="00E569C4" w:rsidP="00E569C4">
      <w:pPr>
        <w:ind w:firstLine="720"/>
        <w:rPr>
          <w:lang w:val="sr-Cyrl-CS"/>
        </w:rPr>
      </w:pPr>
      <w:r w:rsidRPr="004E09DA">
        <w:rPr>
          <w:lang w:val="sr-Cyrl-CS"/>
        </w:rPr>
        <w:t>cRp = проценат рециклаже утврђен као специфични циљ за поједине врсте пластичног амбалажног отпада за сваку годину (i = полиетилен, пет и остале врсте пластике);</w:t>
      </w:r>
    </w:p>
    <w:p w14:paraId="2EA180A1" w14:textId="77777777" w:rsidR="00E569C4" w:rsidRPr="004E09DA" w:rsidRDefault="00E569C4" w:rsidP="00E569C4">
      <w:pPr>
        <w:ind w:firstLine="720"/>
        <w:rPr>
          <w:lang w:val="sr-Cyrl-CS"/>
        </w:rPr>
      </w:pPr>
      <w:r w:rsidRPr="004E09DA">
        <w:rPr>
          <w:lang w:val="sr-Cyrl-CS"/>
        </w:rPr>
        <w:t>Tp = укупна количина поједине пластичне амбалаже која је пласирана на тржиште у току године изражена у килограмима (i = полиетилен, пет и остале врсте пластике);</w:t>
      </w:r>
    </w:p>
    <w:p w14:paraId="04D071DD" w14:textId="77777777" w:rsidR="00E569C4" w:rsidRPr="004E09DA" w:rsidRDefault="00E569C4" w:rsidP="00E569C4">
      <w:pPr>
        <w:ind w:firstLine="720"/>
        <w:rPr>
          <w:lang w:val="sr-Cyrl-CS"/>
        </w:rPr>
      </w:pPr>
      <w:r w:rsidRPr="004E09DA">
        <w:rPr>
          <w:lang w:val="sr-Cyrl-CS"/>
        </w:rPr>
        <w:t>Rp = количина пластичног амбалажног отпада према врсти пластичне амбалаже коју је неопходно рециклирати према специфичном подциљу, изражена у килограмима (i=полиетилен, пет и остале врсте пластике);</w:t>
      </w:r>
    </w:p>
    <w:p w14:paraId="4BACE8CD" w14:textId="77777777" w:rsidR="00E569C4" w:rsidRPr="004E09DA" w:rsidRDefault="00E569C4" w:rsidP="00E569C4">
      <w:pPr>
        <w:ind w:firstLine="720"/>
        <w:rPr>
          <w:lang w:val="sr-Cyrl-CS"/>
        </w:rPr>
      </w:pPr>
      <w:r w:rsidRPr="004E09DA">
        <w:rPr>
          <w:lang w:val="sr-Cyrl-CS"/>
        </w:rPr>
        <w:t>ORp = количина пластичног амбалажног отпада према врсти амбалаже која је рециклирана, изражена у килограмима (i = полиетилен, пет и остале врсте пластике).</w:t>
      </w:r>
    </w:p>
    <w:p w14:paraId="436BDF2F" w14:textId="77777777" w:rsidR="00E569C4" w:rsidRPr="004E09DA" w:rsidRDefault="00E569C4" w:rsidP="00E569C4">
      <w:pPr>
        <w:ind w:firstLine="720"/>
        <w:rPr>
          <w:lang w:val="sr-Cyrl-CS"/>
        </w:rPr>
      </w:pPr>
      <w:r w:rsidRPr="004E09DA">
        <w:rPr>
          <w:lang w:val="sr-Cyrl-CS"/>
        </w:rPr>
        <w:t>Ако је количина амбалажног отпада који је рециклиран већа од количине коју је неопходно рециклирати тј. ако је ORpi &gt; Rpi, израз (Rpi - ORpi) се узима да је једнак 0 (нули).</w:t>
      </w:r>
    </w:p>
    <w:p w14:paraId="1C5DD855" w14:textId="77777777" w:rsidR="00E569C4" w:rsidRPr="004E09DA" w:rsidRDefault="00E569C4" w:rsidP="00E569C4">
      <w:pPr>
        <w:ind w:firstLine="720"/>
        <w:rPr>
          <w:lang w:val="sr-Cyrl-CS"/>
        </w:rPr>
      </w:pPr>
    </w:p>
    <w:p w14:paraId="5740E894" w14:textId="77777777" w:rsidR="00E569C4" w:rsidRPr="004E09DA" w:rsidRDefault="00E569C4" w:rsidP="00E569C4">
      <w:pPr>
        <w:ind w:firstLine="720"/>
        <w:rPr>
          <w:lang w:val="sr-Cyrl-CS"/>
        </w:rPr>
      </w:pPr>
      <w:r w:rsidRPr="004E09DA">
        <w:rPr>
          <w:lang w:val="sr-Cyrl-CS"/>
        </w:rPr>
        <w:t>Папир</w:t>
      </w:r>
    </w:p>
    <w:p w14:paraId="70275C57" w14:textId="77777777" w:rsidR="00E569C4" w:rsidRPr="004E09DA" w:rsidRDefault="00E569C4" w:rsidP="00E569C4">
      <w:pPr>
        <w:ind w:firstLine="720"/>
        <w:rPr>
          <w:lang w:val="sr-Cyrl-CS"/>
        </w:rPr>
      </w:pPr>
      <w:r w:rsidRPr="004E09DA">
        <w:rPr>
          <w:lang w:val="sr-Cyrl-CS"/>
        </w:rPr>
        <w:t>Накнада за укупан папир специфичан циљ:</w:t>
      </w:r>
    </w:p>
    <w:p w14:paraId="310E68FF" w14:textId="77777777" w:rsidR="00E569C4" w:rsidRPr="004E09DA" w:rsidRDefault="00E569C4" w:rsidP="00E569C4">
      <w:pPr>
        <w:ind w:firstLine="720"/>
        <w:rPr>
          <w:lang w:val="sr-Cyrl-CS"/>
        </w:rPr>
      </w:pPr>
      <w:r w:rsidRPr="004E09DA">
        <w:rPr>
          <w:lang w:val="sr-Cyrl-CS"/>
        </w:rPr>
        <w:t>Nrk x (Rk - ΣORki) при чему је: Rk = cRk x Tk;</w:t>
      </w:r>
    </w:p>
    <w:p w14:paraId="10DECDFD" w14:textId="77777777" w:rsidR="00E569C4" w:rsidRPr="004E09DA" w:rsidRDefault="00E569C4" w:rsidP="00E569C4">
      <w:pPr>
        <w:ind w:firstLine="720"/>
        <w:rPr>
          <w:lang w:val="sr-Cyrl-CS"/>
        </w:rPr>
      </w:pPr>
      <w:r w:rsidRPr="004E09DA">
        <w:rPr>
          <w:lang w:val="sr-Cyrl-CS"/>
        </w:rPr>
        <w:t>где је:</w:t>
      </w:r>
    </w:p>
    <w:p w14:paraId="4E912419" w14:textId="77777777" w:rsidR="00E569C4" w:rsidRPr="004E09DA" w:rsidRDefault="00E569C4" w:rsidP="00E569C4">
      <w:pPr>
        <w:ind w:firstLine="720"/>
        <w:rPr>
          <w:lang w:val="sr-Cyrl-CS"/>
        </w:rPr>
      </w:pPr>
      <w:r w:rsidRPr="004E09DA">
        <w:rPr>
          <w:lang w:val="sr-Cyrl-CS"/>
        </w:rPr>
        <w:lastRenderedPageBreak/>
        <w:t>Nrk = коефицијент накнаде за рециклажу 1 kg папирног амбалажног отпада, изражен у динарима;</w:t>
      </w:r>
    </w:p>
    <w:p w14:paraId="3122ADF9" w14:textId="77777777" w:rsidR="00E569C4" w:rsidRPr="004E09DA" w:rsidRDefault="00E569C4" w:rsidP="00E569C4">
      <w:pPr>
        <w:ind w:firstLine="720"/>
        <w:rPr>
          <w:lang w:val="sr-Cyrl-CS"/>
        </w:rPr>
      </w:pPr>
      <w:r w:rsidRPr="004E09DA">
        <w:rPr>
          <w:lang w:val="sr-Cyrl-CS"/>
        </w:rPr>
        <w:t>Rk = количина папирног амбалажног отпада коју је неопходно рециклирати према општем циљу изражена у килограмима;</w:t>
      </w:r>
    </w:p>
    <w:p w14:paraId="1A78E999" w14:textId="77777777" w:rsidR="00E569C4" w:rsidRPr="004E09DA" w:rsidRDefault="00E569C4" w:rsidP="00E569C4">
      <w:pPr>
        <w:ind w:firstLine="720"/>
        <w:rPr>
          <w:lang w:val="sr-Cyrl-CS"/>
        </w:rPr>
      </w:pPr>
      <w:r w:rsidRPr="004E09DA">
        <w:rPr>
          <w:lang w:val="sr-Cyrl-CS"/>
        </w:rPr>
        <w:t>Tk = укупна количина папирне амбалаже која је пласирана на тржиште у току године изражена у килограмима;</w:t>
      </w:r>
    </w:p>
    <w:p w14:paraId="2BA658A4" w14:textId="77777777" w:rsidR="00E569C4" w:rsidRPr="004E09DA" w:rsidRDefault="00E569C4" w:rsidP="00E569C4">
      <w:pPr>
        <w:ind w:firstLine="720"/>
        <w:rPr>
          <w:lang w:val="sr-Cyrl-CS"/>
        </w:rPr>
      </w:pPr>
      <w:r w:rsidRPr="004E09DA">
        <w:rPr>
          <w:lang w:val="sr-Cyrl-CS"/>
        </w:rPr>
        <w:t>cRk = проценат рециклаже папирног амбалажног отпада утврђен као општи циљ за сваку годину;</w:t>
      </w:r>
    </w:p>
    <w:p w14:paraId="27A35F0D" w14:textId="77777777" w:rsidR="00E569C4" w:rsidRPr="004E09DA" w:rsidRDefault="00E569C4" w:rsidP="00E569C4">
      <w:pPr>
        <w:ind w:firstLine="720"/>
        <w:rPr>
          <w:lang w:val="sr-Cyrl-CS"/>
        </w:rPr>
      </w:pPr>
      <w:r w:rsidRPr="004E09DA">
        <w:rPr>
          <w:lang w:val="sr-Cyrl-CS"/>
        </w:rPr>
        <w:t>ΣORki = укупна количина папирног амбалажног отпада који је рециклиран, изражена у килограмима (i = папир и вишеслојна картонска амбалажа за напитке);</w:t>
      </w:r>
    </w:p>
    <w:p w14:paraId="41823689" w14:textId="77777777" w:rsidR="00E569C4" w:rsidRPr="004E09DA" w:rsidRDefault="00E569C4" w:rsidP="00E569C4">
      <w:pPr>
        <w:ind w:firstLine="720"/>
        <w:rPr>
          <w:lang w:val="sr-Cyrl-CS"/>
        </w:rPr>
      </w:pPr>
      <w:r w:rsidRPr="004E09DA">
        <w:rPr>
          <w:lang w:val="sr-Cyrl-CS"/>
        </w:rPr>
        <w:t>Ако је количина амбалажног отпада који је рециклиран већа од количине коју је неопходно рециклирати тј. ако је ORki &gt; ΣRk, израз (Rk - ΣORki) се узима да је једнак 0 (нули).</w:t>
      </w:r>
    </w:p>
    <w:p w14:paraId="3B73042E" w14:textId="77777777" w:rsidR="00E569C4" w:rsidRPr="004E09DA" w:rsidRDefault="00E569C4" w:rsidP="00E569C4">
      <w:pPr>
        <w:ind w:firstLine="720"/>
        <w:rPr>
          <w:lang w:val="sr-Cyrl-CS"/>
        </w:rPr>
      </w:pPr>
    </w:p>
    <w:p w14:paraId="46742D74" w14:textId="77777777" w:rsidR="00E569C4" w:rsidRPr="004E09DA" w:rsidRDefault="00E569C4" w:rsidP="00E569C4">
      <w:pPr>
        <w:ind w:firstLine="709"/>
        <w:rPr>
          <w:lang w:val="sr-Cyrl-CS"/>
        </w:rPr>
      </w:pPr>
      <w:r w:rsidRPr="004E09DA">
        <w:rPr>
          <w:lang w:val="sr-Cyrl-CS"/>
        </w:rPr>
        <w:t xml:space="preserve">Накнада за поједине врсте папира: </w:t>
      </w:r>
    </w:p>
    <w:p w14:paraId="7200A5B0" w14:textId="77777777" w:rsidR="00E569C4" w:rsidRPr="004E09DA" w:rsidRDefault="00E569C4" w:rsidP="00E569C4">
      <w:pPr>
        <w:ind w:firstLine="709"/>
        <w:rPr>
          <w:lang w:val="sr-Cyrl-CS"/>
        </w:rPr>
      </w:pPr>
      <w:r w:rsidRPr="004E09DA">
        <w:rPr>
          <w:lang w:val="sr-Cyrl-CS"/>
        </w:rPr>
        <w:t>Nrki x Σ (Rki - OR ki) при чему је Rki = cRki x Tki:</w:t>
      </w:r>
    </w:p>
    <w:p w14:paraId="1DE13605" w14:textId="77777777" w:rsidR="00E569C4" w:rsidRPr="004E09DA" w:rsidRDefault="00E569C4" w:rsidP="00E569C4">
      <w:pPr>
        <w:ind w:firstLine="709"/>
        <w:rPr>
          <w:lang w:val="sr-Cyrl-CS"/>
        </w:rPr>
      </w:pPr>
      <w:r w:rsidRPr="004E09DA">
        <w:rPr>
          <w:lang w:val="sr-Cyrl-CS"/>
        </w:rPr>
        <w:t>где је:</w:t>
      </w:r>
    </w:p>
    <w:p w14:paraId="63E212A4" w14:textId="77777777" w:rsidR="00E569C4" w:rsidRPr="004E09DA" w:rsidRDefault="00E569C4" w:rsidP="00E569C4">
      <w:pPr>
        <w:ind w:firstLine="720"/>
        <w:rPr>
          <w:lang w:val="sr-Cyrl-CS"/>
        </w:rPr>
      </w:pPr>
      <w:r w:rsidRPr="004E09DA">
        <w:rPr>
          <w:lang w:val="sr-Cyrl-CS"/>
        </w:rPr>
        <w:t>Nrk = коефицијент накнаде за рециклажу 1 kg појединих врста папирног амбалажног отпада, изражен у динарима (i = папир и вишеслојна картонска амбалажа за напитке);</w:t>
      </w:r>
    </w:p>
    <w:p w14:paraId="72F1F996" w14:textId="77777777" w:rsidR="00E569C4" w:rsidRPr="004E09DA" w:rsidRDefault="00E569C4" w:rsidP="00E569C4">
      <w:pPr>
        <w:ind w:firstLine="720"/>
        <w:rPr>
          <w:lang w:val="sr-Cyrl-CS"/>
        </w:rPr>
      </w:pPr>
      <w:r w:rsidRPr="004E09DA">
        <w:rPr>
          <w:lang w:val="sr-Cyrl-CS"/>
        </w:rPr>
        <w:t>cRk = проценат рециклаже поједине врсте папирног амбалажног отпада утврђен као специфични циљ за сваку годину (i = папир и вишеслојна картонска амбалажа за напитке);</w:t>
      </w:r>
    </w:p>
    <w:p w14:paraId="4800F1CB" w14:textId="77777777" w:rsidR="00E569C4" w:rsidRPr="004E09DA" w:rsidRDefault="00E569C4" w:rsidP="00E569C4">
      <w:pPr>
        <w:ind w:firstLine="720"/>
        <w:rPr>
          <w:lang w:val="sr-Cyrl-CS"/>
        </w:rPr>
      </w:pPr>
      <w:r w:rsidRPr="004E09DA">
        <w:rPr>
          <w:lang w:val="sr-Cyrl-CS"/>
        </w:rPr>
        <w:t>Tk = укупна количина поједине папирне амбалаже која је пласирана на тржиште у току године изражена у килограмима. (i = папир и вишеслојна картонска амбалажа за напитке);</w:t>
      </w:r>
    </w:p>
    <w:p w14:paraId="6748CDCA" w14:textId="77777777" w:rsidR="00E569C4" w:rsidRPr="004E09DA" w:rsidRDefault="00E569C4" w:rsidP="00E569C4">
      <w:pPr>
        <w:ind w:firstLine="720"/>
        <w:rPr>
          <w:lang w:val="sr-Cyrl-CS"/>
        </w:rPr>
      </w:pPr>
      <w:r w:rsidRPr="004E09DA">
        <w:rPr>
          <w:lang w:val="sr-Cyrl-CS"/>
        </w:rPr>
        <w:t>Rk = количина пластичног амбалажног отпада према врсти пластичне амбалаже коју је неопходно рециклирати према специфичном подциљу, изражена у килограмима (i = папир и вишеслојна картонска амбалажа за напитке);</w:t>
      </w:r>
    </w:p>
    <w:p w14:paraId="6F0B9E70" w14:textId="77777777" w:rsidR="00E569C4" w:rsidRPr="004E09DA" w:rsidRDefault="00E569C4" w:rsidP="00E569C4">
      <w:pPr>
        <w:ind w:firstLine="720"/>
        <w:rPr>
          <w:lang w:val="sr-Cyrl-CS"/>
        </w:rPr>
      </w:pPr>
      <w:r w:rsidRPr="004E09DA">
        <w:rPr>
          <w:lang w:val="sr-Cyrl-CS"/>
        </w:rPr>
        <w:t>ORk = количина пластичног амбалажног отпада према врсти амбалаже која је рециклирана, изражена у килограмима (i = папир и вишеслојна картонска амб</w:t>
      </w:r>
      <w:r w:rsidR="004E09DA" w:rsidRPr="004E09DA">
        <w:rPr>
          <w:lang w:val="sr-Cyrl-CS"/>
        </w:rPr>
        <w:t>а</w:t>
      </w:r>
      <w:r w:rsidRPr="004E09DA">
        <w:rPr>
          <w:lang w:val="sr-Cyrl-CS"/>
        </w:rPr>
        <w:t>лажа за напитке);</w:t>
      </w:r>
    </w:p>
    <w:p w14:paraId="2BCA29A5" w14:textId="77777777" w:rsidR="00E569C4" w:rsidRPr="004E09DA" w:rsidRDefault="00E569C4" w:rsidP="00E569C4">
      <w:pPr>
        <w:ind w:firstLine="720"/>
        <w:rPr>
          <w:lang w:val="sr-Cyrl-CS"/>
        </w:rPr>
      </w:pPr>
      <w:r w:rsidRPr="004E09DA">
        <w:rPr>
          <w:lang w:val="sr-Cyrl-CS"/>
        </w:rPr>
        <w:t>Ако је количина амбалажног отпада који је рециклиран већа од количине коју је неопходно рециклирати тј. ако је ORki &gt; Rki, израз (Rki – Orki) се узима да је једнак 0 (нули).</w:t>
      </w:r>
    </w:p>
    <w:p w14:paraId="05AC7BA2" w14:textId="77777777" w:rsidR="00E569C4" w:rsidRPr="004E09DA" w:rsidRDefault="00E569C4" w:rsidP="00E569C4">
      <w:pPr>
        <w:ind w:firstLine="720"/>
        <w:rPr>
          <w:lang w:val="sr-Cyrl-CS"/>
        </w:rPr>
      </w:pPr>
      <w:r w:rsidRPr="004E09DA">
        <w:rPr>
          <w:lang w:val="sr-Cyrl-CS"/>
        </w:rPr>
        <w:t>Кoeфициjeнти нaкнaдe зa пoнoвнo искoришћeњe и рeциклaжу, кao и кoeфициjeнти нaкнaдe зa рeциклaжу пo врстaмa aмбaлaжe, зa 1 kg aмбaлaжнoг oтпaдa, изрaжeни у динaримa, дaти су у Прилогу 7, Табела 7. овог закона.ˮ</w:t>
      </w:r>
    </w:p>
    <w:p w14:paraId="450F9D6A" w14:textId="77777777" w:rsidR="00E569C4" w:rsidRPr="004E09DA" w:rsidRDefault="00E569C4" w:rsidP="00E569C4">
      <w:pPr>
        <w:ind w:firstLine="720"/>
        <w:jc w:val="center"/>
        <w:rPr>
          <w:lang w:val="sr-Cyrl-CS"/>
        </w:rPr>
      </w:pPr>
    </w:p>
    <w:p w14:paraId="0316C1C1" w14:textId="77777777" w:rsidR="00E569C4" w:rsidRPr="004E09DA" w:rsidRDefault="00E569C4" w:rsidP="00E569C4">
      <w:pPr>
        <w:jc w:val="center"/>
        <w:rPr>
          <w:lang w:val="sr-Cyrl-CS"/>
        </w:rPr>
      </w:pPr>
      <w:r w:rsidRPr="004E09DA">
        <w:rPr>
          <w:lang w:val="sr-Cyrl-CS"/>
        </w:rPr>
        <w:t>Члан 16.</w:t>
      </w:r>
    </w:p>
    <w:p w14:paraId="1B13BF37" w14:textId="77777777" w:rsidR="00E569C4" w:rsidRPr="004E09DA" w:rsidRDefault="00E569C4" w:rsidP="00E569C4">
      <w:pPr>
        <w:ind w:firstLine="720"/>
        <w:rPr>
          <w:lang w:val="sr-Cyrl-CS"/>
        </w:rPr>
      </w:pPr>
      <w:r w:rsidRPr="004E09DA">
        <w:rPr>
          <w:lang w:val="sr-Cyrl-CS"/>
        </w:rPr>
        <w:t>У члану 152. став 2. уводна реченица мења се и гласи:</w:t>
      </w:r>
    </w:p>
    <w:p w14:paraId="5F9B5A00" w14:textId="77777777" w:rsidR="00E569C4" w:rsidRPr="004E09DA" w:rsidRDefault="00E569C4" w:rsidP="00E569C4">
      <w:pPr>
        <w:ind w:firstLine="709"/>
        <w:rPr>
          <w:lang w:val="sr-Cyrl-CS"/>
        </w:rPr>
      </w:pPr>
      <w:r w:rsidRPr="004E09DA">
        <w:rPr>
          <w:lang w:val="sr-Cyrl-CS"/>
        </w:rPr>
        <w:t>„Ослобођење од плаћања накнаде за амбалажу остварује и обвезник који испуњава следеће услове:ˮ.</w:t>
      </w:r>
    </w:p>
    <w:p w14:paraId="65D8AB9B" w14:textId="77777777" w:rsidR="00E569C4" w:rsidRPr="004E09DA" w:rsidRDefault="00E569C4" w:rsidP="00E569C4">
      <w:pPr>
        <w:ind w:firstLine="720"/>
        <w:rPr>
          <w:lang w:val="sr-Cyrl-CS"/>
        </w:rPr>
      </w:pPr>
    </w:p>
    <w:p w14:paraId="443C51F1" w14:textId="77777777" w:rsidR="00E569C4" w:rsidRPr="004E09DA" w:rsidRDefault="00E569C4" w:rsidP="00E569C4">
      <w:pPr>
        <w:jc w:val="center"/>
        <w:rPr>
          <w:lang w:val="sr-Cyrl-CS"/>
        </w:rPr>
      </w:pPr>
      <w:r w:rsidRPr="004E09DA">
        <w:rPr>
          <w:lang w:val="sr-Cyrl-CS"/>
        </w:rPr>
        <w:t>Члан 17.</w:t>
      </w:r>
    </w:p>
    <w:p w14:paraId="59207553" w14:textId="77777777" w:rsidR="00E569C4" w:rsidRPr="004E09DA" w:rsidRDefault="00E569C4" w:rsidP="00E569C4">
      <w:pPr>
        <w:ind w:firstLine="720"/>
        <w:rPr>
          <w:lang w:val="sr-Cyrl-CS"/>
        </w:rPr>
      </w:pPr>
      <w:r w:rsidRPr="004E09DA">
        <w:rPr>
          <w:lang w:val="sr-Cyrl-CS"/>
        </w:rPr>
        <w:t>У члану 155. тачка 1. речи: „лица која при обављању комуналне делатности испуштају отпадне воде у систем јавне канализације или у септичке или сабирне јаме, у количини већој од 30 метара кубних (m³) дневно,ˮ бришу се.</w:t>
      </w:r>
    </w:p>
    <w:p w14:paraId="4D41C4C6" w14:textId="77777777" w:rsidR="00E569C4" w:rsidRPr="004E09DA" w:rsidRDefault="00E569C4" w:rsidP="00E569C4">
      <w:pPr>
        <w:ind w:firstLine="720"/>
        <w:rPr>
          <w:lang w:val="sr-Cyrl-CS"/>
        </w:rPr>
      </w:pPr>
    </w:p>
    <w:p w14:paraId="6F26AEAD" w14:textId="77777777" w:rsidR="00E569C4" w:rsidRPr="004E09DA" w:rsidRDefault="00E569C4" w:rsidP="00E569C4">
      <w:pPr>
        <w:jc w:val="center"/>
        <w:rPr>
          <w:lang w:val="sr-Cyrl-CS"/>
        </w:rPr>
      </w:pPr>
      <w:r w:rsidRPr="004E09DA">
        <w:rPr>
          <w:lang w:val="sr-Cyrl-CS"/>
        </w:rPr>
        <w:lastRenderedPageBreak/>
        <w:t>Члан 18.</w:t>
      </w:r>
    </w:p>
    <w:p w14:paraId="3A081F61" w14:textId="77777777" w:rsidR="00E569C4" w:rsidRPr="004E09DA" w:rsidRDefault="00E569C4" w:rsidP="00E569C4">
      <w:pPr>
        <w:ind w:firstLine="720"/>
        <w:rPr>
          <w:lang w:val="sr-Cyrl-CS"/>
        </w:rPr>
      </w:pPr>
      <w:r w:rsidRPr="004E09DA">
        <w:rPr>
          <w:lang w:val="sr-Cyrl-CS"/>
        </w:rPr>
        <w:t>У члану 158. ст. 3. и 4. реч: „Q</w:t>
      </w:r>
      <w:r w:rsidRPr="004E09DA">
        <w:rPr>
          <w:vertAlign w:val="subscript"/>
          <w:lang w:val="sr-Cyrl-CS"/>
        </w:rPr>
        <w:t>S</w:t>
      </w:r>
      <w:r w:rsidRPr="004E09DA">
        <w:rPr>
          <w:lang w:val="sr-Cyrl-CS"/>
        </w:rPr>
        <w:t>” замењује се речју</w:t>
      </w:r>
      <w:r w:rsidRPr="004E09DA">
        <w:rPr>
          <w:vertAlign w:val="subscript"/>
          <w:lang w:val="sr-Cyrl-CS"/>
        </w:rPr>
        <w:t xml:space="preserve"> </w:t>
      </w:r>
      <w:r w:rsidRPr="004E09DA">
        <w:rPr>
          <w:lang w:val="sr-Cyrl-CS"/>
        </w:rPr>
        <w:t>„Qˮ, на оба места.</w:t>
      </w:r>
    </w:p>
    <w:p w14:paraId="64A8A1E1" w14:textId="77777777" w:rsidR="00E569C4" w:rsidRPr="004E09DA" w:rsidRDefault="00E569C4" w:rsidP="00E569C4">
      <w:pPr>
        <w:ind w:firstLine="720"/>
        <w:rPr>
          <w:lang w:val="sr-Cyrl-CS"/>
        </w:rPr>
      </w:pPr>
    </w:p>
    <w:p w14:paraId="3457262E" w14:textId="77777777" w:rsidR="00E569C4" w:rsidRPr="004E09DA" w:rsidRDefault="00E569C4" w:rsidP="00E569C4">
      <w:pPr>
        <w:jc w:val="center"/>
        <w:rPr>
          <w:lang w:val="sr-Cyrl-CS"/>
        </w:rPr>
      </w:pPr>
      <w:r w:rsidRPr="004E09DA">
        <w:rPr>
          <w:lang w:val="sr-Cyrl-CS"/>
        </w:rPr>
        <w:t>Члан 19.</w:t>
      </w:r>
    </w:p>
    <w:p w14:paraId="0E608CB4" w14:textId="77777777" w:rsidR="004E09DA" w:rsidRDefault="00E569C4" w:rsidP="004E09DA">
      <w:pPr>
        <w:rPr>
          <w:lang w:val="sr-Cyrl-RS"/>
        </w:rPr>
      </w:pPr>
      <w:r w:rsidRPr="004E09DA">
        <w:rPr>
          <w:lang w:val="sr-Cyrl-CS"/>
        </w:rPr>
        <w:tab/>
      </w:r>
      <w:r w:rsidR="004E09DA">
        <w:rPr>
          <w:lang w:val="sr-Cyrl-RS"/>
        </w:rPr>
        <w:t>У члану 159. став 1. мења се и гласи:</w:t>
      </w:r>
    </w:p>
    <w:p w14:paraId="29028EA3" w14:textId="77777777" w:rsidR="004E09DA" w:rsidRDefault="004E09DA" w:rsidP="004E09DA">
      <w:pPr>
        <w:rPr>
          <w:lang w:val="sr-Cyrl-RS"/>
        </w:rPr>
      </w:pPr>
      <w:r>
        <w:rPr>
          <w:lang w:val="sr-Cyrl-RS"/>
        </w:rPr>
        <w:tab/>
        <w:t>„Годишња висина накнаде за непосредно загађивање вода представља висину:</w:t>
      </w:r>
    </w:p>
    <w:p w14:paraId="6226D45C" w14:textId="77777777" w:rsidR="004E09DA" w:rsidRDefault="004E09DA" w:rsidP="004E09DA">
      <w:pPr>
        <w:rPr>
          <w:lang w:val="sr-Cyrl-RS"/>
        </w:rPr>
      </w:pPr>
      <w:r>
        <w:rPr>
          <w:lang w:val="sr-Cyrl-RS"/>
        </w:rPr>
        <w:tab/>
        <w:t>1) (Р) – накнаде на годишњем нивоу за отпадне воде у којима се количине загађујућих материја усклађене са прописаним граничним вредностима емисија загађујућих материја;</w:t>
      </w:r>
    </w:p>
    <w:p w14:paraId="06ADC2C3" w14:textId="77777777" w:rsidR="004E09DA" w:rsidRDefault="004E09DA" w:rsidP="004E09DA">
      <w:pPr>
        <w:rPr>
          <w:lang w:val="sr-Cyrl-RS"/>
        </w:rPr>
      </w:pPr>
      <w:r>
        <w:rPr>
          <w:lang w:val="sr-Cyrl-RS"/>
        </w:rPr>
        <w:tab/>
        <w:t>2) (</w:t>
      </w:r>
      <w:r>
        <w:t>V</w:t>
      </w:r>
      <w:r>
        <w:rPr>
          <w:lang w:val="sr-Cyrl-RS"/>
        </w:rPr>
        <w:t>) – накнаде на годишњем нивоу за отпадне воде у којима су количине загађујућих материја изнад прописаних граничних вредности емисија.”</w:t>
      </w:r>
    </w:p>
    <w:p w14:paraId="5315778C" w14:textId="77777777" w:rsidR="004E09DA" w:rsidRDefault="004E09DA" w:rsidP="004E09DA">
      <w:pPr>
        <w:rPr>
          <w:lang w:val="sr-Cyrl-RS"/>
        </w:rPr>
      </w:pPr>
      <w:r>
        <w:rPr>
          <w:lang w:val="sr-Cyrl-RS"/>
        </w:rPr>
        <w:tab/>
        <w:t>После става 1. додаје се нови став 2, који гласи:</w:t>
      </w:r>
    </w:p>
    <w:p w14:paraId="79982559" w14:textId="77777777" w:rsidR="004E09DA" w:rsidRDefault="004E09DA" w:rsidP="004E09DA">
      <w:pPr>
        <w:rPr>
          <w:lang w:val="sr-Cyrl-RS"/>
        </w:rPr>
      </w:pPr>
      <w:r>
        <w:rPr>
          <w:lang w:val="sr-Cyrl-RS"/>
        </w:rPr>
        <w:tab/>
        <w:t>„Накнада из става 1. овог члана обрачунава се преко цене за:</w:t>
      </w:r>
    </w:p>
    <w:p w14:paraId="5CDDD253" w14:textId="77777777" w:rsidR="004E09DA" w:rsidRDefault="004E09DA" w:rsidP="004E09DA">
      <w:pPr>
        <w:rPr>
          <w:lang w:val="sr-Cyrl-RS"/>
        </w:rPr>
      </w:pPr>
      <w:r>
        <w:rPr>
          <w:lang w:val="sr-Cyrl-RS"/>
        </w:rPr>
        <w:tab/>
        <w:t>1) укупну количину испуштене отпадне воде у којима се количине загађујућих материја усклађене са прописаним граничним вредностима (</w:t>
      </w:r>
      <w:r>
        <w:t>RSD</w:t>
      </w:r>
      <w:r w:rsidRPr="00835BB9">
        <w:rPr>
          <w:vertAlign w:val="subscript"/>
        </w:rPr>
        <w:t>P</w:t>
      </w:r>
      <w:r>
        <w:rPr>
          <w:lang w:val="sr-Cyrl-RS"/>
        </w:rPr>
        <w:t>);</w:t>
      </w:r>
    </w:p>
    <w:p w14:paraId="44DA91E5" w14:textId="77777777" w:rsidR="004E09DA" w:rsidRDefault="004E09DA" w:rsidP="004E09DA">
      <w:pPr>
        <w:rPr>
          <w:lang w:val="sr-Cyrl-RS"/>
        </w:rPr>
      </w:pPr>
      <w:r>
        <w:rPr>
          <w:lang w:val="sr-Cyrl-RS"/>
        </w:rPr>
        <w:tab/>
        <w:t>2) испуштање отпадних вода у којима су количине загађујућих материја изнад прописаних граничних вредности емисије (</w:t>
      </w:r>
      <w:r>
        <w:t>RSD</w:t>
      </w:r>
      <w:r>
        <w:rPr>
          <w:vertAlign w:val="subscript"/>
        </w:rPr>
        <w:t>V</w:t>
      </w:r>
      <w:r>
        <w:rPr>
          <w:lang w:val="sr-Cyrl-RS"/>
        </w:rPr>
        <w:t>), у складу са Прилогом 7, део 8.3. овог закона.”.</w:t>
      </w:r>
    </w:p>
    <w:p w14:paraId="101BCC92" w14:textId="77777777" w:rsidR="004E09DA" w:rsidRPr="00835BB9" w:rsidRDefault="004E09DA" w:rsidP="004E09DA">
      <w:pPr>
        <w:rPr>
          <w:lang w:val="sr-Cyrl-RS"/>
        </w:rPr>
      </w:pPr>
      <w:r>
        <w:rPr>
          <w:lang w:val="sr-Cyrl-RS"/>
        </w:rPr>
        <w:tab/>
        <w:t>Досадашњи став 2. постаје став 3.</w:t>
      </w:r>
    </w:p>
    <w:p w14:paraId="1583B05E" w14:textId="77777777" w:rsidR="00E569C4" w:rsidRPr="004E09DA" w:rsidRDefault="00E569C4" w:rsidP="004E09DA">
      <w:pPr>
        <w:rPr>
          <w:lang w:val="sr-Cyrl-CS"/>
        </w:rPr>
      </w:pPr>
    </w:p>
    <w:p w14:paraId="7811C9E1" w14:textId="77777777" w:rsidR="00E569C4" w:rsidRPr="004E09DA" w:rsidRDefault="00E569C4" w:rsidP="00E569C4">
      <w:pPr>
        <w:jc w:val="center"/>
        <w:rPr>
          <w:lang w:val="sr-Cyrl-CS"/>
        </w:rPr>
      </w:pPr>
      <w:bookmarkStart w:id="9" w:name="_Hlk211372560"/>
      <w:r w:rsidRPr="004E09DA">
        <w:rPr>
          <w:lang w:val="sr-Cyrl-CS"/>
        </w:rPr>
        <w:t>Члан 20.</w:t>
      </w:r>
    </w:p>
    <w:p w14:paraId="5D7AC4BB" w14:textId="77777777" w:rsidR="00E569C4" w:rsidRPr="004E09DA" w:rsidRDefault="00E569C4" w:rsidP="00E569C4">
      <w:pPr>
        <w:ind w:firstLine="720"/>
        <w:rPr>
          <w:lang w:val="sr-Cyrl-CS"/>
        </w:rPr>
      </w:pPr>
      <w:r w:rsidRPr="004E09DA">
        <w:rPr>
          <w:lang w:val="sr-Cyrl-CS"/>
        </w:rPr>
        <w:t>У члану 160. став 10. мења се и гласи:</w:t>
      </w:r>
    </w:p>
    <w:p w14:paraId="49DA2DD9" w14:textId="77777777" w:rsidR="00E569C4" w:rsidRPr="004E09DA" w:rsidRDefault="00E569C4" w:rsidP="00E569C4">
      <w:pPr>
        <w:ind w:firstLine="720"/>
        <w:rPr>
          <w:lang w:val="sr-Cyrl-CS"/>
        </w:rPr>
      </w:pPr>
      <w:r w:rsidRPr="004E09DA">
        <w:rPr>
          <w:lang w:val="sr-Cyrl-CS"/>
        </w:rPr>
        <w:t>„Против решења из става 1. овог члана може се изјавити жалба Влади, преко министарства у чијој су надлежности послови заштите животне средине, у року од 15 дана од дана пријема решења.ˮ</w:t>
      </w:r>
    </w:p>
    <w:bookmarkEnd w:id="2"/>
    <w:bookmarkEnd w:id="9"/>
    <w:p w14:paraId="521DB798" w14:textId="77777777" w:rsidR="00E569C4" w:rsidRPr="004E09DA" w:rsidRDefault="00E569C4" w:rsidP="00E569C4">
      <w:pPr>
        <w:ind w:firstLine="720"/>
        <w:rPr>
          <w:color w:val="FF0000"/>
          <w:lang w:val="sr-Cyrl-CS"/>
        </w:rPr>
      </w:pPr>
    </w:p>
    <w:p w14:paraId="59193349" w14:textId="77777777" w:rsidR="00E569C4" w:rsidRPr="004E09DA" w:rsidRDefault="00E569C4" w:rsidP="00E569C4">
      <w:pPr>
        <w:jc w:val="center"/>
        <w:rPr>
          <w:lang w:val="sr-Cyrl-CS"/>
        </w:rPr>
      </w:pPr>
      <w:r w:rsidRPr="004E09DA">
        <w:rPr>
          <w:lang w:val="sr-Cyrl-CS"/>
        </w:rPr>
        <w:t>Члан 21.</w:t>
      </w:r>
    </w:p>
    <w:p w14:paraId="36D15508" w14:textId="77777777" w:rsidR="00E569C4" w:rsidRPr="004E09DA" w:rsidRDefault="00E569C4" w:rsidP="00E569C4">
      <w:pPr>
        <w:tabs>
          <w:tab w:val="left" w:pos="1152"/>
        </w:tabs>
        <w:ind w:firstLine="720"/>
        <w:rPr>
          <w:lang w:val="sr-Cyrl-CS" w:eastAsia="de-DE"/>
        </w:rPr>
      </w:pPr>
      <w:r w:rsidRPr="004E09DA">
        <w:rPr>
          <w:lang w:val="sr-Cyrl-CS" w:eastAsia="de-DE"/>
        </w:rPr>
        <w:t>Члан 195. мења се и гласи:</w:t>
      </w:r>
    </w:p>
    <w:p w14:paraId="17B7E1C2" w14:textId="77777777" w:rsidR="00E569C4" w:rsidRPr="004E09DA" w:rsidRDefault="00E569C4" w:rsidP="00E569C4">
      <w:pPr>
        <w:pStyle w:val="CLAN"/>
        <w:spacing w:after="0"/>
        <w:rPr>
          <w:rFonts w:ascii="Times New Roman" w:hAnsi="Times New Roman"/>
          <w:b w:val="0"/>
          <w:sz w:val="24"/>
          <w:szCs w:val="24"/>
          <w:lang w:eastAsia="zh-CN"/>
        </w:rPr>
      </w:pPr>
      <w:r w:rsidRPr="004E09DA">
        <w:rPr>
          <w:rFonts w:ascii="Times New Roman" w:hAnsi="Times New Roman"/>
          <w:b w:val="0"/>
          <w:sz w:val="24"/>
          <w:szCs w:val="24"/>
          <w:lang w:eastAsia="de-DE"/>
        </w:rPr>
        <w:t>„</w:t>
      </w:r>
      <w:r w:rsidRPr="004E09DA">
        <w:rPr>
          <w:rFonts w:ascii="Times New Roman" w:hAnsi="Times New Roman"/>
          <w:b w:val="0"/>
          <w:sz w:val="24"/>
          <w:szCs w:val="24"/>
          <w:lang w:eastAsia="zh-CN"/>
        </w:rPr>
        <w:t>Члан 195.</w:t>
      </w:r>
    </w:p>
    <w:p w14:paraId="045C9EC1" w14:textId="77777777" w:rsidR="00E569C4" w:rsidRPr="004E09DA" w:rsidRDefault="00E569C4" w:rsidP="00E569C4">
      <w:pPr>
        <w:pStyle w:val="CLAN"/>
        <w:spacing w:after="0"/>
        <w:ind w:left="0" w:firstLine="720"/>
        <w:jc w:val="both"/>
        <w:rPr>
          <w:rFonts w:ascii="Times New Roman" w:hAnsi="Times New Roman"/>
          <w:b w:val="0"/>
          <w:bCs/>
          <w:sz w:val="24"/>
          <w:szCs w:val="24"/>
          <w:lang w:eastAsia="zh-CN"/>
        </w:rPr>
      </w:pPr>
      <w:r w:rsidRPr="004E09DA">
        <w:rPr>
          <w:rFonts w:ascii="Times New Roman" w:hAnsi="Times New Roman"/>
          <w:b w:val="0"/>
          <w:bCs/>
          <w:sz w:val="24"/>
          <w:szCs w:val="24"/>
        </w:rPr>
        <w:t>Обвезник путарине је:</w:t>
      </w:r>
    </w:p>
    <w:p w14:paraId="70430C54" w14:textId="77777777" w:rsidR="00E569C4" w:rsidRPr="004E09DA" w:rsidRDefault="00E569C4" w:rsidP="00E569C4">
      <w:pPr>
        <w:ind w:left="720"/>
        <w:rPr>
          <w:lang w:val="sr-Cyrl-CS"/>
        </w:rPr>
      </w:pPr>
      <w:r w:rsidRPr="004E09DA">
        <w:rPr>
          <w:lang w:val="sr-Cyrl-CS"/>
        </w:rPr>
        <w:t>1) возач;</w:t>
      </w:r>
    </w:p>
    <w:p w14:paraId="573CF7E3" w14:textId="77777777" w:rsidR="00E569C4" w:rsidRPr="004E09DA" w:rsidRDefault="00E569C4" w:rsidP="00E569C4">
      <w:pPr>
        <w:ind w:left="720"/>
        <w:rPr>
          <w:lang w:val="sr-Cyrl-CS"/>
        </w:rPr>
      </w:pPr>
      <w:r w:rsidRPr="004E09DA">
        <w:rPr>
          <w:lang w:val="sr-Cyrl-CS"/>
        </w:rPr>
        <w:t>2) власник моторног возила;</w:t>
      </w:r>
    </w:p>
    <w:p w14:paraId="58FEA597" w14:textId="77777777" w:rsidR="00E569C4" w:rsidRPr="004E09DA" w:rsidRDefault="00E569C4" w:rsidP="00E569C4">
      <w:pPr>
        <w:ind w:left="720"/>
        <w:rPr>
          <w:lang w:val="sr-Cyrl-CS"/>
        </w:rPr>
      </w:pPr>
      <w:r w:rsidRPr="004E09DA">
        <w:rPr>
          <w:lang w:val="sr-Cyrl-CS"/>
        </w:rPr>
        <w:t>3) лице које на основу уговора има право коришћења возила;</w:t>
      </w:r>
    </w:p>
    <w:p w14:paraId="3C2381CD" w14:textId="77777777" w:rsidR="00E569C4" w:rsidRPr="004E09DA" w:rsidRDefault="00E569C4" w:rsidP="00E569C4">
      <w:pPr>
        <w:ind w:left="720"/>
        <w:rPr>
          <w:lang w:val="sr-Cyrl-CS"/>
        </w:rPr>
      </w:pPr>
      <w:r w:rsidRPr="004E09DA">
        <w:rPr>
          <w:lang w:val="sr-Cyrl-CS"/>
        </w:rPr>
        <w:t>4) корисник услуге електронске наплате путарине;</w:t>
      </w:r>
    </w:p>
    <w:p w14:paraId="3937572F" w14:textId="77777777" w:rsidR="00E569C4" w:rsidRPr="004E09DA" w:rsidRDefault="00E569C4" w:rsidP="00E569C4">
      <w:pPr>
        <w:ind w:left="720"/>
        <w:rPr>
          <w:lang w:val="sr-Cyrl-CS"/>
        </w:rPr>
      </w:pPr>
      <w:r w:rsidRPr="004E09DA">
        <w:rPr>
          <w:lang w:val="sr-Cyrl-CS"/>
        </w:rPr>
        <w:t>5) пружалац услуга ЕЕНП.”.</w:t>
      </w:r>
    </w:p>
    <w:p w14:paraId="1B188B61" w14:textId="77777777" w:rsidR="00E569C4" w:rsidRPr="004E09DA" w:rsidRDefault="00E569C4" w:rsidP="00E569C4">
      <w:pPr>
        <w:ind w:firstLine="720"/>
        <w:jc w:val="center"/>
        <w:rPr>
          <w:lang w:val="sr-Cyrl-CS"/>
        </w:rPr>
      </w:pPr>
    </w:p>
    <w:p w14:paraId="17A7D1E5" w14:textId="77777777" w:rsidR="00E569C4" w:rsidRPr="004E09DA" w:rsidRDefault="00E569C4" w:rsidP="00E569C4">
      <w:pPr>
        <w:jc w:val="center"/>
        <w:rPr>
          <w:lang w:val="sr-Cyrl-CS"/>
        </w:rPr>
      </w:pPr>
      <w:r w:rsidRPr="004E09DA">
        <w:rPr>
          <w:lang w:val="sr-Cyrl-CS"/>
        </w:rPr>
        <w:t>Члан 22.</w:t>
      </w:r>
    </w:p>
    <w:p w14:paraId="1C2C06E0" w14:textId="77777777" w:rsidR="00E569C4" w:rsidRPr="004E09DA" w:rsidRDefault="00E569C4" w:rsidP="00E569C4">
      <w:pPr>
        <w:rPr>
          <w:lang w:val="sr-Cyrl-CS"/>
        </w:rPr>
      </w:pPr>
      <w:r w:rsidRPr="004E09DA">
        <w:rPr>
          <w:lang w:val="sr-Cyrl-CS"/>
        </w:rPr>
        <w:t xml:space="preserve">           У члану 197. став 5. мења се и гласи:</w:t>
      </w:r>
    </w:p>
    <w:p w14:paraId="60107A31" w14:textId="77777777" w:rsidR="00E569C4" w:rsidRPr="004E09DA" w:rsidRDefault="00E569C4" w:rsidP="00E569C4">
      <w:pPr>
        <w:ind w:firstLine="567"/>
        <w:rPr>
          <w:lang w:val="sr-Cyrl-CS"/>
        </w:rPr>
      </w:pPr>
      <w:r w:rsidRPr="004E09DA">
        <w:rPr>
          <w:lang w:val="sr-Cyrl-CS"/>
        </w:rPr>
        <w:t xml:space="preserve"> ,,Накнада екстерних трошкова је накнада трошкова насталих због загађења ваздуха, емисије CO₂ или штетних утицаја буке које су последица одвијања саобраћаја.”</w:t>
      </w:r>
    </w:p>
    <w:p w14:paraId="732C9A31" w14:textId="77777777" w:rsidR="00E569C4" w:rsidRPr="004E09DA" w:rsidRDefault="00E569C4" w:rsidP="00E569C4">
      <w:pPr>
        <w:ind w:firstLine="720"/>
        <w:rPr>
          <w:lang w:val="sr-Cyrl-CS"/>
        </w:rPr>
      </w:pPr>
      <w:r w:rsidRPr="004E09DA">
        <w:rPr>
          <w:lang w:val="sr-Cyrl-CS"/>
        </w:rPr>
        <w:t>После става 7. додаје се нови став 8, који гласи:</w:t>
      </w:r>
    </w:p>
    <w:p w14:paraId="11243553" w14:textId="77777777" w:rsidR="00E569C4" w:rsidRPr="004E09DA" w:rsidRDefault="00E569C4" w:rsidP="00E569C4">
      <w:pPr>
        <w:ind w:firstLine="720"/>
        <w:rPr>
          <w:lang w:val="sr-Cyrl-CS"/>
        </w:rPr>
      </w:pPr>
      <w:r w:rsidRPr="004E09DA">
        <w:rPr>
          <w:color w:val="000000"/>
          <w:lang w:val="sr-Cyrl-CS"/>
        </w:rPr>
        <w:t>„</w:t>
      </w:r>
      <w:r w:rsidRPr="004E09DA">
        <w:rPr>
          <w:lang w:val="sr-Cyrl-CS"/>
        </w:rPr>
        <w:t>Трошак емисије CO₂ због саобраћаја је трошак штете узроковане испуштањем CO₂ за време рада возила</w:t>
      </w:r>
      <w:r w:rsidRPr="004E09DA">
        <w:rPr>
          <w:color w:val="000000"/>
          <w:lang w:val="sr-Cyrl-CS"/>
        </w:rPr>
        <w:t>.</w:t>
      </w:r>
      <w:r w:rsidRPr="004E09DA">
        <w:rPr>
          <w:lang w:val="sr-Cyrl-CS"/>
        </w:rPr>
        <w:t>ˮ.</w:t>
      </w:r>
    </w:p>
    <w:p w14:paraId="351E7DCE" w14:textId="77777777" w:rsidR="00E569C4" w:rsidRPr="004E09DA" w:rsidRDefault="00E569C4" w:rsidP="00E569C4">
      <w:pPr>
        <w:ind w:firstLine="720"/>
        <w:rPr>
          <w:lang w:val="sr-Cyrl-CS"/>
        </w:rPr>
      </w:pPr>
      <w:r w:rsidRPr="004E09DA">
        <w:rPr>
          <w:lang w:val="sr-Cyrl-CS"/>
        </w:rPr>
        <w:t>Досадашњи ст. 8-11. постају ст. 9-12.</w:t>
      </w:r>
    </w:p>
    <w:p w14:paraId="6DCD1AB4" w14:textId="77777777" w:rsidR="00E569C4" w:rsidRPr="004E09DA" w:rsidRDefault="00E569C4" w:rsidP="00E569C4">
      <w:pPr>
        <w:ind w:firstLine="720"/>
        <w:rPr>
          <w:lang w:val="sr-Cyrl-CS"/>
        </w:rPr>
      </w:pPr>
      <w:r w:rsidRPr="004E09DA">
        <w:rPr>
          <w:lang w:val="sr-Cyrl-CS"/>
        </w:rPr>
        <w:t>У досадашњем ставу 12, који постаје став 13, проценат: ,,50%” замењује се речима: ,,два и по</w:t>
      </w:r>
      <w:r w:rsidRPr="004E09DA">
        <w:rPr>
          <w:color w:val="FF0000"/>
          <w:lang w:val="sr-Cyrl-CS"/>
        </w:rPr>
        <w:t xml:space="preserve"> </w:t>
      </w:r>
      <w:r w:rsidRPr="004E09DA">
        <w:rPr>
          <w:lang w:val="sr-Cyrl-CS"/>
        </w:rPr>
        <w:t>пута”, а проценат: ,,100%” замењује се речима: ,,пет пута”.</w:t>
      </w:r>
    </w:p>
    <w:p w14:paraId="7086678B" w14:textId="77777777" w:rsidR="004E09DA" w:rsidRDefault="004E09DA" w:rsidP="00E569C4">
      <w:pPr>
        <w:ind w:firstLine="720"/>
        <w:rPr>
          <w:lang w:val="sr-Cyrl-CS"/>
        </w:rPr>
      </w:pPr>
    </w:p>
    <w:p w14:paraId="6F3F3EF2" w14:textId="77777777" w:rsidR="00E569C4" w:rsidRPr="004E09DA" w:rsidRDefault="00E569C4" w:rsidP="00E569C4">
      <w:pPr>
        <w:ind w:firstLine="720"/>
        <w:rPr>
          <w:lang w:val="sr-Cyrl-CS"/>
        </w:rPr>
      </w:pPr>
      <w:r w:rsidRPr="004E09DA">
        <w:rPr>
          <w:lang w:val="sr-Cyrl-CS"/>
        </w:rPr>
        <w:t xml:space="preserve">Досадашњи став 13. брише се. </w:t>
      </w:r>
    </w:p>
    <w:p w14:paraId="685EC911" w14:textId="77777777" w:rsidR="00E569C4" w:rsidRPr="004E09DA" w:rsidRDefault="00E569C4" w:rsidP="00E569C4">
      <w:pPr>
        <w:ind w:firstLine="720"/>
        <w:rPr>
          <w:lang w:val="sr-Cyrl-CS"/>
        </w:rPr>
      </w:pPr>
      <w:r w:rsidRPr="004E09DA">
        <w:rPr>
          <w:lang w:val="sr-Cyrl-CS"/>
        </w:rPr>
        <w:t>Став 24. мења се и гласи:</w:t>
      </w:r>
    </w:p>
    <w:p w14:paraId="17547475" w14:textId="77777777" w:rsidR="00E569C4" w:rsidRPr="004E09DA" w:rsidRDefault="00E569C4" w:rsidP="00E569C4">
      <w:pPr>
        <w:ind w:firstLine="720"/>
        <w:rPr>
          <w:lang w:val="sr-Cyrl-CS" w:eastAsia="sr-Latn-RS"/>
        </w:rPr>
      </w:pPr>
      <w:r w:rsidRPr="004E09DA">
        <w:rPr>
          <w:lang w:val="sr-Cyrl-CS" w:eastAsia="sr-Latn-RS"/>
        </w:rPr>
        <w:t>„Oсновна начела за расподелу трошкова и прорачун путарина, минималне захтеве за наплату накнаде за екстерне трошкове и референтне вредности накнаде за екстерне трошкове (трошкови због загађења ваздуха, емисије CO₂ и штетног утицаја буке), оквирно утврђивање категорије возила у односу на број осовина, највећу дозвољену</w:t>
      </w:r>
      <w:r w:rsidRPr="004E09DA">
        <w:rPr>
          <w:lang w:val="sr-Cyrl-CS"/>
        </w:rPr>
        <w:t xml:space="preserve"> </w:t>
      </w:r>
      <w:r w:rsidRPr="004E09DA">
        <w:rPr>
          <w:lang w:val="sr-Cyrl-CS" w:eastAsia="sr-Latn-RS"/>
        </w:rPr>
        <w:t>масу и степен оштећења коловоза, граничне емисије штетних гасова, начин и поступак ослобађања од наплате путарине, начин остваривања права на попуст и критеријуме за остваривање права на попуст, прописује министар надлежан за послове саобраћаја.”</w:t>
      </w:r>
    </w:p>
    <w:p w14:paraId="1E0479D5" w14:textId="77777777" w:rsidR="00E569C4" w:rsidRPr="004E09DA" w:rsidRDefault="00E569C4" w:rsidP="00E569C4">
      <w:pPr>
        <w:ind w:firstLine="720"/>
        <w:rPr>
          <w:lang w:val="sr-Cyrl-CS" w:eastAsia="sr-Latn-RS"/>
        </w:rPr>
      </w:pPr>
    </w:p>
    <w:p w14:paraId="2CC2A53D" w14:textId="77777777" w:rsidR="00E569C4" w:rsidRPr="004E09DA" w:rsidRDefault="00E569C4" w:rsidP="00E569C4">
      <w:pPr>
        <w:jc w:val="center"/>
        <w:rPr>
          <w:lang w:val="sr-Cyrl-CS"/>
        </w:rPr>
      </w:pPr>
      <w:r w:rsidRPr="004E09DA">
        <w:rPr>
          <w:lang w:val="sr-Cyrl-CS"/>
        </w:rPr>
        <w:t>Члан 23.</w:t>
      </w:r>
    </w:p>
    <w:p w14:paraId="4249EC3A" w14:textId="77777777" w:rsidR="00E569C4" w:rsidRPr="004E09DA" w:rsidRDefault="00E569C4" w:rsidP="00E569C4">
      <w:pPr>
        <w:ind w:firstLine="720"/>
        <w:rPr>
          <w:lang w:val="sr-Cyrl-CS" w:eastAsia="en-GB"/>
        </w:rPr>
      </w:pPr>
      <w:r w:rsidRPr="004E09DA">
        <w:rPr>
          <w:lang w:val="sr-Cyrl-CS" w:eastAsia="en-GB"/>
        </w:rPr>
        <w:t>У члану 198. ст. 7–10. мењају се и гласе:</w:t>
      </w:r>
    </w:p>
    <w:p w14:paraId="28F84975" w14:textId="77777777" w:rsidR="00E569C4" w:rsidRPr="004E09DA" w:rsidRDefault="00E569C4" w:rsidP="00E569C4">
      <w:pPr>
        <w:tabs>
          <w:tab w:val="left" w:pos="709"/>
        </w:tabs>
        <w:spacing w:before="120"/>
        <w:rPr>
          <w:rFonts w:eastAsia="Calibri"/>
          <w:bCs/>
          <w:lang w:val="sr-Cyrl-CS" w:eastAsia="en-GB"/>
          <w14:ligatures w14:val="standardContextual"/>
        </w:rPr>
      </w:pPr>
      <w:r w:rsidRPr="004E09DA">
        <w:rPr>
          <w:lang w:val="sr-Cyrl-CS" w:eastAsia="en-GB"/>
        </w:rPr>
        <w:tab/>
        <w:t>„</w:t>
      </w:r>
      <w:r w:rsidRPr="004E09DA">
        <w:rPr>
          <w:rFonts w:eastAsia="Calibri"/>
          <w:bCs/>
          <w:lang w:val="sr-Cyrl-CS" w:eastAsia="en-GB"/>
          <w14:ligatures w14:val="standardContextual"/>
        </w:rPr>
        <w:t>Правно лице или предузетник са седиштем у Републици Србији, које обавља јавни превоз путника у друмском саобраћају, путарину може плаћати кроз авансну месечну или годишњу претплату за употребу одређене деонице аутопута.</w:t>
      </w:r>
    </w:p>
    <w:p w14:paraId="5826E5EB" w14:textId="77777777" w:rsidR="00E569C4" w:rsidRPr="004E09DA" w:rsidRDefault="00E569C4" w:rsidP="00E569C4">
      <w:pPr>
        <w:tabs>
          <w:tab w:val="left" w:pos="720"/>
        </w:tabs>
        <w:rPr>
          <w:lang w:val="sr-Cyrl-CS"/>
        </w:rPr>
      </w:pPr>
      <w:r w:rsidRPr="004E09DA">
        <w:rPr>
          <w:lang w:val="sr-Cyrl-CS"/>
        </w:rPr>
        <w:tab/>
        <w:t xml:space="preserve">Висина месечне претплате за употребу деонице аутопута обрачунава се тако што се износ накнаде за одређену категорију возила и деоницу аутопута множи са бројем 40 и важи за назначен месец. </w:t>
      </w:r>
    </w:p>
    <w:p w14:paraId="674F4F19" w14:textId="77777777" w:rsidR="00E569C4" w:rsidRPr="004E09DA" w:rsidRDefault="00E569C4" w:rsidP="00E569C4">
      <w:pPr>
        <w:ind w:firstLine="720"/>
        <w:rPr>
          <w:lang w:val="sr-Cyrl-CS"/>
        </w:rPr>
      </w:pPr>
      <w:r w:rsidRPr="004E09DA">
        <w:rPr>
          <w:lang w:val="sr-Cyrl-CS"/>
        </w:rPr>
        <w:t xml:space="preserve">Висина годишње претплате за употребу деонице аутопута обрачунава се тако што се износ накнаде за одређену категорију возила и деоницу аутопута множи са бројем 400 и важи 12 месеци од дана издавања. </w:t>
      </w:r>
    </w:p>
    <w:p w14:paraId="689A4D0B" w14:textId="77777777" w:rsidR="00E569C4" w:rsidRPr="004E09DA" w:rsidRDefault="00E569C4" w:rsidP="00E569C4">
      <w:pPr>
        <w:ind w:firstLine="720"/>
        <w:rPr>
          <w:lang w:val="sr-Cyrl-CS"/>
        </w:rPr>
      </w:pPr>
      <w:r w:rsidRPr="004E09DA">
        <w:rPr>
          <w:lang w:val="sr-Cyrl-CS"/>
        </w:rPr>
        <w:t>Поступак издавања и начин коришћења одобрења за употребу аутопута са претплатом прописује управљач јавног пута.”</w:t>
      </w:r>
    </w:p>
    <w:p w14:paraId="028A8C78" w14:textId="77777777" w:rsidR="00E569C4" w:rsidRPr="004E09DA" w:rsidRDefault="00E569C4" w:rsidP="00E569C4">
      <w:pPr>
        <w:rPr>
          <w:lang w:val="sr-Cyrl-CS" w:eastAsia="en-GB"/>
        </w:rPr>
      </w:pPr>
      <w:r w:rsidRPr="004E09DA">
        <w:rPr>
          <w:lang w:val="sr-Cyrl-CS" w:eastAsia="en-GB"/>
        </w:rPr>
        <w:t xml:space="preserve">            Став 11. брише се.</w:t>
      </w:r>
    </w:p>
    <w:p w14:paraId="183B9989" w14:textId="77777777" w:rsidR="00E569C4" w:rsidRPr="004E09DA" w:rsidRDefault="00E569C4" w:rsidP="00E569C4">
      <w:pPr>
        <w:tabs>
          <w:tab w:val="left" w:pos="851"/>
        </w:tabs>
        <w:rPr>
          <w:lang w:val="sr-Cyrl-CS"/>
        </w:rPr>
      </w:pPr>
      <w:r w:rsidRPr="004E09DA">
        <w:rPr>
          <w:lang w:val="sr-Cyrl-CS" w:eastAsia="en-GB"/>
        </w:rPr>
        <w:t xml:space="preserve">            У досадашњем ставу 12. који постаје став 11. после речи: </w:t>
      </w:r>
      <w:r w:rsidRPr="004E09DA">
        <w:rPr>
          <w:lang w:val="sr-Cyrl-CS"/>
        </w:rPr>
        <w:t>„овлашћеним дистрибутером” додају се речи: ,,и путем WEB платформе”.</w:t>
      </w:r>
    </w:p>
    <w:p w14:paraId="417DCA41" w14:textId="77777777" w:rsidR="00E569C4" w:rsidRPr="004E09DA" w:rsidRDefault="00E569C4" w:rsidP="00E569C4">
      <w:pPr>
        <w:tabs>
          <w:tab w:val="left" w:pos="709"/>
        </w:tabs>
        <w:rPr>
          <w:lang w:val="sr-Cyrl-CS"/>
        </w:rPr>
      </w:pPr>
      <w:r w:rsidRPr="004E09DA">
        <w:rPr>
          <w:lang w:val="sr-Cyrl-CS"/>
        </w:rPr>
        <w:tab/>
        <w:t>Досадашњи ст. 13–17.  постају ст. 12–16.</w:t>
      </w:r>
    </w:p>
    <w:p w14:paraId="11C4F3E9" w14:textId="77777777" w:rsidR="00E569C4" w:rsidRPr="004E09DA" w:rsidRDefault="00E569C4" w:rsidP="00E569C4">
      <w:pPr>
        <w:spacing w:before="120"/>
        <w:rPr>
          <w:lang w:val="sr-Cyrl-CS"/>
        </w:rPr>
      </w:pPr>
      <w:r w:rsidRPr="004E09DA">
        <w:rPr>
          <w:lang w:val="sr-Cyrl-CS"/>
        </w:rPr>
        <w:t xml:space="preserve">            </w:t>
      </w:r>
    </w:p>
    <w:p w14:paraId="4BCDF262" w14:textId="77777777" w:rsidR="00E569C4" w:rsidRPr="004E09DA" w:rsidRDefault="00E569C4" w:rsidP="00E569C4">
      <w:pPr>
        <w:jc w:val="center"/>
        <w:rPr>
          <w:lang w:val="sr-Cyrl-CS"/>
        </w:rPr>
      </w:pPr>
      <w:r w:rsidRPr="004E09DA">
        <w:rPr>
          <w:lang w:val="sr-Cyrl-CS"/>
        </w:rPr>
        <w:t>Члан 24.</w:t>
      </w:r>
    </w:p>
    <w:p w14:paraId="36D8710B" w14:textId="77777777" w:rsidR="00E569C4" w:rsidRPr="004E09DA" w:rsidRDefault="00E569C4" w:rsidP="00E569C4">
      <w:pPr>
        <w:ind w:firstLine="720"/>
        <w:rPr>
          <w:lang w:val="sr-Cyrl-CS"/>
        </w:rPr>
      </w:pPr>
      <w:r w:rsidRPr="004E09DA">
        <w:rPr>
          <w:lang w:val="sr-Cyrl-CS"/>
        </w:rPr>
        <w:t>Назив члана 198а и члан 198а мењају  се и гласе:</w:t>
      </w:r>
    </w:p>
    <w:p w14:paraId="28758BDD" w14:textId="77777777" w:rsidR="00E569C4" w:rsidRPr="004E09DA" w:rsidRDefault="00E569C4" w:rsidP="00E569C4">
      <w:pPr>
        <w:spacing w:before="120"/>
        <w:jc w:val="center"/>
        <w:rPr>
          <w:color w:val="000000"/>
          <w:lang w:val="sr-Cyrl-CS"/>
        </w:rPr>
      </w:pPr>
      <w:r w:rsidRPr="004E09DA">
        <w:rPr>
          <w:lang w:val="sr-Cyrl-CS" w:eastAsia="sr-Latn-RS"/>
        </w:rPr>
        <w:t>„</w:t>
      </w:r>
      <w:r w:rsidRPr="004E09DA">
        <w:rPr>
          <w:color w:val="000000"/>
          <w:lang w:val="sr-Cyrl-CS"/>
        </w:rPr>
        <w:t>Ванредни поступак наплате путарине</w:t>
      </w:r>
    </w:p>
    <w:p w14:paraId="40836118" w14:textId="77777777" w:rsidR="00E569C4" w:rsidRPr="004E09DA" w:rsidRDefault="00E569C4" w:rsidP="00E569C4">
      <w:pPr>
        <w:jc w:val="center"/>
        <w:rPr>
          <w:lang w:val="sr-Cyrl-CS"/>
        </w:rPr>
      </w:pPr>
      <w:r w:rsidRPr="004E09DA">
        <w:rPr>
          <w:lang w:val="sr-Cyrl-CS"/>
        </w:rPr>
        <w:t xml:space="preserve">Члан 198а </w:t>
      </w:r>
    </w:p>
    <w:p w14:paraId="0B30BE52" w14:textId="77777777" w:rsidR="00E569C4" w:rsidRPr="004E09DA" w:rsidRDefault="00E569C4" w:rsidP="00E569C4">
      <w:pPr>
        <w:ind w:firstLine="720"/>
        <w:rPr>
          <w:color w:val="000000"/>
          <w:lang w:val="sr-Cyrl-CS"/>
        </w:rPr>
      </w:pPr>
      <w:r w:rsidRPr="004E09DA">
        <w:rPr>
          <w:color w:val="000000"/>
          <w:lang w:val="sr-Cyrl-CS"/>
        </w:rPr>
        <w:t>У ванредном поступку наплате путарине, путарина се наплаћује обвезнику за свако одступање од редовног поступка наплате путарине, као што су: злоупотребе, оштећења, губитак</w:t>
      </w:r>
      <w:r w:rsidRPr="004E09DA">
        <w:rPr>
          <w:lang w:val="sr-Cyrl-CS" w:eastAsia="sr-Cyrl-CS"/>
        </w:rPr>
        <w:t xml:space="preserve"> </w:t>
      </w:r>
      <w:r w:rsidRPr="004E09DA">
        <w:rPr>
          <w:color w:val="000000"/>
          <w:lang w:val="sr-Cyrl-CS"/>
        </w:rPr>
        <w:t>или употреба супротно упутствима за коришћење уређаја за електронску наплату путарине, магнетне картице, градске карте, дозволе за бесплатан пролазак, као и за неплаћање рачуна за путарину у складу са закљученим уговором у „постпејд” систему или путем web платформе.</w:t>
      </w:r>
    </w:p>
    <w:p w14:paraId="68021924" w14:textId="77777777" w:rsidR="00E569C4" w:rsidRPr="004E09DA" w:rsidRDefault="00E569C4" w:rsidP="00E569C4">
      <w:pPr>
        <w:ind w:firstLine="720"/>
        <w:rPr>
          <w:color w:val="000000"/>
          <w:lang w:val="sr-Cyrl-CS"/>
        </w:rPr>
      </w:pPr>
      <w:r w:rsidRPr="004E09DA">
        <w:rPr>
          <w:color w:val="000000"/>
          <w:lang w:val="sr-Cyrl-CS"/>
        </w:rPr>
        <w:t>У ванредном поступку наплате путарине, обвезнику ће се путарина наплатити на лицу места или накнадно, зависно од случаја одступања од редовног поступка наплате путарине.</w:t>
      </w:r>
    </w:p>
    <w:p w14:paraId="338B739D" w14:textId="77777777" w:rsidR="00E569C4" w:rsidRPr="004E09DA" w:rsidRDefault="00E569C4" w:rsidP="00E569C4">
      <w:pPr>
        <w:ind w:firstLine="720"/>
        <w:rPr>
          <w:color w:val="000000"/>
          <w:lang w:val="sr-Cyrl-CS"/>
        </w:rPr>
      </w:pPr>
      <w:r w:rsidRPr="004E09DA">
        <w:rPr>
          <w:color w:val="000000"/>
          <w:lang w:val="sr-Cyrl-CS"/>
        </w:rPr>
        <w:t>Поступак, случајеве у којима се спроводи ванредни поступак наплате путарине и начин обрачуна висине путарине у ванредном поступку наплате путарине ближе уређује министар надлежан за послове саобраћаја.</w:t>
      </w:r>
    </w:p>
    <w:p w14:paraId="07DF1958" w14:textId="77777777" w:rsidR="00E569C4" w:rsidRPr="004E09DA" w:rsidRDefault="00E569C4" w:rsidP="00E569C4">
      <w:pPr>
        <w:ind w:firstLine="720"/>
        <w:rPr>
          <w:color w:val="000000"/>
          <w:lang w:val="sr-Cyrl-CS"/>
        </w:rPr>
      </w:pPr>
      <w:r w:rsidRPr="004E09DA">
        <w:rPr>
          <w:color w:val="000000"/>
          <w:lang w:val="sr-Cyrl-CS"/>
        </w:rPr>
        <w:lastRenderedPageBreak/>
        <w:t>У ванредном поступку наплате путарине највећи износ који се може обрачунати и наплатити обвезнику је цена путарине за најдужу релацију одговарајуће деонице, увећана за трошкове ванредног поступка</w:t>
      </w:r>
      <w:r w:rsidRPr="004E09DA">
        <w:rPr>
          <w:lang w:val="sr-Cyrl-CS" w:eastAsia="sr-Latn-RS"/>
        </w:rPr>
        <w:t>.”</w:t>
      </w:r>
    </w:p>
    <w:p w14:paraId="14DBE724" w14:textId="77777777" w:rsidR="00E569C4" w:rsidRPr="004E09DA" w:rsidRDefault="00E569C4" w:rsidP="00E569C4">
      <w:pPr>
        <w:ind w:firstLine="720"/>
        <w:jc w:val="center"/>
        <w:rPr>
          <w:lang w:val="sr-Cyrl-CS"/>
        </w:rPr>
      </w:pPr>
    </w:p>
    <w:p w14:paraId="533EFCF6" w14:textId="77777777" w:rsidR="00E569C4" w:rsidRPr="004E09DA" w:rsidRDefault="00E569C4" w:rsidP="00E569C4">
      <w:pPr>
        <w:jc w:val="center"/>
        <w:rPr>
          <w:lang w:val="sr-Cyrl-CS"/>
        </w:rPr>
      </w:pPr>
      <w:r w:rsidRPr="004E09DA">
        <w:rPr>
          <w:lang w:val="sr-Cyrl-CS"/>
        </w:rPr>
        <w:t>Члан 25.</w:t>
      </w:r>
    </w:p>
    <w:p w14:paraId="327B3BA4" w14:textId="77777777" w:rsidR="00E569C4" w:rsidRPr="004E09DA" w:rsidRDefault="00E569C4" w:rsidP="00E569C4">
      <w:pPr>
        <w:tabs>
          <w:tab w:val="left" w:pos="1152"/>
        </w:tabs>
        <w:ind w:firstLine="720"/>
        <w:rPr>
          <w:lang w:val="sr-Cyrl-CS"/>
        </w:rPr>
      </w:pPr>
      <w:r w:rsidRPr="004E09DA">
        <w:rPr>
          <w:lang w:val="sr-Cyrl-CS"/>
        </w:rPr>
        <w:t>У члану 199. став 1. тачка 4) после речи: „пожара” додају се речи: „</w:t>
      </w:r>
      <w:r w:rsidRPr="004E09DA">
        <w:rPr>
          <w:lang w:val="sr-Cyrl-CS" w:eastAsia="sr-Cyrl-CS"/>
        </w:rPr>
        <w:t>и возила Горске службе спашавања, као субјекта од посебног значаја у складу са прописима којима се уређује смањење ризика од катастрофа и управљање ванредним ситуацијама</w:t>
      </w:r>
      <w:r w:rsidRPr="004E09DA">
        <w:rPr>
          <w:lang w:val="sr-Cyrl-CS"/>
        </w:rPr>
        <w:t>ˮ.</w:t>
      </w:r>
    </w:p>
    <w:p w14:paraId="3CABC6FD" w14:textId="77777777" w:rsidR="00E569C4" w:rsidRPr="004E09DA" w:rsidRDefault="00E569C4" w:rsidP="00E569C4">
      <w:pPr>
        <w:tabs>
          <w:tab w:val="left" w:pos="1152"/>
        </w:tabs>
        <w:ind w:firstLine="720"/>
        <w:rPr>
          <w:lang w:val="sr-Cyrl-CS"/>
        </w:rPr>
      </w:pPr>
      <w:r w:rsidRPr="004E09DA">
        <w:rPr>
          <w:lang w:val="sr-Cyrl-CS"/>
        </w:rPr>
        <w:t xml:space="preserve">У ставу 2. речи: „2) и 3)” замењују се </w:t>
      </w:r>
      <w:r w:rsidRPr="004E09DA">
        <w:rPr>
          <w:color w:val="000000"/>
          <w:lang w:val="sr-Cyrl-CS"/>
        </w:rPr>
        <w:t>речима: „2), 3) и 4)</w:t>
      </w:r>
      <w:r w:rsidRPr="004E09DA">
        <w:rPr>
          <w:lang w:val="sr-Cyrl-CS"/>
        </w:rPr>
        <w:t>ˮ</w:t>
      </w:r>
      <w:r w:rsidRPr="004E09DA">
        <w:rPr>
          <w:color w:val="000000"/>
          <w:lang w:val="sr-Cyrl-CS"/>
        </w:rPr>
        <w:t>.</w:t>
      </w:r>
    </w:p>
    <w:p w14:paraId="24FDAB88" w14:textId="77777777" w:rsidR="00E569C4" w:rsidRPr="004E09DA" w:rsidRDefault="00E569C4" w:rsidP="00E569C4">
      <w:pPr>
        <w:tabs>
          <w:tab w:val="left" w:pos="1152"/>
        </w:tabs>
        <w:ind w:firstLine="720"/>
        <w:rPr>
          <w:lang w:val="sr-Cyrl-CS"/>
        </w:rPr>
      </w:pPr>
      <w:r w:rsidRPr="004E09DA">
        <w:rPr>
          <w:lang w:val="sr-Cyrl-CS"/>
        </w:rPr>
        <w:t>У ставу 3. тачка 3) речи: „изградње,ˮ бришу се.</w:t>
      </w:r>
    </w:p>
    <w:p w14:paraId="32AA4F28" w14:textId="77777777" w:rsidR="00E569C4" w:rsidRPr="004E09DA" w:rsidRDefault="00E569C4" w:rsidP="00E569C4">
      <w:pPr>
        <w:tabs>
          <w:tab w:val="left" w:pos="1152"/>
        </w:tabs>
        <w:ind w:firstLine="720"/>
        <w:rPr>
          <w:lang w:val="sr-Cyrl-CS"/>
        </w:rPr>
      </w:pPr>
      <w:r w:rsidRPr="004E09DA">
        <w:rPr>
          <w:lang w:val="sr-Cyrl-CS"/>
        </w:rPr>
        <w:t>У тачки 6) тачка на крају замењује се тачком и запетом.</w:t>
      </w:r>
    </w:p>
    <w:p w14:paraId="4AAB87B3" w14:textId="77777777" w:rsidR="00E569C4" w:rsidRPr="004E09DA" w:rsidRDefault="00E569C4" w:rsidP="00E569C4">
      <w:pPr>
        <w:tabs>
          <w:tab w:val="left" w:pos="1152"/>
        </w:tabs>
        <w:ind w:firstLine="720"/>
        <w:rPr>
          <w:lang w:val="sr-Cyrl-CS"/>
        </w:rPr>
      </w:pPr>
      <w:r w:rsidRPr="004E09DA">
        <w:rPr>
          <w:lang w:val="sr-Cyrl-CS"/>
        </w:rPr>
        <w:t xml:space="preserve">Додаје се тачка 7) која гласи: </w:t>
      </w:r>
    </w:p>
    <w:p w14:paraId="3181B386" w14:textId="77777777" w:rsidR="00E569C4" w:rsidRPr="004E09DA" w:rsidRDefault="00E569C4" w:rsidP="00E569C4">
      <w:pPr>
        <w:tabs>
          <w:tab w:val="left" w:pos="1152"/>
        </w:tabs>
        <w:ind w:firstLine="720"/>
        <w:rPr>
          <w:lang w:val="sr-Cyrl-CS"/>
        </w:rPr>
      </w:pPr>
      <w:r w:rsidRPr="004E09DA">
        <w:rPr>
          <w:lang w:val="sr-Cyrl-CS"/>
        </w:rPr>
        <w:t>,,7) удружења грађана која се баве заштитом особа са инвалидитетом, регистрована на територији Републике Србије, за једно возило које удружење има у свом власништву.ˮ</w:t>
      </w:r>
    </w:p>
    <w:p w14:paraId="57D0D8D2" w14:textId="77777777" w:rsidR="00E569C4" w:rsidRPr="004E09DA" w:rsidRDefault="00E569C4" w:rsidP="00E569C4">
      <w:pPr>
        <w:tabs>
          <w:tab w:val="left" w:pos="1152"/>
        </w:tabs>
        <w:ind w:firstLine="720"/>
        <w:rPr>
          <w:lang w:val="sr-Cyrl-CS"/>
        </w:rPr>
      </w:pPr>
      <w:r w:rsidRPr="004E09DA">
        <w:rPr>
          <w:lang w:val="sr-Cyrl-CS"/>
        </w:rPr>
        <w:t>Став 4. брише се.</w:t>
      </w:r>
    </w:p>
    <w:p w14:paraId="021AD286" w14:textId="77777777" w:rsidR="00E569C4" w:rsidRPr="004E09DA" w:rsidRDefault="00E569C4" w:rsidP="00E569C4">
      <w:pPr>
        <w:tabs>
          <w:tab w:val="left" w:pos="1152"/>
        </w:tabs>
        <w:ind w:firstLine="720"/>
        <w:rPr>
          <w:lang w:val="sr-Cyrl-CS"/>
        </w:rPr>
      </w:pPr>
      <w:r w:rsidRPr="004E09DA">
        <w:rPr>
          <w:lang w:val="sr-Cyrl-CS"/>
        </w:rPr>
        <w:t xml:space="preserve">Досадашњи став 5. постаје став 4. </w:t>
      </w:r>
    </w:p>
    <w:p w14:paraId="5A0B172D" w14:textId="77777777" w:rsidR="00E569C4" w:rsidRPr="004E09DA" w:rsidRDefault="00E569C4" w:rsidP="00E569C4">
      <w:pPr>
        <w:tabs>
          <w:tab w:val="left" w:pos="1152"/>
        </w:tabs>
        <w:ind w:firstLine="720"/>
        <w:rPr>
          <w:lang w:val="sr-Cyrl-CS"/>
        </w:rPr>
      </w:pPr>
      <w:r w:rsidRPr="004E09DA">
        <w:rPr>
          <w:lang w:val="sr-Cyrl-CS"/>
        </w:rPr>
        <w:t>У досадашњем ставу 6, који постаје став 5, тачка 1) мења се и гласи:</w:t>
      </w:r>
    </w:p>
    <w:p w14:paraId="7684F18A" w14:textId="77777777" w:rsidR="00E569C4" w:rsidRPr="004E09DA" w:rsidRDefault="00E569C4" w:rsidP="00E569C4">
      <w:pPr>
        <w:tabs>
          <w:tab w:val="left" w:pos="1152"/>
        </w:tabs>
        <w:ind w:firstLine="720"/>
        <w:rPr>
          <w:lang w:val="sr-Cyrl-CS"/>
        </w:rPr>
      </w:pPr>
      <w:r w:rsidRPr="004E09DA">
        <w:rPr>
          <w:lang w:val="sr-Cyrl-CS"/>
        </w:rPr>
        <w:t>„1) за 10% за</w:t>
      </w:r>
      <w:r w:rsidRPr="004E09DA">
        <w:rPr>
          <w:color w:val="000000"/>
          <w:lang w:val="sr-Cyrl-CS"/>
        </w:rPr>
        <w:t xml:space="preserve"> плаћање путарине </w:t>
      </w:r>
      <w:r w:rsidRPr="004E09DA">
        <w:rPr>
          <w:lang w:val="sr-Cyrl-CS"/>
        </w:rPr>
        <w:t>електронским путем, употребом уређаја за ЕНП путем WEB платформе за пољопривреднике који су уписани у Регистар пољопривредних газдинстава</w:t>
      </w:r>
      <w:r w:rsidRPr="004E09DA">
        <w:rPr>
          <w:lang w:val="sr-Cyrl-CS" w:eastAsia="sr-Cyrl-CS"/>
        </w:rPr>
        <w:t xml:space="preserve"> </w:t>
      </w:r>
      <w:r w:rsidRPr="004E09DA">
        <w:rPr>
          <w:lang w:val="sr-Cyrl-CS"/>
        </w:rPr>
        <w:t>у складу са прописима који уређују упис пољопривредних газдинстава у регистар;”.</w:t>
      </w:r>
    </w:p>
    <w:p w14:paraId="653323F5" w14:textId="77777777" w:rsidR="00E569C4" w:rsidRPr="004E09DA" w:rsidRDefault="00E569C4" w:rsidP="00E569C4">
      <w:pPr>
        <w:tabs>
          <w:tab w:val="left" w:pos="1152"/>
        </w:tabs>
        <w:ind w:firstLine="720"/>
        <w:rPr>
          <w:lang w:val="sr-Cyrl-CS"/>
        </w:rPr>
      </w:pPr>
      <w:r w:rsidRPr="004E09DA">
        <w:rPr>
          <w:lang w:val="sr-Cyrl-CS"/>
        </w:rPr>
        <w:t>У тачки 2) речи: „у припејд или постпејд системуˮ бришу се.</w:t>
      </w:r>
    </w:p>
    <w:p w14:paraId="75F74C56" w14:textId="77777777" w:rsidR="00E569C4" w:rsidRPr="004E09DA" w:rsidRDefault="00E569C4" w:rsidP="00E569C4">
      <w:pPr>
        <w:tabs>
          <w:tab w:val="left" w:pos="1152"/>
        </w:tabs>
        <w:ind w:firstLine="720"/>
        <w:rPr>
          <w:highlight w:val="darkMagenta"/>
          <w:lang w:val="sr-Cyrl-CS"/>
        </w:rPr>
      </w:pPr>
      <w:r w:rsidRPr="004E09DA">
        <w:rPr>
          <w:lang w:val="sr-Cyrl-CS"/>
        </w:rPr>
        <w:t>Досадашњи став 7. постаје став 6.</w:t>
      </w:r>
    </w:p>
    <w:p w14:paraId="2B387362" w14:textId="77777777" w:rsidR="00E569C4" w:rsidRPr="004E09DA" w:rsidRDefault="00E569C4" w:rsidP="00E569C4">
      <w:pPr>
        <w:tabs>
          <w:tab w:val="left" w:pos="1152"/>
        </w:tabs>
        <w:ind w:firstLine="720"/>
        <w:rPr>
          <w:lang w:val="sr-Cyrl-CS"/>
        </w:rPr>
      </w:pPr>
      <w:r w:rsidRPr="004E09DA">
        <w:rPr>
          <w:lang w:val="sr-Cyrl-CS"/>
        </w:rPr>
        <w:t>Досадашњи став 8. брише се.</w:t>
      </w:r>
    </w:p>
    <w:p w14:paraId="2FAF3F0F" w14:textId="77777777" w:rsidR="00E569C4" w:rsidRPr="004E09DA" w:rsidRDefault="00E569C4" w:rsidP="00E569C4">
      <w:pPr>
        <w:ind w:firstLine="720"/>
        <w:jc w:val="center"/>
        <w:rPr>
          <w:lang w:val="sr-Cyrl-CS"/>
        </w:rPr>
      </w:pPr>
    </w:p>
    <w:p w14:paraId="7112EEB9" w14:textId="77777777" w:rsidR="00E569C4" w:rsidRPr="004E09DA" w:rsidRDefault="00E569C4" w:rsidP="00E569C4">
      <w:pPr>
        <w:jc w:val="center"/>
        <w:rPr>
          <w:lang w:val="sr-Cyrl-CS"/>
        </w:rPr>
      </w:pPr>
      <w:r w:rsidRPr="004E09DA">
        <w:rPr>
          <w:lang w:val="sr-Cyrl-CS"/>
        </w:rPr>
        <w:t>Члан 26.</w:t>
      </w:r>
    </w:p>
    <w:p w14:paraId="7E5D2BF6" w14:textId="77777777" w:rsidR="00E569C4" w:rsidRPr="004E09DA" w:rsidRDefault="00E569C4" w:rsidP="00E569C4">
      <w:pPr>
        <w:ind w:firstLine="720"/>
        <w:rPr>
          <w:lang w:val="sr-Cyrl-CS"/>
        </w:rPr>
      </w:pPr>
      <w:r w:rsidRPr="004E09DA">
        <w:rPr>
          <w:lang w:val="sr-Cyrl-CS"/>
        </w:rPr>
        <w:t>У члану 201.</w:t>
      </w:r>
      <w:r w:rsidRPr="004E09DA">
        <w:rPr>
          <w:lang w:val="sr-Cyrl-CS" w:eastAsia="sr-Cyrl-CS"/>
        </w:rPr>
        <w:t xml:space="preserve"> став 2. речи: ,,став 2.</w:t>
      </w:r>
      <w:r w:rsidRPr="004E09DA">
        <w:rPr>
          <w:lang w:val="sr-Cyrl-CS"/>
        </w:rPr>
        <w:t>”</w:t>
      </w:r>
      <w:r w:rsidRPr="004E09DA">
        <w:rPr>
          <w:lang w:val="sr-Cyrl-CS" w:eastAsia="sr-Cyrl-CS"/>
        </w:rPr>
        <w:t xml:space="preserve"> замењују се речима: ,,став 3.</w:t>
      </w:r>
      <w:r w:rsidRPr="004E09DA">
        <w:rPr>
          <w:lang w:val="sr-Cyrl-CS"/>
        </w:rPr>
        <w:t>”,</w:t>
      </w:r>
      <w:r w:rsidRPr="004E09DA">
        <w:rPr>
          <w:lang w:val="sr-Cyrl-CS" w:eastAsia="sr-Cyrl-CS"/>
        </w:rPr>
        <w:t xml:space="preserve"> а речи: „марку и</w:t>
      </w:r>
      <w:r w:rsidRPr="004E09DA">
        <w:rPr>
          <w:lang w:val="sr-Cyrl-CS"/>
        </w:rPr>
        <w:t>”</w:t>
      </w:r>
      <w:r w:rsidRPr="004E09DA">
        <w:rPr>
          <w:lang w:val="sr-Cyrl-CS" w:eastAsia="sr-Cyrl-CS"/>
        </w:rPr>
        <w:t xml:space="preserve"> бришу се.</w:t>
      </w:r>
      <w:r w:rsidRPr="004E09DA">
        <w:rPr>
          <w:lang w:val="sr-Cyrl-CS"/>
        </w:rPr>
        <w:t xml:space="preserve"> </w:t>
      </w:r>
    </w:p>
    <w:p w14:paraId="576C66D7" w14:textId="77777777" w:rsidR="00E569C4" w:rsidRPr="004E09DA" w:rsidRDefault="00E569C4" w:rsidP="00E569C4">
      <w:pPr>
        <w:ind w:firstLine="720"/>
        <w:rPr>
          <w:lang w:val="sr-Cyrl-CS"/>
        </w:rPr>
      </w:pPr>
      <w:r w:rsidRPr="004E09DA">
        <w:rPr>
          <w:lang w:val="sr-Cyrl-CS"/>
        </w:rPr>
        <w:t xml:space="preserve">У ставу 4. </w:t>
      </w:r>
      <w:r w:rsidRPr="004E09DA">
        <w:rPr>
          <w:lang w:val="sr-Cyrl-CS" w:eastAsia="sr-Cyrl-CS"/>
        </w:rPr>
        <w:t>реч: „коришћења</w:t>
      </w:r>
      <w:r w:rsidRPr="004E09DA">
        <w:rPr>
          <w:lang w:val="sr-Cyrl-CS"/>
        </w:rPr>
        <w:t>”</w:t>
      </w:r>
      <w:r w:rsidRPr="004E09DA">
        <w:rPr>
          <w:lang w:val="sr-Cyrl-CS" w:eastAsia="sr-Cyrl-CS"/>
        </w:rPr>
        <w:t xml:space="preserve"> замењује са речју: „важења</w:t>
      </w:r>
      <w:r w:rsidRPr="004E09DA">
        <w:rPr>
          <w:lang w:val="sr-Cyrl-CS"/>
        </w:rPr>
        <w:t>”</w:t>
      </w:r>
      <w:r w:rsidRPr="004E09DA">
        <w:rPr>
          <w:lang w:val="sr-Cyrl-CS" w:eastAsia="sr-Cyrl-CS"/>
        </w:rPr>
        <w:t>.</w:t>
      </w:r>
    </w:p>
    <w:p w14:paraId="74B2244A" w14:textId="77777777" w:rsidR="00E569C4" w:rsidRPr="004E09DA" w:rsidRDefault="00E569C4" w:rsidP="00E569C4">
      <w:pPr>
        <w:tabs>
          <w:tab w:val="left" w:pos="1152"/>
        </w:tabs>
        <w:ind w:firstLine="720"/>
        <w:rPr>
          <w:lang w:val="sr-Cyrl-CS"/>
        </w:rPr>
      </w:pPr>
    </w:p>
    <w:p w14:paraId="71271115" w14:textId="77777777" w:rsidR="00E569C4" w:rsidRPr="004E09DA" w:rsidRDefault="00E569C4" w:rsidP="00E569C4">
      <w:pPr>
        <w:tabs>
          <w:tab w:val="left" w:pos="1152"/>
        </w:tabs>
        <w:ind w:firstLine="720"/>
        <w:rPr>
          <w:lang w:val="sr-Cyrl-CS"/>
        </w:rPr>
      </w:pPr>
    </w:p>
    <w:p w14:paraId="02C7498B" w14:textId="77777777" w:rsidR="00E569C4" w:rsidRPr="004E09DA" w:rsidRDefault="00E569C4" w:rsidP="00E569C4">
      <w:pPr>
        <w:jc w:val="center"/>
        <w:rPr>
          <w:lang w:val="sr-Cyrl-CS"/>
        </w:rPr>
      </w:pPr>
      <w:r w:rsidRPr="004E09DA">
        <w:rPr>
          <w:lang w:val="sr-Cyrl-CS"/>
        </w:rPr>
        <w:t>Члан 27.</w:t>
      </w:r>
    </w:p>
    <w:p w14:paraId="325D172A" w14:textId="77777777" w:rsidR="00E569C4" w:rsidRPr="004E09DA" w:rsidRDefault="00E569C4" w:rsidP="00E569C4">
      <w:pPr>
        <w:tabs>
          <w:tab w:val="left" w:pos="1152"/>
        </w:tabs>
        <w:ind w:firstLine="720"/>
        <w:rPr>
          <w:lang w:val="sr-Cyrl-CS"/>
        </w:rPr>
      </w:pPr>
      <w:r w:rsidRPr="004E09DA">
        <w:rPr>
          <w:lang w:val="sr-Cyrl-CS"/>
        </w:rPr>
        <w:t>Члан 216. мења се и гласи:</w:t>
      </w:r>
    </w:p>
    <w:p w14:paraId="384E6C8B" w14:textId="77777777" w:rsidR="00E569C4" w:rsidRPr="004E09DA" w:rsidRDefault="00E569C4" w:rsidP="00E569C4">
      <w:pPr>
        <w:tabs>
          <w:tab w:val="left" w:pos="1152"/>
        </w:tabs>
        <w:jc w:val="center"/>
        <w:rPr>
          <w:lang w:val="sr-Cyrl-CS"/>
        </w:rPr>
      </w:pPr>
      <w:r w:rsidRPr="004E09DA">
        <w:rPr>
          <w:lang w:val="sr-Cyrl-CS"/>
        </w:rPr>
        <w:t>„Члан 216.</w:t>
      </w:r>
    </w:p>
    <w:p w14:paraId="33A6E983" w14:textId="77777777" w:rsidR="00E569C4" w:rsidRPr="004E09DA" w:rsidRDefault="00E569C4" w:rsidP="00E569C4">
      <w:pPr>
        <w:ind w:firstLine="720"/>
        <w:rPr>
          <w:lang w:val="sr-Cyrl-CS"/>
        </w:rPr>
      </w:pPr>
      <w:r w:rsidRPr="004E09DA">
        <w:rPr>
          <w:lang w:val="sr-Cyrl-CS"/>
        </w:rPr>
        <w:t>Обвезник накнаде за прикључење индустријског колосека на јавну железничку инфраструктуру је власник, односно корисник индустријске железнице, односно индустријског колосека, који прибавља сагласност на акт о условима и начину обављања превоза на индустријској железници и индустријском колосеку сагласно закону којим се уређују железнице.ˮ</w:t>
      </w:r>
    </w:p>
    <w:p w14:paraId="25591857" w14:textId="77777777" w:rsidR="00E569C4" w:rsidRPr="004E09DA" w:rsidRDefault="00E569C4" w:rsidP="00E569C4">
      <w:pPr>
        <w:tabs>
          <w:tab w:val="left" w:pos="1152"/>
        </w:tabs>
        <w:ind w:firstLine="720"/>
        <w:rPr>
          <w:lang w:val="sr-Cyrl-CS"/>
        </w:rPr>
      </w:pPr>
    </w:p>
    <w:p w14:paraId="66077B99" w14:textId="77777777" w:rsidR="00E569C4" w:rsidRPr="004E09DA" w:rsidRDefault="00E569C4" w:rsidP="00E569C4">
      <w:pPr>
        <w:jc w:val="center"/>
        <w:rPr>
          <w:lang w:val="sr-Cyrl-CS"/>
        </w:rPr>
      </w:pPr>
      <w:r w:rsidRPr="004E09DA">
        <w:rPr>
          <w:lang w:val="sr-Cyrl-CS"/>
        </w:rPr>
        <w:t>Члан 28.</w:t>
      </w:r>
    </w:p>
    <w:p w14:paraId="481D8D0D" w14:textId="77777777" w:rsidR="00E569C4" w:rsidRPr="004E09DA" w:rsidRDefault="00E569C4" w:rsidP="00E569C4">
      <w:pPr>
        <w:tabs>
          <w:tab w:val="left" w:pos="1152"/>
        </w:tabs>
        <w:ind w:firstLine="720"/>
        <w:rPr>
          <w:lang w:val="sr-Cyrl-CS" w:eastAsia="de-DE"/>
        </w:rPr>
      </w:pPr>
      <w:r w:rsidRPr="004E09DA">
        <w:rPr>
          <w:lang w:val="sr-Cyrl-CS" w:eastAsia="de-DE"/>
        </w:rPr>
        <w:t>У члану 226. став 2. мења се и гласи:</w:t>
      </w:r>
    </w:p>
    <w:p w14:paraId="30B8F7DA" w14:textId="77777777" w:rsidR="00E569C4" w:rsidRPr="004E09DA" w:rsidRDefault="00E569C4" w:rsidP="00E569C4">
      <w:pPr>
        <w:tabs>
          <w:tab w:val="left" w:pos="1152"/>
        </w:tabs>
        <w:ind w:firstLine="720"/>
        <w:rPr>
          <w:lang w:val="sr-Cyrl-CS" w:eastAsia="de-DE"/>
        </w:rPr>
      </w:pPr>
      <w:r w:rsidRPr="004E09DA">
        <w:rPr>
          <w:lang w:val="sr-Cyrl-CS" w:eastAsia="de-DE"/>
        </w:rPr>
        <w:t>„</w:t>
      </w:r>
      <w:r w:rsidRPr="004E09DA">
        <w:rPr>
          <w:lang w:val="sr-Cyrl-CS"/>
        </w:rPr>
        <w:t>Утврђена обавеза из става 1. овог члана плаћа се месечно, до десетог у месецу за претходни месец, на основу испостављене фактуре.ˮ</w:t>
      </w:r>
    </w:p>
    <w:p w14:paraId="43092EA7" w14:textId="77777777" w:rsidR="00E569C4" w:rsidRPr="004E09DA" w:rsidRDefault="00E569C4" w:rsidP="00E569C4">
      <w:pPr>
        <w:tabs>
          <w:tab w:val="left" w:pos="1152"/>
        </w:tabs>
        <w:ind w:firstLine="720"/>
        <w:rPr>
          <w:lang w:val="sr-Cyrl-CS"/>
        </w:rPr>
      </w:pPr>
    </w:p>
    <w:p w14:paraId="524F88F2" w14:textId="77777777" w:rsidR="00E569C4" w:rsidRPr="004E09DA" w:rsidRDefault="00E569C4" w:rsidP="00E569C4">
      <w:pPr>
        <w:tabs>
          <w:tab w:val="left" w:pos="1152"/>
        </w:tabs>
        <w:ind w:firstLine="720"/>
        <w:rPr>
          <w:lang w:val="sr-Cyrl-CS"/>
        </w:rPr>
      </w:pPr>
    </w:p>
    <w:p w14:paraId="5045824E" w14:textId="77777777" w:rsidR="00E569C4" w:rsidRPr="004E09DA" w:rsidRDefault="00E569C4" w:rsidP="00E569C4">
      <w:pPr>
        <w:jc w:val="center"/>
        <w:rPr>
          <w:lang w:val="sr-Cyrl-CS"/>
        </w:rPr>
      </w:pPr>
      <w:r w:rsidRPr="004E09DA">
        <w:rPr>
          <w:lang w:val="sr-Cyrl-CS"/>
        </w:rPr>
        <w:lastRenderedPageBreak/>
        <w:t>Члан 29.</w:t>
      </w:r>
    </w:p>
    <w:p w14:paraId="15A4D4BD" w14:textId="77777777" w:rsidR="00E569C4" w:rsidRPr="004E09DA" w:rsidRDefault="00E569C4" w:rsidP="00E569C4">
      <w:pPr>
        <w:ind w:firstLine="720"/>
        <w:rPr>
          <w:lang w:val="sr-Cyrl-CS"/>
        </w:rPr>
      </w:pPr>
      <w:r w:rsidRPr="004E09DA">
        <w:rPr>
          <w:lang w:val="sr-Cyrl-CS"/>
        </w:rPr>
        <w:t>У члану 227. додаје се став 3, који гласи:</w:t>
      </w:r>
    </w:p>
    <w:p w14:paraId="6F820770" w14:textId="77777777" w:rsidR="00E569C4" w:rsidRPr="004E09DA" w:rsidRDefault="00E569C4" w:rsidP="00E569C4">
      <w:pPr>
        <w:ind w:firstLine="720"/>
        <w:rPr>
          <w:lang w:val="sr-Cyrl-CS"/>
        </w:rPr>
      </w:pPr>
      <w:r w:rsidRPr="004E09DA">
        <w:rPr>
          <w:color w:val="000000"/>
          <w:lang w:val="sr-Cyrl-CS"/>
        </w:rPr>
        <w:t>„</w:t>
      </w:r>
      <w:r w:rsidRPr="004E09DA">
        <w:rPr>
          <w:lang w:val="sr-Cyrl-CS"/>
        </w:rPr>
        <w:t>Управљач комуналне инфраструктуре, у смислу овог закона, је сваки власник или инвеститор комуналне инфраструктуре, односно финансијер комуналне инфраструктуре на кога је пренето право управљања уговором између инвеститора и финансијера сагласно закону којим се уређује планирање и изградња, као и вршилац комуналне делатности на кога је актом јединице локалне самоуправе, односно решењем о испуњености услова за обављање комуналне делатности, пренето право управљања комуналном инфраструктуром сагласно посебним прописима.ˮ</w:t>
      </w:r>
    </w:p>
    <w:p w14:paraId="6A64370A" w14:textId="77777777" w:rsidR="00E569C4" w:rsidRPr="004E09DA" w:rsidRDefault="00E569C4" w:rsidP="00E569C4">
      <w:pPr>
        <w:ind w:firstLine="720"/>
        <w:rPr>
          <w:lang w:val="sr-Cyrl-CS"/>
        </w:rPr>
      </w:pPr>
    </w:p>
    <w:p w14:paraId="21A07571" w14:textId="77777777" w:rsidR="00E569C4" w:rsidRPr="004E09DA" w:rsidRDefault="00E569C4" w:rsidP="00E569C4">
      <w:pPr>
        <w:jc w:val="center"/>
        <w:rPr>
          <w:lang w:val="sr-Cyrl-CS"/>
        </w:rPr>
      </w:pPr>
      <w:r w:rsidRPr="004E09DA">
        <w:rPr>
          <w:lang w:val="sr-Cyrl-CS"/>
        </w:rPr>
        <w:t>Члан 30.</w:t>
      </w:r>
    </w:p>
    <w:p w14:paraId="23C63EBA" w14:textId="77777777" w:rsidR="00E569C4" w:rsidRPr="004E09DA" w:rsidRDefault="00E569C4" w:rsidP="00E569C4">
      <w:pPr>
        <w:tabs>
          <w:tab w:val="left" w:pos="1152"/>
        </w:tabs>
        <w:ind w:firstLine="720"/>
        <w:rPr>
          <w:lang w:val="sr-Cyrl-CS" w:eastAsia="de-DE"/>
        </w:rPr>
      </w:pPr>
      <w:r w:rsidRPr="004E09DA">
        <w:rPr>
          <w:lang w:val="sr-Cyrl-CS" w:eastAsia="de-DE"/>
        </w:rPr>
        <w:t>У члану 230. став 2. после речи: „решењаˮ додају се запета и речи: „</w:t>
      </w:r>
      <w:r w:rsidRPr="004E09DA">
        <w:rPr>
          <w:lang w:val="sr-Cyrl-CS"/>
        </w:rPr>
        <w:t>на основу испостављене фактуреˮ.</w:t>
      </w:r>
    </w:p>
    <w:p w14:paraId="076134C6" w14:textId="77777777" w:rsidR="00E569C4" w:rsidRPr="004E09DA" w:rsidRDefault="00E569C4" w:rsidP="00E569C4">
      <w:pPr>
        <w:ind w:firstLine="720"/>
        <w:rPr>
          <w:lang w:val="sr-Cyrl-CS"/>
        </w:rPr>
      </w:pPr>
    </w:p>
    <w:p w14:paraId="3732432E" w14:textId="77777777" w:rsidR="00E569C4" w:rsidRPr="004E09DA" w:rsidRDefault="00E569C4" w:rsidP="00E569C4">
      <w:pPr>
        <w:jc w:val="center"/>
        <w:rPr>
          <w:lang w:val="sr-Cyrl-CS"/>
        </w:rPr>
      </w:pPr>
      <w:r w:rsidRPr="004E09DA">
        <w:rPr>
          <w:lang w:val="sr-Cyrl-CS"/>
        </w:rPr>
        <w:t>Члан 31.</w:t>
      </w:r>
    </w:p>
    <w:p w14:paraId="1E481ED8" w14:textId="77777777" w:rsidR="00E569C4" w:rsidRPr="004E09DA" w:rsidRDefault="00E569C4" w:rsidP="00E569C4">
      <w:pPr>
        <w:ind w:firstLine="720"/>
        <w:rPr>
          <w:lang w:val="sr-Cyrl-CS"/>
        </w:rPr>
      </w:pPr>
      <w:r w:rsidRPr="004E09DA">
        <w:rPr>
          <w:lang w:val="sr-Cyrl-CS"/>
        </w:rPr>
        <w:t>После члана 230. додају се назив члана 230а и члан 230а, који гласе:</w:t>
      </w:r>
    </w:p>
    <w:p w14:paraId="4FD403DC" w14:textId="77777777" w:rsidR="00E569C4" w:rsidRPr="004E09DA" w:rsidRDefault="00E569C4" w:rsidP="00E569C4">
      <w:pPr>
        <w:jc w:val="center"/>
        <w:rPr>
          <w:lang w:val="sr-Cyrl-CS"/>
        </w:rPr>
      </w:pPr>
      <w:r w:rsidRPr="004E09DA">
        <w:rPr>
          <w:lang w:val="sr-Cyrl-CS"/>
        </w:rPr>
        <w:t>„Ослобођења</w:t>
      </w:r>
    </w:p>
    <w:p w14:paraId="13A4DC07" w14:textId="77777777" w:rsidR="00E569C4" w:rsidRPr="004E09DA" w:rsidRDefault="00E569C4" w:rsidP="00E569C4">
      <w:pPr>
        <w:jc w:val="center"/>
        <w:rPr>
          <w:lang w:val="sr-Cyrl-CS"/>
        </w:rPr>
      </w:pPr>
      <w:r w:rsidRPr="004E09DA">
        <w:rPr>
          <w:lang w:val="sr-Cyrl-CS"/>
        </w:rPr>
        <w:t>Члан 230а</w:t>
      </w:r>
    </w:p>
    <w:p w14:paraId="3699A87F" w14:textId="77777777" w:rsidR="00E569C4" w:rsidRPr="004E09DA" w:rsidRDefault="00E569C4" w:rsidP="00E569C4">
      <w:pPr>
        <w:ind w:firstLine="720"/>
        <w:rPr>
          <w:lang w:val="sr-Cyrl-CS"/>
        </w:rPr>
      </w:pPr>
      <w:r w:rsidRPr="004E09DA">
        <w:rPr>
          <w:lang w:val="sr-Cyrl-CS"/>
        </w:rPr>
        <w:t>Накнаду за конституисање права службености пролаза не плаћа оператор дистрибутивног система електричне енергије.ˮ</w:t>
      </w:r>
    </w:p>
    <w:p w14:paraId="3FE1F391" w14:textId="77777777" w:rsidR="00E569C4" w:rsidRPr="004E09DA" w:rsidRDefault="00E569C4" w:rsidP="00E569C4">
      <w:pPr>
        <w:ind w:firstLine="720"/>
        <w:rPr>
          <w:lang w:val="sr-Cyrl-CS"/>
        </w:rPr>
      </w:pPr>
    </w:p>
    <w:p w14:paraId="5A49DCF0" w14:textId="77777777" w:rsidR="00E569C4" w:rsidRPr="004E09DA" w:rsidRDefault="00E569C4" w:rsidP="00E569C4">
      <w:pPr>
        <w:jc w:val="center"/>
        <w:rPr>
          <w:lang w:val="sr-Cyrl-CS"/>
        </w:rPr>
      </w:pPr>
      <w:r w:rsidRPr="004E09DA">
        <w:rPr>
          <w:lang w:val="sr-Cyrl-CS"/>
        </w:rPr>
        <w:t>Члан 32.</w:t>
      </w:r>
    </w:p>
    <w:p w14:paraId="5EADC62B" w14:textId="77777777" w:rsidR="00E569C4" w:rsidRPr="004E09DA" w:rsidRDefault="00E569C4" w:rsidP="00E569C4">
      <w:pPr>
        <w:tabs>
          <w:tab w:val="left" w:pos="1152"/>
        </w:tabs>
        <w:ind w:firstLine="720"/>
        <w:rPr>
          <w:lang w:val="sr-Cyrl-CS" w:eastAsia="de-DE"/>
        </w:rPr>
      </w:pPr>
      <w:r w:rsidRPr="004E09DA">
        <w:rPr>
          <w:lang w:val="sr-Cyrl-CS" w:eastAsia="de-DE"/>
        </w:rPr>
        <w:t>Члан 234. мења се и гласи:</w:t>
      </w:r>
    </w:p>
    <w:p w14:paraId="4B983770" w14:textId="77777777" w:rsidR="00E569C4" w:rsidRPr="004E09DA" w:rsidRDefault="00E569C4" w:rsidP="00E569C4">
      <w:pPr>
        <w:pStyle w:val="CLAN"/>
        <w:spacing w:after="0"/>
        <w:rPr>
          <w:rFonts w:ascii="Times New Roman" w:hAnsi="Times New Roman"/>
          <w:b w:val="0"/>
          <w:sz w:val="24"/>
          <w:szCs w:val="24"/>
          <w:lang w:eastAsia="zh-CN"/>
        </w:rPr>
      </w:pPr>
      <w:r w:rsidRPr="004E09DA">
        <w:rPr>
          <w:rFonts w:ascii="Times New Roman" w:hAnsi="Times New Roman"/>
          <w:b w:val="0"/>
          <w:sz w:val="24"/>
          <w:szCs w:val="24"/>
          <w:lang w:eastAsia="de-DE"/>
        </w:rPr>
        <w:t>„</w:t>
      </w:r>
      <w:r w:rsidRPr="004E09DA">
        <w:rPr>
          <w:rFonts w:ascii="Times New Roman" w:hAnsi="Times New Roman"/>
          <w:b w:val="0"/>
          <w:sz w:val="24"/>
          <w:szCs w:val="24"/>
          <w:lang w:eastAsia="zh-CN"/>
        </w:rPr>
        <w:t>Члан 234.</w:t>
      </w:r>
    </w:p>
    <w:p w14:paraId="29939908" w14:textId="77777777" w:rsidR="00E569C4" w:rsidRPr="004E09DA" w:rsidRDefault="00E569C4" w:rsidP="00E569C4">
      <w:pPr>
        <w:ind w:firstLine="720"/>
        <w:rPr>
          <w:lang w:val="sr-Cyrl-CS"/>
        </w:rPr>
      </w:pPr>
      <w:r w:rsidRPr="004E09DA">
        <w:rPr>
          <w:lang w:val="sr-Cyrl-CS"/>
        </w:rPr>
        <w:t>Накнаду за постављање телекомуникационе опреме утврђује решењем управљач јавне железничке инфраструктуре, за календарску годину.</w:t>
      </w:r>
    </w:p>
    <w:p w14:paraId="1E629D7A" w14:textId="77777777" w:rsidR="00E569C4" w:rsidRPr="004E09DA" w:rsidRDefault="00E569C4" w:rsidP="00E569C4">
      <w:pPr>
        <w:ind w:firstLine="720"/>
        <w:rPr>
          <w:strike/>
          <w:lang w:val="sr-Cyrl-CS"/>
        </w:rPr>
      </w:pPr>
      <w:r w:rsidRPr="004E09DA">
        <w:rPr>
          <w:lang w:val="sr-Cyrl-CS"/>
        </w:rPr>
        <w:t>Утврђена обавеза из става 1. овог члана плаћа се месечно, до десетог у месецу за претходни месец, на основу испостављене фактуре.</w:t>
      </w:r>
    </w:p>
    <w:p w14:paraId="4840156E" w14:textId="77777777" w:rsidR="00E569C4" w:rsidRPr="004E09DA" w:rsidRDefault="00E569C4" w:rsidP="00E569C4">
      <w:pPr>
        <w:ind w:firstLine="720"/>
        <w:rPr>
          <w:lang w:val="sr-Cyrl-CS"/>
        </w:rPr>
      </w:pPr>
      <w:r w:rsidRPr="004E09DA">
        <w:rPr>
          <w:lang w:val="sr-Cyrl-CS"/>
        </w:rPr>
        <w:t>Решење из става 1. овог члана је коначно и против њега се може покренути управни спор.ˮ</w:t>
      </w:r>
    </w:p>
    <w:p w14:paraId="5D82FB12" w14:textId="77777777" w:rsidR="00E569C4" w:rsidRPr="004E09DA" w:rsidRDefault="00E569C4" w:rsidP="00E569C4">
      <w:pPr>
        <w:ind w:firstLine="720"/>
        <w:jc w:val="center"/>
        <w:rPr>
          <w:lang w:val="sr-Cyrl-CS"/>
        </w:rPr>
      </w:pPr>
    </w:p>
    <w:p w14:paraId="04E6C0C7" w14:textId="77777777" w:rsidR="00E569C4" w:rsidRPr="004E09DA" w:rsidRDefault="00E569C4" w:rsidP="00E569C4">
      <w:pPr>
        <w:jc w:val="center"/>
        <w:rPr>
          <w:lang w:val="sr-Cyrl-CS"/>
        </w:rPr>
      </w:pPr>
      <w:r w:rsidRPr="004E09DA">
        <w:rPr>
          <w:lang w:val="sr-Cyrl-CS"/>
        </w:rPr>
        <w:t>Члан 33.</w:t>
      </w:r>
    </w:p>
    <w:p w14:paraId="237E409A" w14:textId="77777777" w:rsidR="00E569C4" w:rsidRPr="004E09DA" w:rsidRDefault="00E569C4" w:rsidP="00E569C4">
      <w:pPr>
        <w:ind w:firstLine="720"/>
        <w:rPr>
          <w:lang w:val="sr-Cyrl-CS"/>
        </w:rPr>
      </w:pPr>
      <w:r w:rsidRPr="004E09DA">
        <w:rPr>
          <w:lang w:val="sr-Cyrl-CS"/>
        </w:rPr>
        <w:t>У члану 236. додаје се став 9, који гласи:</w:t>
      </w:r>
    </w:p>
    <w:p w14:paraId="3D81112A" w14:textId="77777777" w:rsidR="00E569C4" w:rsidRPr="004E09DA" w:rsidRDefault="00E569C4" w:rsidP="00E569C4">
      <w:pPr>
        <w:ind w:firstLine="720"/>
        <w:rPr>
          <w:lang w:val="sr-Cyrl-CS"/>
        </w:rPr>
      </w:pPr>
      <w:r w:rsidRPr="004E09DA">
        <w:rPr>
          <w:color w:val="000000"/>
          <w:lang w:val="sr-Cyrl-CS"/>
        </w:rPr>
        <w:t>„</w:t>
      </w:r>
      <w:r w:rsidRPr="004E09DA">
        <w:rPr>
          <w:bCs/>
          <w:lang w:val="sr-Cyrl-CS"/>
        </w:rPr>
        <w:t>Јавна површина у смислу овог закона јесте и јавна површина за оглашавање за сопствене потребе и за потребе других лица, као и површина и објекти за оглашавање за сопствене потребе и за потребе других лица којим се врши непосредни утицај на расположивост, квалитет или неку другу особину јавне површине, за које дозволу издаје надлежни орган јединице локалне самоуправе.</w:t>
      </w:r>
      <w:r w:rsidRPr="004E09DA">
        <w:rPr>
          <w:lang w:val="sr-Cyrl-CS"/>
        </w:rPr>
        <w:t>ˮ</w:t>
      </w:r>
    </w:p>
    <w:p w14:paraId="1B7C3B19" w14:textId="77777777" w:rsidR="00E569C4" w:rsidRPr="004E09DA" w:rsidRDefault="00E569C4" w:rsidP="00E569C4">
      <w:pPr>
        <w:autoSpaceDE w:val="0"/>
        <w:autoSpaceDN w:val="0"/>
        <w:adjustRightInd w:val="0"/>
        <w:jc w:val="center"/>
        <w:rPr>
          <w:lang w:val="sr-Cyrl-CS"/>
        </w:rPr>
      </w:pPr>
    </w:p>
    <w:p w14:paraId="07F3E276" w14:textId="77777777" w:rsidR="00E569C4" w:rsidRPr="004E09DA" w:rsidRDefault="00E569C4" w:rsidP="00E569C4">
      <w:pPr>
        <w:autoSpaceDE w:val="0"/>
        <w:autoSpaceDN w:val="0"/>
        <w:adjustRightInd w:val="0"/>
        <w:jc w:val="center"/>
        <w:rPr>
          <w:lang w:val="sr-Cyrl-CS"/>
        </w:rPr>
      </w:pPr>
      <w:r w:rsidRPr="004E09DA">
        <w:rPr>
          <w:lang w:val="sr-Cyrl-CS"/>
        </w:rPr>
        <w:t>Члан 34.</w:t>
      </w:r>
    </w:p>
    <w:p w14:paraId="32437B12" w14:textId="77777777" w:rsidR="00E569C4" w:rsidRPr="004E09DA" w:rsidRDefault="00E569C4" w:rsidP="00E569C4">
      <w:pPr>
        <w:keepNext/>
        <w:ind w:right="720" w:firstLine="720"/>
        <w:rPr>
          <w:rFonts w:eastAsia="Calibri"/>
          <w:lang w:val="sr-Cyrl-CS" w:eastAsia="zh-CN"/>
        </w:rPr>
      </w:pPr>
      <w:r w:rsidRPr="004E09DA">
        <w:rPr>
          <w:rFonts w:eastAsia="Calibri"/>
          <w:lang w:val="sr-Cyrl-CS" w:eastAsia="zh-CN"/>
        </w:rPr>
        <w:t xml:space="preserve">У члану 265. став 1. тачка 1) мења се и гласи: </w:t>
      </w:r>
    </w:p>
    <w:p w14:paraId="61D52FD6" w14:textId="77777777" w:rsidR="00E569C4" w:rsidRPr="004E09DA" w:rsidRDefault="00E569C4" w:rsidP="00E569C4">
      <w:pPr>
        <w:ind w:firstLine="567"/>
        <w:rPr>
          <w:lang w:val="sr-Cyrl-CS"/>
        </w:rPr>
      </w:pPr>
      <w:r w:rsidRPr="004E09DA">
        <w:rPr>
          <w:rFonts w:eastAsia="Calibri"/>
          <w:lang w:val="sr-Cyrl-CS" w:eastAsia="zh-CN"/>
        </w:rPr>
        <w:t xml:space="preserve">  „</w:t>
      </w:r>
      <w:r w:rsidRPr="004E09DA">
        <w:rPr>
          <w:lang w:val="sr-Cyrl-CS"/>
        </w:rPr>
        <w:t>1) радио-аматери, хитна медицинска помоћ, здравствене установе, Црвени крст Србије, службе противградне одбране, службе одбране од поплава, добровољна ватрогасна друштва основана у складу са законом којим се уређује добровољно ватрогаство, Горска служба спасавања и друга удружења за  потрагу и спасавање којa обављају делатност осталих организација на бази учлањења;</w:t>
      </w:r>
      <w:r w:rsidRPr="004E09DA">
        <w:rPr>
          <w:lang w:val="sr-Cyrl-CS" w:eastAsia="de-DE"/>
        </w:rPr>
        <w:t>ˮ.</w:t>
      </w:r>
    </w:p>
    <w:p w14:paraId="4A991DD3" w14:textId="77777777" w:rsidR="00E569C4" w:rsidRPr="004E09DA" w:rsidRDefault="00E569C4" w:rsidP="00E569C4">
      <w:pPr>
        <w:ind w:firstLine="720"/>
        <w:rPr>
          <w:lang w:val="sr-Cyrl-CS"/>
        </w:rPr>
      </w:pPr>
    </w:p>
    <w:p w14:paraId="6F1A15DF" w14:textId="77777777" w:rsidR="00E569C4" w:rsidRPr="004E09DA" w:rsidRDefault="00E569C4" w:rsidP="00E569C4">
      <w:pPr>
        <w:ind w:firstLine="720"/>
        <w:rPr>
          <w:lang w:val="sr-Cyrl-CS"/>
        </w:rPr>
      </w:pPr>
    </w:p>
    <w:p w14:paraId="56C5ED45" w14:textId="77777777" w:rsidR="00E569C4" w:rsidRPr="004E09DA" w:rsidRDefault="00E569C4" w:rsidP="00E569C4">
      <w:pPr>
        <w:jc w:val="center"/>
        <w:rPr>
          <w:lang w:val="sr-Cyrl-CS"/>
        </w:rPr>
      </w:pPr>
      <w:bookmarkStart w:id="10" w:name="_Hlk211373017"/>
      <w:r w:rsidRPr="004E09DA">
        <w:rPr>
          <w:lang w:val="sr-Cyrl-CS"/>
        </w:rPr>
        <w:t>Члан 35.</w:t>
      </w:r>
    </w:p>
    <w:p w14:paraId="022C4138" w14:textId="77777777" w:rsidR="00E569C4" w:rsidRPr="004E09DA" w:rsidRDefault="00E569C4" w:rsidP="00E569C4">
      <w:pPr>
        <w:ind w:firstLine="720"/>
        <w:rPr>
          <w:lang w:val="sr-Cyrl-CS"/>
        </w:rPr>
      </w:pPr>
      <w:r w:rsidRPr="004E09DA">
        <w:rPr>
          <w:lang w:val="sr-Cyrl-CS"/>
        </w:rPr>
        <w:t>У члану 270. после става 3. додаје се нови став 4, који гласи:</w:t>
      </w:r>
    </w:p>
    <w:p w14:paraId="76CEA9F4" w14:textId="77777777" w:rsidR="00E569C4" w:rsidRPr="004E09DA" w:rsidRDefault="00E569C4" w:rsidP="00E569C4">
      <w:pPr>
        <w:ind w:firstLine="720"/>
        <w:rPr>
          <w:bCs/>
          <w:lang w:val="sr-Cyrl-CS"/>
        </w:rPr>
      </w:pPr>
      <w:r w:rsidRPr="004E09DA">
        <w:rPr>
          <w:lang w:val="sr-Cyrl-CS"/>
        </w:rPr>
        <w:t>„</w:t>
      </w:r>
      <w:r w:rsidRPr="004E09DA">
        <w:rPr>
          <w:bCs/>
          <w:lang w:val="sr-Cyrl-CS"/>
        </w:rPr>
        <w:t>Изузетно, обвезницима плаћања накнаде за непосредно загађивање вода може се одобрити одлагање плаћања дуговане накнаде на рате, најдуже до 60 месеци.ˮ</w:t>
      </w:r>
    </w:p>
    <w:p w14:paraId="715AE0B6" w14:textId="77777777" w:rsidR="00E569C4" w:rsidRPr="004E09DA" w:rsidRDefault="00E569C4" w:rsidP="00E569C4">
      <w:pPr>
        <w:ind w:firstLine="720"/>
        <w:rPr>
          <w:lang w:val="sr-Cyrl-CS"/>
        </w:rPr>
      </w:pPr>
      <w:r w:rsidRPr="004E09DA">
        <w:rPr>
          <w:lang w:val="sr-Cyrl-CS"/>
        </w:rPr>
        <w:t>Досадашњи ст. 4. и 5. постају ст. 5. и 6.</w:t>
      </w:r>
    </w:p>
    <w:p w14:paraId="466BAC9D" w14:textId="77777777" w:rsidR="00E569C4" w:rsidRPr="004E09DA" w:rsidRDefault="00E569C4" w:rsidP="00E569C4">
      <w:pPr>
        <w:ind w:firstLine="720"/>
        <w:jc w:val="center"/>
        <w:rPr>
          <w:lang w:val="sr-Cyrl-CS"/>
        </w:rPr>
      </w:pPr>
    </w:p>
    <w:p w14:paraId="2BC9DEAD" w14:textId="77777777" w:rsidR="00E569C4" w:rsidRPr="004E09DA" w:rsidRDefault="00E569C4" w:rsidP="00E569C4">
      <w:pPr>
        <w:jc w:val="center"/>
        <w:rPr>
          <w:lang w:val="sr-Cyrl-CS"/>
        </w:rPr>
      </w:pPr>
      <w:r w:rsidRPr="004E09DA">
        <w:rPr>
          <w:lang w:val="sr-Cyrl-CS"/>
        </w:rPr>
        <w:t>Члан 36.</w:t>
      </w:r>
    </w:p>
    <w:bookmarkEnd w:id="10"/>
    <w:p w14:paraId="7A704BF1" w14:textId="77777777" w:rsidR="00E569C4" w:rsidRPr="004E09DA" w:rsidRDefault="00E569C4" w:rsidP="00E569C4">
      <w:pPr>
        <w:tabs>
          <w:tab w:val="left" w:pos="1152"/>
        </w:tabs>
        <w:ind w:firstLine="720"/>
        <w:rPr>
          <w:lang w:val="sr-Cyrl-CS"/>
        </w:rPr>
      </w:pPr>
      <w:r w:rsidRPr="004E09DA">
        <w:rPr>
          <w:lang w:val="sr-Cyrl-CS"/>
        </w:rPr>
        <w:t xml:space="preserve">У члану 271. став 4. после речи: „јавних водопривредних предузећа” додају се речи: „и других органа када утврђују </w:t>
      </w:r>
      <w:r w:rsidRPr="004E09DA">
        <w:rPr>
          <w:rFonts w:eastAsia="Calibri"/>
          <w:lang w:val="sr-Cyrl-CS"/>
        </w:rPr>
        <w:t>накнаде за воде</w:t>
      </w:r>
      <w:r w:rsidRPr="004E09DA">
        <w:rPr>
          <w:lang w:val="sr-Cyrl-CS"/>
        </w:rPr>
        <w:t>,ˮ.</w:t>
      </w:r>
    </w:p>
    <w:p w14:paraId="411E4620" w14:textId="77777777" w:rsidR="00E569C4" w:rsidRPr="004E09DA" w:rsidRDefault="00E569C4" w:rsidP="00E569C4">
      <w:pPr>
        <w:ind w:firstLine="720"/>
        <w:jc w:val="center"/>
        <w:rPr>
          <w:lang w:val="sr-Cyrl-CS"/>
        </w:rPr>
      </w:pPr>
    </w:p>
    <w:p w14:paraId="417510EB" w14:textId="77777777" w:rsidR="00E569C4" w:rsidRPr="004E09DA" w:rsidRDefault="00E569C4" w:rsidP="00E569C4">
      <w:pPr>
        <w:jc w:val="center"/>
        <w:rPr>
          <w:lang w:val="sr-Cyrl-CS"/>
        </w:rPr>
      </w:pPr>
      <w:r w:rsidRPr="004E09DA">
        <w:rPr>
          <w:lang w:val="sr-Cyrl-CS"/>
        </w:rPr>
        <w:t>Члан 37.</w:t>
      </w:r>
    </w:p>
    <w:p w14:paraId="4316D24D" w14:textId="77777777" w:rsidR="00E569C4" w:rsidRPr="004E09DA" w:rsidRDefault="00E569C4" w:rsidP="00E569C4">
      <w:pPr>
        <w:rPr>
          <w:lang w:val="sr-Cyrl-CS" w:eastAsia="sr-Cyrl-CS"/>
        </w:rPr>
      </w:pPr>
      <w:r w:rsidRPr="004E09DA">
        <w:rPr>
          <w:color w:val="000000"/>
          <w:lang w:val="sr-Cyrl-CS"/>
        </w:rPr>
        <w:t xml:space="preserve">           У члану 274. став 1. тачка 9) </w:t>
      </w:r>
      <w:r w:rsidRPr="004E09DA">
        <w:rPr>
          <w:lang w:val="sr-Cyrl-CS" w:eastAsia="sr-Cyrl-CS"/>
        </w:rPr>
        <w:t>после речи: „одредби</w:t>
      </w:r>
      <w:r w:rsidRPr="004E09DA">
        <w:rPr>
          <w:lang w:val="sr-Cyrl-CS" w:eastAsia="zh-CN"/>
        </w:rPr>
        <w:t>ˮ</w:t>
      </w:r>
      <w:r w:rsidRPr="004E09DA">
        <w:rPr>
          <w:lang w:val="sr-Cyrl-CS" w:eastAsia="sr-Cyrl-CS"/>
        </w:rPr>
        <w:t xml:space="preserve"> додају се речи: ,,члана 198. став 13,</w:t>
      </w:r>
      <w:r w:rsidRPr="004E09DA">
        <w:rPr>
          <w:lang w:val="sr-Cyrl-CS" w:eastAsia="zh-CN"/>
        </w:rPr>
        <w:t>ˮ</w:t>
      </w:r>
      <w:r w:rsidRPr="004E09DA">
        <w:rPr>
          <w:lang w:val="sr-Cyrl-CS" w:eastAsia="sr-Cyrl-CS"/>
        </w:rPr>
        <w:t>.</w:t>
      </w:r>
    </w:p>
    <w:p w14:paraId="5D8EA006" w14:textId="77777777" w:rsidR="00E569C4" w:rsidRPr="004E09DA" w:rsidRDefault="00E569C4" w:rsidP="00E569C4">
      <w:pPr>
        <w:ind w:firstLine="720"/>
        <w:jc w:val="center"/>
        <w:rPr>
          <w:lang w:val="sr-Cyrl-CS"/>
        </w:rPr>
      </w:pPr>
    </w:p>
    <w:p w14:paraId="439DEE08" w14:textId="77777777" w:rsidR="00E569C4" w:rsidRPr="004E09DA" w:rsidRDefault="00E569C4" w:rsidP="00E569C4">
      <w:pPr>
        <w:jc w:val="center"/>
        <w:rPr>
          <w:lang w:val="sr-Cyrl-CS"/>
        </w:rPr>
      </w:pPr>
      <w:r w:rsidRPr="004E09DA">
        <w:rPr>
          <w:lang w:val="sr-Cyrl-CS"/>
        </w:rPr>
        <w:t>Члан 38.</w:t>
      </w:r>
    </w:p>
    <w:p w14:paraId="1CC1794F" w14:textId="77777777" w:rsidR="00E569C4" w:rsidRPr="004E09DA" w:rsidRDefault="00E569C4" w:rsidP="00E569C4">
      <w:pPr>
        <w:ind w:firstLine="720"/>
        <w:rPr>
          <w:lang w:val="sr-Cyrl-CS"/>
        </w:rPr>
      </w:pPr>
      <w:r w:rsidRPr="004E09DA">
        <w:rPr>
          <w:lang w:val="sr-Cyrl-CS"/>
        </w:rPr>
        <w:t>У Прилогу 7, Табела 7. Коефицијенти накнаде за рециклажу по врсти амбалаже мења се и гласи:</w:t>
      </w:r>
    </w:p>
    <w:p w14:paraId="45577B5B" w14:textId="77777777" w:rsidR="00E569C4" w:rsidRPr="004E09DA" w:rsidRDefault="00E569C4" w:rsidP="00E569C4">
      <w:pPr>
        <w:shd w:val="clear" w:color="auto" w:fill="FFFFFF"/>
        <w:spacing w:before="330" w:after="120"/>
        <w:ind w:firstLine="480"/>
        <w:jc w:val="center"/>
        <w:rPr>
          <w:bCs/>
          <w:lang w:val="sr-Cyrl-CS" w:eastAsia="sr-Latn-RS"/>
        </w:rPr>
      </w:pPr>
      <w:r w:rsidRPr="004E09DA">
        <w:rPr>
          <w:lang w:val="sr-Cyrl-CS"/>
        </w:rPr>
        <w:t>„</w:t>
      </w:r>
      <w:r w:rsidRPr="004E09DA">
        <w:rPr>
          <w:bCs/>
          <w:lang w:val="sr-Cyrl-CS" w:eastAsia="sr-Latn-RS"/>
        </w:rPr>
        <w:t>Табела 7. Коефицијенти накнаде за рециклажу по врсти амбалаже</w:t>
      </w:r>
    </w:p>
    <w:tbl>
      <w:tblPr>
        <w:tblW w:w="8639"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4245"/>
        <w:gridCol w:w="1701"/>
        <w:gridCol w:w="2693"/>
      </w:tblGrid>
      <w:tr w:rsidR="00E569C4" w:rsidRPr="004E09DA" w14:paraId="5303559E"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4824199D" w14:textId="77777777" w:rsidR="00E569C4" w:rsidRPr="004E09DA" w:rsidRDefault="00E569C4" w:rsidP="00E569C4">
            <w:pPr>
              <w:spacing w:after="160" w:line="259" w:lineRule="auto"/>
              <w:jc w:val="left"/>
              <w:rPr>
                <w:rFonts w:eastAsia="Aptos"/>
                <w:lang w:val="sr-Cyrl-CS"/>
              </w:rPr>
            </w:pPr>
            <w:r w:rsidRPr="004E09DA">
              <w:rPr>
                <w:rFonts w:eastAsia="Aptos"/>
                <w:lang w:val="sr-Cyrl-CS"/>
              </w:rPr>
              <w:t>Коефицијент накнаде</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2BF787C9" w14:textId="77777777" w:rsidR="00E569C4" w:rsidRPr="004E09DA" w:rsidRDefault="00E569C4" w:rsidP="00E569C4">
            <w:pPr>
              <w:spacing w:after="160" w:line="259" w:lineRule="auto"/>
              <w:jc w:val="left"/>
              <w:rPr>
                <w:rFonts w:eastAsia="Aptos"/>
                <w:lang w:val="sr-Cyrl-CS"/>
              </w:rPr>
            </w:pPr>
            <w:r w:rsidRPr="004E09DA">
              <w:rPr>
                <w:rFonts w:eastAsia="Aptos"/>
                <w:lang w:val="sr-Cyrl-CS"/>
              </w:rPr>
              <w:t>Јединица мере</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5220E523" w14:textId="77777777" w:rsidR="00E569C4" w:rsidRPr="004E09DA" w:rsidRDefault="00E569C4" w:rsidP="00E569C4">
            <w:pPr>
              <w:spacing w:after="160" w:line="259" w:lineRule="auto"/>
              <w:jc w:val="left"/>
              <w:rPr>
                <w:rFonts w:eastAsia="Aptos"/>
                <w:lang w:val="sr-Cyrl-CS"/>
              </w:rPr>
            </w:pPr>
            <w:r w:rsidRPr="004E09DA">
              <w:rPr>
                <w:rFonts w:eastAsia="Aptos"/>
                <w:lang w:val="sr-Cyrl-CS"/>
              </w:rPr>
              <w:t>Износ РСД</w:t>
            </w:r>
          </w:p>
        </w:tc>
      </w:tr>
      <w:tr w:rsidR="00E569C4" w:rsidRPr="004E09DA" w14:paraId="2C82F01D"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41F86970"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71F1BBC3"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61BD0C04" w14:textId="77777777" w:rsidR="00E569C4" w:rsidRPr="004E09DA" w:rsidRDefault="00E569C4" w:rsidP="00E569C4">
            <w:pPr>
              <w:spacing w:after="160" w:line="259" w:lineRule="auto"/>
              <w:jc w:val="left"/>
              <w:rPr>
                <w:rFonts w:eastAsia="Aptos"/>
                <w:lang w:val="sr-Cyrl-CS"/>
              </w:rPr>
            </w:pPr>
            <w:r w:rsidRPr="004E09DA">
              <w:rPr>
                <w:rFonts w:eastAsia="Aptos"/>
                <w:lang w:val="sr-Cyrl-CS"/>
              </w:rPr>
              <w:t>60</w:t>
            </w:r>
          </w:p>
        </w:tc>
      </w:tr>
      <w:tr w:rsidR="00E569C4" w:rsidRPr="004E09DA" w14:paraId="0697338D"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36424946"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 стакло</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2801D9DF"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6A1018E0" w14:textId="77777777" w:rsidR="00E569C4" w:rsidRPr="004E09DA" w:rsidRDefault="00E569C4" w:rsidP="00E569C4">
            <w:pPr>
              <w:spacing w:after="160" w:line="259" w:lineRule="auto"/>
              <w:jc w:val="left"/>
              <w:rPr>
                <w:rFonts w:eastAsia="Aptos"/>
                <w:lang w:val="sr-Cyrl-CS"/>
              </w:rPr>
            </w:pPr>
            <w:r w:rsidRPr="004E09DA">
              <w:rPr>
                <w:rFonts w:eastAsia="Aptos"/>
                <w:lang w:val="sr-Cyrl-CS"/>
              </w:rPr>
              <w:t>35</w:t>
            </w:r>
          </w:p>
        </w:tc>
      </w:tr>
      <w:tr w:rsidR="00E569C4" w:rsidRPr="004E09DA" w14:paraId="203D75EA"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71A16A75"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 метал</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587DFA39"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73F52FF3" w14:textId="77777777" w:rsidR="00E569C4" w:rsidRPr="004E09DA" w:rsidRDefault="00E569C4" w:rsidP="00E569C4">
            <w:pPr>
              <w:spacing w:after="160" w:line="259" w:lineRule="auto"/>
              <w:jc w:val="left"/>
              <w:rPr>
                <w:rFonts w:eastAsia="Aptos"/>
                <w:lang w:val="sr-Cyrl-CS"/>
              </w:rPr>
            </w:pPr>
            <w:r w:rsidRPr="004E09DA">
              <w:rPr>
                <w:rFonts w:eastAsia="Aptos"/>
                <w:lang w:val="sr-Cyrl-CS"/>
              </w:rPr>
              <w:t>27</w:t>
            </w:r>
          </w:p>
        </w:tc>
      </w:tr>
      <w:tr w:rsidR="00E569C4" w:rsidRPr="004E09DA" w14:paraId="0E0DA4FF"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70E15691"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 дрво</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0FC2DA3C"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413AF674" w14:textId="77777777" w:rsidR="00E569C4" w:rsidRPr="004E09DA" w:rsidRDefault="00E569C4" w:rsidP="00E569C4">
            <w:pPr>
              <w:spacing w:after="160" w:line="259" w:lineRule="auto"/>
              <w:jc w:val="left"/>
              <w:rPr>
                <w:rFonts w:eastAsia="Aptos"/>
                <w:lang w:val="sr-Cyrl-CS"/>
              </w:rPr>
            </w:pPr>
            <w:r w:rsidRPr="004E09DA">
              <w:rPr>
                <w:rFonts w:eastAsia="Aptos"/>
                <w:lang w:val="sr-Cyrl-CS"/>
              </w:rPr>
              <w:t>14</w:t>
            </w:r>
          </w:p>
        </w:tc>
      </w:tr>
      <w:tr w:rsidR="00E569C4" w:rsidRPr="004E09DA" w14:paraId="259EACDC"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3C7F90D8"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NRp пластика</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04E48FE1"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4F70634F" w14:textId="77777777" w:rsidR="00E569C4" w:rsidRPr="004E09DA" w:rsidRDefault="00E569C4" w:rsidP="00E569C4">
            <w:pPr>
              <w:spacing w:after="160" w:line="259" w:lineRule="auto"/>
              <w:jc w:val="left"/>
              <w:rPr>
                <w:rFonts w:eastAsia="Aptos"/>
                <w:lang w:val="sr-Cyrl-CS"/>
              </w:rPr>
            </w:pPr>
            <w:r w:rsidRPr="004E09DA">
              <w:rPr>
                <w:rFonts w:eastAsia="Aptos"/>
                <w:lang w:val="sr-Cyrl-CS"/>
              </w:rPr>
              <w:t>60</w:t>
            </w:r>
          </w:p>
        </w:tc>
      </w:tr>
      <w:tr w:rsidR="00E569C4" w:rsidRPr="004E09DA" w14:paraId="291F5790"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535A419F"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NRp полиетилен</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48945876"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7E128FB0" w14:textId="77777777" w:rsidR="00E569C4" w:rsidRPr="004E09DA" w:rsidRDefault="00E569C4" w:rsidP="00E569C4">
            <w:pPr>
              <w:spacing w:after="160" w:line="259" w:lineRule="auto"/>
              <w:jc w:val="left"/>
              <w:rPr>
                <w:rFonts w:eastAsia="Aptos"/>
                <w:lang w:val="sr-Cyrl-CS"/>
              </w:rPr>
            </w:pPr>
            <w:r w:rsidRPr="004E09DA">
              <w:rPr>
                <w:rFonts w:eastAsia="Aptos"/>
                <w:lang w:val="sr-Cyrl-CS"/>
              </w:rPr>
              <w:t>50</w:t>
            </w:r>
          </w:p>
        </w:tc>
      </w:tr>
      <w:tr w:rsidR="00E569C4" w:rsidRPr="004E09DA" w14:paraId="3184EE44"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326EF645"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NRp ПЕТ</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65EA8F6E"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728D4B0C" w14:textId="77777777" w:rsidR="00E569C4" w:rsidRPr="004E09DA" w:rsidRDefault="00E569C4" w:rsidP="00E569C4">
            <w:pPr>
              <w:spacing w:after="160" w:line="259" w:lineRule="auto"/>
              <w:jc w:val="left"/>
              <w:rPr>
                <w:rFonts w:eastAsia="Aptos"/>
                <w:lang w:val="sr-Cyrl-CS"/>
              </w:rPr>
            </w:pPr>
            <w:r w:rsidRPr="004E09DA">
              <w:rPr>
                <w:rFonts w:eastAsia="Aptos"/>
                <w:lang w:val="sr-Cyrl-CS"/>
              </w:rPr>
              <w:t>70</w:t>
            </w:r>
          </w:p>
        </w:tc>
      </w:tr>
      <w:tr w:rsidR="00E569C4" w:rsidRPr="004E09DA" w14:paraId="2FF0BE0F"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53B5778D"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NRp остале врсте пластике</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73B835AF"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7CF07621" w14:textId="77777777" w:rsidR="00E569C4" w:rsidRPr="004E09DA" w:rsidRDefault="00E569C4" w:rsidP="00E569C4">
            <w:pPr>
              <w:spacing w:after="160" w:line="259" w:lineRule="auto"/>
              <w:jc w:val="left"/>
              <w:rPr>
                <w:rFonts w:eastAsia="Aptos"/>
                <w:lang w:val="sr-Cyrl-CS"/>
              </w:rPr>
            </w:pPr>
            <w:r w:rsidRPr="004E09DA">
              <w:rPr>
                <w:rFonts w:eastAsia="Aptos"/>
                <w:lang w:val="sr-Cyrl-CS"/>
              </w:rPr>
              <w:t>45</w:t>
            </w:r>
          </w:p>
        </w:tc>
      </w:tr>
      <w:tr w:rsidR="00E569C4" w:rsidRPr="004E09DA" w14:paraId="1D92B69C"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41B818D8"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NRk папир</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4E9DF6AD"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1D0D2D61" w14:textId="77777777" w:rsidR="00E569C4" w:rsidRPr="004E09DA" w:rsidRDefault="00E569C4" w:rsidP="00E569C4">
            <w:pPr>
              <w:spacing w:after="160" w:line="259" w:lineRule="auto"/>
              <w:jc w:val="left"/>
              <w:rPr>
                <w:rFonts w:eastAsia="Aptos"/>
                <w:lang w:val="sr-Cyrl-CS"/>
              </w:rPr>
            </w:pPr>
            <w:r w:rsidRPr="004E09DA">
              <w:rPr>
                <w:rFonts w:eastAsia="Aptos"/>
                <w:lang w:val="sr-Cyrl-CS"/>
              </w:rPr>
              <w:t>17</w:t>
            </w:r>
          </w:p>
        </w:tc>
      </w:tr>
      <w:tr w:rsidR="00E569C4" w:rsidRPr="004E09DA" w14:paraId="576E7D17" w14:textId="77777777" w:rsidTr="00E569C4">
        <w:tc>
          <w:tcPr>
            <w:tcW w:w="42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20744661" w14:textId="77777777" w:rsidR="00E569C4" w:rsidRPr="004E09DA" w:rsidRDefault="00E569C4" w:rsidP="00E569C4">
            <w:pPr>
              <w:spacing w:after="160" w:line="259" w:lineRule="auto"/>
              <w:jc w:val="left"/>
              <w:rPr>
                <w:rFonts w:eastAsia="Aptos"/>
                <w:lang w:val="sr-Cyrl-CS"/>
              </w:rPr>
            </w:pPr>
            <w:r w:rsidRPr="004E09DA">
              <w:rPr>
                <w:rFonts w:eastAsia="Aptos"/>
                <w:lang w:val="sr-Cyrl-CS"/>
              </w:rPr>
              <w:t>NRk вишеслојна картонска амбалажа за напитке</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27BCCA8F" w14:textId="77777777" w:rsidR="00E569C4" w:rsidRPr="004E09DA" w:rsidRDefault="00E569C4" w:rsidP="00E569C4">
            <w:pPr>
              <w:spacing w:after="160" w:line="259" w:lineRule="auto"/>
              <w:jc w:val="left"/>
              <w:rPr>
                <w:rFonts w:eastAsia="Aptos"/>
                <w:lang w:val="sr-Cyrl-CS"/>
              </w:rPr>
            </w:pPr>
            <w:r w:rsidRPr="004E09DA">
              <w:rPr>
                <w:rFonts w:eastAsia="Aptos"/>
                <w:lang w:val="sr-Cyrl-CS"/>
              </w:rPr>
              <w:t>kg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10B3A931" w14:textId="77777777" w:rsidR="00E569C4" w:rsidRPr="004E09DA" w:rsidRDefault="00E569C4" w:rsidP="00E569C4">
            <w:pPr>
              <w:spacing w:after="160" w:line="259" w:lineRule="auto"/>
              <w:jc w:val="left"/>
              <w:rPr>
                <w:rFonts w:eastAsia="Aptos"/>
                <w:lang w:val="sr-Cyrl-CS"/>
              </w:rPr>
            </w:pPr>
            <w:r w:rsidRPr="004E09DA">
              <w:rPr>
                <w:rFonts w:eastAsia="Aptos"/>
                <w:lang w:val="sr-Cyrl-CS"/>
              </w:rPr>
              <w:t>70</w:t>
            </w:r>
          </w:p>
        </w:tc>
      </w:tr>
    </w:tbl>
    <w:p w14:paraId="44C1AF5A" w14:textId="77777777" w:rsidR="00E569C4" w:rsidRPr="004E09DA" w:rsidRDefault="00E569C4" w:rsidP="00E569C4">
      <w:pPr>
        <w:shd w:val="clear" w:color="auto" w:fill="FFFFFF"/>
        <w:spacing w:after="150"/>
        <w:ind w:left="644"/>
        <w:jc w:val="left"/>
        <w:rPr>
          <w:lang w:val="sr-Cyrl-CS"/>
        </w:rPr>
      </w:pPr>
    </w:p>
    <w:p w14:paraId="5570DAEC" w14:textId="77777777" w:rsidR="00E569C4" w:rsidRPr="004E09DA" w:rsidRDefault="00E569C4" w:rsidP="00E569C4">
      <w:pPr>
        <w:ind w:firstLine="720"/>
        <w:rPr>
          <w:lang w:val="sr-Cyrl-CS"/>
        </w:rPr>
      </w:pPr>
    </w:p>
    <w:p w14:paraId="658B77A8" w14:textId="77777777" w:rsidR="00E569C4" w:rsidRPr="004E09DA" w:rsidRDefault="00E569C4" w:rsidP="00E569C4">
      <w:pPr>
        <w:ind w:firstLine="720"/>
        <w:jc w:val="center"/>
        <w:rPr>
          <w:lang w:val="sr-Cyrl-CS"/>
        </w:rPr>
      </w:pPr>
    </w:p>
    <w:p w14:paraId="327A65C3" w14:textId="77777777" w:rsidR="00E569C4" w:rsidRPr="004E09DA" w:rsidRDefault="00E569C4" w:rsidP="00E569C4">
      <w:pPr>
        <w:ind w:firstLine="720"/>
        <w:jc w:val="center"/>
        <w:rPr>
          <w:lang w:val="sr-Cyrl-CS"/>
        </w:rPr>
      </w:pPr>
    </w:p>
    <w:p w14:paraId="1C9EBBBD" w14:textId="77777777" w:rsidR="00E569C4" w:rsidRPr="004E09DA" w:rsidRDefault="00E569C4" w:rsidP="00E569C4">
      <w:pPr>
        <w:jc w:val="center"/>
        <w:rPr>
          <w:lang w:val="sr-Cyrl-CS"/>
        </w:rPr>
      </w:pPr>
      <w:r w:rsidRPr="004E09DA">
        <w:rPr>
          <w:lang w:val="sr-Cyrl-CS"/>
        </w:rPr>
        <w:t>Члан 39.</w:t>
      </w:r>
    </w:p>
    <w:p w14:paraId="10950998" w14:textId="77777777" w:rsidR="00E569C4" w:rsidRPr="004E09DA" w:rsidRDefault="00E569C4" w:rsidP="00E569C4">
      <w:pPr>
        <w:ind w:firstLine="720"/>
        <w:rPr>
          <w:lang w:val="sr-Cyrl-CS"/>
        </w:rPr>
      </w:pPr>
      <w:r w:rsidRPr="004E09DA">
        <w:rPr>
          <w:lang w:val="sr-Cyrl-CS"/>
        </w:rPr>
        <w:t xml:space="preserve">  У Прилогу 8. Табела 8.1. Висина накнаде за непосредно загађење вода (цена испуштене отпадне воде – заједничка за све загађујуће материје) и Напомена испод Табеле 8.1. мењају се и гласе:</w:t>
      </w:r>
    </w:p>
    <w:p w14:paraId="409DCE15" w14:textId="77777777" w:rsidR="00E569C4" w:rsidRPr="004E09DA" w:rsidRDefault="00E569C4" w:rsidP="00E569C4">
      <w:pPr>
        <w:shd w:val="clear" w:color="auto" w:fill="FFFFFF"/>
        <w:spacing w:after="150"/>
        <w:ind w:left="-90" w:firstLine="900"/>
        <w:rPr>
          <w:lang w:val="sr-Cyrl-CS" w:eastAsia="en-GB"/>
        </w:rPr>
      </w:pPr>
      <w:r w:rsidRPr="004E09DA">
        <w:rPr>
          <w:lang w:val="sr-Cyrl-CS"/>
        </w:rPr>
        <w:t>„</w:t>
      </w:r>
      <w:r w:rsidRPr="004E09DA">
        <w:rPr>
          <w:lang w:val="sr-Cyrl-CS" w:eastAsia="en-GB"/>
        </w:rPr>
        <w:t>Табела 8.1. – Висина накнаде за непосредно загађење вода (цена испуштене отпадне воде-заједничка за све загађујуће материје)</w:t>
      </w:r>
    </w:p>
    <w:p w14:paraId="00F7C882" w14:textId="77777777" w:rsidR="009E733D" w:rsidRDefault="009E733D" w:rsidP="009E733D"/>
    <w:tbl>
      <w:tblPr>
        <w:tblStyle w:val="TableGrid"/>
        <w:tblW w:w="0" w:type="auto"/>
        <w:tblLook w:val="04A0" w:firstRow="1" w:lastRow="0" w:firstColumn="1" w:lastColumn="0" w:noHBand="0" w:noVBand="1"/>
      </w:tblPr>
      <w:tblGrid>
        <w:gridCol w:w="562"/>
        <w:gridCol w:w="5103"/>
        <w:gridCol w:w="1985"/>
        <w:gridCol w:w="1700"/>
      </w:tblGrid>
      <w:tr w:rsidR="009E733D" w14:paraId="74667543" w14:textId="77777777" w:rsidTr="0066514D">
        <w:tc>
          <w:tcPr>
            <w:tcW w:w="562" w:type="dxa"/>
          </w:tcPr>
          <w:p w14:paraId="3CD3E4A4" w14:textId="77777777" w:rsidR="009E733D" w:rsidRPr="004E09DA" w:rsidRDefault="009E733D" w:rsidP="0066514D">
            <w:pPr>
              <w:spacing w:after="200" w:line="276" w:lineRule="auto"/>
              <w:jc w:val="left"/>
              <w:rPr>
                <w:lang w:val="sr-Cyrl-CS"/>
              </w:rPr>
            </w:pPr>
            <w:r w:rsidRPr="004E09DA">
              <w:rPr>
                <w:rFonts w:eastAsia="Calibri"/>
                <w:kern w:val="2"/>
                <w:lang w:val="sr-Cyrl-CS"/>
              </w:rPr>
              <w:t>РБ</w:t>
            </w:r>
          </w:p>
          <w:p w14:paraId="27F73103" w14:textId="77777777" w:rsidR="009E733D" w:rsidRPr="004E09DA" w:rsidRDefault="009E733D" w:rsidP="0066514D">
            <w:pPr>
              <w:jc w:val="center"/>
              <w:rPr>
                <w:rFonts w:eastAsia="Calibri"/>
                <w:kern w:val="2"/>
                <w:lang w:val="sr-Cyrl-CS"/>
              </w:rPr>
            </w:pPr>
          </w:p>
        </w:tc>
        <w:tc>
          <w:tcPr>
            <w:tcW w:w="5103" w:type="dxa"/>
          </w:tcPr>
          <w:p w14:paraId="511FFF54" w14:textId="77777777" w:rsidR="009E733D" w:rsidRPr="004E09DA" w:rsidRDefault="009E733D" w:rsidP="0066514D">
            <w:pPr>
              <w:jc w:val="center"/>
              <w:rPr>
                <w:rFonts w:eastAsia="Calibri"/>
                <w:kern w:val="2"/>
                <w:lang w:val="sr-Cyrl-CS"/>
              </w:rPr>
            </w:pPr>
            <w:r w:rsidRPr="004E09DA">
              <w:rPr>
                <w:rFonts w:eastAsia="Calibri"/>
                <w:kern w:val="2"/>
                <w:lang w:val="sr-Cyrl-CS"/>
              </w:rPr>
              <w:t>Предмет накнаде</w:t>
            </w:r>
          </w:p>
        </w:tc>
        <w:tc>
          <w:tcPr>
            <w:tcW w:w="1985" w:type="dxa"/>
          </w:tcPr>
          <w:p w14:paraId="53931F0B" w14:textId="77777777" w:rsidR="009E733D" w:rsidRPr="004E09DA" w:rsidRDefault="009E733D" w:rsidP="0066514D">
            <w:pPr>
              <w:jc w:val="center"/>
              <w:rPr>
                <w:rFonts w:eastAsia="Calibri"/>
                <w:kern w:val="2"/>
                <w:lang w:val="sr-Cyrl-CS"/>
              </w:rPr>
            </w:pPr>
            <w:r w:rsidRPr="004E09DA">
              <w:rPr>
                <w:rFonts w:eastAsia="Calibri"/>
                <w:kern w:val="2"/>
                <w:lang w:val="sr-Cyrl-CS"/>
              </w:rPr>
              <w:t>Основица</w:t>
            </w:r>
          </w:p>
        </w:tc>
        <w:tc>
          <w:tcPr>
            <w:tcW w:w="1700" w:type="dxa"/>
          </w:tcPr>
          <w:p w14:paraId="4E1AC78E" w14:textId="77777777" w:rsidR="009E733D" w:rsidRPr="004E09DA" w:rsidRDefault="009E733D" w:rsidP="0066514D">
            <w:pPr>
              <w:jc w:val="center"/>
              <w:rPr>
                <w:rFonts w:eastAsia="Calibri"/>
                <w:kern w:val="2"/>
                <w:lang w:val="sr-Cyrl-CS"/>
              </w:rPr>
            </w:pPr>
            <w:r w:rsidRPr="004E09DA">
              <w:rPr>
                <w:rFonts w:eastAsia="Calibri"/>
                <w:kern w:val="2"/>
                <w:lang w:val="sr-Cyrl-CS"/>
              </w:rPr>
              <w:t>Висина накнаде - РСД</w:t>
            </w:r>
          </w:p>
        </w:tc>
      </w:tr>
      <w:tr w:rsidR="009E733D" w14:paraId="46866A46" w14:textId="77777777" w:rsidTr="0066514D">
        <w:tc>
          <w:tcPr>
            <w:tcW w:w="562" w:type="dxa"/>
          </w:tcPr>
          <w:p w14:paraId="19AD9403" w14:textId="77777777" w:rsidR="009E733D" w:rsidRDefault="009E733D" w:rsidP="0066514D"/>
          <w:p w14:paraId="3313F68E" w14:textId="77777777" w:rsidR="009E733D" w:rsidRDefault="009E733D" w:rsidP="0066514D"/>
          <w:p w14:paraId="1FE679A8" w14:textId="77777777" w:rsidR="009E733D" w:rsidRPr="00835BB9" w:rsidRDefault="009E733D" w:rsidP="0066514D">
            <w:pPr>
              <w:rPr>
                <w:lang w:val="sr-Cyrl-RS"/>
              </w:rPr>
            </w:pPr>
            <w:r>
              <w:rPr>
                <w:lang w:val="sr-Cyrl-RS"/>
              </w:rPr>
              <w:t>1.</w:t>
            </w:r>
          </w:p>
        </w:tc>
        <w:tc>
          <w:tcPr>
            <w:tcW w:w="5103" w:type="dxa"/>
          </w:tcPr>
          <w:p w14:paraId="67D5F43A" w14:textId="77777777" w:rsidR="009E733D" w:rsidRPr="004E09DA" w:rsidRDefault="009E733D" w:rsidP="009E733D">
            <w:pPr>
              <w:rPr>
                <w:rFonts w:eastAsia="Calibri"/>
                <w:kern w:val="2"/>
                <w:lang w:val="sr-Cyrl-CS"/>
              </w:rPr>
            </w:pPr>
            <w:r w:rsidRPr="004E09DA">
              <w:rPr>
                <w:rFonts w:eastAsia="Calibri"/>
                <w:kern w:val="2"/>
                <w:shd w:val="clear" w:color="auto" w:fill="FFFFFF"/>
                <w:lang w:val="sr-Cyrl-CS"/>
              </w:rPr>
              <w:t>Укупна количина испуштене отпадне воде у којима су количине загађујућих материја усклађене са прописаним граничним вредностима (P)</w:t>
            </w:r>
          </w:p>
        </w:tc>
        <w:tc>
          <w:tcPr>
            <w:tcW w:w="1985" w:type="dxa"/>
          </w:tcPr>
          <w:p w14:paraId="160738E1" w14:textId="77777777" w:rsidR="009E733D" w:rsidRPr="004E09DA" w:rsidRDefault="00496A2E" w:rsidP="0066514D">
            <w:pPr>
              <w:rPr>
                <w:rFonts w:eastAsia="Calibri"/>
                <w:kern w:val="2"/>
                <w:lang w:val="sr-Cyrl-CS"/>
              </w:rPr>
            </w:pPr>
            <w:r>
              <w:rPr>
                <w:rFonts w:eastAsia="Calibri"/>
                <w:kern w:val="2"/>
                <w:lang w:val="sr-Latn-RS"/>
              </w:rPr>
              <w:t xml:space="preserve">kg </w:t>
            </w:r>
            <w:r w:rsidR="009E733D" w:rsidRPr="004E09DA">
              <w:rPr>
                <w:rFonts w:eastAsia="Calibri"/>
                <w:kern w:val="2"/>
                <w:lang w:val="sr-Cyrl-CS"/>
              </w:rPr>
              <w:t>загађења годишње</w:t>
            </w:r>
          </w:p>
        </w:tc>
        <w:tc>
          <w:tcPr>
            <w:tcW w:w="1700" w:type="dxa"/>
          </w:tcPr>
          <w:p w14:paraId="2E1DC11E" w14:textId="77777777" w:rsidR="009E733D" w:rsidRPr="0066514D" w:rsidRDefault="0066514D" w:rsidP="0066514D">
            <w:pPr>
              <w:jc w:val="center"/>
              <w:rPr>
                <w:rFonts w:eastAsia="Calibri"/>
                <w:kern w:val="2"/>
                <w:lang w:val="sr-Latn-RS"/>
              </w:rPr>
            </w:pPr>
            <w:r>
              <w:rPr>
                <w:rFonts w:eastAsia="Calibri"/>
                <w:kern w:val="2"/>
                <w:lang w:val="sr-Latn-RS"/>
              </w:rPr>
              <w:t>10</w:t>
            </w:r>
          </w:p>
        </w:tc>
      </w:tr>
      <w:tr w:rsidR="009E733D" w14:paraId="686ECFAC" w14:textId="77777777" w:rsidTr="0066514D">
        <w:tc>
          <w:tcPr>
            <w:tcW w:w="562" w:type="dxa"/>
          </w:tcPr>
          <w:p w14:paraId="2DA7D91F" w14:textId="77777777" w:rsidR="009E733D" w:rsidRDefault="009E733D" w:rsidP="0066514D"/>
          <w:p w14:paraId="1B413E00" w14:textId="77777777" w:rsidR="009E733D" w:rsidRPr="00835BB9" w:rsidRDefault="009E733D" w:rsidP="0066514D">
            <w:pPr>
              <w:rPr>
                <w:lang w:val="sr-Cyrl-RS"/>
              </w:rPr>
            </w:pPr>
            <w:r>
              <w:rPr>
                <w:lang w:val="sr-Cyrl-RS"/>
              </w:rPr>
              <w:t>2.</w:t>
            </w:r>
          </w:p>
          <w:p w14:paraId="30F44145" w14:textId="77777777" w:rsidR="009E733D" w:rsidRDefault="009E733D" w:rsidP="0066514D"/>
        </w:tc>
        <w:tc>
          <w:tcPr>
            <w:tcW w:w="5103" w:type="dxa"/>
          </w:tcPr>
          <w:p w14:paraId="2578C18B" w14:textId="77777777" w:rsidR="009E733D" w:rsidRPr="004E09DA" w:rsidRDefault="009E733D" w:rsidP="0066514D">
            <w:pPr>
              <w:rPr>
                <w:rFonts w:eastAsia="Calibri"/>
                <w:kern w:val="2"/>
                <w:lang w:val="sr-Cyrl-CS"/>
              </w:rPr>
            </w:pPr>
            <w:r w:rsidRPr="004E09DA">
              <w:rPr>
                <w:rFonts w:eastAsia="Calibri"/>
                <w:kern w:val="2"/>
                <w:lang w:val="sr-Cyrl-CS"/>
              </w:rPr>
              <w:t xml:space="preserve">Укупне количине испуштене отпадне воде у којима су количине загађујућих материја изнад прописаних граничних вредности емисија (V) </w:t>
            </w:r>
          </w:p>
        </w:tc>
        <w:tc>
          <w:tcPr>
            <w:tcW w:w="1985" w:type="dxa"/>
          </w:tcPr>
          <w:p w14:paraId="24A5C44B" w14:textId="77777777" w:rsidR="009E733D" w:rsidRPr="004E09DA" w:rsidRDefault="009E733D" w:rsidP="0066514D">
            <w:pPr>
              <w:rPr>
                <w:rFonts w:eastAsia="Calibri"/>
                <w:kern w:val="2"/>
                <w:lang w:val="sr-Cyrl-CS"/>
              </w:rPr>
            </w:pPr>
            <w:r w:rsidRPr="004E09DA">
              <w:rPr>
                <w:rFonts w:eastAsia="Calibri"/>
                <w:kern w:val="2"/>
                <w:lang w:val="sr-Cyrl-CS"/>
              </w:rPr>
              <w:t>kg  загађења годишње</w:t>
            </w:r>
          </w:p>
        </w:tc>
        <w:tc>
          <w:tcPr>
            <w:tcW w:w="1700" w:type="dxa"/>
          </w:tcPr>
          <w:p w14:paraId="06684013" w14:textId="77777777" w:rsidR="009E733D" w:rsidRPr="0066514D" w:rsidRDefault="0066514D" w:rsidP="0066514D">
            <w:pPr>
              <w:jc w:val="center"/>
              <w:rPr>
                <w:rFonts w:eastAsia="Calibri"/>
                <w:kern w:val="2"/>
                <w:lang w:val="sr-Latn-RS"/>
              </w:rPr>
            </w:pPr>
            <w:r>
              <w:rPr>
                <w:rFonts w:eastAsia="Calibri"/>
                <w:kern w:val="2"/>
                <w:lang w:val="sr-Latn-RS"/>
              </w:rPr>
              <w:t>26</w:t>
            </w:r>
          </w:p>
        </w:tc>
      </w:tr>
    </w:tbl>
    <w:p w14:paraId="7E21F137" w14:textId="77777777" w:rsidR="009E733D" w:rsidRPr="00835BB9" w:rsidRDefault="009E733D" w:rsidP="009E733D"/>
    <w:p w14:paraId="772FD538" w14:textId="77777777" w:rsidR="00E569C4" w:rsidRPr="004E09DA" w:rsidRDefault="00E569C4" w:rsidP="00E569C4">
      <w:pPr>
        <w:ind w:firstLine="567"/>
        <w:rPr>
          <w:rFonts w:eastAsia="Calibri"/>
          <w:lang w:val="sr-Cyrl-CS"/>
        </w:rPr>
      </w:pPr>
      <w:r w:rsidRPr="004E09DA">
        <w:rPr>
          <w:rFonts w:eastAsia="Calibri"/>
          <w:lang w:val="sr-Cyrl-CS"/>
        </w:rPr>
        <w:t>Напомена: Изузетно, висина накнаде за јавна предузећа основана од стране Републике Србије, односно локалне власти,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која обављају делатности птт саобраћаја, енергетике, путева, износи:</w:t>
      </w:r>
    </w:p>
    <w:p w14:paraId="0113CA7F" w14:textId="77777777" w:rsidR="00E569C4" w:rsidRPr="004E09DA" w:rsidRDefault="00E569C4" w:rsidP="00E569C4">
      <w:pPr>
        <w:ind w:firstLine="567"/>
        <w:rPr>
          <w:rFonts w:eastAsia="Calibri"/>
          <w:lang w:val="sr-Cyrl-CS"/>
        </w:rPr>
      </w:pPr>
      <w:r w:rsidRPr="004E09DA">
        <w:rPr>
          <w:rFonts w:eastAsia="Calibri"/>
          <w:lang w:val="sr-Cyrl-CS"/>
        </w:rPr>
        <w:t>–</w:t>
      </w:r>
      <w:r w:rsidRPr="004E09DA">
        <w:rPr>
          <w:rFonts w:eastAsia="Calibri"/>
          <w:shd w:val="clear" w:color="auto" w:fill="FFFFFF"/>
          <w:lang w:val="sr-Cyrl-CS"/>
        </w:rPr>
        <w:t xml:space="preserve"> за испуштање укупне количине испуштене отпадне воде у којима су количине загађујућих материја усклађене са прописаним граничним вредностима (рсдп) 0,010 динара</w:t>
      </w:r>
    </w:p>
    <w:p w14:paraId="6F4C1511" w14:textId="77777777" w:rsidR="00E569C4" w:rsidRPr="004E09DA" w:rsidRDefault="00E569C4" w:rsidP="00E569C4">
      <w:pPr>
        <w:ind w:firstLine="567"/>
        <w:rPr>
          <w:rFonts w:eastAsia="Calibri"/>
          <w:lang w:val="sr-Cyrl-CS"/>
        </w:rPr>
      </w:pPr>
      <w:r w:rsidRPr="004E09DA">
        <w:rPr>
          <w:rFonts w:eastAsia="Calibri"/>
          <w:lang w:val="sr-Cyrl-CS"/>
        </w:rPr>
        <w:t xml:space="preserve">– за испуштање укупне количине испуштене отпадне воде у којима су количине загађујућих материја изнад прописаних граничних вредности емисија (рсдв) 0,026 динара.ˮ </w:t>
      </w:r>
    </w:p>
    <w:p w14:paraId="54D13073" w14:textId="77777777" w:rsidR="00E569C4" w:rsidRPr="004E09DA" w:rsidRDefault="00E569C4" w:rsidP="00E569C4">
      <w:pPr>
        <w:ind w:firstLine="567"/>
        <w:rPr>
          <w:lang w:val="sr-Cyrl-CS" w:eastAsia="sr-Latn-RS"/>
        </w:rPr>
      </w:pPr>
      <w:r w:rsidRPr="004E09DA">
        <w:rPr>
          <w:lang w:val="sr-Cyrl-CS"/>
        </w:rPr>
        <w:t xml:space="preserve">Део 8.3. </w:t>
      </w:r>
      <w:r w:rsidRPr="004E09DA">
        <w:rPr>
          <w:lang w:val="sr-Cyrl-CS" w:eastAsia="sr-Latn-RS"/>
        </w:rPr>
        <w:t xml:space="preserve">Обрачун накнаде за непосредно загађивање вода мења се и гласи: </w:t>
      </w:r>
    </w:p>
    <w:p w14:paraId="783C9A25" w14:textId="77777777" w:rsidR="00E569C4" w:rsidRPr="004E09DA" w:rsidRDefault="00E569C4" w:rsidP="00E569C4">
      <w:pPr>
        <w:ind w:firstLine="567"/>
        <w:rPr>
          <w:rFonts w:eastAsia="Aptos"/>
          <w:lang w:val="sr-Cyrl-CS"/>
        </w:rPr>
      </w:pPr>
      <w:r w:rsidRPr="004E09DA">
        <w:rPr>
          <w:rFonts w:eastAsia="Aptos"/>
          <w:lang w:val="sr-Cyrl-CS"/>
        </w:rPr>
        <w:t>„</w:t>
      </w:r>
      <w:r w:rsidRPr="004E09DA">
        <w:rPr>
          <w:lang w:val="sr-Cyrl-CS"/>
        </w:rPr>
        <w:t xml:space="preserve">Део 8.3. </w:t>
      </w:r>
      <w:r w:rsidRPr="004E09DA">
        <w:rPr>
          <w:lang w:val="sr-Cyrl-CS" w:eastAsia="sr-Latn-RS"/>
        </w:rPr>
        <w:t>Обрачун накнаде за непосредно загађивање вода</w:t>
      </w:r>
    </w:p>
    <w:p w14:paraId="47F26CA3" w14:textId="77777777" w:rsidR="00E569C4" w:rsidRPr="004E09DA" w:rsidRDefault="00E569C4" w:rsidP="00E569C4">
      <w:pPr>
        <w:ind w:firstLine="567"/>
        <w:rPr>
          <w:rFonts w:eastAsia="Aptos"/>
          <w:lang w:val="sr-Cyrl-CS"/>
        </w:rPr>
      </w:pPr>
      <w:r w:rsidRPr="004E09DA">
        <w:rPr>
          <w:rFonts w:eastAsia="Aptos"/>
          <w:lang w:val="sr-Cyrl-CS"/>
        </w:rPr>
        <w:t>Висина накнаде на годишњем нивоу за загађивање вода која је усклађена са прописаним граничним вредностима емисија загађујућих материја (p) се израчунава према изразу:</w:t>
      </w:r>
    </w:p>
    <w:p w14:paraId="3A3E71F9" w14:textId="77777777" w:rsidR="00E569C4" w:rsidRPr="004E09DA" w:rsidRDefault="00E569C4" w:rsidP="00E569C4">
      <w:pPr>
        <w:ind w:firstLine="567"/>
        <w:rPr>
          <w:lang w:val="sr-Cyrl-CS" w:eastAsia="sr-Latn-RS"/>
        </w:rPr>
      </w:pPr>
      <w:r w:rsidRPr="004E09DA">
        <w:rPr>
          <w:lang w:val="sr-Cyrl-CS" w:eastAsia="sr-Latn-RS"/>
        </w:rPr>
        <w:t>P=Q · ΣGVЕ</w:t>
      </w:r>
      <w:r w:rsidRPr="004E09DA">
        <w:rPr>
          <w:vertAlign w:val="subscript"/>
          <w:lang w:val="sr-Cyrl-CS" w:eastAsia="sr-Latn-RS"/>
        </w:rPr>
        <w:t>i</w:t>
      </w:r>
      <w:r w:rsidRPr="004E09DA">
        <w:rPr>
          <w:lang w:val="sr-Cyrl-CS" w:eastAsia="sr-Latn-RS"/>
        </w:rPr>
        <w:t> · RSD</w:t>
      </w:r>
      <w:r w:rsidRPr="004E09DA">
        <w:rPr>
          <w:vertAlign w:val="subscript"/>
          <w:lang w:val="sr-Cyrl-CS" w:eastAsia="sr-Latn-RS"/>
        </w:rPr>
        <w:t>P</w:t>
      </w:r>
      <w:r w:rsidRPr="004E09DA">
        <w:rPr>
          <w:lang w:val="sr-Cyrl-CS" w:eastAsia="sr-Latn-RS"/>
        </w:rPr>
        <w:t> · 10</w:t>
      </w:r>
      <w:r w:rsidRPr="004E09DA">
        <w:rPr>
          <w:vertAlign w:val="superscript"/>
          <w:lang w:val="sr-Cyrl-CS" w:eastAsia="sr-Latn-RS"/>
        </w:rPr>
        <w:t>-3</w:t>
      </w:r>
    </w:p>
    <w:p w14:paraId="08A71F3F" w14:textId="77777777" w:rsidR="00E569C4" w:rsidRPr="004E09DA" w:rsidRDefault="00E569C4" w:rsidP="00E569C4">
      <w:pPr>
        <w:ind w:firstLine="567"/>
        <w:rPr>
          <w:lang w:val="sr-Cyrl-CS" w:eastAsia="sr-Latn-RS"/>
        </w:rPr>
      </w:pPr>
      <w:r w:rsidRPr="004E09DA">
        <w:rPr>
          <w:lang w:val="sr-Cyrl-CS" w:eastAsia="sr-Latn-RS"/>
        </w:rPr>
        <w:t>где је:</w:t>
      </w:r>
    </w:p>
    <w:p w14:paraId="0E6679CC"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Q – укупна количина испуштене отпадне воде у извештајној години на испусту (m</w:t>
      </w:r>
      <w:r w:rsidRPr="004E09DA">
        <w:rPr>
          <w:bCs/>
          <w:vertAlign w:val="superscript"/>
          <w:lang w:val="sr-Cyrl-CS" w:eastAsia="sr-Latn-RS"/>
        </w:rPr>
        <w:t>3</w:t>
      </w:r>
      <w:r w:rsidRPr="004E09DA">
        <w:rPr>
          <w:bCs/>
          <w:lang w:val="sr-Cyrl-CS" w:eastAsia="sr-Latn-RS"/>
        </w:rPr>
        <w:t>/god);</w:t>
      </w:r>
    </w:p>
    <w:p w14:paraId="0C5B4CA5"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ΣGVЕ</w:t>
      </w:r>
      <w:r w:rsidRPr="004E09DA">
        <w:rPr>
          <w:bCs/>
          <w:vertAlign w:val="subscript"/>
          <w:lang w:val="sr-Cyrl-CS" w:eastAsia="sr-Latn-RS"/>
        </w:rPr>
        <w:t>i</w:t>
      </w:r>
      <w:r w:rsidRPr="004E09DA">
        <w:rPr>
          <w:bCs/>
          <w:lang w:val="sr-Cyrl-CS" w:eastAsia="sr-Latn-RS"/>
        </w:rPr>
        <w:t> – збир GVЕ за параметре од интереса (нпр. HPK, BPK5, укупни азот, укупни фосфор, токсични метали), mg/dm</w:t>
      </w:r>
      <w:r w:rsidRPr="004E09DA">
        <w:rPr>
          <w:bCs/>
          <w:vertAlign w:val="superscript"/>
          <w:lang w:val="sr-Cyrl-CS" w:eastAsia="sr-Latn-RS"/>
        </w:rPr>
        <w:t>3</w:t>
      </w:r>
      <w:r w:rsidRPr="004E09DA">
        <w:rPr>
          <w:bCs/>
          <w:lang w:val="sr-Cyrl-CS" w:eastAsia="sr-Latn-RS"/>
        </w:rPr>
        <w:t>;</w:t>
      </w:r>
    </w:p>
    <w:p w14:paraId="25981F00"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10</w:t>
      </w:r>
      <w:r w:rsidRPr="004E09DA">
        <w:rPr>
          <w:bCs/>
          <w:vertAlign w:val="superscript"/>
          <w:lang w:val="sr-Cyrl-CS" w:eastAsia="sr-Latn-RS"/>
        </w:rPr>
        <w:t>-3</w:t>
      </w:r>
      <w:r w:rsidRPr="004E09DA">
        <w:rPr>
          <w:bCs/>
          <w:lang w:val="sr-Cyrl-CS" w:eastAsia="sr-Latn-RS"/>
        </w:rPr>
        <w:t> – корекциони фактор претварања грама (g) у килограме (kg);</w:t>
      </w:r>
    </w:p>
    <w:p w14:paraId="57E9FA4C" w14:textId="77777777" w:rsidR="00E569C4" w:rsidRPr="004E09DA" w:rsidRDefault="00E569C4" w:rsidP="00E569C4">
      <w:pPr>
        <w:shd w:val="clear" w:color="auto" w:fill="FFFFFF"/>
        <w:ind w:firstLine="480"/>
        <w:rPr>
          <w:color w:val="333333"/>
          <w:lang w:val="sr-Cyrl-CS" w:eastAsia="sr-Latn-RS"/>
        </w:rPr>
      </w:pPr>
      <w:r w:rsidRPr="004E09DA">
        <w:rPr>
          <w:lang w:val="sr-Cyrl-CS" w:eastAsia="sr-Latn-RS"/>
        </w:rPr>
        <w:t>RSD</w:t>
      </w:r>
      <w:r w:rsidRPr="004E09DA">
        <w:rPr>
          <w:vertAlign w:val="subscript"/>
          <w:lang w:val="sr-Cyrl-CS" w:eastAsia="sr-Latn-RS"/>
        </w:rPr>
        <w:t>P</w:t>
      </w:r>
      <w:r w:rsidRPr="004E09DA">
        <w:rPr>
          <w:lang w:val="sr-Cyrl-CS" w:eastAsia="sr-Latn-RS"/>
        </w:rPr>
        <w:t xml:space="preserve"> - цена за испуштање укупне количинe испуштене отпадне воде у којима су количине загађујућих материја усклађене са прописаним граничним вредностима, РСД/kg загађења</w:t>
      </w:r>
      <w:r w:rsidRPr="004E09DA">
        <w:rPr>
          <w:color w:val="333333"/>
          <w:lang w:val="sr-Cyrl-CS" w:eastAsia="sr-Latn-RS"/>
        </w:rPr>
        <w:t>.</w:t>
      </w:r>
    </w:p>
    <w:p w14:paraId="46341165"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lastRenderedPageBreak/>
        <w:t>Накнада на годишњем нивоу за загађивање вода изнад дозвољеног оптерећења отпадне воде (V) израчунава се према следећем изразу:</w:t>
      </w:r>
    </w:p>
    <w:p w14:paraId="568C3D16" w14:textId="77777777" w:rsidR="00E569C4" w:rsidRPr="004E09DA" w:rsidRDefault="00E569C4" w:rsidP="00E569C4">
      <w:pPr>
        <w:shd w:val="clear" w:color="auto" w:fill="FFFFFF"/>
        <w:ind w:firstLine="480"/>
        <w:rPr>
          <w:lang w:val="sr-Cyrl-CS" w:eastAsia="sr-Latn-RS"/>
        </w:rPr>
      </w:pPr>
    </w:p>
    <w:p w14:paraId="5D105653" w14:textId="77777777" w:rsidR="00E569C4" w:rsidRPr="004E09DA" w:rsidRDefault="00E569C4" w:rsidP="00E569C4">
      <w:pPr>
        <w:spacing w:after="160" w:line="278" w:lineRule="auto"/>
        <w:ind w:right="2520"/>
        <w:rPr>
          <w:rFonts w:ascii="Aptos" w:eastAsia="Aptos" w:hAnsi="Aptos"/>
          <w:kern w:val="2"/>
          <w:lang w:val="sr-Cyrl-CS"/>
        </w:rPr>
      </w:pPr>
      <m:oMathPara>
        <m:oMath>
          <m:r>
            <w:rPr>
              <w:rFonts w:ascii="Cambria Math" w:eastAsia="Calibri"/>
              <w:lang w:val="sr-Cyrl-CS"/>
            </w:rPr>
            <m:t>V=Q</m:t>
          </m:r>
          <m:r>
            <w:rPr>
              <w:rFonts w:ascii="Cambria Math" w:eastAsia="Calibri" w:hAnsi="Cambria Math" w:cs="Cambria Math"/>
              <w:lang w:val="sr-Cyrl-CS"/>
            </w:rPr>
            <m:t>⋅</m:t>
          </m:r>
          <m:d>
            <m:dPr>
              <m:begChr m:val="["/>
              <m:endChr m:val="]"/>
              <m:ctrlPr>
                <w:rPr>
                  <w:rFonts w:ascii="Cambria Math" w:eastAsia="Calibri" w:hAnsi="Cambria Math"/>
                  <w:i/>
                  <w:lang w:val="sr-Cyrl-CS"/>
                </w:rPr>
              </m:ctrlPr>
            </m:dPr>
            <m:e>
              <m:d>
                <m:dPr>
                  <m:ctrlPr>
                    <w:rPr>
                      <w:rFonts w:ascii="Cambria Math" w:eastAsia="Calibri" w:hAnsi="Cambria Math"/>
                      <w:i/>
                      <w:lang w:val="sr-Cyrl-CS"/>
                    </w:rPr>
                  </m:ctrlPr>
                </m:dPr>
                <m:e>
                  <m:f>
                    <m:fPr>
                      <m:ctrlPr>
                        <w:rPr>
                          <w:rFonts w:ascii="Cambria Math" w:eastAsia="Calibri" w:hAnsi="Cambria Math"/>
                          <w:i/>
                          <w:lang w:val="sr-Cyrl-CS"/>
                        </w:rPr>
                      </m:ctrlPr>
                    </m:fPr>
                    <m:num>
                      <m:r>
                        <w:rPr>
                          <w:rFonts w:ascii="Cambria Math" w:eastAsia="Calibri"/>
                          <w:lang w:val="sr-Cyrl-CS"/>
                        </w:rPr>
                        <m:t>HPK</m:t>
                      </m:r>
                    </m:num>
                    <m:den>
                      <m:f>
                        <m:fPr>
                          <m:type m:val="lin"/>
                          <m:ctrlPr>
                            <w:rPr>
                              <w:rFonts w:ascii="Cambria Math" w:eastAsia="Calibri" w:hAnsi="Cambria Math"/>
                              <w:i/>
                              <w:lang w:val="sr-Cyrl-CS"/>
                            </w:rPr>
                          </m:ctrlPr>
                        </m:fPr>
                        <m:num>
                          <m:r>
                            <w:rPr>
                              <w:rFonts w:ascii="Cambria Math" w:eastAsia="Calibri"/>
                              <w:lang w:val="sr-Cyrl-CS"/>
                            </w:rPr>
                            <m:t>BP</m:t>
                          </m:r>
                          <m:sSub>
                            <m:sSubPr>
                              <m:ctrlPr>
                                <w:rPr>
                                  <w:rFonts w:ascii="Cambria Math" w:eastAsia="Calibri" w:hAnsi="Cambria Math"/>
                                  <w:i/>
                                  <w:lang w:val="sr-Cyrl-CS"/>
                                </w:rPr>
                              </m:ctrlPr>
                            </m:sSubPr>
                            <m:e>
                              <m:r>
                                <w:rPr>
                                  <w:rFonts w:ascii="Cambria Math" w:eastAsia="Calibri"/>
                                  <w:lang w:val="sr-Cyrl-CS"/>
                                </w:rPr>
                                <m:t>K</m:t>
                              </m:r>
                            </m:e>
                            <m:sub>
                              <m:r>
                                <w:rPr>
                                  <w:rFonts w:ascii="Cambria Math" w:eastAsia="Calibri"/>
                                  <w:lang w:val="sr-Cyrl-CS"/>
                                </w:rPr>
                                <m:t>5</m:t>
                              </m:r>
                            </m:sub>
                          </m:sSub>
                        </m:num>
                        <m:den>
                          <m:r>
                            <w:rPr>
                              <w:rFonts w:ascii="Cambria Math" w:eastAsia="Calibri"/>
                              <w:lang w:val="sr-Cyrl-CS"/>
                            </w:rPr>
                            <m:t>HPK</m:t>
                          </m:r>
                        </m:den>
                      </m:f>
                    </m:den>
                  </m:f>
                  <m:r>
                    <w:rPr>
                      <w:rFonts w:ascii="Cambria Math" w:eastAsia="Calibri"/>
                      <w:lang w:val="sr-Cyrl-CS"/>
                    </w:rPr>
                    <m:t>-</m:t>
                  </m:r>
                  <m:sSub>
                    <m:sSubPr>
                      <m:ctrlPr>
                        <w:rPr>
                          <w:rFonts w:ascii="Cambria Math" w:eastAsia="Calibri" w:hAnsi="Cambria Math"/>
                          <w:i/>
                          <w:lang w:val="sr-Cyrl-CS"/>
                        </w:rPr>
                      </m:ctrlPr>
                    </m:sSubPr>
                    <m:e>
                      <m:r>
                        <w:rPr>
                          <w:rFonts w:ascii="Cambria Math" w:eastAsia="Calibri"/>
                          <w:lang w:val="sr-Cyrl-CS"/>
                        </w:rPr>
                        <m:t>GVE</m:t>
                      </m:r>
                    </m:e>
                    <m:sub>
                      <m:r>
                        <w:rPr>
                          <w:rFonts w:ascii="Cambria Math" w:eastAsia="Calibri"/>
                          <w:lang w:val="sr-Cyrl-CS"/>
                        </w:rPr>
                        <m:t>HPK</m:t>
                      </m:r>
                    </m:sub>
                  </m:sSub>
                </m:e>
              </m:d>
              <m:r>
                <w:rPr>
                  <w:rFonts w:ascii="Cambria Math" w:eastAsia="Calibri"/>
                  <w:lang w:val="sr-Cyrl-CS"/>
                </w:rPr>
                <m:t>+</m:t>
              </m:r>
              <m:d>
                <m:dPr>
                  <m:ctrlPr>
                    <w:rPr>
                      <w:rFonts w:ascii="Cambria Math" w:eastAsia="Calibri" w:hAnsi="Cambria Math"/>
                      <w:i/>
                      <w:lang w:val="sr-Cyrl-CS"/>
                    </w:rPr>
                  </m:ctrlPr>
                </m:dPr>
                <m:e>
                  <m:sSub>
                    <m:sSubPr>
                      <m:ctrlPr>
                        <w:rPr>
                          <w:rFonts w:ascii="Cambria Math" w:eastAsia="Calibri" w:hAnsi="Cambria Math"/>
                          <w:i/>
                          <w:lang w:val="sr-Cyrl-CS"/>
                        </w:rPr>
                      </m:ctrlPr>
                    </m:sSubPr>
                    <m:e>
                      <m:r>
                        <w:rPr>
                          <w:rFonts w:ascii="Cambria Math" w:eastAsia="Calibri"/>
                          <w:lang w:val="sr-Cyrl-CS"/>
                        </w:rPr>
                        <m:t>N</m:t>
                      </m:r>
                    </m:e>
                    <m:sub>
                      <m:r>
                        <w:rPr>
                          <w:rFonts w:ascii="Cambria Math" w:eastAsia="Calibri"/>
                          <w:lang w:val="sr-Cyrl-CS"/>
                        </w:rPr>
                        <m:t>u</m:t>
                      </m:r>
                    </m:sub>
                  </m:sSub>
                  <m:r>
                    <w:rPr>
                      <w:rFonts w:ascii="Cambria Math" w:eastAsia="Calibri"/>
                      <w:lang w:val="sr-Cyrl-CS"/>
                    </w:rPr>
                    <m:t>-</m:t>
                  </m:r>
                  <m:r>
                    <w:rPr>
                      <w:rFonts w:ascii="Cambria Math" w:eastAsia="Calibri"/>
                      <w:lang w:val="sr-Cyrl-CS"/>
                    </w:rPr>
                    <m:t>GV</m:t>
                  </m:r>
                  <m:sSub>
                    <m:sSubPr>
                      <m:ctrlPr>
                        <w:rPr>
                          <w:rFonts w:ascii="Cambria Math" w:eastAsia="Calibri" w:hAnsi="Cambria Math"/>
                          <w:i/>
                          <w:lang w:val="sr-Cyrl-CS"/>
                        </w:rPr>
                      </m:ctrlPr>
                    </m:sSubPr>
                    <m:e>
                      <m:r>
                        <w:rPr>
                          <w:rFonts w:ascii="Cambria Math" w:eastAsia="Calibri"/>
                          <w:lang w:val="sr-Cyrl-CS"/>
                        </w:rPr>
                        <m:t>E</m:t>
                      </m:r>
                    </m:e>
                    <m:sub>
                      <m:sSub>
                        <m:sSubPr>
                          <m:ctrlPr>
                            <w:rPr>
                              <w:rFonts w:ascii="Cambria Math" w:eastAsia="Calibri" w:hAnsi="Cambria Math"/>
                              <w:i/>
                              <w:lang w:val="sr-Cyrl-CS"/>
                            </w:rPr>
                          </m:ctrlPr>
                        </m:sSubPr>
                        <m:e>
                          <m:r>
                            <w:rPr>
                              <w:rFonts w:ascii="Cambria Math" w:eastAsia="Calibri"/>
                              <w:lang w:val="sr-Cyrl-CS"/>
                            </w:rPr>
                            <m:t>N</m:t>
                          </m:r>
                        </m:e>
                        <m:sub>
                          <m:r>
                            <w:rPr>
                              <w:rFonts w:ascii="Cambria Math" w:eastAsia="Calibri"/>
                              <w:lang w:val="sr-Cyrl-CS"/>
                            </w:rPr>
                            <m:t>u</m:t>
                          </m:r>
                        </m:sub>
                      </m:sSub>
                    </m:sub>
                  </m:sSub>
                </m:e>
              </m:d>
              <m:r>
                <w:rPr>
                  <w:rFonts w:ascii="Cambria Math" w:eastAsia="Calibri"/>
                  <w:lang w:val="sr-Cyrl-CS"/>
                </w:rPr>
                <m:t>+</m:t>
              </m:r>
              <m:d>
                <m:dPr>
                  <m:ctrlPr>
                    <w:rPr>
                      <w:rFonts w:ascii="Cambria Math" w:eastAsia="Calibri" w:hAnsi="Cambria Math"/>
                      <w:i/>
                      <w:lang w:val="sr-Cyrl-CS"/>
                    </w:rPr>
                  </m:ctrlPr>
                </m:dPr>
                <m:e>
                  <m:sSub>
                    <m:sSubPr>
                      <m:ctrlPr>
                        <w:rPr>
                          <w:rFonts w:ascii="Cambria Math" w:eastAsia="Calibri" w:hAnsi="Cambria Math"/>
                          <w:i/>
                          <w:lang w:val="sr-Cyrl-CS"/>
                        </w:rPr>
                      </m:ctrlPr>
                    </m:sSubPr>
                    <m:e>
                      <m:r>
                        <w:rPr>
                          <w:rFonts w:ascii="Cambria Math" w:eastAsia="Calibri"/>
                          <w:lang w:val="sr-Cyrl-CS"/>
                        </w:rPr>
                        <m:t>P</m:t>
                      </m:r>
                    </m:e>
                    <m:sub>
                      <m:r>
                        <w:rPr>
                          <w:rFonts w:ascii="Cambria Math" w:eastAsia="Calibri"/>
                          <w:lang w:val="sr-Cyrl-CS"/>
                        </w:rPr>
                        <m:t>u</m:t>
                      </m:r>
                    </m:sub>
                  </m:sSub>
                  <m:r>
                    <w:rPr>
                      <w:rFonts w:ascii="Cambria Math" w:eastAsia="Calibri"/>
                      <w:lang w:val="sr-Cyrl-CS"/>
                    </w:rPr>
                    <m:t>-</m:t>
                  </m:r>
                  <m:r>
                    <w:rPr>
                      <w:rFonts w:ascii="Cambria Math" w:eastAsia="Calibri"/>
                      <w:lang w:val="sr-Cyrl-CS"/>
                    </w:rPr>
                    <m:t>GV</m:t>
                  </m:r>
                  <m:sSub>
                    <m:sSubPr>
                      <m:ctrlPr>
                        <w:rPr>
                          <w:rFonts w:ascii="Cambria Math" w:eastAsia="Calibri" w:hAnsi="Cambria Math"/>
                          <w:i/>
                          <w:lang w:val="sr-Cyrl-CS"/>
                        </w:rPr>
                      </m:ctrlPr>
                    </m:sSubPr>
                    <m:e>
                      <m:r>
                        <w:rPr>
                          <w:rFonts w:ascii="Cambria Math" w:eastAsia="Calibri"/>
                          <w:lang w:val="sr-Cyrl-CS"/>
                        </w:rPr>
                        <m:t>E</m:t>
                      </m:r>
                    </m:e>
                    <m:sub>
                      <m:sSub>
                        <m:sSubPr>
                          <m:ctrlPr>
                            <w:rPr>
                              <w:rFonts w:ascii="Cambria Math" w:eastAsia="Calibri" w:hAnsi="Cambria Math"/>
                              <w:i/>
                              <w:lang w:val="sr-Cyrl-CS"/>
                            </w:rPr>
                          </m:ctrlPr>
                        </m:sSubPr>
                        <m:e>
                          <m:r>
                            <w:rPr>
                              <w:rFonts w:ascii="Cambria Math" w:eastAsia="Calibri"/>
                              <w:lang w:val="sr-Cyrl-CS"/>
                            </w:rPr>
                            <m:t>P</m:t>
                          </m:r>
                        </m:e>
                        <m:sub>
                          <m:r>
                            <w:rPr>
                              <w:rFonts w:ascii="Cambria Math" w:eastAsia="Calibri"/>
                              <w:lang w:val="sr-Cyrl-CS"/>
                            </w:rPr>
                            <m:t>u</m:t>
                          </m:r>
                        </m:sub>
                      </m:sSub>
                    </m:sub>
                  </m:sSub>
                </m:e>
              </m:d>
              <m:r>
                <w:rPr>
                  <w:rFonts w:ascii="Cambria Math" w:eastAsia="Calibri"/>
                  <w:lang w:val="sr-Cyrl-CS"/>
                </w:rPr>
                <m:t>+</m:t>
              </m:r>
              <m:d>
                <m:dPr>
                  <m:ctrlPr>
                    <w:rPr>
                      <w:rFonts w:ascii="Cambria Math" w:eastAsia="Calibri" w:hAnsi="Cambria Math"/>
                      <w:i/>
                      <w:lang w:val="sr-Cyrl-CS"/>
                    </w:rPr>
                  </m:ctrlPr>
                </m:dPr>
                <m:e>
                  <m:r>
                    <w:rPr>
                      <w:rFonts w:ascii="Cambria Math" w:eastAsia="Calibri"/>
                      <w:lang w:val="sr-Cyrl-CS"/>
                    </w:rPr>
                    <m:t>Σ</m:t>
                  </m:r>
                  <m:sSub>
                    <m:sSubPr>
                      <m:ctrlPr>
                        <w:rPr>
                          <w:rFonts w:ascii="Cambria Math" w:eastAsia="Calibri" w:hAnsi="Cambria Math"/>
                          <w:i/>
                          <w:lang w:val="sr-Cyrl-CS"/>
                        </w:rPr>
                      </m:ctrlPr>
                    </m:sSubPr>
                    <m:e>
                      <m:r>
                        <w:rPr>
                          <w:rFonts w:ascii="Cambria Math" w:eastAsia="Calibri"/>
                          <w:lang w:val="sr-Cyrl-CS"/>
                        </w:rPr>
                        <m:t>M</m:t>
                      </m:r>
                    </m:e>
                    <m:sub>
                      <m:r>
                        <w:rPr>
                          <w:rFonts w:ascii="Cambria Math" w:eastAsia="Calibri"/>
                          <w:lang w:val="sr-Cyrl-CS"/>
                        </w:rPr>
                        <m:t>i</m:t>
                      </m:r>
                    </m:sub>
                  </m:sSub>
                  <m:r>
                    <w:rPr>
                      <w:rFonts w:ascii="Cambria Math" w:eastAsia="Calibri"/>
                      <w:lang w:val="sr-Cyrl-CS"/>
                    </w:rPr>
                    <m:t>-</m:t>
                  </m:r>
                  <m:r>
                    <w:rPr>
                      <w:rFonts w:ascii="Cambria Math" w:eastAsia="Calibri"/>
                      <w:lang w:val="sr-Cyrl-CS"/>
                    </w:rPr>
                    <m:t>ΣGV</m:t>
                  </m:r>
                  <m:sSub>
                    <m:sSubPr>
                      <m:ctrlPr>
                        <w:rPr>
                          <w:rFonts w:ascii="Cambria Math" w:eastAsia="Calibri" w:hAnsi="Cambria Math"/>
                          <w:i/>
                          <w:lang w:val="sr-Cyrl-CS"/>
                        </w:rPr>
                      </m:ctrlPr>
                    </m:sSubPr>
                    <m:e>
                      <m:r>
                        <w:rPr>
                          <w:rFonts w:ascii="Cambria Math" w:eastAsia="Calibri" w:hAnsi="Cambria Math"/>
                          <w:lang w:val="sr-Cyrl-CS"/>
                        </w:rPr>
                        <m:t>E</m:t>
                      </m:r>
                    </m:e>
                    <m:sub>
                      <m:sSub>
                        <m:sSubPr>
                          <m:ctrlPr>
                            <w:rPr>
                              <w:rFonts w:ascii="Cambria Math" w:eastAsia="Calibri" w:hAnsi="Cambria Math"/>
                              <w:i/>
                              <w:lang w:val="sr-Cyrl-CS"/>
                            </w:rPr>
                          </m:ctrlPr>
                        </m:sSubPr>
                        <m:e>
                          <m:r>
                            <w:rPr>
                              <w:rFonts w:ascii="Cambria Math" w:eastAsia="Calibri"/>
                              <w:lang w:val="sr-Cyrl-CS"/>
                            </w:rPr>
                            <m:t>М</m:t>
                          </m:r>
                        </m:e>
                        <m:sub>
                          <m:r>
                            <w:rPr>
                              <w:rFonts w:ascii="Cambria Math" w:eastAsia="Calibri"/>
                              <w:lang w:val="sr-Cyrl-CS"/>
                            </w:rPr>
                            <m:t>i</m:t>
                          </m:r>
                        </m:sub>
                      </m:sSub>
                    </m:sub>
                  </m:sSub>
                </m:e>
              </m:d>
            </m:e>
          </m:d>
          <m:r>
            <w:rPr>
              <w:rFonts w:ascii="Cambria Math" w:eastAsia="Calibri" w:hAnsi="Cambria Math" w:cs="Cambria Math"/>
              <w:lang w:val="sr-Cyrl-CS"/>
            </w:rPr>
            <m:t>×</m:t>
          </m:r>
          <m:sSup>
            <m:sSupPr>
              <m:ctrlPr>
                <w:rPr>
                  <w:rFonts w:ascii="Cambria Math" w:eastAsia="Calibri" w:hAnsi="Cambria Math" w:cs="Cambria Math"/>
                  <w:i/>
                  <w:lang w:val="sr-Cyrl-CS"/>
                </w:rPr>
              </m:ctrlPr>
            </m:sSupPr>
            <m:e>
              <m:r>
                <w:rPr>
                  <w:rFonts w:ascii="Cambria Math" w:eastAsia="Calibri" w:hAnsi="Cambria Math" w:cs="Cambria Math"/>
                  <w:lang w:val="sr-Cyrl-CS"/>
                </w:rPr>
                <m:t>10</m:t>
              </m:r>
            </m:e>
            <m:sup>
              <m:r>
                <w:rPr>
                  <w:rFonts w:ascii="Cambria Math" w:eastAsia="Calibri" w:hAnsi="Cambria Math" w:cs="Cambria Math"/>
                  <w:lang w:val="sr-Cyrl-CS"/>
                </w:rPr>
                <m:t>-3</m:t>
              </m:r>
            </m:sup>
          </m:sSup>
          <m:r>
            <w:rPr>
              <w:rFonts w:ascii="Cambria Math" w:eastAsia="Calibri" w:hAnsi="Cambria Math" w:cs="Cambria Math"/>
              <w:lang w:val="sr-Cyrl-CS"/>
            </w:rPr>
            <m:t>×RS</m:t>
          </m:r>
          <m:sSub>
            <m:sSubPr>
              <m:ctrlPr>
                <w:rPr>
                  <w:rFonts w:ascii="Cambria Math" w:eastAsia="Calibri" w:hAnsi="Cambria Math" w:cs="Cambria Math"/>
                  <w:i/>
                  <w:lang w:val="sr-Cyrl-CS"/>
                </w:rPr>
              </m:ctrlPr>
            </m:sSubPr>
            <m:e>
              <m:r>
                <w:rPr>
                  <w:rFonts w:ascii="Cambria Math" w:eastAsia="Calibri" w:hAnsi="Cambria Math" w:cs="Cambria Math"/>
                  <w:lang w:val="sr-Cyrl-CS"/>
                </w:rPr>
                <m:t>D</m:t>
              </m:r>
            </m:e>
            <m:sub>
              <m:r>
                <w:rPr>
                  <w:rFonts w:ascii="Cambria Math" w:eastAsia="Calibri" w:hAnsi="Cambria Math" w:cs="Cambria Math"/>
                  <w:lang w:val="sr-Cyrl-CS"/>
                </w:rPr>
                <m:t>v</m:t>
              </m:r>
            </m:sub>
          </m:sSub>
        </m:oMath>
      </m:oMathPara>
    </w:p>
    <w:p w14:paraId="56CC861E" w14:textId="77777777" w:rsidR="00E569C4" w:rsidRPr="004E09DA" w:rsidRDefault="00E569C4" w:rsidP="00E569C4">
      <w:pPr>
        <w:shd w:val="clear" w:color="auto" w:fill="FFFFFF"/>
        <w:spacing w:after="150"/>
        <w:ind w:firstLine="480"/>
        <w:rPr>
          <w:bCs/>
          <w:lang w:val="sr-Cyrl-CS" w:eastAsia="sr-Latn-RS"/>
        </w:rPr>
      </w:pPr>
      <w:r w:rsidRPr="004E09DA">
        <w:rPr>
          <w:bCs/>
          <w:lang w:val="sr-Cyrl-CS" w:eastAsia="sr-Latn-RS"/>
        </w:rPr>
        <w:t>где је:</w:t>
      </w:r>
    </w:p>
    <w:p w14:paraId="7F42102D"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Q – укупна количина испуштене отпадне воде у извештајној години на испусту (m</w:t>
      </w:r>
      <w:r w:rsidRPr="004E09DA">
        <w:rPr>
          <w:bCs/>
          <w:vertAlign w:val="superscript"/>
          <w:lang w:val="sr-Cyrl-CS" w:eastAsia="sr-Latn-RS"/>
        </w:rPr>
        <w:t>3</w:t>
      </w:r>
      <w:r w:rsidRPr="004E09DA">
        <w:rPr>
          <w:bCs/>
          <w:lang w:val="sr-Cyrl-CS" w:eastAsia="sr-Latn-RS"/>
        </w:rPr>
        <w:t>/god)</w:t>
      </w:r>
    </w:p>
    <w:p w14:paraId="2473820A"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HPK – средња вредност HPK на годишњем нивоу mgO</w:t>
      </w:r>
      <w:r w:rsidRPr="004E09DA">
        <w:rPr>
          <w:bCs/>
          <w:vertAlign w:val="subscript"/>
          <w:lang w:val="sr-Cyrl-CS" w:eastAsia="sr-Latn-RS"/>
        </w:rPr>
        <w:t>2</w:t>
      </w:r>
      <w:r w:rsidRPr="004E09DA">
        <w:rPr>
          <w:bCs/>
          <w:lang w:val="sr-Cyrl-CS" w:eastAsia="sr-Latn-RS"/>
        </w:rPr>
        <w:t>/dm</w:t>
      </w:r>
      <w:r w:rsidRPr="004E09DA">
        <w:rPr>
          <w:bCs/>
          <w:vertAlign w:val="superscript"/>
          <w:lang w:val="sr-Cyrl-CS" w:eastAsia="sr-Latn-RS"/>
        </w:rPr>
        <w:t>3</w:t>
      </w:r>
      <w:r w:rsidRPr="004E09DA">
        <w:rPr>
          <w:bCs/>
          <w:lang w:val="sr-Cyrl-CS" w:eastAsia="sr-Latn-RS"/>
        </w:rPr>
        <w:t>;</w:t>
      </w:r>
    </w:p>
    <w:p w14:paraId="7E507E7D"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BPK</w:t>
      </w:r>
      <w:r w:rsidRPr="004E09DA">
        <w:rPr>
          <w:bCs/>
          <w:vertAlign w:val="subscript"/>
          <w:lang w:val="sr-Cyrl-CS" w:eastAsia="sr-Latn-RS"/>
        </w:rPr>
        <w:t>5</w:t>
      </w:r>
      <w:r w:rsidRPr="004E09DA">
        <w:rPr>
          <w:bCs/>
          <w:lang w:val="sr-Cyrl-CS" w:eastAsia="sr-Latn-RS"/>
        </w:rPr>
        <w:t> – средња вредност BPK</w:t>
      </w:r>
      <w:r w:rsidRPr="004E09DA">
        <w:rPr>
          <w:bCs/>
          <w:vertAlign w:val="subscript"/>
          <w:lang w:val="sr-Cyrl-CS" w:eastAsia="sr-Latn-RS"/>
        </w:rPr>
        <w:t>5</w:t>
      </w:r>
      <w:r w:rsidRPr="004E09DA">
        <w:rPr>
          <w:bCs/>
          <w:lang w:val="sr-Cyrl-CS" w:eastAsia="sr-Latn-RS"/>
        </w:rPr>
        <w:t> на годишњем нивоу mgO</w:t>
      </w:r>
      <w:r w:rsidRPr="004E09DA">
        <w:rPr>
          <w:bCs/>
          <w:vertAlign w:val="subscript"/>
          <w:lang w:val="sr-Cyrl-CS" w:eastAsia="sr-Latn-RS"/>
        </w:rPr>
        <w:t>2</w:t>
      </w:r>
      <w:r w:rsidRPr="004E09DA">
        <w:rPr>
          <w:bCs/>
          <w:lang w:val="sr-Cyrl-CS" w:eastAsia="sr-Latn-RS"/>
        </w:rPr>
        <w:t>/dm</w:t>
      </w:r>
      <w:r w:rsidRPr="004E09DA">
        <w:rPr>
          <w:bCs/>
          <w:vertAlign w:val="superscript"/>
          <w:lang w:val="sr-Cyrl-CS" w:eastAsia="sr-Latn-RS"/>
        </w:rPr>
        <w:t>3</w:t>
      </w:r>
      <w:r w:rsidRPr="004E09DA">
        <w:rPr>
          <w:bCs/>
          <w:lang w:val="sr-Cyrl-CS" w:eastAsia="sr-Latn-RS"/>
        </w:rPr>
        <w:t>;</w:t>
      </w:r>
    </w:p>
    <w:p w14:paraId="71117ED6"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N</w:t>
      </w:r>
      <w:r w:rsidRPr="004E09DA">
        <w:rPr>
          <w:bCs/>
          <w:vertAlign w:val="subscript"/>
          <w:lang w:val="sr-Cyrl-CS" w:eastAsia="sr-Latn-RS"/>
        </w:rPr>
        <w:t>u</w:t>
      </w:r>
      <w:r w:rsidRPr="004E09DA">
        <w:rPr>
          <w:bCs/>
          <w:lang w:val="sr-Cyrl-CS" w:eastAsia="sr-Latn-RS"/>
        </w:rPr>
        <w:t> – средња вредност укупног азота на годишњем нивоу mg/dm</w:t>
      </w:r>
      <w:r w:rsidRPr="004E09DA">
        <w:rPr>
          <w:bCs/>
          <w:vertAlign w:val="superscript"/>
          <w:lang w:val="sr-Cyrl-CS" w:eastAsia="sr-Latn-RS"/>
        </w:rPr>
        <w:t>3</w:t>
      </w:r>
      <w:r w:rsidRPr="004E09DA">
        <w:rPr>
          <w:bCs/>
          <w:lang w:val="sr-Cyrl-CS" w:eastAsia="sr-Latn-RS"/>
        </w:rPr>
        <w:t>;</w:t>
      </w:r>
    </w:p>
    <w:p w14:paraId="473BDAA4"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P</w:t>
      </w:r>
      <w:r w:rsidRPr="004E09DA">
        <w:rPr>
          <w:bCs/>
          <w:vertAlign w:val="subscript"/>
          <w:lang w:val="sr-Cyrl-CS" w:eastAsia="sr-Latn-RS"/>
        </w:rPr>
        <w:t>u</w:t>
      </w:r>
      <w:r w:rsidRPr="004E09DA">
        <w:rPr>
          <w:bCs/>
          <w:lang w:val="sr-Cyrl-CS" w:eastAsia="sr-Latn-RS"/>
        </w:rPr>
        <w:t> – средња вредност укупног фосфора на годишњем нивоу mg/dm</w:t>
      </w:r>
      <w:r w:rsidRPr="004E09DA">
        <w:rPr>
          <w:bCs/>
          <w:vertAlign w:val="superscript"/>
          <w:lang w:val="sr-Cyrl-CS" w:eastAsia="sr-Latn-RS"/>
        </w:rPr>
        <w:t>3</w:t>
      </w:r>
      <w:r w:rsidRPr="004E09DA">
        <w:rPr>
          <w:bCs/>
          <w:lang w:val="sr-Cyrl-CS" w:eastAsia="sr-Latn-RS"/>
        </w:rPr>
        <w:t>;</w:t>
      </w:r>
    </w:p>
    <w:p w14:paraId="5E3FAC01"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ΣM</w:t>
      </w:r>
      <w:r w:rsidRPr="004E09DA">
        <w:rPr>
          <w:bCs/>
          <w:vertAlign w:val="subscript"/>
          <w:lang w:val="sr-Cyrl-CS" w:eastAsia="sr-Latn-RS"/>
        </w:rPr>
        <w:t>i</w:t>
      </w:r>
      <w:r w:rsidRPr="004E09DA">
        <w:rPr>
          <w:bCs/>
          <w:lang w:val="sr-Cyrl-CS" w:eastAsia="sr-Latn-RS"/>
        </w:rPr>
        <w:t> – збир средњих вредности токсичних метала на годишњем нивоу mg/dm</w:t>
      </w:r>
      <w:r w:rsidRPr="004E09DA">
        <w:rPr>
          <w:bCs/>
          <w:vertAlign w:val="superscript"/>
          <w:lang w:val="sr-Cyrl-CS" w:eastAsia="sr-Latn-RS"/>
        </w:rPr>
        <w:t>3</w:t>
      </w:r>
      <w:r w:rsidRPr="004E09DA">
        <w:rPr>
          <w:bCs/>
          <w:lang w:val="sr-Cyrl-CS" w:eastAsia="sr-Latn-RS"/>
        </w:rPr>
        <w:t>;</w:t>
      </w:r>
    </w:p>
    <w:p w14:paraId="4BB687D1"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10</w:t>
      </w:r>
      <w:r w:rsidRPr="004E09DA">
        <w:rPr>
          <w:bCs/>
          <w:vertAlign w:val="superscript"/>
          <w:lang w:val="sr-Cyrl-CS" w:eastAsia="sr-Latn-RS"/>
        </w:rPr>
        <w:t>-3</w:t>
      </w:r>
      <w:r w:rsidRPr="004E09DA">
        <w:rPr>
          <w:bCs/>
          <w:lang w:val="sr-Cyrl-CS" w:eastAsia="sr-Latn-RS"/>
        </w:rPr>
        <w:t> – корекциони фактор претварања грама (g) у килограме (kg);</w:t>
      </w:r>
    </w:p>
    <w:p w14:paraId="34853485" w14:textId="77777777" w:rsidR="00E569C4" w:rsidRPr="004E09DA" w:rsidRDefault="00E569C4" w:rsidP="00E569C4">
      <w:pPr>
        <w:shd w:val="clear" w:color="auto" w:fill="FFFFFF"/>
        <w:ind w:firstLine="480"/>
        <w:rPr>
          <w:bCs/>
          <w:lang w:val="sr-Cyrl-CS" w:eastAsia="sr-Latn-RS"/>
        </w:rPr>
      </w:pPr>
      <w:r w:rsidRPr="004E09DA">
        <w:rPr>
          <w:bCs/>
          <w:lang w:val="sr-Cyrl-CS" w:eastAsia="sr-Latn-RS"/>
        </w:rPr>
        <w:t>GVЕ – граничне вредности емисије за загађујуће материје од интереса mg/dm</w:t>
      </w:r>
      <w:r w:rsidRPr="004E09DA">
        <w:rPr>
          <w:bCs/>
          <w:vertAlign w:val="superscript"/>
          <w:lang w:val="sr-Cyrl-CS" w:eastAsia="sr-Latn-RS"/>
        </w:rPr>
        <w:t>3</w:t>
      </w:r>
      <w:r w:rsidRPr="004E09DA">
        <w:rPr>
          <w:bCs/>
          <w:lang w:val="sr-Cyrl-CS" w:eastAsia="sr-Latn-RS"/>
        </w:rPr>
        <w:t>;</w:t>
      </w:r>
    </w:p>
    <w:p w14:paraId="753C92C0" w14:textId="77777777" w:rsidR="00E569C4" w:rsidRPr="004E09DA" w:rsidRDefault="00E569C4" w:rsidP="00E569C4">
      <w:pPr>
        <w:shd w:val="clear" w:color="auto" w:fill="FFFFFF"/>
        <w:spacing w:after="150"/>
        <w:ind w:firstLine="480"/>
        <w:rPr>
          <w:bCs/>
          <w:lang w:val="sr-Cyrl-CS" w:eastAsia="sr-Latn-RS"/>
        </w:rPr>
      </w:pPr>
      <w:r w:rsidRPr="004E09DA">
        <w:rPr>
          <w:bCs/>
          <w:lang w:val="sr-Cyrl-CS" w:eastAsia="sr-Latn-RS"/>
        </w:rPr>
        <w:t>RSDv – цена за испуштање непречишћене или недовољно пречишћене отпадне воде RSD/kg загађења.</w:t>
      </w:r>
    </w:p>
    <w:p w14:paraId="2FD6D80C" w14:textId="77777777" w:rsidR="00E569C4" w:rsidRPr="004E09DA" w:rsidRDefault="00E569C4" w:rsidP="00E569C4">
      <w:pPr>
        <w:spacing w:before="120" w:after="120" w:line="259" w:lineRule="auto"/>
        <w:ind w:firstLine="480"/>
        <w:rPr>
          <w:bCs/>
          <w:lang w:val="sr-Cyrl-CS" w:eastAsia="sr-Latn-RS"/>
        </w:rPr>
      </w:pPr>
      <w:r w:rsidRPr="004E09DA">
        <w:rPr>
          <w:bCs/>
          <w:lang w:val="sr-Cyrl-CS" w:eastAsia="sr-Latn-RS"/>
        </w:rPr>
        <w:t>У случајевима када је измерена вредност загађујућe материјe од интереса мања од GVЕ, тај члан једначине се означава као нула (0). На пример, у случају да је N</w:t>
      </w:r>
      <w:r w:rsidRPr="004E09DA">
        <w:rPr>
          <w:bCs/>
          <w:vertAlign w:val="subscript"/>
          <w:lang w:val="sr-Cyrl-CS" w:eastAsia="sr-Latn-RS"/>
        </w:rPr>
        <w:t>U</w:t>
      </w:r>
      <w:r w:rsidRPr="004E09DA">
        <w:rPr>
          <w:bCs/>
          <w:lang w:val="sr-Cyrl-CS" w:eastAsia="sr-Latn-RS"/>
        </w:rPr>
        <w:t> &lt; GVЕ</w:t>
      </w:r>
      <w:r w:rsidRPr="004E09DA">
        <w:rPr>
          <w:bCs/>
          <w:vertAlign w:val="subscript"/>
          <w:lang w:val="sr-Cyrl-CS" w:eastAsia="sr-Latn-RS"/>
        </w:rPr>
        <w:t>N</w:t>
      </w:r>
      <w:r w:rsidRPr="004E09DA">
        <w:rPr>
          <w:bCs/>
          <w:lang w:val="sr-Cyrl-CS" w:eastAsia="sr-Latn-RS"/>
        </w:rPr>
        <w:t xml:space="preserve">, у једначини ће бити Nu = 0. Кoд суме метала (ΣMi), рачуна се сваки метал појединачно. Метали који су испод GVЕ се не узимају у обзир, тј. вредност овог члана у суми је 0, а метали који су изнад GVЕ се узимају у обзир при израчунавању. Део једначине који садржи HPK И BPK₅ рачуна се ако су обе вредности изнад прописане граничне вредности емисије (GVE), или ако је изнад границе само једна од њих. уколико GVE за BPK₅ није дефинисана, овај део једначине се рачуна само када је HPK изнад GVE. Ако је резултат овог члана мањи или једнак нули (0), његова вредност се узима као нула (0). </w:t>
      </w:r>
    </w:p>
    <w:p w14:paraId="602B076B" w14:textId="77777777" w:rsidR="00E569C4" w:rsidRPr="004E09DA" w:rsidRDefault="00E569C4" w:rsidP="00E569C4">
      <w:pPr>
        <w:spacing w:before="120" w:after="120" w:line="259" w:lineRule="auto"/>
        <w:ind w:firstLine="480"/>
        <w:rPr>
          <w:rFonts w:eastAsia="Calibri"/>
          <w:bCs/>
          <w:kern w:val="2"/>
          <w:shd w:val="clear" w:color="auto" w:fill="FFFFFF"/>
          <w:lang w:val="sr-Cyrl-CS"/>
        </w:rPr>
      </w:pPr>
      <w:r w:rsidRPr="004E09DA">
        <w:rPr>
          <w:rFonts w:eastAsia="Calibri"/>
          <w:bCs/>
          <w:kern w:val="2"/>
          <w:shd w:val="clear" w:color="auto" w:fill="FFFFFF"/>
          <w:lang w:val="sr-Cyrl-CS"/>
        </w:rPr>
        <w:t xml:space="preserve">Напомена: у смислу овог закона, листа токсичних метала обухвата: As, Bo, Cu, Zn, Cr, </w:t>
      </w:r>
      <w:r w:rsidR="00CA279B">
        <w:rPr>
          <w:rFonts w:eastAsia="Calibri"/>
          <w:bCs/>
          <w:kern w:val="2"/>
          <w:shd w:val="clear" w:color="auto" w:fill="FFFFFF"/>
          <w:lang w:val="sr-Latn-RS"/>
        </w:rPr>
        <w:t xml:space="preserve">Fe, </w:t>
      </w:r>
      <w:r w:rsidRPr="004E09DA">
        <w:rPr>
          <w:rFonts w:eastAsia="Calibri"/>
          <w:bCs/>
          <w:kern w:val="2"/>
          <w:shd w:val="clear" w:color="auto" w:fill="FFFFFF"/>
          <w:lang w:val="sr-Cyrl-CS"/>
        </w:rPr>
        <w:t>Mn, Cd, Pb, Hg, Ni. Укупан азот (у случајевима када није тако приказан) рачуна се као збир неорганског и органског азота. Неоргански азот рачуна се као збир амонијака (NH</w:t>
      </w:r>
      <w:r w:rsidRPr="004E09DA">
        <w:rPr>
          <w:rFonts w:eastAsia="Calibri"/>
          <w:bCs/>
          <w:kern w:val="2"/>
          <w:shd w:val="clear" w:color="auto" w:fill="FFFFFF"/>
          <w:vertAlign w:val="subscript"/>
          <w:lang w:val="sr-Cyrl-CS"/>
        </w:rPr>
        <w:t>4</w:t>
      </w:r>
      <w:r w:rsidRPr="004E09DA">
        <w:rPr>
          <w:rFonts w:eastAsia="Calibri"/>
          <w:bCs/>
          <w:kern w:val="2"/>
          <w:shd w:val="clear" w:color="auto" w:fill="FFFFFF"/>
          <w:lang w:val="sr-Cyrl-CS"/>
        </w:rPr>
        <w:t>-N), нитрита (NO</w:t>
      </w:r>
      <w:r w:rsidRPr="004E09DA">
        <w:rPr>
          <w:rFonts w:eastAsia="Calibri"/>
          <w:bCs/>
          <w:kern w:val="2"/>
          <w:shd w:val="clear" w:color="auto" w:fill="FFFFFF"/>
          <w:vertAlign w:val="subscript"/>
          <w:lang w:val="sr-Cyrl-CS"/>
        </w:rPr>
        <w:t>2</w:t>
      </w:r>
      <w:r w:rsidRPr="004E09DA">
        <w:rPr>
          <w:rFonts w:eastAsia="Calibri"/>
          <w:bCs/>
          <w:kern w:val="2"/>
          <w:shd w:val="clear" w:color="auto" w:fill="FFFFFF"/>
          <w:lang w:val="sr-Cyrl-CS"/>
        </w:rPr>
        <w:t>-N) и нитрата (NO</w:t>
      </w:r>
      <w:r w:rsidRPr="004E09DA">
        <w:rPr>
          <w:rFonts w:eastAsia="Calibri"/>
          <w:bCs/>
          <w:kern w:val="2"/>
          <w:shd w:val="clear" w:color="auto" w:fill="FFFFFF"/>
          <w:vertAlign w:val="subscript"/>
          <w:lang w:val="sr-Cyrl-CS"/>
        </w:rPr>
        <w:t>3</w:t>
      </w:r>
      <w:r w:rsidRPr="004E09DA">
        <w:rPr>
          <w:rFonts w:eastAsia="Calibri"/>
          <w:bCs/>
          <w:kern w:val="2"/>
          <w:shd w:val="clear" w:color="auto" w:fill="FFFFFF"/>
          <w:lang w:val="sr-Cyrl-CS"/>
        </w:rPr>
        <w:t>-N).ˮ</w:t>
      </w:r>
    </w:p>
    <w:p w14:paraId="6DC88383" w14:textId="77777777" w:rsidR="00E569C4" w:rsidRPr="004E09DA" w:rsidRDefault="00E569C4" w:rsidP="00E569C4">
      <w:pPr>
        <w:jc w:val="center"/>
        <w:rPr>
          <w:lang w:val="sr-Cyrl-CS"/>
        </w:rPr>
      </w:pPr>
      <w:r w:rsidRPr="004E09DA">
        <w:rPr>
          <w:lang w:val="sr-Cyrl-CS"/>
        </w:rPr>
        <w:t>Члан 40.</w:t>
      </w:r>
    </w:p>
    <w:p w14:paraId="406A2B28" w14:textId="77777777" w:rsidR="00E569C4" w:rsidRPr="004E09DA" w:rsidRDefault="00E569C4" w:rsidP="00E569C4">
      <w:pPr>
        <w:ind w:firstLine="720"/>
        <w:rPr>
          <w:lang w:val="sr-Cyrl-CS"/>
        </w:rPr>
      </w:pPr>
      <w:r w:rsidRPr="004E09DA">
        <w:rPr>
          <w:lang w:val="sr-Cyrl-CS"/>
        </w:rPr>
        <w:t>У Прилогу 10. табеле 10</w:t>
      </w:r>
      <w:r w:rsidR="004E09DA">
        <w:rPr>
          <w:lang w:val="sr-Cyrl-CS"/>
        </w:rPr>
        <w:t>,</w:t>
      </w:r>
      <w:r w:rsidRPr="004E09DA">
        <w:rPr>
          <w:lang w:val="sr-Cyrl-CS"/>
        </w:rPr>
        <w:t xml:space="preserve"> 11. и 11.1 мењају се и гласе: </w:t>
      </w:r>
    </w:p>
    <w:p w14:paraId="44066D08" w14:textId="77777777" w:rsidR="00E569C4" w:rsidRPr="004E09DA" w:rsidRDefault="00E569C4" w:rsidP="00E569C4">
      <w:pPr>
        <w:autoSpaceDE w:val="0"/>
        <w:autoSpaceDN w:val="0"/>
        <w:adjustRightInd w:val="0"/>
        <w:jc w:val="center"/>
        <w:rPr>
          <w:rFonts w:eastAsia="Calibri"/>
          <w:lang w:val="sr-Cyrl-CS"/>
        </w:rPr>
      </w:pPr>
      <w:r w:rsidRPr="004E09DA">
        <w:rPr>
          <w:lang w:val="sr-Cyrl-CS" w:eastAsia="sr-Cyrl-CS"/>
        </w:rPr>
        <w:t>„</w:t>
      </w:r>
      <w:r w:rsidRPr="004E09DA">
        <w:rPr>
          <w:rFonts w:eastAsia="Calibri"/>
          <w:lang w:val="sr-Cyrl-CS"/>
        </w:rPr>
        <w:t>Табела 10. Висина накнаде за путарину</w:t>
      </w:r>
    </w:p>
    <w:p w14:paraId="45919B08" w14:textId="77777777" w:rsidR="00E569C4" w:rsidRPr="004E09DA" w:rsidRDefault="00E569C4" w:rsidP="00E569C4">
      <w:pPr>
        <w:ind w:firstLine="720"/>
        <w:rPr>
          <w:lang w:val="sr-Cyrl-CS"/>
        </w:rPr>
      </w:pPr>
    </w:p>
    <w:tbl>
      <w:tblPr>
        <w:tblW w:w="9431" w:type="dxa"/>
        <w:tblInd w:w="93" w:type="dxa"/>
        <w:tblLook w:val="04A0" w:firstRow="1" w:lastRow="0" w:firstColumn="1" w:lastColumn="0" w:noHBand="0" w:noVBand="1"/>
      </w:tblPr>
      <w:tblGrid>
        <w:gridCol w:w="1335"/>
        <w:gridCol w:w="1241"/>
        <w:gridCol w:w="2285"/>
        <w:gridCol w:w="2285"/>
        <w:gridCol w:w="2285"/>
      </w:tblGrid>
      <w:tr w:rsidR="00E569C4" w:rsidRPr="004E09DA" w14:paraId="63F3B237" w14:textId="77777777" w:rsidTr="00E569C4">
        <w:trPr>
          <w:trHeight w:val="846"/>
        </w:trPr>
        <w:tc>
          <w:tcPr>
            <w:tcW w:w="1335" w:type="dxa"/>
            <w:vMerge w:val="restart"/>
            <w:tcBorders>
              <w:top w:val="single" w:sz="4" w:space="0" w:color="000000"/>
              <w:left w:val="single" w:sz="4" w:space="0" w:color="000000"/>
              <w:bottom w:val="single" w:sz="4" w:space="0" w:color="000000"/>
              <w:right w:val="single" w:sz="4" w:space="0" w:color="000000"/>
            </w:tcBorders>
            <w:vAlign w:val="center"/>
            <w:hideMark/>
          </w:tcPr>
          <w:p w14:paraId="7DF5548C" w14:textId="77777777" w:rsidR="00E569C4" w:rsidRPr="004E09DA" w:rsidRDefault="00E569C4" w:rsidP="00E569C4">
            <w:pPr>
              <w:jc w:val="center"/>
              <w:rPr>
                <w:color w:val="000000"/>
                <w:lang w:val="sr-Cyrl-CS" w:eastAsia="sr-Cyrl-CS"/>
              </w:rPr>
            </w:pPr>
            <w:r w:rsidRPr="004E09DA">
              <w:rPr>
                <w:color w:val="000000"/>
                <w:lang w:val="sr-Cyrl-CS" w:eastAsia="sr-Cyrl-CS"/>
              </w:rPr>
              <w:t>Категорија возила</w:t>
            </w:r>
          </w:p>
        </w:tc>
        <w:tc>
          <w:tcPr>
            <w:tcW w:w="1241" w:type="dxa"/>
            <w:vMerge w:val="restart"/>
            <w:tcBorders>
              <w:top w:val="single" w:sz="4" w:space="0" w:color="000000"/>
              <w:left w:val="single" w:sz="4" w:space="0" w:color="000000"/>
              <w:bottom w:val="single" w:sz="4" w:space="0" w:color="000000"/>
              <w:right w:val="single" w:sz="4" w:space="0" w:color="000000"/>
            </w:tcBorders>
            <w:vAlign w:val="center"/>
            <w:hideMark/>
          </w:tcPr>
          <w:p w14:paraId="47B98C79" w14:textId="77777777" w:rsidR="00E569C4" w:rsidRPr="004E09DA" w:rsidRDefault="00E569C4" w:rsidP="00E569C4">
            <w:pPr>
              <w:jc w:val="center"/>
              <w:rPr>
                <w:color w:val="000000"/>
                <w:lang w:val="sr-Cyrl-CS" w:eastAsia="sr-Cyrl-CS"/>
              </w:rPr>
            </w:pPr>
            <w:r w:rsidRPr="004E09DA">
              <w:rPr>
                <w:color w:val="000000"/>
                <w:lang w:val="sr-Cyrl-CS" w:eastAsia="sr-Cyrl-CS"/>
              </w:rPr>
              <w:t>Основица</w:t>
            </w:r>
          </w:p>
        </w:tc>
        <w:tc>
          <w:tcPr>
            <w:tcW w:w="2285" w:type="dxa"/>
            <w:tcBorders>
              <w:top w:val="single" w:sz="4" w:space="0" w:color="000000"/>
              <w:left w:val="nil"/>
              <w:bottom w:val="single" w:sz="4" w:space="0" w:color="000000"/>
              <w:right w:val="single" w:sz="4" w:space="0" w:color="000000"/>
            </w:tcBorders>
            <w:vAlign w:val="center"/>
            <w:hideMark/>
          </w:tcPr>
          <w:p w14:paraId="344EE37C" w14:textId="77777777" w:rsidR="00E569C4" w:rsidRPr="004E09DA" w:rsidRDefault="00E569C4" w:rsidP="00E569C4">
            <w:pPr>
              <w:jc w:val="center"/>
              <w:rPr>
                <w:color w:val="000000"/>
                <w:lang w:val="sr-Cyrl-CS" w:eastAsia="sr-Cyrl-CS"/>
              </w:rPr>
            </w:pPr>
            <w:r w:rsidRPr="004E09DA">
              <w:rPr>
                <w:color w:val="000000"/>
                <w:lang w:val="sr-Cyrl-CS" w:eastAsia="sr-Cyrl-CS"/>
              </w:rPr>
              <w:t>Висина накнаде за државни пут IА реда</w:t>
            </w:r>
          </w:p>
        </w:tc>
        <w:tc>
          <w:tcPr>
            <w:tcW w:w="2285" w:type="dxa"/>
            <w:tcBorders>
              <w:top w:val="single" w:sz="4" w:space="0" w:color="000000"/>
              <w:left w:val="nil"/>
              <w:bottom w:val="single" w:sz="4" w:space="0" w:color="000000"/>
              <w:right w:val="single" w:sz="4" w:space="0" w:color="000000"/>
            </w:tcBorders>
            <w:vAlign w:val="center"/>
            <w:hideMark/>
          </w:tcPr>
          <w:p w14:paraId="5179EA9B" w14:textId="77777777" w:rsidR="00E569C4" w:rsidRPr="004E09DA" w:rsidRDefault="00E569C4" w:rsidP="00E569C4">
            <w:pPr>
              <w:jc w:val="center"/>
              <w:rPr>
                <w:color w:val="000000"/>
                <w:lang w:val="sr-Cyrl-CS" w:eastAsia="sr-Cyrl-CS"/>
              </w:rPr>
            </w:pPr>
            <w:r w:rsidRPr="004E09DA">
              <w:rPr>
                <w:color w:val="000000"/>
                <w:lang w:val="sr-Cyrl-CS" w:eastAsia="sr-Cyrl-CS"/>
              </w:rPr>
              <w:t>Висина накнаде за државни пут IМ реда</w:t>
            </w:r>
          </w:p>
        </w:tc>
        <w:tc>
          <w:tcPr>
            <w:tcW w:w="2285" w:type="dxa"/>
            <w:tcBorders>
              <w:top w:val="single" w:sz="4" w:space="0" w:color="000000"/>
              <w:left w:val="nil"/>
              <w:bottom w:val="single" w:sz="4" w:space="0" w:color="000000"/>
              <w:right w:val="single" w:sz="4" w:space="0" w:color="000000"/>
            </w:tcBorders>
            <w:vAlign w:val="center"/>
            <w:hideMark/>
          </w:tcPr>
          <w:p w14:paraId="4D2A1EFD" w14:textId="77777777" w:rsidR="00E569C4" w:rsidRPr="004E09DA" w:rsidRDefault="00E569C4" w:rsidP="00E569C4">
            <w:pPr>
              <w:jc w:val="center"/>
              <w:rPr>
                <w:color w:val="000000"/>
                <w:lang w:val="sr-Cyrl-CS" w:eastAsia="sr-Cyrl-CS"/>
              </w:rPr>
            </w:pPr>
            <w:r w:rsidRPr="004E09DA">
              <w:rPr>
                <w:color w:val="000000"/>
                <w:lang w:val="sr-Cyrl-CS" w:eastAsia="sr-Cyrl-CS"/>
              </w:rPr>
              <w:t>Висина накнаде за државни пут IБ реда</w:t>
            </w:r>
          </w:p>
        </w:tc>
      </w:tr>
      <w:tr w:rsidR="00E569C4" w:rsidRPr="004E09DA" w14:paraId="6D736D72" w14:textId="77777777" w:rsidTr="00E569C4">
        <w:trPr>
          <w:trHeight w:val="564"/>
        </w:trPr>
        <w:tc>
          <w:tcPr>
            <w:tcW w:w="1335" w:type="dxa"/>
            <w:vMerge/>
            <w:tcBorders>
              <w:top w:val="single" w:sz="4" w:space="0" w:color="000000"/>
              <w:left w:val="single" w:sz="4" w:space="0" w:color="000000"/>
              <w:bottom w:val="single" w:sz="4" w:space="0" w:color="000000"/>
              <w:right w:val="single" w:sz="4" w:space="0" w:color="000000"/>
            </w:tcBorders>
            <w:vAlign w:val="center"/>
            <w:hideMark/>
          </w:tcPr>
          <w:p w14:paraId="1708CDD0" w14:textId="77777777" w:rsidR="00E569C4" w:rsidRPr="004E09DA" w:rsidRDefault="00E569C4" w:rsidP="00E569C4">
            <w:pPr>
              <w:rPr>
                <w:color w:val="000000"/>
                <w:lang w:val="sr-Cyrl-CS" w:eastAsia="sr-Cyrl-CS"/>
              </w:rPr>
            </w:pPr>
          </w:p>
        </w:tc>
        <w:tc>
          <w:tcPr>
            <w:tcW w:w="1241" w:type="dxa"/>
            <w:vMerge/>
            <w:tcBorders>
              <w:top w:val="single" w:sz="4" w:space="0" w:color="000000"/>
              <w:left w:val="single" w:sz="4" w:space="0" w:color="000000"/>
              <w:bottom w:val="single" w:sz="4" w:space="0" w:color="000000"/>
              <w:right w:val="single" w:sz="4" w:space="0" w:color="000000"/>
            </w:tcBorders>
            <w:vAlign w:val="center"/>
            <w:hideMark/>
          </w:tcPr>
          <w:p w14:paraId="47CC5245" w14:textId="77777777" w:rsidR="00E569C4" w:rsidRPr="004E09DA" w:rsidRDefault="00E569C4" w:rsidP="00E569C4">
            <w:pPr>
              <w:rPr>
                <w:color w:val="000000"/>
                <w:lang w:val="sr-Cyrl-CS" w:eastAsia="sr-Cyrl-CS"/>
              </w:rPr>
            </w:pPr>
          </w:p>
        </w:tc>
        <w:tc>
          <w:tcPr>
            <w:tcW w:w="2285" w:type="dxa"/>
            <w:tcBorders>
              <w:top w:val="nil"/>
              <w:left w:val="nil"/>
              <w:bottom w:val="single" w:sz="4" w:space="0" w:color="000000"/>
              <w:right w:val="single" w:sz="4" w:space="0" w:color="000000"/>
            </w:tcBorders>
            <w:vAlign w:val="center"/>
            <w:hideMark/>
          </w:tcPr>
          <w:p w14:paraId="047CF344" w14:textId="77777777" w:rsidR="00E569C4" w:rsidRPr="004E09DA" w:rsidRDefault="00E569C4" w:rsidP="00E569C4">
            <w:pPr>
              <w:jc w:val="center"/>
              <w:rPr>
                <w:color w:val="000000"/>
                <w:lang w:val="sr-Cyrl-CS" w:eastAsia="sr-Cyrl-CS"/>
              </w:rPr>
            </w:pPr>
            <w:r w:rsidRPr="004E09DA">
              <w:rPr>
                <w:color w:val="000000"/>
                <w:lang w:val="sr-Cyrl-CS" w:eastAsia="sr-Cyrl-CS"/>
              </w:rPr>
              <w:t>(динара)</w:t>
            </w:r>
          </w:p>
        </w:tc>
        <w:tc>
          <w:tcPr>
            <w:tcW w:w="2285" w:type="dxa"/>
            <w:tcBorders>
              <w:top w:val="nil"/>
              <w:left w:val="nil"/>
              <w:bottom w:val="single" w:sz="4" w:space="0" w:color="000000"/>
              <w:right w:val="single" w:sz="4" w:space="0" w:color="000000"/>
            </w:tcBorders>
            <w:vAlign w:val="center"/>
            <w:hideMark/>
          </w:tcPr>
          <w:p w14:paraId="488D3525" w14:textId="77777777" w:rsidR="00E569C4" w:rsidRPr="004E09DA" w:rsidRDefault="00E569C4" w:rsidP="00E569C4">
            <w:pPr>
              <w:jc w:val="center"/>
              <w:rPr>
                <w:color w:val="000000"/>
                <w:lang w:val="sr-Cyrl-CS" w:eastAsia="sr-Cyrl-CS"/>
              </w:rPr>
            </w:pPr>
            <w:r w:rsidRPr="004E09DA">
              <w:rPr>
                <w:color w:val="000000"/>
                <w:lang w:val="sr-Cyrl-CS" w:eastAsia="sr-Cyrl-CS"/>
              </w:rPr>
              <w:t>(динара)</w:t>
            </w:r>
          </w:p>
        </w:tc>
        <w:tc>
          <w:tcPr>
            <w:tcW w:w="2285" w:type="dxa"/>
            <w:tcBorders>
              <w:top w:val="nil"/>
              <w:left w:val="nil"/>
              <w:bottom w:val="single" w:sz="4" w:space="0" w:color="000000"/>
              <w:right w:val="single" w:sz="4" w:space="0" w:color="000000"/>
            </w:tcBorders>
            <w:vAlign w:val="center"/>
            <w:hideMark/>
          </w:tcPr>
          <w:p w14:paraId="6C3CA42E" w14:textId="77777777" w:rsidR="00E569C4" w:rsidRPr="004E09DA" w:rsidRDefault="00E569C4" w:rsidP="00E569C4">
            <w:pPr>
              <w:jc w:val="center"/>
              <w:rPr>
                <w:color w:val="000000"/>
                <w:lang w:val="sr-Cyrl-CS" w:eastAsia="sr-Cyrl-CS"/>
              </w:rPr>
            </w:pPr>
            <w:r w:rsidRPr="004E09DA">
              <w:rPr>
                <w:color w:val="000000"/>
                <w:lang w:val="sr-Cyrl-CS" w:eastAsia="sr-Cyrl-CS"/>
              </w:rPr>
              <w:t>(динара)</w:t>
            </w:r>
          </w:p>
        </w:tc>
      </w:tr>
      <w:tr w:rsidR="00E569C4" w:rsidRPr="004E09DA" w14:paraId="34BFE7A8" w14:textId="77777777" w:rsidTr="00E569C4">
        <w:trPr>
          <w:trHeight w:val="297"/>
        </w:trPr>
        <w:tc>
          <w:tcPr>
            <w:tcW w:w="1335" w:type="dxa"/>
            <w:tcBorders>
              <w:top w:val="nil"/>
              <w:left w:val="single" w:sz="4" w:space="0" w:color="000000"/>
              <w:bottom w:val="single" w:sz="4" w:space="0" w:color="000000"/>
              <w:right w:val="single" w:sz="4" w:space="0" w:color="000000"/>
            </w:tcBorders>
            <w:vAlign w:val="center"/>
            <w:hideMark/>
          </w:tcPr>
          <w:p w14:paraId="003AAE9F" w14:textId="77777777" w:rsidR="00E569C4" w:rsidRPr="004E09DA" w:rsidRDefault="00E569C4" w:rsidP="00E569C4">
            <w:pPr>
              <w:jc w:val="center"/>
              <w:rPr>
                <w:color w:val="000000"/>
                <w:lang w:val="sr-Cyrl-CS" w:eastAsia="sr-Cyrl-CS"/>
              </w:rPr>
            </w:pPr>
            <w:r w:rsidRPr="004E09DA">
              <w:rPr>
                <w:color w:val="000000"/>
                <w:lang w:val="sr-Cyrl-CS" w:eastAsia="sr-Cyrl-CS"/>
              </w:rPr>
              <w:t>I</w:t>
            </w:r>
          </w:p>
        </w:tc>
        <w:tc>
          <w:tcPr>
            <w:tcW w:w="1241" w:type="dxa"/>
            <w:tcBorders>
              <w:top w:val="nil"/>
              <w:left w:val="nil"/>
              <w:bottom w:val="single" w:sz="4" w:space="0" w:color="000000"/>
              <w:right w:val="single" w:sz="4" w:space="0" w:color="000000"/>
            </w:tcBorders>
            <w:vAlign w:val="center"/>
            <w:hideMark/>
          </w:tcPr>
          <w:p w14:paraId="6649B525" w14:textId="77777777" w:rsidR="00E569C4" w:rsidRPr="004E09DA" w:rsidRDefault="00E569C4" w:rsidP="00E569C4">
            <w:pPr>
              <w:jc w:val="center"/>
              <w:rPr>
                <w:color w:val="000000"/>
                <w:lang w:val="sr-Cyrl-CS" w:eastAsia="sr-Cyrl-CS"/>
              </w:rPr>
            </w:pPr>
            <w:r w:rsidRPr="004E09DA">
              <w:rPr>
                <w:color w:val="000000"/>
                <w:lang w:val="sr-Cyrl-CS" w:eastAsia="sr-Cyrl-CS"/>
              </w:rPr>
              <w:t>km</w:t>
            </w:r>
          </w:p>
        </w:tc>
        <w:tc>
          <w:tcPr>
            <w:tcW w:w="2285" w:type="dxa"/>
            <w:tcBorders>
              <w:top w:val="nil"/>
              <w:left w:val="nil"/>
              <w:bottom w:val="single" w:sz="4" w:space="0" w:color="000000"/>
              <w:right w:val="single" w:sz="4" w:space="0" w:color="000000"/>
            </w:tcBorders>
            <w:vAlign w:val="center"/>
            <w:hideMark/>
          </w:tcPr>
          <w:p w14:paraId="34B72CCD" w14:textId="77777777" w:rsidR="00E569C4" w:rsidRPr="004E09DA" w:rsidRDefault="00E569C4" w:rsidP="00E569C4">
            <w:pPr>
              <w:jc w:val="center"/>
              <w:rPr>
                <w:color w:val="000000"/>
                <w:lang w:val="sr-Cyrl-CS" w:eastAsia="sr-Cyrl-CS"/>
              </w:rPr>
            </w:pPr>
            <w:r w:rsidRPr="004E09DA">
              <w:rPr>
                <w:color w:val="000000"/>
                <w:lang w:val="sr-Cyrl-CS" w:eastAsia="sr-Cyrl-CS"/>
              </w:rPr>
              <w:t>5,4274</w:t>
            </w:r>
          </w:p>
        </w:tc>
        <w:tc>
          <w:tcPr>
            <w:tcW w:w="2285" w:type="dxa"/>
            <w:tcBorders>
              <w:top w:val="nil"/>
              <w:left w:val="nil"/>
              <w:bottom w:val="single" w:sz="4" w:space="0" w:color="000000"/>
              <w:right w:val="single" w:sz="4" w:space="0" w:color="000000"/>
            </w:tcBorders>
            <w:vAlign w:val="center"/>
            <w:hideMark/>
          </w:tcPr>
          <w:p w14:paraId="723E8CF6"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c>
          <w:tcPr>
            <w:tcW w:w="2285" w:type="dxa"/>
            <w:tcBorders>
              <w:top w:val="nil"/>
              <w:left w:val="nil"/>
              <w:bottom w:val="single" w:sz="4" w:space="0" w:color="000000"/>
              <w:right w:val="single" w:sz="4" w:space="0" w:color="000000"/>
            </w:tcBorders>
            <w:vAlign w:val="center"/>
            <w:hideMark/>
          </w:tcPr>
          <w:p w14:paraId="64B2A70F"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r>
      <w:tr w:rsidR="00E569C4" w:rsidRPr="004E09DA" w14:paraId="02BD9C61" w14:textId="77777777" w:rsidTr="00E569C4">
        <w:trPr>
          <w:trHeight w:val="297"/>
        </w:trPr>
        <w:tc>
          <w:tcPr>
            <w:tcW w:w="1335" w:type="dxa"/>
            <w:tcBorders>
              <w:top w:val="nil"/>
              <w:left w:val="single" w:sz="4" w:space="0" w:color="000000"/>
              <w:bottom w:val="single" w:sz="4" w:space="0" w:color="000000"/>
              <w:right w:val="single" w:sz="4" w:space="0" w:color="000000"/>
            </w:tcBorders>
            <w:vAlign w:val="center"/>
            <w:hideMark/>
          </w:tcPr>
          <w:p w14:paraId="4126DF83" w14:textId="77777777" w:rsidR="00E569C4" w:rsidRPr="004E09DA" w:rsidRDefault="00E569C4" w:rsidP="00E569C4">
            <w:pPr>
              <w:jc w:val="center"/>
              <w:rPr>
                <w:color w:val="000000"/>
                <w:lang w:val="sr-Cyrl-CS" w:eastAsia="sr-Cyrl-CS"/>
              </w:rPr>
            </w:pPr>
            <w:r w:rsidRPr="004E09DA">
              <w:rPr>
                <w:color w:val="000000"/>
                <w:lang w:val="sr-Cyrl-CS" w:eastAsia="sr-Cyrl-CS"/>
              </w:rPr>
              <w:lastRenderedPageBreak/>
              <w:t>IA</w:t>
            </w:r>
          </w:p>
        </w:tc>
        <w:tc>
          <w:tcPr>
            <w:tcW w:w="1241" w:type="dxa"/>
            <w:tcBorders>
              <w:top w:val="nil"/>
              <w:left w:val="nil"/>
              <w:bottom w:val="single" w:sz="4" w:space="0" w:color="000000"/>
              <w:right w:val="single" w:sz="4" w:space="0" w:color="000000"/>
            </w:tcBorders>
            <w:vAlign w:val="center"/>
            <w:hideMark/>
          </w:tcPr>
          <w:p w14:paraId="0B59895F" w14:textId="77777777" w:rsidR="00E569C4" w:rsidRPr="004E09DA" w:rsidRDefault="00E569C4" w:rsidP="00E569C4">
            <w:pPr>
              <w:jc w:val="center"/>
              <w:rPr>
                <w:color w:val="000000"/>
                <w:lang w:val="sr-Cyrl-CS" w:eastAsia="sr-Cyrl-CS"/>
              </w:rPr>
            </w:pPr>
            <w:r w:rsidRPr="004E09DA">
              <w:rPr>
                <w:color w:val="000000"/>
                <w:lang w:val="sr-Cyrl-CS" w:eastAsia="sr-Cyrl-CS"/>
              </w:rPr>
              <w:t>km</w:t>
            </w:r>
          </w:p>
        </w:tc>
        <w:tc>
          <w:tcPr>
            <w:tcW w:w="2285" w:type="dxa"/>
            <w:tcBorders>
              <w:top w:val="nil"/>
              <w:left w:val="nil"/>
              <w:bottom w:val="single" w:sz="4" w:space="0" w:color="000000"/>
              <w:right w:val="single" w:sz="4" w:space="0" w:color="000000"/>
            </w:tcBorders>
            <w:vAlign w:val="center"/>
            <w:hideMark/>
          </w:tcPr>
          <w:p w14:paraId="04F7C0C1" w14:textId="77777777" w:rsidR="00E569C4" w:rsidRPr="004E09DA" w:rsidRDefault="00E569C4" w:rsidP="00E569C4">
            <w:pPr>
              <w:jc w:val="center"/>
              <w:rPr>
                <w:color w:val="000000"/>
                <w:lang w:val="sr-Cyrl-CS" w:eastAsia="sr-Cyrl-CS"/>
              </w:rPr>
            </w:pPr>
            <w:r w:rsidRPr="004E09DA">
              <w:rPr>
                <w:color w:val="000000"/>
                <w:lang w:val="sr-Cyrl-CS" w:eastAsia="sr-Cyrl-CS"/>
              </w:rPr>
              <w:t>2,7136</w:t>
            </w:r>
          </w:p>
        </w:tc>
        <w:tc>
          <w:tcPr>
            <w:tcW w:w="2285" w:type="dxa"/>
            <w:tcBorders>
              <w:top w:val="nil"/>
              <w:left w:val="nil"/>
              <w:bottom w:val="single" w:sz="4" w:space="0" w:color="000000"/>
              <w:right w:val="single" w:sz="4" w:space="0" w:color="000000"/>
            </w:tcBorders>
            <w:vAlign w:val="center"/>
            <w:hideMark/>
          </w:tcPr>
          <w:p w14:paraId="2FAA6B47"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c>
          <w:tcPr>
            <w:tcW w:w="2285" w:type="dxa"/>
            <w:tcBorders>
              <w:top w:val="nil"/>
              <w:left w:val="nil"/>
              <w:bottom w:val="single" w:sz="4" w:space="0" w:color="000000"/>
              <w:right w:val="single" w:sz="4" w:space="0" w:color="000000"/>
            </w:tcBorders>
            <w:vAlign w:val="center"/>
            <w:hideMark/>
          </w:tcPr>
          <w:p w14:paraId="37E2615A"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r>
      <w:tr w:rsidR="00E569C4" w:rsidRPr="004E09DA" w14:paraId="7A778119" w14:textId="77777777" w:rsidTr="00E569C4">
        <w:trPr>
          <w:trHeight w:val="297"/>
        </w:trPr>
        <w:tc>
          <w:tcPr>
            <w:tcW w:w="1335" w:type="dxa"/>
            <w:tcBorders>
              <w:top w:val="nil"/>
              <w:left w:val="single" w:sz="4" w:space="0" w:color="000000"/>
              <w:bottom w:val="single" w:sz="4" w:space="0" w:color="000000"/>
              <w:right w:val="single" w:sz="4" w:space="0" w:color="000000"/>
            </w:tcBorders>
            <w:vAlign w:val="center"/>
            <w:hideMark/>
          </w:tcPr>
          <w:p w14:paraId="3F24F12E" w14:textId="77777777" w:rsidR="00E569C4" w:rsidRPr="004E09DA" w:rsidRDefault="00E569C4" w:rsidP="00E569C4">
            <w:pPr>
              <w:jc w:val="center"/>
              <w:rPr>
                <w:color w:val="000000"/>
                <w:lang w:val="sr-Cyrl-CS" w:eastAsia="sr-Cyrl-CS"/>
              </w:rPr>
            </w:pPr>
            <w:r w:rsidRPr="004E09DA">
              <w:rPr>
                <w:color w:val="000000"/>
                <w:lang w:val="sr-Cyrl-CS" w:eastAsia="sr-Cyrl-CS"/>
              </w:rPr>
              <w:t>II</w:t>
            </w:r>
          </w:p>
        </w:tc>
        <w:tc>
          <w:tcPr>
            <w:tcW w:w="1241" w:type="dxa"/>
            <w:tcBorders>
              <w:top w:val="nil"/>
              <w:left w:val="nil"/>
              <w:bottom w:val="single" w:sz="4" w:space="0" w:color="000000"/>
              <w:right w:val="single" w:sz="4" w:space="0" w:color="000000"/>
            </w:tcBorders>
            <w:vAlign w:val="center"/>
            <w:hideMark/>
          </w:tcPr>
          <w:p w14:paraId="0745578B" w14:textId="77777777" w:rsidR="00E569C4" w:rsidRPr="004E09DA" w:rsidRDefault="00E569C4" w:rsidP="00E569C4">
            <w:pPr>
              <w:jc w:val="center"/>
              <w:rPr>
                <w:color w:val="000000"/>
                <w:lang w:val="sr-Cyrl-CS" w:eastAsia="sr-Cyrl-CS"/>
              </w:rPr>
            </w:pPr>
            <w:r w:rsidRPr="004E09DA">
              <w:rPr>
                <w:color w:val="000000"/>
                <w:lang w:val="sr-Cyrl-CS" w:eastAsia="sr-Cyrl-CS"/>
              </w:rPr>
              <w:t>km</w:t>
            </w:r>
          </w:p>
        </w:tc>
        <w:tc>
          <w:tcPr>
            <w:tcW w:w="2285" w:type="dxa"/>
            <w:tcBorders>
              <w:top w:val="nil"/>
              <w:left w:val="nil"/>
              <w:bottom w:val="single" w:sz="4" w:space="0" w:color="000000"/>
              <w:right w:val="single" w:sz="4" w:space="0" w:color="000000"/>
            </w:tcBorders>
            <w:vAlign w:val="center"/>
            <w:hideMark/>
          </w:tcPr>
          <w:p w14:paraId="0A3C3435" w14:textId="77777777" w:rsidR="00E569C4" w:rsidRPr="004E09DA" w:rsidRDefault="00E569C4" w:rsidP="00E569C4">
            <w:pPr>
              <w:jc w:val="center"/>
              <w:rPr>
                <w:color w:val="000000"/>
                <w:lang w:val="sr-Cyrl-CS" w:eastAsia="sr-Cyrl-CS"/>
              </w:rPr>
            </w:pPr>
            <w:r w:rsidRPr="004E09DA">
              <w:rPr>
                <w:color w:val="000000"/>
                <w:lang w:val="sr-Cyrl-CS" w:eastAsia="sr-Cyrl-CS"/>
              </w:rPr>
              <w:t>8,141</w:t>
            </w:r>
          </w:p>
        </w:tc>
        <w:tc>
          <w:tcPr>
            <w:tcW w:w="2285" w:type="dxa"/>
            <w:tcBorders>
              <w:top w:val="nil"/>
              <w:left w:val="nil"/>
              <w:bottom w:val="single" w:sz="4" w:space="0" w:color="000000"/>
              <w:right w:val="single" w:sz="4" w:space="0" w:color="000000"/>
            </w:tcBorders>
            <w:vAlign w:val="center"/>
            <w:hideMark/>
          </w:tcPr>
          <w:p w14:paraId="42AB9E62"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c>
          <w:tcPr>
            <w:tcW w:w="2285" w:type="dxa"/>
            <w:tcBorders>
              <w:top w:val="nil"/>
              <w:left w:val="nil"/>
              <w:bottom w:val="single" w:sz="4" w:space="0" w:color="000000"/>
              <w:right w:val="single" w:sz="4" w:space="0" w:color="000000"/>
            </w:tcBorders>
            <w:vAlign w:val="center"/>
            <w:hideMark/>
          </w:tcPr>
          <w:p w14:paraId="4CE7FA3B"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r>
      <w:tr w:rsidR="00E569C4" w:rsidRPr="004E09DA" w14:paraId="4CCCCD1F" w14:textId="77777777" w:rsidTr="00E569C4">
        <w:trPr>
          <w:trHeight w:val="297"/>
        </w:trPr>
        <w:tc>
          <w:tcPr>
            <w:tcW w:w="1335" w:type="dxa"/>
            <w:tcBorders>
              <w:top w:val="nil"/>
              <w:left w:val="single" w:sz="4" w:space="0" w:color="000000"/>
              <w:bottom w:val="single" w:sz="4" w:space="0" w:color="000000"/>
              <w:right w:val="single" w:sz="4" w:space="0" w:color="000000"/>
            </w:tcBorders>
            <w:vAlign w:val="center"/>
            <w:hideMark/>
          </w:tcPr>
          <w:p w14:paraId="55A089DA" w14:textId="77777777" w:rsidR="00E569C4" w:rsidRPr="004E09DA" w:rsidRDefault="00E569C4" w:rsidP="00E569C4">
            <w:pPr>
              <w:jc w:val="center"/>
              <w:rPr>
                <w:color w:val="000000"/>
                <w:lang w:val="sr-Cyrl-CS" w:eastAsia="sr-Cyrl-CS"/>
              </w:rPr>
            </w:pPr>
            <w:r w:rsidRPr="004E09DA">
              <w:rPr>
                <w:color w:val="000000"/>
                <w:lang w:val="sr-Cyrl-CS" w:eastAsia="sr-Cyrl-CS"/>
              </w:rPr>
              <w:t>III</w:t>
            </w:r>
          </w:p>
        </w:tc>
        <w:tc>
          <w:tcPr>
            <w:tcW w:w="1241" w:type="dxa"/>
            <w:tcBorders>
              <w:top w:val="nil"/>
              <w:left w:val="nil"/>
              <w:bottom w:val="single" w:sz="4" w:space="0" w:color="000000"/>
              <w:right w:val="single" w:sz="4" w:space="0" w:color="000000"/>
            </w:tcBorders>
            <w:vAlign w:val="center"/>
            <w:hideMark/>
          </w:tcPr>
          <w:p w14:paraId="0AD54E16" w14:textId="77777777" w:rsidR="00E569C4" w:rsidRPr="004E09DA" w:rsidRDefault="00E569C4" w:rsidP="00E569C4">
            <w:pPr>
              <w:jc w:val="center"/>
              <w:rPr>
                <w:color w:val="000000"/>
                <w:lang w:val="sr-Cyrl-CS" w:eastAsia="sr-Cyrl-CS"/>
              </w:rPr>
            </w:pPr>
            <w:r w:rsidRPr="004E09DA">
              <w:rPr>
                <w:color w:val="000000"/>
                <w:lang w:val="sr-Cyrl-CS" w:eastAsia="sr-Cyrl-CS"/>
              </w:rPr>
              <w:t>km</w:t>
            </w:r>
          </w:p>
        </w:tc>
        <w:tc>
          <w:tcPr>
            <w:tcW w:w="2285" w:type="dxa"/>
            <w:tcBorders>
              <w:top w:val="nil"/>
              <w:left w:val="nil"/>
              <w:bottom w:val="single" w:sz="4" w:space="0" w:color="000000"/>
              <w:right w:val="single" w:sz="4" w:space="0" w:color="000000"/>
            </w:tcBorders>
            <w:vAlign w:val="center"/>
            <w:hideMark/>
          </w:tcPr>
          <w:p w14:paraId="342145F5" w14:textId="77777777" w:rsidR="00E569C4" w:rsidRPr="004E09DA" w:rsidRDefault="00E569C4" w:rsidP="00E569C4">
            <w:pPr>
              <w:jc w:val="center"/>
              <w:rPr>
                <w:color w:val="000000"/>
                <w:lang w:val="sr-Cyrl-CS" w:eastAsia="sr-Cyrl-CS"/>
              </w:rPr>
            </w:pPr>
            <w:r w:rsidRPr="004E09DA">
              <w:rPr>
                <w:color w:val="000000"/>
                <w:lang w:val="sr-Cyrl-CS" w:eastAsia="sr-Cyrl-CS"/>
              </w:rPr>
              <w:t>16,2821</w:t>
            </w:r>
          </w:p>
        </w:tc>
        <w:tc>
          <w:tcPr>
            <w:tcW w:w="2285" w:type="dxa"/>
            <w:tcBorders>
              <w:top w:val="nil"/>
              <w:left w:val="nil"/>
              <w:bottom w:val="single" w:sz="4" w:space="0" w:color="000000"/>
              <w:right w:val="single" w:sz="4" w:space="0" w:color="000000"/>
            </w:tcBorders>
            <w:vAlign w:val="center"/>
            <w:hideMark/>
          </w:tcPr>
          <w:p w14:paraId="7B85A908"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c>
          <w:tcPr>
            <w:tcW w:w="2285" w:type="dxa"/>
            <w:tcBorders>
              <w:top w:val="nil"/>
              <w:left w:val="nil"/>
              <w:bottom w:val="single" w:sz="4" w:space="0" w:color="000000"/>
              <w:right w:val="single" w:sz="4" w:space="0" w:color="000000"/>
            </w:tcBorders>
            <w:vAlign w:val="center"/>
            <w:hideMark/>
          </w:tcPr>
          <w:p w14:paraId="51B2A0B9" w14:textId="77777777" w:rsidR="00E569C4" w:rsidRPr="004E09DA" w:rsidRDefault="00E569C4" w:rsidP="00E569C4">
            <w:pPr>
              <w:jc w:val="center"/>
              <w:rPr>
                <w:color w:val="000000"/>
                <w:lang w:val="sr-Cyrl-CS" w:eastAsia="sr-Cyrl-CS"/>
              </w:rPr>
            </w:pPr>
            <w:r w:rsidRPr="004E09DA">
              <w:rPr>
                <w:color w:val="000000"/>
                <w:lang w:val="sr-Cyrl-CS" w:eastAsia="sr-Cyrl-CS"/>
              </w:rPr>
              <w:t>-</w:t>
            </w:r>
          </w:p>
        </w:tc>
      </w:tr>
      <w:tr w:rsidR="00E569C4" w:rsidRPr="004E09DA" w14:paraId="62BB7A2B" w14:textId="77777777" w:rsidTr="00E569C4">
        <w:trPr>
          <w:trHeight w:val="297"/>
        </w:trPr>
        <w:tc>
          <w:tcPr>
            <w:tcW w:w="1335" w:type="dxa"/>
            <w:tcBorders>
              <w:top w:val="nil"/>
              <w:left w:val="single" w:sz="4" w:space="0" w:color="000000"/>
              <w:bottom w:val="single" w:sz="4" w:space="0" w:color="000000"/>
              <w:right w:val="single" w:sz="4" w:space="0" w:color="000000"/>
            </w:tcBorders>
            <w:vAlign w:val="center"/>
            <w:hideMark/>
          </w:tcPr>
          <w:p w14:paraId="67E5F806" w14:textId="77777777" w:rsidR="00E569C4" w:rsidRPr="004E09DA" w:rsidRDefault="00E569C4" w:rsidP="00E569C4">
            <w:pPr>
              <w:jc w:val="center"/>
              <w:rPr>
                <w:color w:val="000000"/>
                <w:lang w:val="sr-Cyrl-CS" w:eastAsia="sr-Cyrl-CS"/>
              </w:rPr>
            </w:pPr>
            <w:r w:rsidRPr="004E09DA">
              <w:rPr>
                <w:color w:val="000000"/>
                <w:lang w:val="sr-Cyrl-CS" w:eastAsia="sr-Cyrl-CS"/>
              </w:rPr>
              <w:t>IV</w:t>
            </w:r>
          </w:p>
        </w:tc>
        <w:tc>
          <w:tcPr>
            <w:tcW w:w="1241" w:type="dxa"/>
            <w:tcBorders>
              <w:top w:val="nil"/>
              <w:left w:val="nil"/>
              <w:bottom w:val="single" w:sz="4" w:space="0" w:color="000000"/>
              <w:right w:val="single" w:sz="4" w:space="0" w:color="000000"/>
            </w:tcBorders>
            <w:vAlign w:val="center"/>
            <w:hideMark/>
          </w:tcPr>
          <w:p w14:paraId="7C68EF3E" w14:textId="77777777" w:rsidR="00E569C4" w:rsidRPr="004E09DA" w:rsidRDefault="00E569C4" w:rsidP="00E569C4">
            <w:pPr>
              <w:jc w:val="center"/>
              <w:rPr>
                <w:color w:val="000000"/>
                <w:lang w:val="sr-Cyrl-CS" w:eastAsia="sr-Cyrl-CS"/>
              </w:rPr>
            </w:pPr>
            <w:r w:rsidRPr="004E09DA">
              <w:rPr>
                <w:color w:val="000000"/>
                <w:lang w:val="sr-Cyrl-CS" w:eastAsia="sr-Cyrl-CS"/>
              </w:rPr>
              <w:t>km</w:t>
            </w:r>
          </w:p>
        </w:tc>
        <w:tc>
          <w:tcPr>
            <w:tcW w:w="2285" w:type="dxa"/>
            <w:tcBorders>
              <w:top w:val="nil"/>
              <w:left w:val="nil"/>
              <w:bottom w:val="single" w:sz="4" w:space="0" w:color="000000"/>
              <w:right w:val="single" w:sz="4" w:space="0" w:color="000000"/>
            </w:tcBorders>
            <w:vAlign w:val="center"/>
            <w:hideMark/>
          </w:tcPr>
          <w:p w14:paraId="60AF2165" w14:textId="77777777" w:rsidR="00E569C4" w:rsidRPr="004E09DA" w:rsidRDefault="00E569C4" w:rsidP="00E569C4">
            <w:pPr>
              <w:jc w:val="center"/>
              <w:rPr>
                <w:color w:val="000000"/>
                <w:lang w:val="sr-Cyrl-CS" w:eastAsia="sr-Cyrl-CS"/>
              </w:rPr>
            </w:pPr>
            <w:r w:rsidRPr="004E09DA">
              <w:rPr>
                <w:color w:val="000000"/>
                <w:lang w:val="sr-Cyrl-CS" w:eastAsia="sr-Cyrl-CS"/>
              </w:rPr>
              <w:t>32,5644</w:t>
            </w:r>
          </w:p>
        </w:tc>
        <w:tc>
          <w:tcPr>
            <w:tcW w:w="2285" w:type="dxa"/>
            <w:tcBorders>
              <w:top w:val="nil"/>
              <w:left w:val="nil"/>
              <w:bottom w:val="single" w:sz="4" w:space="0" w:color="000000"/>
              <w:right w:val="single" w:sz="4" w:space="0" w:color="000000"/>
            </w:tcBorders>
            <w:vAlign w:val="center"/>
            <w:hideMark/>
          </w:tcPr>
          <w:p w14:paraId="39A113E8" w14:textId="77777777" w:rsidR="00E569C4" w:rsidRPr="004E09DA" w:rsidRDefault="00E569C4" w:rsidP="00E569C4">
            <w:pPr>
              <w:jc w:val="center"/>
              <w:rPr>
                <w:color w:val="000000"/>
                <w:lang w:val="sr-Cyrl-CS" w:eastAsia="sr-Cyrl-CS"/>
              </w:rPr>
            </w:pPr>
            <w:r w:rsidRPr="004E09DA">
              <w:rPr>
                <w:color w:val="000000"/>
                <w:lang w:val="sr-Cyrl-CS" w:eastAsia="sr-Cyrl-CS"/>
              </w:rPr>
              <w:t>29,3079</w:t>
            </w:r>
          </w:p>
        </w:tc>
        <w:tc>
          <w:tcPr>
            <w:tcW w:w="2285" w:type="dxa"/>
            <w:tcBorders>
              <w:top w:val="nil"/>
              <w:left w:val="nil"/>
              <w:bottom w:val="single" w:sz="4" w:space="0" w:color="000000"/>
              <w:right w:val="single" w:sz="4" w:space="0" w:color="000000"/>
            </w:tcBorders>
            <w:vAlign w:val="center"/>
            <w:hideMark/>
          </w:tcPr>
          <w:p w14:paraId="73857A8D" w14:textId="77777777" w:rsidR="00E569C4" w:rsidRPr="004E09DA" w:rsidRDefault="00E569C4" w:rsidP="00E569C4">
            <w:pPr>
              <w:jc w:val="center"/>
              <w:rPr>
                <w:color w:val="000000"/>
                <w:lang w:val="sr-Cyrl-CS" w:eastAsia="sr-Cyrl-CS"/>
              </w:rPr>
            </w:pPr>
            <w:r w:rsidRPr="004E09DA">
              <w:rPr>
                <w:color w:val="000000"/>
                <w:lang w:val="sr-Cyrl-CS" w:eastAsia="sr-Cyrl-CS"/>
              </w:rPr>
              <w:t>26,0515</w:t>
            </w:r>
          </w:p>
        </w:tc>
      </w:tr>
    </w:tbl>
    <w:p w14:paraId="4D4AA2B4" w14:textId="77777777" w:rsidR="00E569C4" w:rsidRPr="004E09DA" w:rsidRDefault="00E569C4" w:rsidP="00E569C4">
      <w:pPr>
        <w:tabs>
          <w:tab w:val="left" w:pos="990"/>
        </w:tabs>
        <w:autoSpaceDE w:val="0"/>
        <w:autoSpaceDN w:val="0"/>
        <w:adjustRightInd w:val="0"/>
        <w:ind w:left="-142"/>
        <w:rPr>
          <w:rFonts w:eastAsia="Calibri"/>
          <w:lang w:val="sr-Cyrl-CS"/>
        </w:rPr>
      </w:pPr>
      <w:r w:rsidRPr="004E09DA">
        <w:rPr>
          <w:noProof/>
          <w:lang w:val="sr-Cyrl-CS"/>
        </w:rPr>
        <w:t xml:space="preserve">                                                                                                                                                          </w:t>
      </w:r>
    </w:p>
    <w:p w14:paraId="4350C07D" w14:textId="77777777" w:rsidR="00E569C4" w:rsidRPr="004E09DA" w:rsidRDefault="00E569C4" w:rsidP="00E569C4">
      <w:pPr>
        <w:tabs>
          <w:tab w:val="left" w:pos="284"/>
        </w:tabs>
        <w:autoSpaceDE w:val="0"/>
        <w:autoSpaceDN w:val="0"/>
        <w:adjustRightInd w:val="0"/>
        <w:jc w:val="center"/>
        <w:rPr>
          <w:rFonts w:eastAsia="Calibri"/>
          <w:lang w:val="sr-Cyrl-CS"/>
        </w:rPr>
      </w:pPr>
      <w:r w:rsidRPr="004E09DA">
        <w:rPr>
          <w:rFonts w:eastAsia="Calibri"/>
          <w:lang w:val="sr-Cyrl-CS"/>
        </w:rPr>
        <w:t>Табела 11. Висина годишње накнаде за коришћење делова путног земљишта и другог земљишта које користи управљач државног пута, поред државних путева I и II реда, а које обвезник накнаде користи за приступ и изградњу објекта, осим физичког лица које земљиште користи за сопствене потребе</w:t>
      </w:r>
    </w:p>
    <w:p w14:paraId="0BF540DF" w14:textId="77777777" w:rsidR="00E569C4" w:rsidRPr="004E09DA" w:rsidRDefault="00E569C4" w:rsidP="00E569C4">
      <w:pPr>
        <w:autoSpaceDE w:val="0"/>
        <w:autoSpaceDN w:val="0"/>
        <w:adjustRightInd w:val="0"/>
        <w:jc w:val="center"/>
        <w:rPr>
          <w:rFonts w:eastAsia="Calibri"/>
          <w:lang w:val="sr-Cyrl-C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5850"/>
      </w:tblGrid>
      <w:tr w:rsidR="00E569C4" w:rsidRPr="004E09DA" w14:paraId="5606D394" w14:textId="77777777" w:rsidTr="00E569C4">
        <w:trPr>
          <w:trHeight w:val="348"/>
        </w:trPr>
        <w:tc>
          <w:tcPr>
            <w:tcW w:w="3420" w:type="dxa"/>
            <w:vAlign w:val="center"/>
          </w:tcPr>
          <w:p w14:paraId="5AC66D19" w14:textId="77777777" w:rsidR="00E569C4" w:rsidRPr="004E09DA" w:rsidRDefault="00E569C4" w:rsidP="00E569C4">
            <w:pPr>
              <w:jc w:val="center"/>
              <w:rPr>
                <w:rFonts w:eastAsia="Calibri"/>
                <w:lang w:val="sr-Cyrl-CS" w:eastAsia="en-GB"/>
              </w:rPr>
            </w:pPr>
            <w:r w:rsidRPr="004E09DA">
              <w:rPr>
                <w:rFonts w:eastAsia="Calibri"/>
                <w:lang w:val="sr-Cyrl-CS" w:eastAsia="en-GB"/>
              </w:rPr>
              <w:t>Државни пут</w:t>
            </w:r>
          </w:p>
        </w:tc>
        <w:tc>
          <w:tcPr>
            <w:tcW w:w="5850" w:type="dxa"/>
            <w:vAlign w:val="center"/>
          </w:tcPr>
          <w:p w14:paraId="095439DE" w14:textId="77777777" w:rsidR="00E569C4" w:rsidRPr="004E09DA" w:rsidRDefault="00E569C4" w:rsidP="00E569C4">
            <w:pPr>
              <w:jc w:val="center"/>
              <w:rPr>
                <w:rFonts w:eastAsia="Calibri"/>
                <w:lang w:val="sr-Cyrl-CS" w:eastAsia="en-GB"/>
              </w:rPr>
            </w:pPr>
            <w:r w:rsidRPr="004E09DA">
              <w:rPr>
                <w:rFonts w:eastAsia="Calibri"/>
                <w:lang w:val="sr-Cyrl-CS" w:eastAsia="en-GB"/>
              </w:rPr>
              <w:t xml:space="preserve">Висина </w:t>
            </w:r>
            <w:r w:rsidRPr="004E09DA">
              <w:rPr>
                <w:lang w:val="sr-Cyrl-CS"/>
              </w:rPr>
              <w:t xml:space="preserve">годишње </w:t>
            </w:r>
            <w:r w:rsidRPr="004E09DA">
              <w:rPr>
                <w:rFonts w:eastAsia="Calibri"/>
                <w:lang w:val="sr-Cyrl-CS" w:eastAsia="en-GB"/>
              </w:rPr>
              <w:t>накнаде</w:t>
            </w:r>
          </w:p>
          <w:p w14:paraId="7F3CAEB2" w14:textId="77777777" w:rsidR="00E569C4" w:rsidRPr="004E09DA" w:rsidRDefault="00E569C4" w:rsidP="00E569C4">
            <w:pPr>
              <w:jc w:val="center"/>
              <w:rPr>
                <w:rFonts w:eastAsia="Calibri"/>
                <w:lang w:val="sr-Cyrl-CS" w:eastAsia="en-GB"/>
              </w:rPr>
            </w:pPr>
            <w:r w:rsidRPr="004E09DA">
              <w:rPr>
                <w:rFonts w:eastAsia="Calibri"/>
                <w:lang w:val="sr-Cyrl-CS" w:eastAsia="en-GB"/>
              </w:rPr>
              <w:t xml:space="preserve"> (динара/m² коришћеног путног земљишта)</w:t>
            </w:r>
          </w:p>
        </w:tc>
      </w:tr>
      <w:tr w:rsidR="00E569C4" w:rsidRPr="004E09DA" w14:paraId="17FD9A77" w14:textId="77777777" w:rsidTr="00E569C4">
        <w:trPr>
          <w:trHeight w:val="345"/>
        </w:trPr>
        <w:tc>
          <w:tcPr>
            <w:tcW w:w="3420" w:type="dxa"/>
            <w:noWrap/>
            <w:vAlign w:val="center"/>
          </w:tcPr>
          <w:p w14:paraId="5EEFCAC7" w14:textId="77777777" w:rsidR="00E569C4" w:rsidRPr="004E09DA" w:rsidRDefault="00E569C4" w:rsidP="00E569C4">
            <w:pPr>
              <w:jc w:val="center"/>
              <w:rPr>
                <w:rFonts w:eastAsia="Calibri"/>
                <w:lang w:val="sr-Cyrl-CS" w:eastAsia="en-GB"/>
              </w:rPr>
            </w:pPr>
            <w:r w:rsidRPr="004E09DA">
              <w:rPr>
                <w:rFonts w:eastAsia="Calibri"/>
                <w:lang w:val="sr-Cyrl-CS" w:eastAsia="en-GB"/>
              </w:rPr>
              <w:t>I А реда</w:t>
            </w:r>
          </w:p>
        </w:tc>
        <w:tc>
          <w:tcPr>
            <w:tcW w:w="5850" w:type="dxa"/>
            <w:noWrap/>
            <w:vAlign w:val="center"/>
          </w:tcPr>
          <w:p w14:paraId="3043115B" w14:textId="77777777" w:rsidR="00E569C4" w:rsidRPr="004E09DA" w:rsidRDefault="00E569C4" w:rsidP="00E569C4">
            <w:pPr>
              <w:jc w:val="center"/>
              <w:rPr>
                <w:lang w:val="sr-Cyrl-CS"/>
              </w:rPr>
            </w:pPr>
            <w:r w:rsidRPr="004E09DA">
              <w:rPr>
                <w:lang w:val="sr-Cyrl-CS"/>
              </w:rPr>
              <w:t>1.180,64</w:t>
            </w:r>
          </w:p>
        </w:tc>
      </w:tr>
      <w:tr w:rsidR="00E569C4" w:rsidRPr="004E09DA" w14:paraId="2406B366" w14:textId="77777777" w:rsidTr="00E569C4">
        <w:trPr>
          <w:trHeight w:val="309"/>
        </w:trPr>
        <w:tc>
          <w:tcPr>
            <w:tcW w:w="3420" w:type="dxa"/>
            <w:noWrap/>
            <w:vAlign w:val="center"/>
          </w:tcPr>
          <w:p w14:paraId="771B88DD" w14:textId="77777777" w:rsidR="00E569C4" w:rsidRPr="004E09DA" w:rsidRDefault="00E569C4" w:rsidP="00E569C4">
            <w:pPr>
              <w:jc w:val="center"/>
              <w:rPr>
                <w:rFonts w:eastAsia="Calibri"/>
                <w:lang w:val="sr-Cyrl-CS" w:eastAsia="en-GB"/>
              </w:rPr>
            </w:pPr>
            <w:r w:rsidRPr="004E09DA">
              <w:rPr>
                <w:rFonts w:eastAsia="Calibri"/>
                <w:lang w:val="sr-Cyrl-CS" w:eastAsia="en-GB"/>
              </w:rPr>
              <w:t>IМ реда</w:t>
            </w:r>
          </w:p>
        </w:tc>
        <w:tc>
          <w:tcPr>
            <w:tcW w:w="5850" w:type="dxa"/>
            <w:noWrap/>
            <w:vAlign w:val="center"/>
          </w:tcPr>
          <w:p w14:paraId="765E8AFB" w14:textId="77777777" w:rsidR="00E569C4" w:rsidRPr="004E09DA" w:rsidRDefault="00E569C4" w:rsidP="00E569C4">
            <w:pPr>
              <w:jc w:val="center"/>
              <w:rPr>
                <w:lang w:val="sr-Cyrl-CS"/>
              </w:rPr>
            </w:pPr>
            <w:r w:rsidRPr="004E09DA">
              <w:rPr>
                <w:lang w:val="sr-Cyrl-CS"/>
              </w:rPr>
              <w:t>1.019,75</w:t>
            </w:r>
          </w:p>
        </w:tc>
      </w:tr>
      <w:tr w:rsidR="00E569C4" w:rsidRPr="004E09DA" w14:paraId="110199FC" w14:textId="77777777" w:rsidTr="00E569C4">
        <w:trPr>
          <w:trHeight w:val="330"/>
        </w:trPr>
        <w:tc>
          <w:tcPr>
            <w:tcW w:w="3420" w:type="dxa"/>
            <w:noWrap/>
            <w:vAlign w:val="center"/>
          </w:tcPr>
          <w:p w14:paraId="301D1F68" w14:textId="77777777" w:rsidR="00E569C4" w:rsidRPr="004E09DA" w:rsidRDefault="00E569C4" w:rsidP="00E569C4">
            <w:pPr>
              <w:jc w:val="center"/>
              <w:rPr>
                <w:rFonts w:eastAsia="Calibri"/>
                <w:lang w:val="sr-Cyrl-CS" w:eastAsia="en-GB"/>
              </w:rPr>
            </w:pPr>
            <w:r w:rsidRPr="004E09DA">
              <w:rPr>
                <w:rFonts w:eastAsia="Calibri"/>
                <w:lang w:val="sr-Cyrl-CS" w:eastAsia="en-GB"/>
              </w:rPr>
              <w:t>I Б реда</w:t>
            </w:r>
          </w:p>
        </w:tc>
        <w:tc>
          <w:tcPr>
            <w:tcW w:w="5850" w:type="dxa"/>
            <w:noWrap/>
            <w:vAlign w:val="center"/>
          </w:tcPr>
          <w:p w14:paraId="684A99F7" w14:textId="77777777" w:rsidR="00E569C4" w:rsidRPr="004E09DA" w:rsidRDefault="00E569C4" w:rsidP="00E569C4">
            <w:pPr>
              <w:jc w:val="center"/>
              <w:rPr>
                <w:lang w:val="sr-Cyrl-CS"/>
              </w:rPr>
            </w:pPr>
            <w:r w:rsidRPr="004E09DA">
              <w:rPr>
                <w:lang w:val="sr-Cyrl-CS"/>
              </w:rPr>
              <w:t>944,51</w:t>
            </w:r>
          </w:p>
        </w:tc>
      </w:tr>
      <w:tr w:rsidR="00E569C4" w:rsidRPr="004E09DA" w14:paraId="59D9531B" w14:textId="77777777" w:rsidTr="00E569C4">
        <w:trPr>
          <w:trHeight w:val="330"/>
        </w:trPr>
        <w:tc>
          <w:tcPr>
            <w:tcW w:w="3420" w:type="dxa"/>
            <w:noWrap/>
            <w:vAlign w:val="center"/>
          </w:tcPr>
          <w:p w14:paraId="057D18B0" w14:textId="77777777" w:rsidR="00E569C4" w:rsidRPr="004E09DA" w:rsidRDefault="00E569C4" w:rsidP="00E569C4">
            <w:pPr>
              <w:jc w:val="center"/>
              <w:rPr>
                <w:rFonts w:eastAsia="Calibri"/>
                <w:lang w:val="sr-Cyrl-CS" w:eastAsia="en-GB"/>
              </w:rPr>
            </w:pPr>
            <w:r w:rsidRPr="004E09DA">
              <w:rPr>
                <w:rFonts w:eastAsia="Calibri"/>
                <w:lang w:val="sr-Cyrl-CS" w:eastAsia="en-GB"/>
              </w:rPr>
              <w:t>II А реда</w:t>
            </w:r>
          </w:p>
        </w:tc>
        <w:tc>
          <w:tcPr>
            <w:tcW w:w="5850" w:type="dxa"/>
            <w:noWrap/>
            <w:vAlign w:val="center"/>
          </w:tcPr>
          <w:p w14:paraId="2B28DDFF" w14:textId="77777777" w:rsidR="00E569C4" w:rsidRPr="004E09DA" w:rsidRDefault="00E569C4" w:rsidP="00E569C4">
            <w:pPr>
              <w:jc w:val="center"/>
              <w:rPr>
                <w:lang w:val="sr-Cyrl-CS"/>
              </w:rPr>
            </w:pPr>
            <w:r w:rsidRPr="004E09DA">
              <w:rPr>
                <w:lang w:val="sr-Cyrl-CS"/>
              </w:rPr>
              <w:t>708,38</w:t>
            </w:r>
          </w:p>
        </w:tc>
      </w:tr>
      <w:tr w:rsidR="00E569C4" w:rsidRPr="004E09DA" w14:paraId="169EFA67" w14:textId="77777777" w:rsidTr="00E569C4">
        <w:trPr>
          <w:trHeight w:val="309"/>
        </w:trPr>
        <w:tc>
          <w:tcPr>
            <w:tcW w:w="3420" w:type="dxa"/>
            <w:noWrap/>
            <w:vAlign w:val="center"/>
          </w:tcPr>
          <w:p w14:paraId="015619FD" w14:textId="77777777" w:rsidR="00E569C4" w:rsidRPr="004E09DA" w:rsidRDefault="00E569C4" w:rsidP="00E569C4">
            <w:pPr>
              <w:jc w:val="center"/>
              <w:rPr>
                <w:rFonts w:eastAsia="Calibri"/>
                <w:lang w:val="sr-Cyrl-CS" w:eastAsia="en-GB"/>
              </w:rPr>
            </w:pPr>
            <w:r w:rsidRPr="004E09DA">
              <w:rPr>
                <w:rFonts w:eastAsia="Calibri"/>
                <w:lang w:val="sr-Cyrl-CS" w:eastAsia="en-GB"/>
              </w:rPr>
              <w:t>II Б реда</w:t>
            </w:r>
          </w:p>
        </w:tc>
        <w:tc>
          <w:tcPr>
            <w:tcW w:w="5850" w:type="dxa"/>
            <w:noWrap/>
            <w:vAlign w:val="center"/>
          </w:tcPr>
          <w:p w14:paraId="5F2FB6F4" w14:textId="77777777" w:rsidR="00E569C4" w:rsidRPr="004E09DA" w:rsidRDefault="00E569C4" w:rsidP="00E569C4">
            <w:pPr>
              <w:tabs>
                <w:tab w:val="left" w:pos="990"/>
              </w:tabs>
              <w:jc w:val="center"/>
              <w:rPr>
                <w:highlight w:val="yellow"/>
                <w:lang w:val="sr-Cyrl-CS"/>
              </w:rPr>
            </w:pPr>
            <w:r w:rsidRPr="004E09DA">
              <w:rPr>
                <w:lang w:val="sr-Cyrl-CS"/>
              </w:rPr>
              <w:t>472,26</w:t>
            </w:r>
          </w:p>
          <w:p w14:paraId="448AA9C0" w14:textId="77777777" w:rsidR="00E569C4" w:rsidRPr="004E09DA" w:rsidRDefault="00E569C4" w:rsidP="00E569C4">
            <w:pPr>
              <w:jc w:val="center"/>
              <w:rPr>
                <w:lang w:val="sr-Cyrl-CS"/>
              </w:rPr>
            </w:pPr>
          </w:p>
        </w:tc>
      </w:tr>
    </w:tbl>
    <w:p w14:paraId="6BF8F81D" w14:textId="77777777" w:rsidR="00E569C4" w:rsidRPr="004E09DA" w:rsidRDefault="00E569C4" w:rsidP="00E569C4">
      <w:pPr>
        <w:tabs>
          <w:tab w:val="left" w:pos="990"/>
        </w:tabs>
        <w:ind w:firstLine="720"/>
        <w:jc w:val="right"/>
        <w:rPr>
          <w:lang w:val="sr-Cyrl-CS"/>
        </w:rPr>
      </w:pPr>
    </w:p>
    <w:p w14:paraId="4953614D" w14:textId="77777777" w:rsidR="00E569C4" w:rsidRPr="004E09DA" w:rsidRDefault="00E569C4" w:rsidP="00E569C4">
      <w:pPr>
        <w:autoSpaceDE w:val="0"/>
        <w:autoSpaceDN w:val="0"/>
        <w:adjustRightInd w:val="0"/>
        <w:jc w:val="center"/>
        <w:rPr>
          <w:rFonts w:eastAsia="Calibri"/>
          <w:lang w:val="sr-Cyrl-CS"/>
        </w:rPr>
      </w:pPr>
      <w:r w:rsidRPr="004E09DA">
        <w:rPr>
          <w:rFonts w:eastAsia="Calibri"/>
          <w:lang w:val="sr-Cyrl-CS"/>
        </w:rPr>
        <w:t>Табела 11.1 Износ највише годишње накнаде за коришћење делова путног земљишта и другог земљишта које користи управљач државног пута, поред државних путева I и II реда, а које обвезник накнаде користи за приступ и изградњу објекта, осим физичког лица које земљиште користи за сопствене потребе</w:t>
      </w:r>
    </w:p>
    <w:p w14:paraId="1EC8AF0D" w14:textId="77777777" w:rsidR="00E569C4" w:rsidRPr="004E09DA" w:rsidRDefault="00E569C4" w:rsidP="00E569C4">
      <w:pPr>
        <w:autoSpaceDE w:val="0"/>
        <w:autoSpaceDN w:val="0"/>
        <w:adjustRightInd w:val="0"/>
        <w:jc w:val="center"/>
        <w:rPr>
          <w:rFonts w:eastAsia="Calibri"/>
          <w:lang w:val="sr-Cyrl-C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5850"/>
      </w:tblGrid>
      <w:tr w:rsidR="00E569C4" w:rsidRPr="004E09DA" w14:paraId="6BCE6630" w14:textId="77777777" w:rsidTr="00E569C4">
        <w:trPr>
          <w:trHeight w:val="348"/>
        </w:trPr>
        <w:tc>
          <w:tcPr>
            <w:tcW w:w="3420" w:type="dxa"/>
            <w:tcBorders>
              <w:top w:val="single" w:sz="4" w:space="0" w:color="auto"/>
              <w:left w:val="single" w:sz="4" w:space="0" w:color="auto"/>
              <w:bottom w:val="single" w:sz="4" w:space="0" w:color="auto"/>
              <w:right w:val="single" w:sz="4" w:space="0" w:color="auto"/>
            </w:tcBorders>
            <w:vAlign w:val="center"/>
            <w:hideMark/>
          </w:tcPr>
          <w:p w14:paraId="13F044AA" w14:textId="77777777" w:rsidR="00E569C4" w:rsidRPr="004E09DA" w:rsidRDefault="00E569C4" w:rsidP="00E569C4">
            <w:pPr>
              <w:jc w:val="center"/>
              <w:rPr>
                <w:rFonts w:eastAsia="Calibri"/>
                <w:lang w:val="sr-Cyrl-CS" w:eastAsia="en-GB"/>
              </w:rPr>
            </w:pPr>
            <w:r w:rsidRPr="004E09DA">
              <w:rPr>
                <w:rFonts w:eastAsia="Calibri"/>
                <w:lang w:val="sr-Cyrl-CS" w:eastAsia="en-GB"/>
              </w:rPr>
              <w:t>Државни пут</w:t>
            </w:r>
          </w:p>
        </w:tc>
        <w:tc>
          <w:tcPr>
            <w:tcW w:w="5850" w:type="dxa"/>
            <w:tcBorders>
              <w:top w:val="single" w:sz="4" w:space="0" w:color="auto"/>
              <w:left w:val="single" w:sz="4" w:space="0" w:color="auto"/>
              <w:bottom w:val="single" w:sz="4" w:space="0" w:color="auto"/>
              <w:right w:val="single" w:sz="4" w:space="0" w:color="auto"/>
            </w:tcBorders>
            <w:vAlign w:val="center"/>
            <w:hideMark/>
          </w:tcPr>
          <w:p w14:paraId="0386F76B" w14:textId="77777777" w:rsidR="00E569C4" w:rsidRPr="004E09DA" w:rsidRDefault="00E569C4" w:rsidP="00E569C4">
            <w:pPr>
              <w:jc w:val="center"/>
              <w:rPr>
                <w:rFonts w:eastAsia="Calibri"/>
                <w:lang w:val="sr-Cyrl-CS" w:eastAsia="en-GB"/>
              </w:rPr>
            </w:pPr>
            <w:r w:rsidRPr="004E09DA">
              <w:rPr>
                <w:rFonts w:eastAsia="Calibri"/>
                <w:lang w:val="sr-Cyrl-CS" w:eastAsia="en-GB"/>
              </w:rPr>
              <w:t>Висина највише годишње накнаде у РСД</w:t>
            </w:r>
          </w:p>
        </w:tc>
      </w:tr>
      <w:tr w:rsidR="00E569C4" w:rsidRPr="004E09DA" w14:paraId="558D39C6" w14:textId="77777777" w:rsidTr="00E569C4">
        <w:trPr>
          <w:trHeight w:val="345"/>
        </w:trPr>
        <w:tc>
          <w:tcPr>
            <w:tcW w:w="3420" w:type="dxa"/>
            <w:tcBorders>
              <w:top w:val="single" w:sz="4" w:space="0" w:color="auto"/>
              <w:left w:val="single" w:sz="4" w:space="0" w:color="auto"/>
              <w:bottom w:val="single" w:sz="4" w:space="0" w:color="auto"/>
              <w:right w:val="single" w:sz="4" w:space="0" w:color="auto"/>
            </w:tcBorders>
            <w:noWrap/>
            <w:vAlign w:val="center"/>
            <w:hideMark/>
          </w:tcPr>
          <w:p w14:paraId="6833209E" w14:textId="77777777" w:rsidR="00E569C4" w:rsidRPr="004E09DA" w:rsidRDefault="00E569C4" w:rsidP="00E569C4">
            <w:pPr>
              <w:jc w:val="center"/>
              <w:rPr>
                <w:rFonts w:eastAsia="Calibri"/>
                <w:lang w:val="sr-Cyrl-CS" w:eastAsia="en-GB"/>
              </w:rPr>
            </w:pPr>
            <w:r w:rsidRPr="004E09DA">
              <w:rPr>
                <w:rFonts w:eastAsia="Calibri"/>
                <w:lang w:val="sr-Cyrl-CS" w:eastAsia="en-GB"/>
              </w:rPr>
              <w:t>I А реда</w:t>
            </w:r>
          </w:p>
        </w:tc>
        <w:tc>
          <w:tcPr>
            <w:tcW w:w="5850" w:type="dxa"/>
            <w:tcBorders>
              <w:top w:val="single" w:sz="4" w:space="0" w:color="auto"/>
              <w:left w:val="single" w:sz="4" w:space="0" w:color="auto"/>
              <w:bottom w:val="single" w:sz="4" w:space="0" w:color="auto"/>
              <w:right w:val="single" w:sz="4" w:space="0" w:color="auto"/>
            </w:tcBorders>
            <w:noWrap/>
            <w:vAlign w:val="center"/>
            <w:hideMark/>
          </w:tcPr>
          <w:p w14:paraId="0C773DDF" w14:textId="77777777" w:rsidR="00E569C4" w:rsidRPr="004E09DA" w:rsidRDefault="00E569C4" w:rsidP="00E569C4">
            <w:pPr>
              <w:jc w:val="center"/>
              <w:rPr>
                <w:lang w:val="sr-Cyrl-CS"/>
              </w:rPr>
            </w:pPr>
            <w:r w:rsidRPr="004E09DA">
              <w:rPr>
                <w:lang w:val="sr-Cyrl-CS"/>
              </w:rPr>
              <w:t xml:space="preserve">                      1.416.771,17  </w:t>
            </w:r>
          </w:p>
        </w:tc>
      </w:tr>
      <w:tr w:rsidR="00E569C4" w:rsidRPr="004E09DA" w14:paraId="4E42F3EF" w14:textId="77777777" w:rsidTr="00E569C4">
        <w:trPr>
          <w:trHeight w:val="309"/>
        </w:trPr>
        <w:tc>
          <w:tcPr>
            <w:tcW w:w="3420" w:type="dxa"/>
            <w:tcBorders>
              <w:top w:val="single" w:sz="4" w:space="0" w:color="auto"/>
              <w:left w:val="single" w:sz="4" w:space="0" w:color="auto"/>
              <w:bottom w:val="single" w:sz="4" w:space="0" w:color="auto"/>
              <w:right w:val="single" w:sz="4" w:space="0" w:color="auto"/>
            </w:tcBorders>
            <w:noWrap/>
            <w:vAlign w:val="center"/>
          </w:tcPr>
          <w:p w14:paraId="25EE4FC0" w14:textId="77777777" w:rsidR="00E569C4" w:rsidRPr="004E09DA" w:rsidRDefault="00E569C4" w:rsidP="00E569C4">
            <w:pPr>
              <w:jc w:val="center"/>
              <w:rPr>
                <w:rFonts w:eastAsia="Calibri"/>
                <w:lang w:val="sr-Cyrl-CS" w:eastAsia="en-GB"/>
              </w:rPr>
            </w:pPr>
            <w:r w:rsidRPr="004E09DA">
              <w:rPr>
                <w:rFonts w:eastAsia="Calibri"/>
                <w:lang w:val="sr-Cyrl-CS" w:eastAsia="en-GB"/>
              </w:rPr>
              <w:t>IМ реда</w:t>
            </w:r>
          </w:p>
        </w:tc>
        <w:tc>
          <w:tcPr>
            <w:tcW w:w="5850" w:type="dxa"/>
            <w:tcBorders>
              <w:top w:val="single" w:sz="4" w:space="0" w:color="auto"/>
              <w:left w:val="single" w:sz="4" w:space="0" w:color="auto"/>
              <w:bottom w:val="single" w:sz="4" w:space="0" w:color="auto"/>
              <w:right w:val="single" w:sz="4" w:space="0" w:color="auto"/>
            </w:tcBorders>
            <w:noWrap/>
            <w:vAlign w:val="center"/>
          </w:tcPr>
          <w:p w14:paraId="42764507" w14:textId="77777777" w:rsidR="00E569C4" w:rsidRPr="004E09DA" w:rsidRDefault="00E569C4" w:rsidP="00E569C4">
            <w:pPr>
              <w:jc w:val="center"/>
              <w:rPr>
                <w:lang w:val="sr-Cyrl-CS"/>
              </w:rPr>
            </w:pPr>
            <w:r w:rsidRPr="004E09DA">
              <w:rPr>
                <w:lang w:val="sr-Cyrl-CS"/>
              </w:rPr>
              <w:t xml:space="preserve">                    1.019.748,92</w:t>
            </w:r>
          </w:p>
        </w:tc>
      </w:tr>
      <w:tr w:rsidR="00E569C4" w:rsidRPr="004E09DA" w14:paraId="14D03744" w14:textId="77777777" w:rsidTr="00E569C4">
        <w:trPr>
          <w:trHeight w:val="330"/>
        </w:trPr>
        <w:tc>
          <w:tcPr>
            <w:tcW w:w="3420" w:type="dxa"/>
            <w:tcBorders>
              <w:top w:val="single" w:sz="4" w:space="0" w:color="auto"/>
              <w:left w:val="single" w:sz="4" w:space="0" w:color="auto"/>
              <w:bottom w:val="single" w:sz="4" w:space="0" w:color="auto"/>
              <w:right w:val="single" w:sz="4" w:space="0" w:color="auto"/>
            </w:tcBorders>
            <w:noWrap/>
            <w:vAlign w:val="center"/>
            <w:hideMark/>
          </w:tcPr>
          <w:p w14:paraId="79950238" w14:textId="77777777" w:rsidR="00E569C4" w:rsidRPr="004E09DA" w:rsidRDefault="00E569C4" w:rsidP="00E569C4">
            <w:pPr>
              <w:jc w:val="center"/>
              <w:rPr>
                <w:rFonts w:eastAsia="Calibri"/>
                <w:lang w:val="sr-Cyrl-CS" w:eastAsia="en-GB"/>
              </w:rPr>
            </w:pPr>
            <w:r w:rsidRPr="004E09DA">
              <w:rPr>
                <w:rFonts w:eastAsia="Calibri"/>
                <w:lang w:val="sr-Cyrl-CS" w:eastAsia="en-GB"/>
              </w:rPr>
              <w:t>I Б реда</w:t>
            </w:r>
          </w:p>
        </w:tc>
        <w:tc>
          <w:tcPr>
            <w:tcW w:w="5850" w:type="dxa"/>
            <w:tcBorders>
              <w:top w:val="single" w:sz="4" w:space="0" w:color="auto"/>
              <w:left w:val="single" w:sz="4" w:space="0" w:color="auto"/>
              <w:bottom w:val="single" w:sz="4" w:space="0" w:color="auto"/>
              <w:right w:val="single" w:sz="4" w:space="0" w:color="auto"/>
            </w:tcBorders>
            <w:noWrap/>
            <w:vAlign w:val="center"/>
            <w:hideMark/>
          </w:tcPr>
          <w:p w14:paraId="64831BD9" w14:textId="77777777" w:rsidR="00E569C4" w:rsidRPr="004E09DA" w:rsidRDefault="00E569C4" w:rsidP="00E569C4">
            <w:pPr>
              <w:jc w:val="center"/>
              <w:rPr>
                <w:lang w:val="sr-Cyrl-CS"/>
              </w:rPr>
            </w:pPr>
            <w:r w:rsidRPr="004E09DA">
              <w:rPr>
                <w:lang w:val="sr-Cyrl-CS"/>
              </w:rPr>
              <w:t xml:space="preserve">                         708.385,59  </w:t>
            </w:r>
          </w:p>
        </w:tc>
      </w:tr>
      <w:tr w:rsidR="00E569C4" w:rsidRPr="004E09DA" w14:paraId="3CD899EA" w14:textId="77777777" w:rsidTr="00E569C4">
        <w:trPr>
          <w:trHeight w:val="330"/>
        </w:trPr>
        <w:tc>
          <w:tcPr>
            <w:tcW w:w="3420" w:type="dxa"/>
            <w:tcBorders>
              <w:top w:val="single" w:sz="4" w:space="0" w:color="auto"/>
              <w:left w:val="single" w:sz="4" w:space="0" w:color="auto"/>
              <w:bottom w:val="single" w:sz="4" w:space="0" w:color="auto"/>
              <w:right w:val="single" w:sz="4" w:space="0" w:color="auto"/>
            </w:tcBorders>
            <w:noWrap/>
            <w:vAlign w:val="center"/>
            <w:hideMark/>
          </w:tcPr>
          <w:p w14:paraId="12E4E09B" w14:textId="77777777" w:rsidR="00E569C4" w:rsidRPr="004E09DA" w:rsidRDefault="00E569C4" w:rsidP="00E569C4">
            <w:pPr>
              <w:jc w:val="center"/>
              <w:rPr>
                <w:rFonts w:eastAsia="Calibri"/>
                <w:lang w:val="sr-Cyrl-CS" w:eastAsia="en-GB"/>
              </w:rPr>
            </w:pPr>
            <w:r w:rsidRPr="004E09DA">
              <w:rPr>
                <w:rFonts w:eastAsia="Calibri"/>
                <w:lang w:val="sr-Cyrl-CS" w:eastAsia="en-GB"/>
              </w:rPr>
              <w:t>II А реда</w:t>
            </w:r>
          </w:p>
        </w:tc>
        <w:tc>
          <w:tcPr>
            <w:tcW w:w="5850" w:type="dxa"/>
            <w:tcBorders>
              <w:top w:val="single" w:sz="4" w:space="0" w:color="auto"/>
              <w:left w:val="single" w:sz="4" w:space="0" w:color="auto"/>
              <w:bottom w:val="single" w:sz="4" w:space="0" w:color="auto"/>
              <w:right w:val="single" w:sz="4" w:space="0" w:color="auto"/>
            </w:tcBorders>
            <w:noWrap/>
            <w:vAlign w:val="center"/>
            <w:hideMark/>
          </w:tcPr>
          <w:p w14:paraId="718956EC" w14:textId="77777777" w:rsidR="00E569C4" w:rsidRPr="004E09DA" w:rsidRDefault="00E569C4" w:rsidP="00E569C4">
            <w:pPr>
              <w:jc w:val="center"/>
              <w:rPr>
                <w:lang w:val="sr-Cyrl-CS"/>
              </w:rPr>
            </w:pPr>
            <w:r w:rsidRPr="004E09DA">
              <w:rPr>
                <w:lang w:val="sr-Cyrl-CS"/>
              </w:rPr>
              <w:t xml:space="preserve">                         354.192,80  </w:t>
            </w:r>
          </w:p>
        </w:tc>
      </w:tr>
      <w:tr w:rsidR="00E569C4" w:rsidRPr="004E09DA" w14:paraId="2DFF51D0" w14:textId="77777777" w:rsidTr="00E569C4">
        <w:trPr>
          <w:trHeight w:val="309"/>
        </w:trPr>
        <w:tc>
          <w:tcPr>
            <w:tcW w:w="3420" w:type="dxa"/>
            <w:tcBorders>
              <w:top w:val="single" w:sz="4" w:space="0" w:color="auto"/>
              <w:left w:val="single" w:sz="4" w:space="0" w:color="auto"/>
              <w:bottom w:val="single" w:sz="4" w:space="0" w:color="auto"/>
              <w:right w:val="single" w:sz="4" w:space="0" w:color="auto"/>
            </w:tcBorders>
            <w:noWrap/>
            <w:vAlign w:val="center"/>
            <w:hideMark/>
          </w:tcPr>
          <w:p w14:paraId="5C957B5A" w14:textId="77777777" w:rsidR="00E569C4" w:rsidRPr="004E09DA" w:rsidRDefault="00E569C4" w:rsidP="00E569C4">
            <w:pPr>
              <w:jc w:val="center"/>
              <w:rPr>
                <w:rFonts w:eastAsia="Calibri"/>
                <w:lang w:val="sr-Cyrl-CS" w:eastAsia="en-GB"/>
              </w:rPr>
            </w:pPr>
            <w:r w:rsidRPr="004E09DA">
              <w:rPr>
                <w:rFonts w:eastAsia="Calibri"/>
                <w:lang w:val="sr-Cyrl-CS" w:eastAsia="en-GB"/>
              </w:rPr>
              <w:t>II Б реда</w:t>
            </w:r>
          </w:p>
        </w:tc>
        <w:tc>
          <w:tcPr>
            <w:tcW w:w="5850" w:type="dxa"/>
            <w:tcBorders>
              <w:top w:val="single" w:sz="4" w:space="0" w:color="auto"/>
              <w:left w:val="single" w:sz="4" w:space="0" w:color="auto"/>
              <w:bottom w:val="single" w:sz="4" w:space="0" w:color="auto"/>
              <w:right w:val="single" w:sz="4" w:space="0" w:color="auto"/>
            </w:tcBorders>
            <w:noWrap/>
            <w:vAlign w:val="center"/>
            <w:hideMark/>
          </w:tcPr>
          <w:p w14:paraId="6DAA0143" w14:textId="77777777" w:rsidR="00E569C4" w:rsidRPr="004E09DA" w:rsidRDefault="00E569C4" w:rsidP="00E569C4">
            <w:pPr>
              <w:jc w:val="center"/>
              <w:rPr>
                <w:lang w:val="sr-Cyrl-CS"/>
              </w:rPr>
            </w:pPr>
            <w:r w:rsidRPr="004E09DA">
              <w:rPr>
                <w:lang w:val="sr-Cyrl-CS"/>
              </w:rPr>
              <w:t xml:space="preserve">                         188.902,83</w:t>
            </w:r>
          </w:p>
        </w:tc>
      </w:tr>
    </w:tbl>
    <w:p w14:paraId="36F276C0" w14:textId="77777777" w:rsidR="00E569C4" w:rsidRPr="004E09DA" w:rsidRDefault="00E569C4" w:rsidP="00E569C4">
      <w:pPr>
        <w:tabs>
          <w:tab w:val="left" w:pos="990"/>
        </w:tabs>
        <w:ind w:firstLine="720"/>
        <w:jc w:val="right"/>
        <w:rPr>
          <w:lang w:val="sr-Cyrl-CS"/>
        </w:rPr>
      </w:pPr>
      <w:r w:rsidRPr="004E09DA">
        <w:rPr>
          <w:lang w:val="sr-Cyrl-CS"/>
        </w:rPr>
        <w:t>.”</w:t>
      </w:r>
    </w:p>
    <w:p w14:paraId="0EC26398" w14:textId="77777777" w:rsidR="00E569C4" w:rsidRPr="004E09DA" w:rsidRDefault="00E569C4" w:rsidP="00E569C4">
      <w:pPr>
        <w:tabs>
          <w:tab w:val="left" w:pos="990"/>
        </w:tabs>
        <w:rPr>
          <w:lang w:val="sr-Cyrl-CS"/>
        </w:rPr>
      </w:pPr>
    </w:p>
    <w:p w14:paraId="52736867" w14:textId="77777777" w:rsidR="00E569C4" w:rsidRPr="004E09DA" w:rsidRDefault="00E569C4" w:rsidP="00E569C4">
      <w:pPr>
        <w:tabs>
          <w:tab w:val="left" w:pos="990"/>
        </w:tabs>
        <w:jc w:val="center"/>
        <w:rPr>
          <w:lang w:val="sr-Cyrl-CS"/>
        </w:rPr>
      </w:pPr>
      <w:r w:rsidRPr="004E09DA">
        <w:rPr>
          <w:lang w:val="sr-Cyrl-CS"/>
        </w:rPr>
        <w:t>Члан 41.</w:t>
      </w:r>
    </w:p>
    <w:p w14:paraId="30791B60" w14:textId="77777777" w:rsidR="00E569C4" w:rsidRPr="004E09DA" w:rsidRDefault="00E569C4" w:rsidP="00E569C4">
      <w:pPr>
        <w:tabs>
          <w:tab w:val="left" w:pos="990"/>
        </w:tabs>
        <w:ind w:firstLine="720"/>
        <w:rPr>
          <w:lang w:val="sr-Cyrl-CS"/>
        </w:rPr>
      </w:pPr>
      <w:r w:rsidRPr="004E09DA">
        <w:rPr>
          <w:lang w:val="sr-Cyrl-CS"/>
        </w:rPr>
        <w:t>У Прилогу 15. тачка 9) речи: „кратких кôдова за комерцијалне услуге” замењују се речима: „петоцифрених кратких кôдова за позивање комерцијалних услугаˮ.</w:t>
      </w:r>
    </w:p>
    <w:p w14:paraId="311BF131" w14:textId="77777777" w:rsidR="00E569C4" w:rsidRPr="004E09DA" w:rsidRDefault="00E569C4" w:rsidP="00E569C4">
      <w:pPr>
        <w:tabs>
          <w:tab w:val="left" w:pos="990"/>
        </w:tabs>
        <w:ind w:firstLine="720"/>
        <w:rPr>
          <w:lang w:val="sr-Cyrl-CS"/>
        </w:rPr>
      </w:pPr>
      <w:r w:rsidRPr="004E09DA">
        <w:rPr>
          <w:lang w:val="sr-Cyrl-CS"/>
        </w:rPr>
        <w:t>Тачка 10) мења се и гласи:</w:t>
      </w:r>
    </w:p>
    <w:p w14:paraId="1800AAF0" w14:textId="77777777" w:rsidR="00E569C4" w:rsidRPr="004E09DA" w:rsidRDefault="00E569C4" w:rsidP="00E569C4">
      <w:pPr>
        <w:rPr>
          <w:lang w:val="sr-Cyrl-CS"/>
        </w:rPr>
      </w:pPr>
      <w:r w:rsidRPr="004E09DA">
        <w:rPr>
          <w:lang w:val="sr-Cyrl-CS"/>
        </w:rPr>
        <w:tab/>
        <w:t>„10) Годишња накнада за коришћење појединачно додељених четвороцифрених кратких кôдова за позивање комерцијалних услуга износи 225.000,00 динара;ˮ.</w:t>
      </w:r>
    </w:p>
    <w:p w14:paraId="6CAA6D43" w14:textId="77777777" w:rsidR="00E569C4" w:rsidRPr="004E09DA" w:rsidRDefault="00E569C4" w:rsidP="00E569C4">
      <w:pPr>
        <w:ind w:firstLine="720"/>
        <w:rPr>
          <w:lang w:val="sr-Cyrl-CS"/>
        </w:rPr>
      </w:pPr>
      <w:r w:rsidRPr="004E09DA">
        <w:rPr>
          <w:lang w:val="sr-Cyrl-CS"/>
        </w:rPr>
        <w:t>У тачки 11) алинеја пета речи: „троцифрени одредишни кôд мобилне мреже” замењују се речима: „троцифрени национални одредишни кôд за виртуелне мобилне операторе”.</w:t>
      </w:r>
    </w:p>
    <w:p w14:paraId="612E8665" w14:textId="77777777" w:rsidR="00E569C4" w:rsidRPr="004E09DA" w:rsidRDefault="00E569C4" w:rsidP="00E569C4">
      <w:pPr>
        <w:ind w:firstLine="720"/>
        <w:jc w:val="left"/>
        <w:rPr>
          <w:lang w:val="sr-Cyrl-CS"/>
        </w:rPr>
      </w:pPr>
      <w:r w:rsidRPr="004E09DA">
        <w:rPr>
          <w:lang w:val="sr-Cyrl-CS"/>
        </w:rPr>
        <w:t xml:space="preserve">Додају се тач. 12) и 13), које гласе: </w:t>
      </w:r>
    </w:p>
    <w:p w14:paraId="50E6AFA0" w14:textId="77777777" w:rsidR="00E569C4" w:rsidRPr="004E09DA" w:rsidRDefault="00E569C4" w:rsidP="00E569C4">
      <w:pPr>
        <w:ind w:firstLine="709"/>
        <w:rPr>
          <w:lang w:val="sr-Cyrl-CS"/>
        </w:rPr>
      </w:pPr>
      <w:r w:rsidRPr="004E09DA">
        <w:rPr>
          <w:lang w:val="sr-Cyrl-CS"/>
        </w:rPr>
        <w:lastRenderedPageBreak/>
        <w:t>„12) Годишња накнада за коришћење појединачно додељених кратких СМС кодова за услуге са додатом вредношћу утврђује се у следећем износу:</w:t>
      </w:r>
      <w:r w:rsidRPr="004E09DA">
        <w:rPr>
          <w:lang w:val="sr-Cyrl-CS"/>
        </w:rPr>
        <w:br/>
        <w:t xml:space="preserve">         – четвороцифрени кôд</w:t>
      </w:r>
      <w:r w:rsidRPr="004E09DA">
        <w:rPr>
          <w:lang w:val="sr-Cyrl-CS"/>
        </w:rPr>
        <w:tab/>
      </w:r>
      <w:r w:rsidRPr="004E09DA">
        <w:rPr>
          <w:lang w:val="sr-Cyrl-CS"/>
        </w:rPr>
        <w:tab/>
        <w:t xml:space="preserve">                                                                  24.000,00 динара;</w:t>
      </w:r>
    </w:p>
    <w:p w14:paraId="3CEC6C49" w14:textId="77777777" w:rsidR="00E569C4" w:rsidRPr="004E09DA" w:rsidRDefault="00E569C4" w:rsidP="00E569C4">
      <w:pPr>
        <w:ind w:left="567"/>
        <w:rPr>
          <w:lang w:val="sr-Cyrl-CS"/>
        </w:rPr>
      </w:pPr>
      <w:r w:rsidRPr="004E09DA">
        <w:rPr>
          <w:lang w:val="sr-Cyrl-CS"/>
        </w:rPr>
        <w:t>– петоцифрени кôд</w:t>
      </w:r>
      <w:r w:rsidRPr="004E09DA">
        <w:rPr>
          <w:lang w:val="sr-Cyrl-CS"/>
        </w:rPr>
        <w:tab/>
      </w:r>
      <w:r w:rsidRPr="004E09DA">
        <w:rPr>
          <w:lang w:val="sr-Cyrl-CS"/>
        </w:rPr>
        <w:tab/>
      </w:r>
      <w:r w:rsidRPr="004E09DA">
        <w:rPr>
          <w:lang w:val="sr-Cyrl-CS"/>
        </w:rPr>
        <w:tab/>
      </w:r>
      <w:r w:rsidRPr="004E09DA">
        <w:rPr>
          <w:lang w:val="sr-Cyrl-CS"/>
        </w:rPr>
        <w:tab/>
      </w:r>
      <w:r w:rsidRPr="004E09DA">
        <w:rPr>
          <w:lang w:val="sr-Cyrl-CS"/>
        </w:rPr>
        <w:tab/>
        <w:t xml:space="preserve">                              12.000,00 динара;</w:t>
      </w:r>
    </w:p>
    <w:p w14:paraId="5502FA38" w14:textId="77777777" w:rsidR="00E569C4" w:rsidRPr="004E09DA" w:rsidRDefault="00E569C4" w:rsidP="00E569C4">
      <w:pPr>
        <w:ind w:left="567"/>
        <w:rPr>
          <w:lang w:val="sr-Cyrl-CS"/>
        </w:rPr>
      </w:pPr>
      <w:r w:rsidRPr="004E09DA">
        <w:rPr>
          <w:lang w:val="sr-Cyrl-CS"/>
        </w:rPr>
        <w:t>– шестоцифрени кôд</w:t>
      </w:r>
      <w:r w:rsidRPr="004E09DA">
        <w:rPr>
          <w:lang w:val="sr-Cyrl-CS"/>
        </w:rPr>
        <w:tab/>
        <w:t xml:space="preserve">                                                                                6.000,00 динара;     </w:t>
      </w:r>
    </w:p>
    <w:p w14:paraId="6E461E0B" w14:textId="77777777" w:rsidR="00E569C4" w:rsidRPr="004E09DA" w:rsidRDefault="00E569C4" w:rsidP="00E569C4">
      <w:pPr>
        <w:rPr>
          <w:lang w:val="sr-Cyrl-CS"/>
        </w:rPr>
      </w:pPr>
      <w:r w:rsidRPr="004E09DA">
        <w:rPr>
          <w:lang w:val="sr-Cyrl-CS"/>
        </w:rPr>
        <w:tab/>
        <w:t>13) Годишња накнада за коришћење појединачно додељених кратких СМС кодова за услуге са додатом вредношћу за комуналне услуге утврђује се у следећем износу:</w:t>
      </w:r>
      <w:r w:rsidRPr="004E09DA">
        <w:rPr>
          <w:lang w:val="sr-Cyrl-CS"/>
        </w:rPr>
        <w:br/>
        <w:t xml:space="preserve">            – четвороцифрени кôд</w:t>
      </w:r>
      <w:r w:rsidRPr="004E09DA">
        <w:rPr>
          <w:lang w:val="sr-Cyrl-CS"/>
        </w:rPr>
        <w:tab/>
      </w:r>
      <w:r w:rsidRPr="004E09DA">
        <w:rPr>
          <w:lang w:val="sr-Cyrl-CS"/>
        </w:rPr>
        <w:tab/>
        <w:t xml:space="preserve">                                                      12.000,00 динара;</w:t>
      </w:r>
    </w:p>
    <w:p w14:paraId="12FB74D3" w14:textId="77777777" w:rsidR="00E569C4" w:rsidRPr="004E09DA" w:rsidRDefault="00E569C4" w:rsidP="00E569C4">
      <w:pPr>
        <w:ind w:left="709"/>
        <w:rPr>
          <w:lang w:val="sr-Cyrl-CS"/>
        </w:rPr>
      </w:pPr>
      <w:r w:rsidRPr="004E09DA">
        <w:rPr>
          <w:lang w:val="sr-Cyrl-CS"/>
        </w:rPr>
        <w:t>– петоцифрени кôд</w:t>
      </w:r>
      <w:r w:rsidRPr="004E09DA">
        <w:rPr>
          <w:lang w:val="sr-Cyrl-CS"/>
        </w:rPr>
        <w:tab/>
      </w:r>
      <w:r w:rsidRPr="004E09DA">
        <w:rPr>
          <w:lang w:val="sr-Cyrl-CS"/>
        </w:rPr>
        <w:tab/>
      </w:r>
      <w:r w:rsidRPr="004E09DA">
        <w:rPr>
          <w:lang w:val="sr-Cyrl-CS"/>
        </w:rPr>
        <w:tab/>
      </w:r>
      <w:r w:rsidRPr="004E09DA">
        <w:rPr>
          <w:lang w:val="sr-Cyrl-CS"/>
        </w:rPr>
        <w:tab/>
      </w:r>
      <w:r w:rsidRPr="004E09DA">
        <w:rPr>
          <w:lang w:val="sr-Cyrl-CS"/>
        </w:rPr>
        <w:tab/>
        <w:t xml:space="preserve">                                6.000,00 динара;</w:t>
      </w:r>
    </w:p>
    <w:p w14:paraId="53BD7A9F" w14:textId="77777777" w:rsidR="00E569C4" w:rsidRPr="004E09DA" w:rsidRDefault="00E569C4" w:rsidP="00E569C4">
      <w:pPr>
        <w:tabs>
          <w:tab w:val="left" w:pos="709"/>
        </w:tabs>
        <w:jc w:val="left"/>
        <w:rPr>
          <w:lang w:val="sr-Cyrl-CS"/>
        </w:rPr>
      </w:pPr>
      <w:r w:rsidRPr="004E09DA">
        <w:rPr>
          <w:lang w:val="sr-Cyrl-CS"/>
        </w:rPr>
        <w:t xml:space="preserve">            – шестоцифрени кôд</w:t>
      </w:r>
      <w:r w:rsidRPr="004E09DA">
        <w:rPr>
          <w:lang w:val="sr-Cyrl-CS"/>
        </w:rPr>
        <w:tab/>
        <w:t xml:space="preserve">                                                                              3.000,00 динара.”</w:t>
      </w:r>
    </w:p>
    <w:p w14:paraId="271619E7" w14:textId="77777777" w:rsidR="00E569C4" w:rsidRPr="004E09DA" w:rsidRDefault="00E569C4" w:rsidP="00E569C4">
      <w:pPr>
        <w:ind w:firstLine="709"/>
        <w:jc w:val="left"/>
        <w:rPr>
          <w:lang w:val="sr-Cyrl-CS"/>
        </w:rPr>
      </w:pPr>
      <w:r w:rsidRPr="004E09DA">
        <w:rPr>
          <w:lang w:val="sr-Cyrl-CS"/>
        </w:rPr>
        <w:t xml:space="preserve">                                                                                                                  </w:t>
      </w:r>
    </w:p>
    <w:p w14:paraId="15EC7B3A" w14:textId="77777777" w:rsidR="00E569C4" w:rsidRPr="004E09DA" w:rsidRDefault="00E569C4" w:rsidP="00E569C4">
      <w:pPr>
        <w:ind w:firstLine="720"/>
        <w:rPr>
          <w:lang w:val="sr-Cyrl-CS"/>
        </w:rPr>
      </w:pPr>
    </w:p>
    <w:p w14:paraId="2C401E6A" w14:textId="77777777" w:rsidR="00E569C4" w:rsidRPr="004E09DA" w:rsidRDefault="00E569C4" w:rsidP="00E569C4">
      <w:pPr>
        <w:tabs>
          <w:tab w:val="left" w:pos="990"/>
        </w:tabs>
        <w:jc w:val="center"/>
        <w:rPr>
          <w:lang w:val="sr-Cyrl-CS"/>
        </w:rPr>
      </w:pPr>
      <w:r w:rsidRPr="004E09DA">
        <w:rPr>
          <w:lang w:val="sr-Cyrl-CS"/>
        </w:rPr>
        <w:t>Члан 42.</w:t>
      </w:r>
    </w:p>
    <w:p w14:paraId="32DB80C8" w14:textId="77777777" w:rsidR="00E569C4" w:rsidRPr="004E09DA" w:rsidRDefault="00E569C4" w:rsidP="00E569C4">
      <w:pPr>
        <w:ind w:firstLine="720"/>
        <w:rPr>
          <w:lang w:val="sr-Cyrl-CS"/>
        </w:rPr>
      </w:pPr>
      <w:r w:rsidRPr="004E09DA">
        <w:rPr>
          <w:bCs/>
          <w:lang w:val="sr-Cyrl-CS"/>
        </w:rPr>
        <w:t xml:space="preserve">У Прилогу 16. </w:t>
      </w:r>
      <w:r w:rsidRPr="004E09DA">
        <w:rPr>
          <w:lang w:val="sr-Cyrl-CS"/>
        </w:rPr>
        <w:t>тачка 1. подтачка 1.1. мења се и гласи:</w:t>
      </w:r>
    </w:p>
    <w:p w14:paraId="29E83BF2" w14:textId="77777777" w:rsidR="00E569C4" w:rsidRPr="004E09DA" w:rsidRDefault="00E569C4" w:rsidP="00E569C4">
      <w:pPr>
        <w:rPr>
          <w:lang w:val="sr-Cyrl-CS"/>
        </w:rPr>
      </w:pPr>
    </w:p>
    <w:p w14:paraId="4D506ABC" w14:textId="77777777" w:rsidR="00E569C4" w:rsidRPr="004E09DA" w:rsidRDefault="00E569C4" w:rsidP="00E569C4">
      <w:pPr>
        <w:spacing w:after="160" w:line="278" w:lineRule="auto"/>
        <w:ind w:firstLine="720"/>
        <w:rPr>
          <w:lang w:val="sr-Cyrl-CS"/>
        </w:rPr>
      </w:pPr>
      <w:r w:rsidRPr="004E09DA">
        <w:rPr>
          <w:lang w:val="sr-Cyrl-CS"/>
        </w:rPr>
        <w:t xml:space="preserve">„1.1. Аналогна радио-дифузна служба </w:t>
      </w:r>
    </w:p>
    <w:p w14:paraId="211B9480" w14:textId="77777777" w:rsidR="00E569C4" w:rsidRPr="004E09DA" w:rsidRDefault="00E569C4" w:rsidP="00E569C4">
      <w:pPr>
        <w:spacing w:after="160" w:line="278" w:lineRule="auto"/>
        <w:ind w:firstLine="709"/>
        <w:rPr>
          <w:lang w:val="sr-Cyrl-CS"/>
        </w:rPr>
      </w:pPr>
      <w:r w:rsidRPr="004E09DA">
        <w:rPr>
          <w:lang w:val="sr-Cyrl-CS"/>
        </w:rPr>
        <w:t xml:space="preserve">Н = О x A x В x Г x Д </w:t>
      </w:r>
    </w:p>
    <w:p w14:paraId="3A1CC30C" w14:textId="77777777" w:rsidR="00E569C4" w:rsidRPr="004E09DA" w:rsidRDefault="00E569C4" w:rsidP="00E569C4">
      <w:pPr>
        <w:pStyle w:val="ListParagraph"/>
      </w:pPr>
      <w:r w:rsidRPr="004E09DA">
        <w:t xml:space="preserve">где је: </w:t>
      </w:r>
      <w:r w:rsidRPr="004E09DA">
        <w:tab/>
      </w:r>
    </w:p>
    <w:p w14:paraId="7C73874F" w14:textId="77777777" w:rsidR="00E569C4" w:rsidRPr="004E09DA" w:rsidRDefault="00E569C4" w:rsidP="00E569C4">
      <w:pPr>
        <w:pStyle w:val="ListParagraph"/>
      </w:pPr>
      <w:r w:rsidRPr="004E09DA">
        <w:tab/>
      </w:r>
    </w:p>
    <w:p w14:paraId="771AEDBD" w14:textId="77777777" w:rsidR="00E569C4" w:rsidRPr="004E09DA" w:rsidRDefault="00E569C4" w:rsidP="00E569C4">
      <w:pPr>
        <w:ind w:firstLine="709"/>
        <w:rPr>
          <w:lang w:val="sr-Cyrl-CS"/>
        </w:rPr>
      </w:pPr>
      <w:r w:rsidRPr="004E09DA">
        <w:rPr>
          <w:lang w:val="sr-Cyrl-CS"/>
        </w:rPr>
        <w:t>Н - висина годишње накнаде;</w:t>
      </w:r>
    </w:p>
    <w:p w14:paraId="5F1F583B" w14:textId="77777777" w:rsidR="00E569C4" w:rsidRPr="004E09DA" w:rsidRDefault="00E569C4" w:rsidP="00E569C4">
      <w:pPr>
        <w:ind w:firstLine="737"/>
        <w:rPr>
          <w:lang w:val="sr-Cyrl-CS"/>
        </w:rPr>
      </w:pPr>
      <w:r w:rsidRPr="004E09DA">
        <w:rPr>
          <w:lang w:val="sr-Cyrl-CS"/>
        </w:rPr>
        <w:t>O - основица за израчунавање накнаде је 15,00 динара;</w:t>
      </w:r>
    </w:p>
    <w:p w14:paraId="5088B0EA" w14:textId="77777777" w:rsidR="00E569C4" w:rsidRPr="004E09DA" w:rsidRDefault="00E569C4" w:rsidP="00E569C4">
      <w:pPr>
        <w:ind w:firstLine="737"/>
        <w:rPr>
          <w:lang w:val="sr-Cyrl-CS"/>
        </w:rPr>
      </w:pPr>
      <w:r w:rsidRPr="004E09DA">
        <w:rPr>
          <w:lang w:val="sr-Cyrl-CS"/>
        </w:rPr>
        <w:t>A - број становника у зони опслуживања;</w:t>
      </w:r>
    </w:p>
    <w:p w14:paraId="26F7E6EA" w14:textId="77777777" w:rsidR="00E569C4" w:rsidRPr="004E09DA" w:rsidRDefault="00E569C4" w:rsidP="00E569C4">
      <w:pPr>
        <w:ind w:firstLine="737"/>
        <w:rPr>
          <w:lang w:val="sr-Cyrl-CS"/>
        </w:rPr>
      </w:pPr>
      <w:r w:rsidRPr="004E09DA">
        <w:rPr>
          <w:lang w:val="sr-Cyrl-CS"/>
        </w:rPr>
        <w:t>В - врста - сигнала: за аудио сигнал – коефицијент 0,01;</w:t>
      </w:r>
    </w:p>
    <w:p w14:paraId="0F6253B0" w14:textId="77777777" w:rsidR="00E569C4" w:rsidRPr="004E09DA" w:rsidRDefault="00E569C4" w:rsidP="00E569C4">
      <w:pPr>
        <w:ind w:firstLine="737"/>
        <w:rPr>
          <w:lang w:val="sr-Cyrl-CS"/>
        </w:rPr>
      </w:pPr>
      <w:r w:rsidRPr="004E09DA">
        <w:rPr>
          <w:lang w:val="sr-Cyrl-CS"/>
        </w:rPr>
        <w:t>Г - начин коришћења радио-фреквенције:</w:t>
      </w:r>
    </w:p>
    <w:p w14:paraId="4A312EA6" w14:textId="77777777" w:rsidR="00E569C4" w:rsidRPr="004E09DA" w:rsidRDefault="00E569C4" w:rsidP="00E569C4">
      <w:pPr>
        <w:ind w:firstLine="709"/>
        <w:rPr>
          <w:lang w:val="sr-Cyrl-CS"/>
        </w:rPr>
      </w:pPr>
      <w:r w:rsidRPr="004E09DA">
        <w:rPr>
          <w:lang w:val="sr-Cyrl-CS"/>
        </w:rPr>
        <w:t>а) ако се радио-фреквенција користи у радио мрежи – коефицијент 1,5, у супротном коефицијент 1;</w:t>
      </w:r>
    </w:p>
    <w:p w14:paraId="5BD77A7C" w14:textId="77777777" w:rsidR="00E569C4" w:rsidRPr="004E09DA" w:rsidRDefault="00E569C4" w:rsidP="00E569C4">
      <w:pPr>
        <w:ind w:left="-2" w:firstLine="709"/>
        <w:rPr>
          <w:lang w:val="sr-Cyrl-CS"/>
        </w:rPr>
      </w:pPr>
      <w:r w:rsidRPr="004E09DA">
        <w:rPr>
          <w:lang w:val="sr-Cyrl-CS"/>
        </w:rPr>
        <w:t xml:space="preserve">б) за заједничко коришћење једне радио-фреквенције - коефицијент 1,5 помножен процентом (%) времена коришћења радио-фреквенције; </w:t>
      </w:r>
    </w:p>
    <w:p w14:paraId="7482BB43" w14:textId="77777777" w:rsidR="00E569C4" w:rsidRPr="004E09DA" w:rsidRDefault="00E569C4" w:rsidP="00E569C4">
      <w:pPr>
        <w:rPr>
          <w:lang w:val="sr-Cyrl-CS"/>
        </w:rPr>
      </w:pPr>
      <w:r w:rsidRPr="004E09DA">
        <w:rPr>
          <w:lang w:val="sr-Cyrl-CS"/>
        </w:rPr>
        <w:t xml:space="preserve">            Д - број програма:</w:t>
      </w:r>
    </w:p>
    <w:p w14:paraId="5656FFD6" w14:textId="77777777" w:rsidR="00E569C4" w:rsidRPr="004E09DA" w:rsidRDefault="00E569C4" w:rsidP="00E569C4">
      <w:pPr>
        <w:ind w:firstLine="709"/>
        <w:rPr>
          <w:lang w:val="sr-Cyrl-CS"/>
        </w:rPr>
      </w:pPr>
      <w:r w:rsidRPr="004E09DA">
        <w:rPr>
          <w:lang w:val="sr-Cyrl-CS"/>
        </w:rPr>
        <w:t>а) за један програм, коефицијент 1;</w:t>
      </w:r>
    </w:p>
    <w:p w14:paraId="62A19061" w14:textId="77777777" w:rsidR="00E569C4" w:rsidRPr="004E09DA" w:rsidRDefault="00E569C4" w:rsidP="00E569C4">
      <w:pPr>
        <w:ind w:left="-2" w:firstLine="709"/>
        <w:rPr>
          <w:lang w:val="sr-Cyrl-CS"/>
        </w:rPr>
      </w:pPr>
      <w:r w:rsidRPr="004E09DA">
        <w:rPr>
          <w:lang w:val="sr-Cyrl-CS"/>
        </w:rPr>
        <w:t>б) за другу и сваку следећу радио-фреквенцију на којима се емитују различити програми - коефицијент 1,5.”.</w:t>
      </w:r>
    </w:p>
    <w:p w14:paraId="6B2CB8B2" w14:textId="77777777" w:rsidR="00E569C4" w:rsidRPr="004E09DA" w:rsidRDefault="00E569C4" w:rsidP="00E569C4">
      <w:pPr>
        <w:ind w:left="-2"/>
        <w:rPr>
          <w:lang w:val="sr-Cyrl-CS"/>
        </w:rPr>
      </w:pPr>
      <w:r w:rsidRPr="004E09DA">
        <w:rPr>
          <w:lang w:val="sr-Cyrl-CS"/>
        </w:rPr>
        <w:t xml:space="preserve">            Тачка 2. подтачка 2.1. мења се и гласи:</w:t>
      </w:r>
    </w:p>
    <w:p w14:paraId="2DB66E3D" w14:textId="77777777" w:rsidR="00E569C4" w:rsidRPr="004E09DA" w:rsidRDefault="00E569C4" w:rsidP="00E569C4">
      <w:pPr>
        <w:spacing w:after="160" w:line="278" w:lineRule="auto"/>
        <w:ind w:firstLine="720"/>
        <w:rPr>
          <w:lang w:val="sr-Cyrl-CS"/>
        </w:rPr>
      </w:pPr>
      <w:r w:rsidRPr="004E09DA">
        <w:rPr>
          <w:lang w:val="sr-Cyrl-CS"/>
        </w:rPr>
        <w:t>„2.1. Годишња накнада за коришћење једне радио-фреквенције за радио-станицу у радио-мрежи са симплексним, семидуплексним и дуплексним начином рада, утврђује се према следећој формули:</w:t>
      </w:r>
    </w:p>
    <w:p w14:paraId="4AAFF174" w14:textId="77777777" w:rsidR="00E569C4" w:rsidRPr="004E09DA" w:rsidRDefault="00E569C4" w:rsidP="00E569C4">
      <w:pPr>
        <w:spacing w:after="120" w:line="278" w:lineRule="auto"/>
        <w:ind w:firstLine="709"/>
        <w:rPr>
          <w:lang w:val="sr-Cyrl-CS"/>
        </w:rPr>
      </w:pPr>
      <w:r w:rsidRPr="004E09DA">
        <w:rPr>
          <w:lang w:val="sr-Cyrl-CS"/>
        </w:rPr>
        <w:t>Н = О x Кд x Кс x Кт</w:t>
      </w:r>
    </w:p>
    <w:p w14:paraId="5ACEBA11" w14:textId="77777777" w:rsidR="00E569C4" w:rsidRPr="004E09DA" w:rsidRDefault="00E569C4" w:rsidP="00E569C4">
      <w:pPr>
        <w:spacing w:after="120" w:line="278" w:lineRule="auto"/>
        <w:ind w:firstLine="709"/>
        <w:rPr>
          <w:lang w:val="sr-Cyrl-CS"/>
        </w:rPr>
      </w:pPr>
      <w:r w:rsidRPr="004E09DA">
        <w:rPr>
          <w:lang w:val="sr-Cyrl-CS"/>
        </w:rPr>
        <w:t>Где је:</w:t>
      </w:r>
    </w:p>
    <w:p w14:paraId="47C51097" w14:textId="77777777" w:rsidR="00E569C4" w:rsidRPr="004E09DA" w:rsidRDefault="00E569C4" w:rsidP="00E569C4">
      <w:pPr>
        <w:spacing w:line="278" w:lineRule="auto"/>
        <w:ind w:firstLine="709"/>
        <w:rPr>
          <w:lang w:val="sr-Cyrl-CS"/>
        </w:rPr>
      </w:pPr>
      <w:r w:rsidRPr="004E09DA">
        <w:rPr>
          <w:lang w:val="sr-Cyrl-CS"/>
        </w:rPr>
        <w:t>Н - висина годишње накнаде;</w:t>
      </w:r>
    </w:p>
    <w:p w14:paraId="6E1A58B4" w14:textId="77777777" w:rsidR="00E569C4" w:rsidRPr="004E09DA" w:rsidRDefault="00E569C4" w:rsidP="00E569C4">
      <w:pPr>
        <w:spacing w:line="278" w:lineRule="auto"/>
        <w:ind w:firstLine="709"/>
        <w:rPr>
          <w:lang w:val="sr-Cyrl-CS"/>
        </w:rPr>
      </w:pPr>
      <w:r w:rsidRPr="004E09DA">
        <w:rPr>
          <w:lang w:val="sr-Cyrl-CS"/>
        </w:rPr>
        <w:t>О - основица за израчунавање накнаде 18.000,00 динара;</w:t>
      </w:r>
    </w:p>
    <w:p w14:paraId="03C9E828" w14:textId="77777777" w:rsidR="00E569C4" w:rsidRPr="004E09DA" w:rsidRDefault="00E569C4" w:rsidP="00E569C4">
      <w:pPr>
        <w:spacing w:line="278" w:lineRule="auto"/>
        <w:ind w:firstLine="709"/>
        <w:rPr>
          <w:lang w:val="sr-Cyrl-CS"/>
        </w:rPr>
      </w:pPr>
      <w:r w:rsidRPr="004E09DA">
        <w:rPr>
          <w:lang w:val="sr-Cyrl-CS"/>
        </w:rPr>
        <w:t>Кд - начин рада (симплекс или семидуплекс и дуплекс):</w:t>
      </w:r>
    </w:p>
    <w:p w14:paraId="73DBF642" w14:textId="77777777" w:rsidR="00E569C4" w:rsidRPr="004E09DA" w:rsidRDefault="00E569C4" w:rsidP="00E569C4">
      <w:pPr>
        <w:spacing w:line="278" w:lineRule="auto"/>
        <w:ind w:firstLine="709"/>
        <w:rPr>
          <w:lang w:val="sr-Cyrl-CS"/>
        </w:rPr>
      </w:pPr>
      <w:r w:rsidRPr="004E09DA">
        <w:rPr>
          <w:lang w:val="sr-Cyrl-CS"/>
        </w:rPr>
        <w:t>а) за симплексни начин рада - коефицијент 0,5;</w:t>
      </w:r>
    </w:p>
    <w:p w14:paraId="588336DD" w14:textId="77777777" w:rsidR="00E569C4" w:rsidRPr="004E09DA" w:rsidRDefault="00E569C4" w:rsidP="00E569C4">
      <w:pPr>
        <w:spacing w:line="278" w:lineRule="auto"/>
        <w:ind w:firstLine="709"/>
        <w:rPr>
          <w:lang w:val="sr-Cyrl-CS"/>
        </w:rPr>
      </w:pPr>
      <w:r w:rsidRPr="004E09DA">
        <w:rPr>
          <w:lang w:val="sr-Cyrl-CS"/>
        </w:rPr>
        <w:lastRenderedPageBreak/>
        <w:t>б) за семидуплексни и дуплексни начин рада - коефицијент 1;</w:t>
      </w:r>
    </w:p>
    <w:p w14:paraId="3CDCA3E9" w14:textId="77777777" w:rsidR="00E569C4" w:rsidRPr="004E09DA" w:rsidRDefault="00E569C4" w:rsidP="00E569C4">
      <w:pPr>
        <w:spacing w:line="278" w:lineRule="auto"/>
        <w:ind w:firstLine="709"/>
        <w:rPr>
          <w:lang w:val="sr-Cyrl-CS"/>
        </w:rPr>
      </w:pPr>
      <w:r w:rsidRPr="004E09DA">
        <w:rPr>
          <w:lang w:val="sr-Cyrl-CS"/>
        </w:rPr>
        <w:t>Кс - број радио-станица у радио-мрежи:</w:t>
      </w:r>
    </w:p>
    <w:p w14:paraId="7789037F" w14:textId="77777777" w:rsidR="00E569C4" w:rsidRPr="004E09DA" w:rsidRDefault="00E569C4" w:rsidP="00E569C4">
      <w:pPr>
        <w:spacing w:line="278" w:lineRule="auto"/>
        <w:ind w:firstLine="709"/>
        <w:rPr>
          <w:lang w:val="sr-Cyrl-CS"/>
        </w:rPr>
      </w:pPr>
      <w:r w:rsidRPr="004E09DA">
        <w:rPr>
          <w:lang w:val="sr-Cyrl-CS"/>
        </w:rPr>
        <w:t>а) до 100 - коефицијент 1;</w:t>
      </w:r>
    </w:p>
    <w:p w14:paraId="5E5827E1" w14:textId="77777777" w:rsidR="00E569C4" w:rsidRPr="004E09DA" w:rsidRDefault="00E569C4" w:rsidP="00E569C4">
      <w:pPr>
        <w:spacing w:line="278" w:lineRule="auto"/>
        <w:ind w:firstLine="709"/>
        <w:rPr>
          <w:lang w:val="sr-Cyrl-CS"/>
        </w:rPr>
      </w:pPr>
      <w:r w:rsidRPr="004E09DA">
        <w:rPr>
          <w:lang w:val="sr-Cyrl-CS"/>
        </w:rPr>
        <w:t>б) до 200 - коефицијент 2;</w:t>
      </w:r>
    </w:p>
    <w:p w14:paraId="76FECF9B" w14:textId="77777777" w:rsidR="00E569C4" w:rsidRPr="004E09DA" w:rsidRDefault="00E569C4" w:rsidP="00E569C4">
      <w:pPr>
        <w:spacing w:line="278" w:lineRule="auto"/>
        <w:ind w:firstLine="709"/>
        <w:rPr>
          <w:lang w:val="sr-Cyrl-CS"/>
        </w:rPr>
      </w:pPr>
      <w:r w:rsidRPr="004E09DA">
        <w:rPr>
          <w:lang w:val="sr-Cyrl-CS"/>
        </w:rPr>
        <w:t>в) до 400 - коефицијент 3;</w:t>
      </w:r>
    </w:p>
    <w:p w14:paraId="286F6A97" w14:textId="77777777" w:rsidR="00E569C4" w:rsidRPr="004E09DA" w:rsidRDefault="00E569C4" w:rsidP="00E569C4">
      <w:pPr>
        <w:spacing w:line="278" w:lineRule="auto"/>
        <w:ind w:firstLine="709"/>
        <w:rPr>
          <w:lang w:val="sr-Cyrl-CS"/>
        </w:rPr>
      </w:pPr>
      <w:r w:rsidRPr="004E09DA">
        <w:rPr>
          <w:lang w:val="sr-Cyrl-CS"/>
        </w:rPr>
        <w:t>г) преко 400 - коефицијент 5;</w:t>
      </w:r>
    </w:p>
    <w:p w14:paraId="5558F14E" w14:textId="77777777" w:rsidR="00E569C4" w:rsidRPr="004E09DA" w:rsidRDefault="00E569C4" w:rsidP="00E569C4">
      <w:pPr>
        <w:spacing w:line="278" w:lineRule="auto"/>
        <w:ind w:firstLine="709"/>
        <w:rPr>
          <w:lang w:val="sr-Cyrl-CS"/>
        </w:rPr>
      </w:pPr>
      <w:r w:rsidRPr="004E09DA">
        <w:rPr>
          <w:lang w:val="sr-Cyrl-CS"/>
        </w:rPr>
        <w:t>Кт - ширина канала:</w:t>
      </w:r>
    </w:p>
    <w:p w14:paraId="502E1DFE" w14:textId="77777777" w:rsidR="00E569C4" w:rsidRPr="004E09DA" w:rsidRDefault="00E569C4" w:rsidP="00E569C4">
      <w:pPr>
        <w:spacing w:line="278" w:lineRule="auto"/>
        <w:ind w:firstLine="709"/>
        <w:rPr>
          <w:lang w:val="sr-Cyrl-CS"/>
        </w:rPr>
      </w:pPr>
      <w:r w:rsidRPr="004E09DA">
        <w:rPr>
          <w:lang w:val="sr-Cyrl-CS"/>
        </w:rPr>
        <w:t>а) за ширину канала 200 KHz - коефицијент 8;</w:t>
      </w:r>
    </w:p>
    <w:p w14:paraId="14417F41" w14:textId="77777777" w:rsidR="00E569C4" w:rsidRPr="004E09DA" w:rsidRDefault="00E569C4" w:rsidP="00E569C4">
      <w:pPr>
        <w:spacing w:line="278" w:lineRule="auto"/>
        <w:ind w:firstLine="709"/>
        <w:rPr>
          <w:lang w:val="sr-Cyrl-CS"/>
        </w:rPr>
      </w:pPr>
      <w:r w:rsidRPr="004E09DA">
        <w:rPr>
          <w:lang w:val="sr-Cyrl-CS"/>
        </w:rPr>
        <w:t>б) за ширину канала 25 KHz - коефицијент 1;</w:t>
      </w:r>
    </w:p>
    <w:p w14:paraId="2FBB9C42" w14:textId="77777777" w:rsidR="00E569C4" w:rsidRPr="004E09DA" w:rsidRDefault="00E569C4" w:rsidP="00E569C4">
      <w:pPr>
        <w:ind w:firstLine="709"/>
        <w:rPr>
          <w:lang w:val="sr-Cyrl-CS"/>
        </w:rPr>
      </w:pPr>
      <w:r w:rsidRPr="004E09DA">
        <w:rPr>
          <w:lang w:val="sr-Cyrl-CS"/>
        </w:rPr>
        <w:t>в) за ширину канала 12,5 KHz - коефицијент 0,5;</w:t>
      </w:r>
    </w:p>
    <w:p w14:paraId="4B6659EE" w14:textId="77777777" w:rsidR="00E569C4" w:rsidRPr="004E09DA" w:rsidRDefault="00E569C4" w:rsidP="00E569C4">
      <w:pPr>
        <w:spacing w:after="120"/>
        <w:ind w:firstLine="709"/>
        <w:rPr>
          <w:lang w:val="sr-Cyrl-CS"/>
        </w:rPr>
      </w:pPr>
      <w:r w:rsidRPr="004E09DA">
        <w:rPr>
          <w:lang w:val="sr-Cyrl-CS"/>
        </w:rPr>
        <w:t>г) за ширину канала 6,25 KHz - коефицијент 0,25.</w:t>
      </w:r>
    </w:p>
    <w:p w14:paraId="3094E404" w14:textId="77777777" w:rsidR="00E569C4" w:rsidRPr="004E09DA" w:rsidRDefault="00E569C4" w:rsidP="00E569C4">
      <w:pPr>
        <w:spacing w:line="278" w:lineRule="auto"/>
        <w:ind w:firstLine="709"/>
        <w:rPr>
          <w:lang w:val="sr-Cyrl-CS"/>
        </w:rPr>
      </w:pPr>
      <w:r w:rsidRPr="004E09DA">
        <w:rPr>
          <w:lang w:val="sr-Cyrl-CS"/>
        </w:rPr>
        <w:t>Уколико се једна радио-фреквенција у радио-мрежи користи са различитим ширинама канала, коефицијент ширине канала одређује се према највећој коришћеној ширини канала.”</w:t>
      </w:r>
    </w:p>
    <w:p w14:paraId="5AFC3E26" w14:textId="77777777" w:rsidR="00E569C4" w:rsidRPr="004E09DA" w:rsidRDefault="00E569C4" w:rsidP="00E569C4">
      <w:pPr>
        <w:tabs>
          <w:tab w:val="left" w:pos="720"/>
        </w:tabs>
        <w:ind w:hanging="737"/>
        <w:jc w:val="left"/>
        <w:rPr>
          <w:lang w:val="sr-Cyrl-CS"/>
        </w:rPr>
      </w:pPr>
      <w:r w:rsidRPr="004E09DA">
        <w:rPr>
          <w:lang w:val="sr-Cyrl-CS"/>
        </w:rPr>
        <w:tab/>
      </w:r>
      <w:r w:rsidRPr="004E09DA">
        <w:rPr>
          <w:lang w:val="sr-Cyrl-CS"/>
        </w:rPr>
        <w:tab/>
        <w:t>Тачка 6. мења се и гласи:</w:t>
      </w:r>
    </w:p>
    <w:p w14:paraId="19E929B3" w14:textId="77777777" w:rsidR="00E569C4" w:rsidRPr="004E09DA" w:rsidRDefault="00E569C4" w:rsidP="00E569C4">
      <w:pPr>
        <w:tabs>
          <w:tab w:val="left" w:pos="1134"/>
        </w:tabs>
        <w:ind w:firstLine="720"/>
        <w:rPr>
          <w:lang w:val="sr-Cyrl-CS"/>
        </w:rPr>
      </w:pPr>
      <w:r w:rsidRPr="004E09DA">
        <w:rPr>
          <w:lang w:val="sr-Cyrl-CS"/>
        </w:rPr>
        <w:t>„6. Годишња накнада за коришћење радио-фреквенција, односно радиофреквенцијског спектра, на основу издате појединачне дозволе обрачунава се на годишњем нивоу у периоду важења те појединачне дозволе.”</w:t>
      </w:r>
    </w:p>
    <w:p w14:paraId="20F16F1A" w14:textId="77777777" w:rsidR="00E569C4" w:rsidRPr="004E09DA" w:rsidRDefault="00E569C4" w:rsidP="00E569C4">
      <w:pPr>
        <w:ind w:right="-198"/>
        <w:rPr>
          <w:highlight w:val="yellow"/>
          <w:lang w:val="sr-Cyrl-CS"/>
        </w:rPr>
      </w:pPr>
    </w:p>
    <w:p w14:paraId="693FFF53" w14:textId="77777777" w:rsidR="00E569C4" w:rsidRPr="004E09DA" w:rsidRDefault="00E569C4" w:rsidP="00E569C4">
      <w:pPr>
        <w:tabs>
          <w:tab w:val="left" w:pos="990"/>
        </w:tabs>
        <w:jc w:val="center"/>
        <w:rPr>
          <w:lang w:val="sr-Cyrl-CS"/>
        </w:rPr>
      </w:pPr>
      <w:r w:rsidRPr="004E09DA">
        <w:rPr>
          <w:lang w:val="sr-Cyrl-CS"/>
        </w:rPr>
        <w:t>Члан 43.</w:t>
      </w:r>
    </w:p>
    <w:p w14:paraId="57330CE9" w14:textId="77777777" w:rsidR="00E569C4" w:rsidRPr="004E09DA" w:rsidRDefault="00E569C4" w:rsidP="00E569C4">
      <w:pPr>
        <w:rPr>
          <w:color w:val="FF0000"/>
          <w:lang w:val="sr-Cyrl-CS"/>
        </w:rPr>
      </w:pPr>
      <w:r w:rsidRPr="004E09DA">
        <w:rPr>
          <w:lang w:val="sr-Cyrl-CS"/>
        </w:rPr>
        <w:t xml:space="preserve">           Месечне и годишње претплатне карте за плаћање путарине, које су издате у складу са чланом 198. ст. 7–11. Закона о накнадама за коришћење јавних добара (</w:t>
      </w:r>
      <w:r w:rsidRPr="004E09DA">
        <w:rPr>
          <w:bCs/>
          <w:iCs/>
          <w:lang w:val="sr-Cyrl-CS"/>
        </w:rPr>
        <w:t>„</w:t>
      </w:r>
      <w:r w:rsidRPr="004E09DA">
        <w:rPr>
          <w:lang w:val="sr-Cyrl-CS"/>
        </w:rPr>
        <w:t>Службени гласник РС</w:t>
      </w:r>
      <w:r w:rsidRPr="004E09DA">
        <w:rPr>
          <w:bCs/>
          <w:iCs/>
          <w:lang w:val="sr-Cyrl-CS"/>
        </w:rPr>
        <w:t>”</w:t>
      </w:r>
      <w:r w:rsidRPr="004E09DA">
        <w:rPr>
          <w:lang w:val="sr-Cyrl-CS"/>
        </w:rPr>
        <w:t>, бр. 95/18, 49/19 и 92/23), важиће до истека рока на који су издате.</w:t>
      </w:r>
    </w:p>
    <w:p w14:paraId="5C8326DA" w14:textId="77777777" w:rsidR="00E569C4" w:rsidRPr="004E09DA" w:rsidRDefault="00E569C4" w:rsidP="00E569C4">
      <w:pPr>
        <w:rPr>
          <w:color w:val="FF0000"/>
          <w:lang w:val="sr-Cyrl-CS"/>
        </w:rPr>
      </w:pPr>
      <w:r w:rsidRPr="004E09DA">
        <w:rPr>
          <w:color w:val="FF0000"/>
          <w:lang w:val="sr-Cyrl-CS"/>
        </w:rPr>
        <w:t xml:space="preserve">           </w:t>
      </w:r>
      <w:r w:rsidRPr="004E09DA">
        <w:rPr>
          <w:lang w:val="sr-Cyrl-CS"/>
        </w:rPr>
        <w:t>Одобрења управљача јавног пута која су издата привредним друштвима и другим правним лицима, односно предузетницима који обављају послове изградње јавног пута сходно члану 199. став 3. тачка 3) Закона о накнадама за коришћење јавних добара (</w:t>
      </w:r>
      <w:r w:rsidRPr="004E09DA">
        <w:rPr>
          <w:bCs/>
          <w:iCs/>
          <w:lang w:val="sr-Cyrl-CS"/>
        </w:rPr>
        <w:t>„</w:t>
      </w:r>
      <w:r w:rsidRPr="004E09DA">
        <w:rPr>
          <w:lang w:val="sr-Cyrl-CS"/>
        </w:rPr>
        <w:t>Службени гласник РС</w:t>
      </w:r>
      <w:r w:rsidRPr="004E09DA">
        <w:rPr>
          <w:bCs/>
          <w:iCs/>
          <w:lang w:val="sr-Cyrl-CS"/>
        </w:rPr>
        <w:t>”</w:t>
      </w:r>
      <w:r w:rsidRPr="004E09DA">
        <w:rPr>
          <w:lang w:val="sr-Cyrl-CS"/>
        </w:rPr>
        <w:t>, бр. 95/18, 49/19 и 92/23), важиће до истека рока на који су издате.</w:t>
      </w:r>
    </w:p>
    <w:p w14:paraId="2E765BBA" w14:textId="77777777" w:rsidR="00E569C4" w:rsidRPr="004E09DA" w:rsidRDefault="00E569C4" w:rsidP="00E569C4">
      <w:pPr>
        <w:tabs>
          <w:tab w:val="left" w:pos="990"/>
        </w:tabs>
        <w:rPr>
          <w:lang w:val="sr-Cyrl-CS"/>
        </w:rPr>
      </w:pPr>
    </w:p>
    <w:p w14:paraId="0DA9C2F1" w14:textId="77777777" w:rsidR="00E569C4" w:rsidRPr="004E09DA" w:rsidRDefault="00E569C4" w:rsidP="00E569C4">
      <w:pPr>
        <w:tabs>
          <w:tab w:val="left" w:pos="990"/>
        </w:tabs>
        <w:jc w:val="center"/>
        <w:rPr>
          <w:lang w:val="sr-Cyrl-CS"/>
        </w:rPr>
      </w:pPr>
      <w:r w:rsidRPr="004E09DA">
        <w:rPr>
          <w:lang w:val="sr-Cyrl-CS"/>
        </w:rPr>
        <w:t>Члан 44.</w:t>
      </w:r>
    </w:p>
    <w:p w14:paraId="44A85F42" w14:textId="77777777" w:rsidR="00E569C4" w:rsidRPr="004E09DA" w:rsidRDefault="00E569C4" w:rsidP="00E569C4">
      <w:pPr>
        <w:ind w:firstLine="567"/>
        <w:rPr>
          <w:lang w:val="sr-Cyrl-CS"/>
        </w:rPr>
      </w:pPr>
      <w:r w:rsidRPr="004E09DA">
        <w:rPr>
          <w:lang w:val="sr-Cyrl-CS"/>
        </w:rPr>
        <w:t xml:space="preserve">  Обавезе по основу накнада које су настале до дана почетка примене овог закона, а нису плаћене,  измириће се у складу са прописима који су били на снази у време настанка обавезе.     </w:t>
      </w:r>
    </w:p>
    <w:p w14:paraId="0A5B3A4D" w14:textId="77777777" w:rsidR="00E569C4" w:rsidRPr="004E09DA" w:rsidRDefault="00E569C4" w:rsidP="00E569C4">
      <w:pPr>
        <w:autoSpaceDE w:val="0"/>
        <w:autoSpaceDN w:val="0"/>
        <w:adjustRightInd w:val="0"/>
        <w:spacing w:line="276" w:lineRule="auto"/>
        <w:ind w:firstLine="720"/>
        <w:rPr>
          <w:rFonts w:eastAsia="Calibri"/>
          <w:lang w:val="sr-Cyrl-CS"/>
        </w:rPr>
      </w:pPr>
      <w:r w:rsidRPr="004E09DA">
        <w:rPr>
          <w:shd w:val="clear" w:color="auto" w:fill="FFFFFF"/>
          <w:lang w:val="sr-Cyrl-CS"/>
        </w:rPr>
        <w:t>Поступци утврђивања, наплате и контроле накнада који су започети до дана почетка примене овог закона, окончаће се по прописима по којима су започети</w:t>
      </w:r>
      <w:r w:rsidRPr="004E09DA">
        <w:rPr>
          <w:rFonts w:eastAsia="Calibri"/>
          <w:lang w:val="sr-Cyrl-CS"/>
        </w:rPr>
        <w:t>.</w:t>
      </w:r>
    </w:p>
    <w:p w14:paraId="68D84ED9" w14:textId="77777777" w:rsidR="00E569C4" w:rsidRPr="004E09DA" w:rsidRDefault="00E569C4" w:rsidP="00E569C4">
      <w:pPr>
        <w:autoSpaceDE w:val="0"/>
        <w:autoSpaceDN w:val="0"/>
        <w:adjustRightInd w:val="0"/>
        <w:spacing w:line="276" w:lineRule="auto"/>
        <w:ind w:firstLine="720"/>
        <w:rPr>
          <w:rFonts w:eastAsia="Calibri"/>
          <w:highlight w:val="yellow"/>
          <w:lang w:val="sr-Cyrl-CS"/>
        </w:rPr>
      </w:pPr>
    </w:p>
    <w:p w14:paraId="4D55C17C" w14:textId="77777777" w:rsidR="00E569C4" w:rsidRPr="004E09DA" w:rsidRDefault="00E569C4" w:rsidP="00E569C4">
      <w:pPr>
        <w:tabs>
          <w:tab w:val="left" w:pos="990"/>
        </w:tabs>
        <w:jc w:val="center"/>
        <w:rPr>
          <w:lang w:val="sr-Cyrl-CS"/>
        </w:rPr>
      </w:pPr>
      <w:r w:rsidRPr="004E09DA">
        <w:rPr>
          <w:lang w:val="sr-Cyrl-CS"/>
        </w:rPr>
        <w:t>Члан 45.</w:t>
      </w:r>
    </w:p>
    <w:p w14:paraId="6DEC860A" w14:textId="77777777" w:rsidR="00E569C4" w:rsidRPr="004E09DA" w:rsidRDefault="00E569C4" w:rsidP="00E569C4">
      <w:pPr>
        <w:pStyle w:val="stil1tekst"/>
        <w:ind w:left="0" w:right="0" w:firstLine="720"/>
        <w:rPr>
          <w:noProof/>
          <w:lang w:val="sr-Cyrl-CS"/>
        </w:rPr>
      </w:pPr>
      <w:r w:rsidRPr="004E09DA">
        <w:rPr>
          <w:lang w:val="sr-Cyrl-CS"/>
        </w:rPr>
        <w:t xml:space="preserve">Прво усклађивање динарских износа накнада прописаних овим законом, извршиће се у 2026. години применом индекса потрошачких цена, према подацима републичког органа надлежног за послове статистике, за период од 1. јануара до 30. септембра 2026. године, при чему се заокруживање врши тако што </w:t>
      </w:r>
      <w:r w:rsidRPr="004E09DA">
        <w:rPr>
          <w:noProof/>
          <w:shd w:val="clear" w:color="auto" w:fill="FFFFFF"/>
          <w:lang w:val="sr-Cyrl-CS"/>
        </w:rPr>
        <w:t>се износ мањи и једнак 0,50 динара не узима у обзир, а износ преко 0,50 динара заокружује на 1,0</w:t>
      </w:r>
      <w:r w:rsidRPr="004E09DA">
        <w:rPr>
          <w:shd w:val="clear" w:color="auto" w:fill="FFFFFF"/>
          <w:lang w:val="sr-Cyrl-CS"/>
        </w:rPr>
        <w:t xml:space="preserve">0 динар. </w:t>
      </w:r>
      <w:r w:rsidRPr="004E09DA">
        <w:rPr>
          <w:noProof/>
          <w:lang w:val="sr-Cyrl-CS"/>
        </w:rPr>
        <w:t>Изузетно када су износи накнада прописани овим законом на једно, односно више децималних места заокруживање усклађених динарских износа врши се на прописани број децималних места.</w:t>
      </w:r>
    </w:p>
    <w:p w14:paraId="25DF1F3A" w14:textId="77777777" w:rsidR="00E569C4" w:rsidRPr="004E09DA" w:rsidRDefault="00E569C4" w:rsidP="00E569C4">
      <w:pPr>
        <w:tabs>
          <w:tab w:val="left" w:pos="720"/>
        </w:tabs>
        <w:rPr>
          <w:lang w:val="sr-Cyrl-CS"/>
        </w:rPr>
      </w:pPr>
      <w:r w:rsidRPr="004E09DA">
        <w:rPr>
          <w:lang w:val="sr-Cyrl-CS"/>
        </w:rPr>
        <w:lastRenderedPageBreak/>
        <w:tab/>
        <w:t xml:space="preserve">Влада ће, на предлог министарства надлежног за послове финансија, утврдити и објавити </w:t>
      </w:r>
      <w:r w:rsidRPr="004E09DA">
        <w:rPr>
          <w:bCs/>
          <w:iCs/>
          <w:lang w:val="sr-Cyrl-CS"/>
        </w:rPr>
        <w:t xml:space="preserve">у „Службеном гласнику Републике Србије” </w:t>
      </w:r>
      <w:r w:rsidRPr="004E09DA">
        <w:rPr>
          <w:lang w:val="sr-Cyrl-CS"/>
        </w:rPr>
        <w:t xml:space="preserve">усклађене динарске износе накнада из стaва 1. овог члана. </w:t>
      </w:r>
    </w:p>
    <w:p w14:paraId="7BBDB5A1" w14:textId="77777777" w:rsidR="00E569C4" w:rsidRPr="004E09DA" w:rsidRDefault="00E569C4" w:rsidP="00E569C4">
      <w:pPr>
        <w:ind w:firstLine="720"/>
        <w:rPr>
          <w:bCs/>
          <w:iCs/>
          <w:lang w:val="sr-Cyrl-CS"/>
        </w:rPr>
      </w:pPr>
      <w:r w:rsidRPr="004E09DA">
        <w:rPr>
          <w:bCs/>
          <w:iCs/>
          <w:lang w:val="sr-Cyrl-CS"/>
        </w:rPr>
        <w:t>Објављени усклађени динарски износи накнада из става 1. овог члана примењиваће се од 1.</w:t>
      </w:r>
      <w:r w:rsidRPr="004E09DA">
        <w:rPr>
          <w:noProof/>
          <w:lang w:val="sr-Cyrl-CS"/>
        </w:rPr>
        <w:t xml:space="preserve"> јануара наредне године у односу на годину у којој се врши усклађивање</w:t>
      </w:r>
      <w:r w:rsidRPr="004E09DA">
        <w:rPr>
          <w:bCs/>
          <w:iCs/>
          <w:lang w:val="sr-Cyrl-CS"/>
        </w:rPr>
        <w:t>.</w:t>
      </w:r>
    </w:p>
    <w:p w14:paraId="37EDDF38" w14:textId="77777777" w:rsidR="00E569C4" w:rsidRPr="004E09DA" w:rsidRDefault="00E569C4" w:rsidP="00E569C4">
      <w:pPr>
        <w:tabs>
          <w:tab w:val="left" w:pos="990"/>
        </w:tabs>
        <w:rPr>
          <w:bCs/>
          <w:iCs/>
          <w:highlight w:val="yellow"/>
          <w:lang w:val="sr-Cyrl-CS"/>
        </w:rPr>
      </w:pPr>
    </w:p>
    <w:p w14:paraId="3B993964" w14:textId="77777777" w:rsidR="00E569C4" w:rsidRPr="004E09DA" w:rsidRDefault="00E569C4" w:rsidP="00E569C4">
      <w:pPr>
        <w:tabs>
          <w:tab w:val="left" w:pos="990"/>
        </w:tabs>
        <w:jc w:val="center"/>
        <w:rPr>
          <w:lang w:val="sr-Cyrl-CS"/>
        </w:rPr>
      </w:pPr>
      <w:r w:rsidRPr="004E09DA">
        <w:rPr>
          <w:lang w:val="sr-Cyrl-CS"/>
        </w:rPr>
        <w:t>Члан 46.</w:t>
      </w:r>
    </w:p>
    <w:p w14:paraId="003B8733" w14:textId="77777777" w:rsidR="00E569C4" w:rsidRPr="004E09DA" w:rsidRDefault="00E569C4" w:rsidP="00E569C4">
      <w:pPr>
        <w:tabs>
          <w:tab w:val="left" w:pos="990"/>
        </w:tabs>
        <w:ind w:firstLine="720"/>
        <w:rPr>
          <w:lang w:val="sr-Cyrl-CS"/>
        </w:rPr>
      </w:pPr>
      <w:r w:rsidRPr="004E09DA">
        <w:rPr>
          <w:lang w:val="sr-Cyrl-CS"/>
        </w:rPr>
        <w:t>Подзаконскa актa за извршавање овог закона донеће се у року од три месеца од дана ступања на снагу овог закона.</w:t>
      </w:r>
    </w:p>
    <w:p w14:paraId="06BE6927" w14:textId="77777777" w:rsidR="00E569C4" w:rsidRPr="004E09DA" w:rsidRDefault="00E569C4" w:rsidP="00E569C4">
      <w:pPr>
        <w:tabs>
          <w:tab w:val="left" w:pos="990"/>
        </w:tabs>
        <w:ind w:firstLine="720"/>
        <w:rPr>
          <w:lang w:val="sr-Cyrl-CS"/>
        </w:rPr>
      </w:pPr>
      <w:r w:rsidRPr="004E09DA">
        <w:rPr>
          <w:lang w:val="sr-Cyrl-CS"/>
        </w:rPr>
        <w:t>До доношења подзаконских аката из става 1. овог члана примењиваће се подзаконска акта донета до дана ступања на снагу овог закона, ако нису у супротности са одредбама овог закона.</w:t>
      </w:r>
    </w:p>
    <w:p w14:paraId="51D4A46E" w14:textId="77777777" w:rsidR="00E569C4" w:rsidRPr="004E09DA" w:rsidRDefault="00E569C4" w:rsidP="00E569C4">
      <w:pPr>
        <w:autoSpaceDE w:val="0"/>
        <w:autoSpaceDN w:val="0"/>
        <w:adjustRightInd w:val="0"/>
        <w:ind w:right="-198" w:firstLine="720"/>
        <w:rPr>
          <w:spacing w:val="-4"/>
          <w:highlight w:val="yellow"/>
          <w:lang w:val="sr-Cyrl-CS"/>
        </w:rPr>
      </w:pPr>
    </w:p>
    <w:p w14:paraId="65B4FF11" w14:textId="77777777" w:rsidR="00E569C4" w:rsidRPr="004E09DA" w:rsidRDefault="00E569C4" w:rsidP="00E569C4">
      <w:pPr>
        <w:autoSpaceDE w:val="0"/>
        <w:autoSpaceDN w:val="0"/>
        <w:adjustRightInd w:val="0"/>
        <w:spacing w:line="276" w:lineRule="auto"/>
        <w:jc w:val="center"/>
        <w:rPr>
          <w:rFonts w:eastAsia="Calibri"/>
          <w:lang w:val="sr-Cyrl-CS"/>
        </w:rPr>
      </w:pPr>
      <w:r w:rsidRPr="004E09DA">
        <w:rPr>
          <w:rFonts w:eastAsia="Calibri"/>
          <w:lang w:val="sr-Cyrl-CS"/>
        </w:rPr>
        <w:t>Члан 47.</w:t>
      </w:r>
    </w:p>
    <w:p w14:paraId="6BAA2E67" w14:textId="77777777" w:rsidR="00E569C4" w:rsidRPr="004E09DA" w:rsidRDefault="00E569C4" w:rsidP="00E569C4">
      <w:pPr>
        <w:autoSpaceDE w:val="0"/>
        <w:autoSpaceDN w:val="0"/>
        <w:adjustRightInd w:val="0"/>
        <w:ind w:firstLine="720"/>
        <w:rPr>
          <w:rFonts w:eastAsia="Calibri"/>
          <w:lang w:val="sr-Cyrl-CS"/>
        </w:rPr>
      </w:pPr>
      <w:r w:rsidRPr="004E09DA">
        <w:rPr>
          <w:rFonts w:eastAsia="Calibri"/>
          <w:lang w:val="sr-Cyrl-CS"/>
        </w:rPr>
        <w:t>Овај закон ступа на снагу осмог дана од дана објављивања у „Службеном гласнику Републике Србијеˮ, а примењиваће се од 1. јануара 2026. године.</w:t>
      </w:r>
    </w:p>
    <w:p w14:paraId="7AC30F97" w14:textId="77777777" w:rsidR="00E569C4" w:rsidRPr="004E09DA" w:rsidRDefault="00E569C4" w:rsidP="00E569C4">
      <w:pPr>
        <w:tabs>
          <w:tab w:val="left" w:pos="1152"/>
        </w:tabs>
        <w:spacing w:after="120"/>
        <w:ind w:firstLine="720"/>
        <w:rPr>
          <w:lang w:val="sr-Cyrl-CS" w:eastAsia="de-DE"/>
        </w:rPr>
      </w:pPr>
    </w:p>
    <w:p w14:paraId="2839FC88" w14:textId="77777777" w:rsidR="00E569C4" w:rsidRPr="004E09DA" w:rsidRDefault="00E569C4" w:rsidP="00E569C4">
      <w:pPr>
        <w:tabs>
          <w:tab w:val="left" w:pos="1152"/>
        </w:tabs>
        <w:spacing w:after="120"/>
        <w:ind w:firstLine="720"/>
        <w:rPr>
          <w:lang w:val="sr-Cyrl-CS" w:eastAsia="de-DE"/>
        </w:rPr>
      </w:pPr>
    </w:p>
    <w:p w14:paraId="5399BDCE" w14:textId="77777777" w:rsidR="00BE3160" w:rsidRPr="004E09DA" w:rsidRDefault="00BE3160">
      <w:pPr>
        <w:rPr>
          <w:lang w:val="sr-Cyrl-CS"/>
        </w:rPr>
      </w:pPr>
    </w:p>
    <w:sectPr w:rsidR="00BE3160" w:rsidRPr="004E09DA" w:rsidSect="00E569C4">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A56C4" w14:textId="77777777" w:rsidR="00111275" w:rsidRDefault="00111275">
      <w:r>
        <w:separator/>
      </w:r>
    </w:p>
  </w:endnote>
  <w:endnote w:type="continuationSeparator" w:id="0">
    <w:p w14:paraId="45DD057E" w14:textId="77777777" w:rsidR="00111275" w:rsidRDefault="00111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E9345" w14:textId="77777777" w:rsidR="00111275" w:rsidRDefault="00111275">
      <w:r>
        <w:separator/>
      </w:r>
    </w:p>
  </w:footnote>
  <w:footnote w:type="continuationSeparator" w:id="0">
    <w:p w14:paraId="49F518D7" w14:textId="77777777" w:rsidR="00111275" w:rsidRDefault="00111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0646126"/>
      <w:docPartObj>
        <w:docPartGallery w:val="Page Numbers (Top of Page)"/>
        <w:docPartUnique/>
      </w:docPartObj>
    </w:sdtPr>
    <w:sdtEndPr>
      <w:rPr>
        <w:noProof/>
      </w:rPr>
    </w:sdtEndPr>
    <w:sdtContent>
      <w:p w14:paraId="1B8E9BDF" w14:textId="77777777" w:rsidR="0066514D" w:rsidRDefault="0066514D">
        <w:pPr>
          <w:pStyle w:val="Header"/>
          <w:jc w:val="center"/>
        </w:pPr>
        <w:r>
          <w:fldChar w:fldCharType="begin"/>
        </w:r>
        <w:r>
          <w:instrText xml:space="preserve"> PAGE   \* MERGEFORMAT </w:instrText>
        </w:r>
        <w:r>
          <w:fldChar w:fldCharType="separate"/>
        </w:r>
        <w:r w:rsidR="00CA279B">
          <w:rPr>
            <w:noProof/>
          </w:rPr>
          <w:t>17</w:t>
        </w:r>
        <w:r>
          <w:rPr>
            <w:noProof/>
          </w:rPr>
          <w:fldChar w:fldCharType="end"/>
        </w:r>
      </w:p>
    </w:sdtContent>
  </w:sdt>
  <w:p w14:paraId="48FE67F1" w14:textId="77777777" w:rsidR="0066514D" w:rsidRDefault="00665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D0126"/>
    <w:multiLevelType w:val="hybridMultilevel"/>
    <w:tmpl w:val="8E745DC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3948FE"/>
    <w:multiLevelType w:val="hybridMultilevel"/>
    <w:tmpl w:val="17FA5684"/>
    <w:lvl w:ilvl="0" w:tplc="C70CC4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848335C"/>
    <w:multiLevelType w:val="multilevel"/>
    <w:tmpl w:val="6B60BD50"/>
    <w:lvl w:ilvl="0">
      <w:start w:val="2"/>
      <w:numFmt w:val="decimal"/>
      <w:lvlText w:val="%1."/>
      <w:lvlJc w:val="left"/>
      <w:pPr>
        <w:ind w:left="540" w:hanging="540"/>
      </w:pPr>
    </w:lvl>
    <w:lvl w:ilvl="1">
      <w:start w:val="3"/>
      <w:numFmt w:val="decimal"/>
      <w:lvlText w:val="%1.%2."/>
      <w:lvlJc w:val="left"/>
      <w:pPr>
        <w:ind w:left="675" w:hanging="540"/>
      </w:pPr>
    </w:lvl>
    <w:lvl w:ilvl="2">
      <w:start w:val="1"/>
      <w:numFmt w:val="decimal"/>
      <w:lvlText w:val="%1.%2.%3."/>
      <w:lvlJc w:val="left"/>
      <w:pPr>
        <w:ind w:left="6249" w:hanging="720"/>
      </w:pPr>
    </w:lvl>
    <w:lvl w:ilvl="3">
      <w:start w:val="1"/>
      <w:numFmt w:val="decimal"/>
      <w:lvlText w:val="%1.%2.%3.%4."/>
      <w:lvlJc w:val="left"/>
      <w:pPr>
        <w:ind w:left="1125" w:hanging="720"/>
      </w:pPr>
    </w:lvl>
    <w:lvl w:ilvl="4">
      <w:start w:val="1"/>
      <w:numFmt w:val="decimal"/>
      <w:lvlText w:val="%1.%2.%3.%4.%5."/>
      <w:lvlJc w:val="left"/>
      <w:pPr>
        <w:ind w:left="1620" w:hanging="1080"/>
      </w:pPr>
    </w:lvl>
    <w:lvl w:ilvl="5">
      <w:start w:val="1"/>
      <w:numFmt w:val="decimal"/>
      <w:lvlText w:val="%1.%2.%3.%4.%5.%6."/>
      <w:lvlJc w:val="left"/>
      <w:pPr>
        <w:ind w:left="1755" w:hanging="1080"/>
      </w:pPr>
    </w:lvl>
    <w:lvl w:ilvl="6">
      <w:start w:val="1"/>
      <w:numFmt w:val="decimal"/>
      <w:lvlText w:val="%1.%2.%3.%4.%5.%6.%7."/>
      <w:lvlJc w:val="left"/>
      <w:pPr>
        <w:ind w:left="2250" w:hanging="1440"/>
      </w:pPr>
    </w:lvl>
    <w:lvl w:ilvl="7">
      <w:start w:val="1"/>
      <w:numFmt w:val="decimal"/>
      <w:lvlText w:val="%1.%2.%3.%4.%5.%6.%7.%8."/>
      <w:lvlJc w:val="left"/>
      <w:pPr>
        <w:ind w:left="2385" w:hanging="1440"/>
      </w:pPr>
    </w:lvl>
    <w:lvl w:ilvl="8">
      <w:start w:val="1"/>
      <w:numFmt w:val="decimal"/>
      <w:lvlText w:val="%1.%2.%3.%4.%5.%6.%7.%8.%9."/>
      <w:lvlJc w:val="left"/>
      <w:pPr>
        <w:ind w:left="2880" w:hanging="1800"/>
      </w:pPr>
    </w:lvl>
  </w:abstractNum>
  <w:abstractNum w:abstractNumId="3" w15:restartNumberingAfterBreak="0">
    <w:nsid w:val="27B7477E"/>
    <w:multiLevelType w:val="hybridMultilevel"/>
    <w:tmpl w:val="FC5285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916678"/>
    <w:multiLevelType w:val="hybridMultilevel"/>
    <w:tmpl w:val="61823AD4"/>
    <w:lvl w:ilvl="0" w:tplc="E820A326">
      <w:start w:val="1"/>
      <w:numFmt w:val="bullet"/>
      <w:lvlText w:val="-"/>
      <w:lvlJc w:val="left"/>
      <w:pPr>
        <w:ind w:left="1364" w:hanging="360"/>
      </w:pPr>
      <w:rPr>
        <w:rFonts w:ascii="Times New Roman" w:eastAsia="Times New Roman" w:hAnsi="Times New Roman" w:cs="Times New Roman"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5" w15:restartNumberingAfterBreak="0">
    <w:nsid w:val="6C427771"/>
    <w:multiLevelType w:val="hybridMultilevel"/>
    <w:tmpl w:val="53D69A72"/>
    <w:lvl w:ilvl="0" w:tplc="4536B1E0">
      <w:start w:val="6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95D2EBD"/>
    <w:multiLevelType w:val="multilevel"/>
    <w:tmpl w:val="17C8A0F6"/>
    <w:lvl w:ilvl="0">
      <w:start w:val="2"/>
      <w:numFmt w:val="decimal"/>
      <w:lvlText w:val="%1."/>
      <w:lvlJc w:val="left"/>
      <w:pPr>
        <w:ind w:left="540" w:hanging="540"/>
      </w:pPr>
    </w:lvl>
    <w:lvl w:ilvl="1">
      <w:start w:val="3"/>
      <w:numFmt w:val="decimal"/>
      <w:lvlText w:val="%1.%2."/>
      <w:lvlJc w:val="left"/>
      <w:pPr>
        <w:ind w:left="990" w:hanging="540"/>
      </w:pPr>
      <w:rPr>
        <w:strike w:val="0"/>
        <w:dstrike w:val="0"/>
        <w:u w:val="none"/>
        <w:effect w:val="none"/>
      </w:rPr>
    </w:lvl>
    <w:lvl w:ilvl="2">
      <w:start w:val="1"/>
      <w:numFmt w:val="decimal"/>
      <w:lvlText w:val="%1.%2.%3."/>
      <w:lvlJc w:val="left"/>
      <w:pPr>
        <w:ind w:left="990" w:hanging="720"/>
      </w:pPr>
    </w:lvl>
    <w:lvl w:ilvl="3">
      <w:start w:val="1"/>
      <w:numFmt w:val="decimal"/>
      <w:lvlText w:val="%1.%2.%3.%4."/>
      <w:lvlJc w:val="left"/>
      <w:pPr>
        <w:ind w:left="1125" w:hanging="720"/>
      </w:pPr>
    </w:lvl>
    <w:lvl w:ilvl="4">
      <w:start w:val="1"/>
      <w:numFmt w:val="decimal"/>
      <w:lvlText w:val="%1.%2.%3.%4.%5."/>
      <w:lvlJc w:val="left"/>
      <w:pPr>
        <w:ind w:left="1620" w:hanging="1080"/>
      </w:pPr>
    </w:lvl>
    <w:lvl w:ilvl="5">
      <w:start w:val="1"/>
      <w:numFmt w:val="decimal"/>
      <w:lvlText w:val="%1.%2.%3.%4.%5.%6."/>
      <w:lvlJc w:val="left"/>
      <w:pPr>
        <w:ind w:left="1755" w:hanging="1080"/>
      </w:pPr>
    </w:lvl>
    <w:lvl w:ilvl="6">
      <w:start w:val="1"/>
      <w:numFmt w:val="decimal"/>
      <w:lvlText w:val="%1.%2.%3.%4.%5.%6.%7."/>
      <w:lvlJc w:val="left"/>
      <w:pPr>
        <w:ind w:left="2250" w:hanging="1440"/>
      </w:pPr>
    </w:lvl>
    <w:lvl w:ilvl="7">
      <w:start w:val="1"/>
      <w:numFmt w:val="decimal"/>
      <w:lvlText w:val="%1.%2.%3.%4.%5.%6.%7.%8."/>
      <w:lvlJc w:val="left"/>
      <w:pPr>
        <w:ind w:left="2385" w:hanging="1440"/>
      </w:pPr>
    </w:lvl>
    <w:lvl w:ilvl="8">
      <w:start w:val="1"/>
      <w:numFmt w:val="decimal"/>
      <w:lvlText w:val="%1.%2.%3.%4.%5.%6.%7.%8.%9."/>
      <w:lvlJc w:val="left"/>
      <w:pPr>
        <w:ind w:left="2880" w:hanging="1800"/>
      </w:pPr>
    </w:lvl>
  </w:abstractNum>
  <w:abstractNum w:abstractNumId="7" w15:restartNumberingAfterBreak="0">
    <w:nsid w:val="7F7F7FF0"/>
    <w:multiLevelType w:val="hybridMultilevel"/>
    <w:tmpl w:val="F6FCC9B4"/>
    <w:lvl w:ilvl="0" w:tplc="798679AA">
      <w:start w:val="1"/>
      <w:numFmt w:val="decimal"/>
      <w:lvlText w:val="%1."/>
      <w:lvlJc w:val="center"/>
      <w:pPr>
        <w:ind w:left="720"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95855737">
    <w:abstractNumId w:val="3"/>
  </w:num>
  <w:num w:numId="2" w16cid:durableId="6023043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9779087">
    <w:abstractNumId w:val="1"/>
  </w:num>
  <w:num w:numId="4" w16cid:durableId="1335913785">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2839414">
    <w:abstractNumId w:val="4"/>
  </w:num>
  <w:num w:numId="6" w16cid:durableId="1685862775">
    <w:abstractNumId w:val="0"/>
  </w:num>
  <w:num w:numId="7" w16cid:durableId="2025859462">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4980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9C4"/>
    <w:rsid w:val="00065788"/>
    <w:rsid w:val="00111275"/>
    <w:rsid w:val="002B73FE"/>
    <w:rsid w:val="00402112"/>
    <w:rsid w:val="00423C74"/>
    <w:rsid w:val="00487F32"/>
    <w:rsid w:val="00496A2E"/>
    <w:rsid w:val="004E09DA"/>
    <w:rsid w:val="0066514D"/>
    <w:rsid w:val="008C3726"/>
    <w:rsid w:val="00951C18"/>
    <w:rsid w:val="00992457"/>
    <w:rsid w:val="009E733D"/>
    <w:rsid w:val="00A90E43"/>
    <w:rsid w:val="00B1475D"/>
    <w:rsid w:val="00B14D4E"/>
    <w:rsid w:val="00BE3160"/>
    <w:rsid w:val="00C8267B"/>
    <w:rsid w:val="00CA279B"/>
    <w:rsid w:val="00E4544B"/>
    <w:rsid w:val="00E569C4"/>
    <w:rsid w:val="00F926B5"/>
    <w:rsid w:val="00FB5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ABB71"/>
  <w15:chartTrackingRefBased/>
  <w15:docId w15:val="{57B23ABE-3C68-46A2-BC26-1AF3DE370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69C4"/>
    <w:pPr>
      <w:autoSpaceDE w:val="0"/>
      <w:autoSpaceDN w:val="0"/>
      <w:adjustRightInd w:val="0"/>
      <w:jc w:val="left"/>
    </w:pPr>
    <w:rPr>
      <w:rFonts w:eastAsia="Times New Roman" w:cs="Times New Roman"/>
      <w:color w:val="000000"/>
      <w:szCs w:val="24"/>
      <w:lang w:val="en-GB" w:eastAsia="en-GB"/>
    </w:rPr>
  </w:style>
  <w:style w:type="paragraph" w:styleId="CommentText">
    <w:name w:val="annotation text"/>
    <w:basedOn w:val="Normal"/>
    <w:link w:val="CommentTextChar"/>
    <w:unhideWhenUsed/>
    <w:rsid w:val="00E569C4"/>
    <w:pPr>
      <w:spacing w:after="200" w:line="276" w:lineRule="auto"/>
      <w:jc w:val="left"/>
    </w:pPr>
    <w:rPr>
      <w:rFonts w:ascii="Calibri" w:eastAsia="Times New Roman" w:hAnsi="Calibri" w:cs="Times New Roman"/>
      <w:sz w:val="20"/>
      <w:szCs w:val="20"/>
      <w:lang w:bidi="en-US"/>
    </w:rPr>
  </w:style>
  <w:style w:type="character" w:customStyle="1" w:styleId="CommentTextChar">
    <w:name w:val="Comment Text Char"/>
    <w:basedOn w:val="DefaultParagraphFont"/>
    <w:link w:val="CommentText"/>
    <w:rsid w:val="00E569C4"/>
    <w:rPr>
      <w:rFonts w:ascii="Calibri" w:eastAsia="Times New Roman" w:hAnsi="Calibri" w:cs="Times New Roman"/>
      <w:sz w:val="20"/>
      <w:szCs w:val="20"/>
      <w:lang w:bidi="en-US"/>
    </w:rPr>
  </w:style>
  <w:style w:type="character" w:styleId="CommentReference">
    <w:name w:val="annotation reference"/>
    <w:uiPriority w:val="99"/>
    <w:unhideWhenUsed/>
    <w:rsid w:val="00E569C4"/>
    <w:rPr>
      <w:sz w:val="16"/>
      <w:szCs w:val="16"/>
    </w:rPr>
  </w:style>
  <w:style w:type="paragraph" w:customStyle="1" w:styleId="CLAN">
    <w:name w:val="CLAN"/>
    <w:basedOn w:val="Normal"/>
    <w:next w:val="Normal"/>
    <w:qFormat/>
    <w:rsid w:val="00E569C4"/>
    <w:pPr>
      <w:keepNext/>
      <w:spacing w:before="120" w:after="120"/>
      <w:ind w:left="720" w:right="720"/>
      <w:jc w:val="center"/>
    </w:pPr>
    <w:rPr>
      <w:rFonts w:ascii="Arial Bold" w:eastAsia="Calibri" w:hAnsi="Arial Bold" w:cs="Times New Roman"/>
      <w:b/>
      <w:sz w:val="22"/>
      <w:lang w:val="sr-Cyrl-CS"/>
    </w:rPr>
  </w:style>
  <w:style w:type="character" w:customStyle="1" w:styleId="BalloonTextChar">
    <w:name w:val="Balloon Text Char"/>
    <w:basedOn w:val="DefaultParagraphFont"/>
    <w:link w:val="BalloonText"/>
    <w:uiPriority w:val="99"/>
    <w:semiHidden/>
    <w:rsid w:val="00E569C4"/>
    <w:rPr>
      <w:rFonts w:ascii="Tahoma" w:eastAsia="Times New Roman" w:hAnsi="Tahoma" w:cs="Tahoma"/>
      <w:sz w:val="16"/>
      <w:szCs w:val="16"/>
      <w:lang w:val="sr-Cyrl-CS"/>
    </w:rPr>
  </w:style>
  <w:style w:type="paragraph" w:styleId="BalloonText">
    <w:name w:val="Balloon Text"/>
    <w:basedOn w:val="Normal"/>
    <w:link w:val="BalloonTextChar"/>
    <w:uiPriority w:val="99"/>
    <w:semiHidden/>
    <w:unhideWhenUsed/>
    <w:rsid w:val="00E569C4"/>
    <w:pPr>
      <w:widowControl w:val="0"/>
      <w:tabs>
        <w:tab w:val="left" w:pos="1440"/>
      </w:tabs>
    </w:pPr>
    <w:rPr>
      <w:rFonts w:ascii="Tahoma" w:eastAsia="Times New Roman" w:hAnsi="Tahoma" w:cs="Tahoma"/>
      <w:sz w:val="16"/>
      <w:szCs w:val="16"/>
      <w:lang w:val="sr-Cyrl-CS"/>
    </w:rPr>
  </w:style>
  <w:style w:type="paragraph" w:customStyle="1" w:styleId="stil1tekst">
    <w:name w:val="stil_1tekst"/>
    <w:basedOn w:val="Normal"/>
    <w:rsid w:val="00E569C4"/>
    <w:pPr>
      <w:ind w:left="525" w:right="525" w:firstLine="240"/>
    </w:pPr>
    <w:rPr>
      <w:rFonts w:eastAsia="Times New Roman" w:cs="Times New Roman"/>
      <w:szCs w:val="24"/>
    </w:rPr>
  </w:style>
  <w:style w:type="character" w:customStyle="1" w:styleId="CommentSubjectChar">
    <w:name w:val="Comment Subject Char"/>
    <w:basedOn w:val="CommentTextChar"/>
    <w:link w:val="CommentSubject"/>
    <w:uiPriority w:val="99"/>
    <w:semiHidden/>
    <w:rsid w:val="00E569C4"/>
    <w:rPr>
      <w:rFonts w:ascii="Calibri" w:eastAsia="Times New Roman" w:hAnsi="Calibri" w:cs="Times New Roman"/>
      <w:b/>
      <w:bCs/>
      <w:sz w:val="20"/>
      <w:szCs w:val="20"/>
      <w:lang w:val="sr-Cyrl-CS" w:bidi="en-US"/>
    </w:rPr>
  </w:style>
  <w:style w:type="paragraph" w:styleId="CommentSubject">
    <w:name w:val="annotation subject"/>
    <w:basedOn w:val="CommentText"/>
    <w:next w:val="CommentText"/>
    <w:link w:val="CommentSubjectChar"/>
    <w:uiPriority w:val="99"/>
    <w:semiHidden/>
    <w:unhideWhenUsed/>
    <w:rsid w:val="00E569C4"/>
    <w:pPr>
      <w:widowControl w:val="0"/>
      <w:tabs>
        <w:tab w:val="left" w:pos="1440"/>
      </w:tabs>
      <w:spacing w:after="0" w:line="240" w:lineRule="auto"/>
      <w:jc w:val="both"/>
    </w:pPr>
    <w:rPr>
      <w:rFonts w:ascii="Times New Roman" w:hAnsi="Times New Roman"/>
      <w:b/>
      <w:bCs/>
      <w:lang w:val="sr-Cyrl-CS" w:bidi="ar-SA"/>
    </w:rPr>
  </w:style>
  <w:style w:type="paragraph" w:customStyle="1" w:styleId="Normal1">
    <w:name w:val="Normal1"/>
    <w:basedOn w:val="Normal"/>
    <w:rsid w:val="00E569C4"/>
    <w:pPr>
      <w:spacing w:before="100" w:beforeAutospacing="1" w:after="100" w:afterAutospacing="1" w:line="276" w:lineRule="auto"/>
      <w:jc w:val="left"/>
    </w:pPr>
    <w:rPr>
      <w:rFonts w:ascii="Arial" w:eastAsia="Times New Roman" w:hAnsi="Arial" w:cs="Arial"/>
      <w:sz w:val="22"/>
    </w:rPr>
  </w:style>
  <w:style w:type="paragraph" w:styleId="NoSpacing">
    <w:name w:val="No Spacing"/>
    <w:uiPriority w:val="1"/>
    <w:qFormat/>
    <w:rsid w:val="00E569C4"/>
    <w:pPr>
      <w:widowControl w:val="0"/>
      <w:tabs>
        <w:tab w:val="left" w:pos="1440"/>
      </w:tabs>
    </w:pPr>
    <w:rPr>
      <w:rFonts w:eastAsia="Times New Roman" w:cs="Times New Roman"/>
      <w:szCs w:val="24"/>
      <w:lang w:val="sr-Cyrl-CS"/>
    </w:rPr>
  </w:style>
  <w:style w:type="paragraph" w:customStyle="1" w:styleId="Normal3">
    <w:name w:val="Normal3"/>
    <w:basedOn w:val="Normal"/>
    <w:uiPriority w:val="99"/>
    <w:rsid w:val="00E569C4"/>
    <w:pPr>
      <w:spacing w:before="100" w:beforeAutospacing="1" w:after="100" w:afterAutospacing="1"/>
      <w:jc w:val="left"/>
    </w:pPr>
    <w:rPr>
      <w:rFonts w:ascii="Arial" w:eastAsia="Times New Roman" w:hAnsi="Arial" w:cs="Arial"/>
      <w:sz w:val="22"/>
    </w:rPr>
  </w:style>
  <w:style w:type="paragraph" w:customStyle="1" w:styleId="NAZIVZAKONA">
    <w:name w:val="NAZIV ZAKONA"/>
    <w:basedOn w:val="Normal"/>
    <w:qFormat/>
    <w:rsid w:val="00E569C4"/>
    <w:pPr>
      <w:keepNext/>
      <w:spacing w:after="360"/>
      <w:ind w:left="720" w:right="720"/>
      <w:jc w:val="center"/>
    </w:pPr>
    <w:rPr>
      <w:rFonts w:ascii="Arial Bold" w:eastAsia="Calibri" w:hAnsi="Arial Bold" w:cs="Times New Roman"/>
      <w:caps/>
      <w:sz w:val="28"/>
      <w:lang w:val="sr-Cyrl-CS"/>
    </w:rPr>
  </w:style>
  <w:style w:type="paragraph" w:styleId="ListParagraph">
    <w:name w:val="List Paragraph"/>
    <w:basedOn w:val="Normal"/>
    <w:uiPriority w:val="34"/>
    <w:qFormat/>
    <w:rsid w:val="00E569C4"/>
    <w:pPr>
      <w:widowControl w:val="0"/>
      <w:tabs>
        <w:tab w:val="left" w:pos="1440"/>
      </w:tabs>
      <w:ind w:left="720"/>
      <w:contextualSpacing/>
    </w:pPr>
    <w:rPr>
      <w:rFonts w:eastAsia="Times New Roman" w:cs="Times New Roman"/>
      <w:szCs w:val="24"/>
      <w:lang w:val="sr-Cyrl-CS"/>
    </w:rPr>
  </w:style>
  <w:style w:type="character" w:customStyle="1" w:styleId="stepen">
    <w:name w:val="stepen"/>
    <w:rsid w:val="00E569C4"/>
  </w:style>
  <w:style w:type="character" w:customStyle="1" w:styleId="indeks">
    <w:name w:val="indeks"/>
    <w:rsid w:val="00E569C4"/>
  </w:style>
  <w:style w:type="character" w:styleId="Emphasis">
    <w:name w:val="Emphasis"/>
    <w:basedOn w:val="DefaultParagraphFont"/>
    <w:uiPriority w:val="20"/>
    <w:qFormat/>
    <w:rsid w:val="00E569C4"/>
    <w:rPr>
      <w:i/>
      <w:iCs/>
    </w:rPr>
  </w:style>
  <w:style w:type="character" w:customStyle="1" w:styleId="FootnoteTextChar">
    <w:name w:val="Footnote Text Char"/>
    <w:basedOn w:val="DefaultParagraphFont"/>
    <w:link w:val="FootnoteText"/>
    <w:uiPriority w:val="99"/>
    <w:semiHidden/>
    <w:rsid w:val="00E569C4"/>
    <w:rPr>
      <w:rFonts w:eastAsia="Times New Roman" w:cs="Times New Roman"/>
      <w:sz w:val="20"/>
      <w:szCs w:val="20"/>
      <w:lang w:val="sr-Cyrl-CS"/>
    </w:rPr>
  </w:style>
  <w:style w:type="paragraph" w:styleId="FootnoteText">
    <w:name w:val="footnote text"/>
    <w:basedOn w:val="Normal"/>
    <w:link w:val="FootnoteTextChar"/>
    <w:uiPriority w:val="99"/>
    <w:semiHidden/>
    <w:unhideWhenUsed/>
    <w:rsid w:val="00E569C4"/>
    <w:pPr>
      <w:widowControl w:val="0"/>
      <w:tabs>
        <w:tab w:val="left" w:pos="1440"/>
      </w:tabs>
    </w:pPr>
    <w:rPr>
      <w:rFonts w:eastAsia="Times New Roman" w:cs="Times New Roman"/>
      <w:sz w:val="20"/>
      <w:szCs w:val="20"/>
      <w:lang w:val="sr-Cyrl-CS"/>
    </w:rPr>
  </w:style>
  <w:style w:type="character" w:customStyle="1" w:styleId="NormalWebChar">
    <w:name w:val="Normal (Web) Char"/>
    <w:link w:val="NormalWeb"/>
    <w:locked/>
    <w:rsid w:val="00E569C4"/>
    <w:rPr>
      <w:rFonts w:eastAsia="Times New Roman" w:cs="Times New Roman"/>
      <w:szCs w:val="24"/>
      <w:lang w:val="en-GB" w:eastAsia="en-GB"/>
    </w:rPr>
  </w:style>
  <w:style w:type="paragraph" w:styleId="NormalWeb">
    <w:name w:val="Normal (Web)"/>
    <w:basedOn w:val="Normal"/>
    <w:link w:val="NormalWebChar"/>
    <w:unhideWhenUsed/>
    <w:rsid w:val="00E569C4"/>
    <w:pPr>
      <w:spacing w:after="200" w:line="276" w:lineRule="auto"/>
      <w:jc w:val="center"/>
    </w:pPr>
    <w:rPr>
      <w:rFonts w:eastAsia="Times New Roman" w:cs="Times New Roman"/>
      <w:szCs w:val="24"/>
      <w:lang w:val="en-GB" w:eastAsia="en-GB"/>
    </w:rPr>
  </w:style>
  <w:style w:type="character" w:customStyle="1" w:styleId="trs">
    <w:name w:val="trs"/>
    <w:basedOn w:val="DefaultParagraphFont"/>
    <w:rsid w:val="00E569C4"/>
  </w:style>
  <w:style w:type="paragraph" w:customStyle="1" w:styleId="basic-paragraph">
    <w:name w:val="basic-paragraph"/>
    <w:basedOn w:val="Normal"/>
    <w:rsid w:val="00E569C4"/>
    <w:pPr>
      <w:spacing w:before="100" w:beforeAutospacing="1" w:after="100" w:afterAutospacing="1"/>
      <w:jc w:val="left"/>
    </w:pPr>
    <w:rPr>
      <w:rFonts w:eastAsia="Times New Roman" w:cs="Times New Roman"/>
      <w:szCs w:val="24"/>
    </w:rPr>
  </w:style>
  <w:style w:type="paragraph" w:styleId="Header">
    <w:name w:val="header"/>
    <w:basedOn w:val="Normal"/>
    <w:link w:val="HeaderChar"/>
    <w:uiPriority w:val="99"/>
    <w:unhideWhenUsed/>
    <w:rsid w:val="00E569C4"/>
    <w:pPr>
      <w:widowControl w:val="0"/>
      <w:tabs>
        <w:tab w:val="center" w:pos="4680"/>
        <w:tab w:val="right" w:pos="9360"/>
      </w:tabs>
    </w:pPr>
    <w:rPr>
      <w:rFonts w:eastAsia="Times New Roman" w:cs="Times New Roman"/>
      <w:szCs w:val="24"/>
      <w:lang w:val="sr-Cyrl-CS"/>
    </w:rPr>
  </w:style>
  <w:style w:type="character" w:customStyle="1" w:styleId="HeaderChar">
    <w:name w:val="Header Char"/>
    <w:basedOn w:val="DefaultParagraphFont"/>
    <w:link w:val="Header"/>
    <w:uiPriority w:val="99"/>
    <w:rsid w:val="00E569C4"/>
    <w:rPr>
      <w:rFonts w:eastAsia="Times New Roman" w:cs="Times New Roman"/>
      <w:szCs w:val="24"/>
      <w:lang w:val="sr-Cyrl-CS"/>
    </w:rPr>
  </w:style>
  <w:style w:type="paragraph" w:styleId="Footer">
    <w:name w:val="footer"/>
    <w:basedOn w:val="Normal"/>
    <w:link w:val="FooterChar"/>
    <w:uiPriority w:val="99"/>
    <w:unhideWhenUsed/>
    <w:rsid w:val="00E569C4"/>
    <w:pPr>
      <w:widowControl w:val="0"/>
      <w:tabs>
        <w:tab w:val="center" w:pos="4680"/>
        <w:tab w:val="right" w:pos="9360"/>
      </w:tabs>
    </w:pPr>
    <w:rPr>
      <w:rFonts w:eastAsia="Times New Roman" w:cs="Times New Roman"/>
      <w:szCs w:val="24"/>
      <w:lang w:val="sr-Cyrl-CS"/>
    </w:rPr>
  </w:style>
  <w:style w:type="character" w:customStyle="1" w:styleId="FooterChar">
    <w:name w:val="Footer Char"/>
    <w:basedOn w:val="DefaultParagraphFont"/>
    <w:link w:val="Footer"/>
    <w:uiPriority w:val="99"/>
    <w:rsid w:val="00E569C4"/>
    <w:rPr>
      <w:rFonts w:eastAsia="Times New Roman" w:cs="Times New Roman"/>
      <w:szCs w:val="24"/>
      <w:lang w:val="sr-Cyrl-CS"/>
    </w:rPr>
  </w:style>
  <w:style w:type="table" w:styleId="TableGrid">
    <w:name w:val="Table Grid"/>
    <w:basedOn w:val="TableNormal"/>
    <w:uiPriority w:val="39"/>
    <w:rsid w:val="009E7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5290</Words>
  <Characters>30157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Bojan Grgić</cp:lastModifiedBy>
  <cp:revision>2</cp:revision>
  <cp:lastPrinted>2025-11-07T06:30:00Z</cp:lastPrinted>
  <dcterms:created xsi:type="dcterms:W3CDTF">2025-11-10T09:06:00Z</dcterms:created>
  <dcterms:modified xsi:type="dcterms:W3CDTF">2025-11-10T09:06:00Z</dcterms:modified>
</cp:coreProperties>
</file>