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899E3" w14:textId="77777777" w:rsidR="00327BE8" w:rsidRPr="00FD40F2" w:rsidRDefault="00327BE8" w:rsidP="00327BE8">
      <w:pPr>
        <w:jc w:val="center"/>
        <w:rPr>
          <w:sz w:val="28"/>
          <w:lang w:val="sr-Cyrl-CS"/>
        </w:rPr>
      </w:pPr>
      <w:r w:rsidRPr="00FD40F2">
        <w:rPr>
          <w:sz w:val="28"/>
          <w:lang w:val="sr-Cyrl-CS"/>
        </w:rPr>
        <w:t xml:space="preserve">ИЗЈАВА </w:t>
      </w:r>
    </w:p>
    <w:p w14:paraId="6C447480" w14:textId="77777777" w:rsidR="00327BE8" w:rsidRPr="00FD40F2" w:rsidRDefault="00327BE8" w:rsidP="00327BE8">
      <w:pPr>
        <w:jc w:val="center"/>
        <w:rPr>
          <w:sz w:val="28"/>
          <w:lang w:val="sr-Cyrl-CS"/>
        </w:rPr>
      </w:pPr>
      <w:r w:rsidRPr="00FD40F2">
        <w:rPr>
          <w:sz w:val="28"/>
          <w:lang w:val="sr-Cyrl-CS"/>
        </w:rPr>
        <w:t xml:space="preserve">О УСКЛАЂЕНОСТИ ПРОПИСА СА </w:t>
      </w:r>
    </w:p>
    <w:p w14:paraId="193646F1" w14:textId="77777777" w:rsidR="00327BE8" w:rsidRPr="00FD40F2" w:rsidRDefault="00327BE8" w:rsidP="00327BE8">
      <w:pPr>
        <w:jc w:val="center"/>
        <w:rPr>
          <w:sz w:val="28"/>
          <w:lang w:val="sr-Cyrl-CS"/>
        </w:rPr>
      </w:pPr>
      <w:r w:rsidRPr="00FD40F2">
        <w:rPr>
          <w:sz w:val="28"/>
          <w:lang w:val="sr-Cyrl-CS"/>
        </w:rPr>
        <w:t>ПРОПИСИМА ЕВРОПСКЕ УНИЈЕ</w:t>
      </w:r>
    </w:p>
    <w:p w14:paraId="524C4984" w14:textId="77777777" w:rsidR="00327BE8" w:rsidRPr="00FD40F2" w:rsidRDefault="00327BE8" w:rsidP="00327BE8">
      <w:pPr>
        <w:rPr>
          <w:szCs w:val="20"/>
          <w:lang w:val="sr-Cyrl-CS" w:eastAsia="hr-HR"/>
        </w:rPr>
      </w:pPr>
    </w:p>
    <w:p w14:paraId="53AD2F1C" w14:textId="1D5AC4C9" w:rsidR="00327BE8" w:rsidRPr="00FD40F2" w:rsidRDefault="00327BE8" w:rsidP="00327BE8">
      <w:pPr>
        <w:rPr>
          <w:lang w:val="sr-Cyrl-CS"/>
        </w:rPr>
      </w:pPr>
      <w:r w:rsidRPr="00FD40F2">
        <w:rPr>
          <w:lang w:val="sr-Cyrl-CS"/>
        </w:rPr>
        <w:tab/>
        <w:t>1. Орган државне управе, односно други овлашћени предлагач прописа</w:t>
      </w:r>
      <w:r w:rsidR="0079653F" w:rsidRPr="00FD40F2">
        <w:rPr>
          <w:lang w:val="sr-Cyrl-CS"/>
        </w:rPr>
        <w:t xml:space="preserve"> -</w:t>
      </w:r>
      <w:r w:rsidRPr="00FD40F2">
        <w:rPr>
          <w:lang w:val="sr-Cyrl-CS"/>
        </w:rPr>
        <w:t xml:space="preserve"> </w:t>
      </w:r>
      <w:r w:rsidR="0079653F" w:rsidRPr="00FD40F2">
        <w:rPr>
          <w:lang w:val="sr-Cyrl-CS"/>
        </w:rPr>
        <w:t>Влада</w:t>
      </w:r>
    </w:p>
    <w:p w14:paraId="1768CB21" w14:textId="47037ADF" w:rsidR="00327BE8" w:rsidRPr="00FD40F2" w:rsidRDefault="0079653F" w:rsidP="00327BE8">
      <w:pPr>
        <w:rPr>
          <w:lang w:val="sr-Cyrl-CS"/>
        </w:rPr>
      </w:pPr>
      <w:r w:rsidRPr="00FD40F2">
        <w:rPr>
          <w:lang w:val="sr-Cyrl-CS"/>
        </w:rPr>
        <w:t xml:space="preserve"> </w:t>
      </w:r>
      <w:r w:rsidR="00327BE8" w:rsidRPr="00FD40F2">
        <w:rPr>
          <w:lang w:val="sr-Cyrl-CS"/>
        </w:rPr>
        <w:tab/>
      </w:r>
      <w:r w:rsidRPr="00FD40F2">
        <w:rPr>
          <w:lang w:val="sr-Cyrl-CS"/>
        </w:rPr>
        <w:t xml:space="preserve">    Обрађивач - </w:t>
      </w:r>
      <w:r w:rsidR="00327BE8" w:rsidRPr="00FD40F2">
        <w:rPr>
          <w:lang w:val="sr-Cyrl-CS"/>
        </w:rPr>
        <w:t xml:space="preserve">Министарство пољопривреде, шумарства и водопривреде </w:t>
      </w:r>
    </w:p>
    <w:p w14:paraId="2A455C13" w14:textId="77777777" w:rsidR="00327BE8" w:rsidRPr="00FD40F2" w:rsidRDefault="00327BE8" w:rsidP="00327BE8">
      <w:pPr>
        <w:rPr>
          <w:lang w:val="sr-Cyrl-CS"/>
        </w:rPr>
      </w:pPr>
    </w:p>
    <w:p w14:paraId="41EA0963" w14:textId="20A6BE3E" w:rsidR="00327BE8" w:rsidRPr="00FD40F2" w:rsidRDefault="00327BE8" w:rsidP="00327BE8">
      <w:pPr>
        <w:rPr>
          <w:lang w:val="sr-Cyrl-CS"/>
        </w:rPr>
      </w:pPr>
      <w:r w:rsidRPr="00FD40F2">
        <w:rPr>
          <w:lang w:val="sr-Cyrl-CS"/>
        </w:rPr>
        <w:tab/>
        <w:t>2. Назив прописа</w:t>
      </w:r>
    </w:p>
    <w:p w14:paraId="4A76F58E" w14:textId="77777777" w:rsidR="00327BE8" w:rsidRPr="00FD40F2" w:rsidRDefault="00327BE8" w:rsidP="00327BE8">
      <w:pPr>
        <w:rPr>
          <w:lang w:val="sr-Cyrl-CS"/>
        </w:rPr>
      </w:pPr>
    </w:p>
    <w:p w14:paraId="1A68FB86" w14:textId="51B0EE61" w:rsidR="00327BE8" w:rsidRPr="00FD40F2" w:rsidRDefault="00327BE8" w:rsidP="00327BE8">
      <w:pPr>
        <w:rPr>
          <w:lang w:val="sr-Cyrl-CS"/>
        </w:rPr>
      </w:pPr>
      <w:r w:rsidRPr="00FD40F2">
        <w:rPr>
          <w:lang w:val="sr-Cyrl-CS"/>
        </w:rPr>
        <w:tab/>
      </w:r>
      <w:r w:rsidR="0079653F" w:rsidRPr="00FD40F2">
        <w:rPr>
          <w:lang w:val="sr-Cyrl-CS"/>
        </w:rPr>
        <w:t xml:space="preserve">ПРЕДЛОГ </w:t>
      </w:r>
      <w:r w:rsidR="0079653F" w:rsidRPr="00FD40F2">
        <w:rPr>
          <w:color w:val="000000"/>
          <w:lang w:val="sr-Cyrl-CS"/>
        </w:rPr>
        <w:t xml:space="preserve">ЗАКОНА </w:t>
      </w:r>
      <w:r w:rsidR="0079653F" w:rsidRPr="00FD40F2">
        <w:rPr>
          <w:lang w:val="sr-Cyrl-CS"/>
        </w:rPr>
        <w:t xml:space="preserve">О СЕМЕНУ И САДНОМ МАТЕРИЈАЛУ ПОЉОПРИВРЕДНОГ И УКРАСНОГ БИЉА  </w:t>
      </w:r>
    </w:p>
    <w:p w14:paraId="488615A7" w14:textId="1E2AA862" w:rsidR="00327BE8" w:rsidRPr="00FD40F2" w:rsidRDefault="0079653F" w:rsidP="00327BE8">
      <w:pPr>
        <w:rPr>
          <w:bCs/>
          <w:lang w:val="sr-Cyrl-CS"/>
        </w:rPr>
      </w:pPr>
      <w:r w:rsidRPr="00FD40F2">
        <w:rPr>
          <w:lang w:val="sr-Cyrl-CS"/>
        </w:rPr>
        <w:tab/>
        <w:t xml:space="preserve">DRAFT LAW </w:t>
      </w:r>
      <w:r w:rsidRPr="00FD40F2">
        <w:rPr>
          <w:bCs/>
          <w:lang w:val="sr-Cyrl-CS"/>
        </w:rPr>
        <w:t>ON SEED AND PROPAGATING MATERIAL OF AGRICULTURAL AND ORNAMENTAL PLANTS</w:t>
      </w:r>
    </w:p>
    <w:p w14:paraId="5AF97691" w14:textId="77777777" w:rsidR="00327BE8" w:rsidRPr="00FD40F2" w:rsidRDefault="00327BE8" w:rsidP="00327BE8">
      <w:pPr>
        <w:rPr>
          <w:lang w:val="sr-Cyrl-CS"/>
        </w:rPr>
      </w:pPr>
    </w:p>
    <w:p w14:paraId="2F467CC8" w14:textId="008703DF" w:rsidR="00327BE8" w:rsidRPr="00FD40F2" w:rsidRDefault="00327BE8" w:rsidP="00327BE8">
      <w:pPr>
        <w:rPr>
          <w:lang w:val="sr-Cyrl-CS"/>
        </w:rPr>
      </w:pPr>
      <w:r w:rsidRPr="00FD40F2">
        <w:rPr>
          <w:lang w:val="sr-Cyrl-CS"/>
        </w:rPr>
        <w:tab/>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3E2DD1E8" w14:textId="77777777" w:rsidR="00327BE8" w:rsidRPr="00FD40F2" w:rsidRDefault="00327BE8" w:rsidP="00327BE8">
      <w:pPr>
        <w:rPr>
          <w:lang w:val="sr-Cyrl-CS"/>
        </w:rPr>
      </w:pPr>
    </w:p>
    <w:p w14:paraId="7EDA9588" w14:textId="28954230" w:rsidR="00327BE8" w:rsidRPr="00FD40F2" w:rsidRDefault="00327BE8" w:rsidP="00327BE8">
      <w:pPr>
        <w:ind w:firstLine="567"/>
        <w:rPr>
          <w:lang w:val="sr-Cyrl-CS"/>
        </w:rPr>
      </w:pPr>
      <w:r w:rsidRPr="00FD40F2">
        <w:rPr>
          <w:lang w:val="sr-Cyrl-CS" w:eastAsia="zh-CN" w:bidi="ar"/>
        </w:rPr>
        <w:tab/>
        <w:t>а) Одредба Споразума која се односе на нормативну садржину прописа</w:t>
      </w:r>
    </w:p>
    <w:p w14:paraId="22A783F6" w14:textId="347F8DE9" w:rsidR="00327BE8" w:rsidRPr="00FD40F2" w:rsidRDefault="00C0488C" w:rsidP="00327BE8">
      <w:pPr>
        <w:ind w:firstLine="567"/>
        <w:rPr>
          <w:rFonts w:eastAsia="Calibri"/>
          <w:lang w:val="sr-Cyrl-CS" w:eastAsia="zh-CN" w:bidi="ar"/>
        </w:rPr>
      </w:pPr>
      <w:r w:rsidRPr="00FD40F2">
        <w:rPr>
          <w:rFonts w:eastAsia="Calibri"/>
          <w:lang w:val="sr-Cyrl-CS" w:eastAsia="zh-CN" w:bidi="ar"/>
        </w:rPr>
        <w:tab/>
      </w:r>
      <w:r w:rsidR="00327BE8" w:rsidRPr="00FD40F2">
        <w:rPr>
          <w:rFonts w:eastAsia="Calibri"/>
          <w:lang w:val="sr-Cyrl-CS" w:eastAsia="zh-CN" w:bidi="ar"/>
        </w:rPr>
        <w:t>Нормативна садржина прописа у вези је са одредбама Споразума садржаним у наслову IV Слободан проток робе,  Поглавље II Пољопривреда и рибарство.</w:t>
      </w:r>
    </w:p>
    <w:p w14:paraId="0F7E2A18" w14:textId="77777777" w:rsidR="00327BE8" w:rsidRPr="00FD40F2" w:rsidRDefault="00327BE8" w:rsidP="00327BE8">
      <w:pPr>
        <w:ind w:firstLine="567"/>
        <w:rPr>
          <w:lang w:val="sr-Cyrl-CS"/>
        </w:rPr>
      </w:pPr>
    </w:p>
    <w:p w14:paraId="76219742" w14:textId="27634BA5" w:rsidR="00327BE8" w:rsidRPr="00FD40F2" w:rsidRDefault="00C0488C" w:rsidP="00327BE8">
      <w:pPr>
        <w:ind w:firstLine="567"/>
        <w:rPr>
          <w:lang w:val="sr-Cyrl-CS" w:eastAsia="zh-CN" w:bidi="ar"/>
        </w:rPr>
      </w:pPr>
      <w:r w:rsidRPr="00FD40F2">
        <w:rPr>
          <w:lang w:val="sr-Cyrl-CS" w:eastAsia="zh-CN" w:bidi="ar"/>
        </w:rPr>
        <w:tab/>
      </w:r>
      <w:r w:rsidR="00327BE8" w:rsidRPr="00FD40F2">
        <w:rPr>
          <w:lang w:val="sr-Cyrl-CS" w:eastAsia="zh-CN" w:bidi="ar"/>
        </w:rPr>
        <w:t>б) Прелазни рок за усклађивање законодавства према одредбама Споразума</w:t>
      </w:r>
    </w:p>
    <w:p w14:paraId="01B4B631" w14:textId="538829F1" w:rsidR="00327BE8" w:rsidRPr="00FD40F2" w:rsidRDefault="00C0488C" w:rsidP="00327BE8">
      <w:pPr>
        <w:ind w:firstLine="567"/>
        <w:rPr>
          <w:lang w:val="sr-Cyrl-CS" w:eastAsia="zh-CN" w:bidi="ar"/>
        </w:rPr>
      </w:pPr>
      <w:r w:rsidRPr="00FD40F2">
        <w:rPr>
          <w:lang w:val="sr-Cyrl-CS" w:eastAsia="zh-CN" w:bidi="ar"/>
        </w:rPr>
        <w:tab/>
      </w:r>
      <w:r w:rsidR="00327BE8" w:rsidRPr="00FD40F2">
        <w:rPr>
          <w:lang w:val="sr-Cyrl-CS" w:eastAsia="zh-CN" w:bidi="ar"/>
        </w:rPr>
        <w:tab/>
        <w:t>Нема.</w:t>
      </w:r>
    </w:p>
    <w:p w14:paraId="0CBE28FB" w14:textId="77777777" w:rsidR="00327BE8" w:rsidRPr="00FD40F2" w:rsidRDefault="00327BE8" w:rsidP="00327BE8">
      <w:pPr>
        <w:ind w:firstLine="567"/>
        <w:rPr>
          <w:lang w:val="sr-Cyrl-CS" w:eastAsia="zh-CN" w:bidi="ar"/>
        </w:rPr>
      </w:pPr>
    </w:p>
    <w:p w14:paraId="7636DAFB" w14:textId="3C0AC37D" w:rsidR="00327BE8" w:rsidRPr="00FD40F2" w:rsidRDefault="00C0488C" w:rsidP="00327BE8">
      <w:pPr>
        <w:ind w:firstLine="567"/>
        <w:rPr>
          <w:lang w:val="sr-Cyrl-CS"/>
        </w:rPr>
      </w:pPr>
      <w:r w:rsidRPr="00FD40F2">
        <w:rPr>
          <w:lang w:val="sr-Cyrl-CS" w:eastAsia="zh-CN" w:bidi="ar"/>
        </w:rPr>
        <w:tab/>
      </w:r>
      <w:r w:rsidR="00327BE8" w:rsidRPr="00FD40F2">
        <w:rPr>
          <w:lang w:val="sr-Cyrl-CS" w:eastAsia="zh-CN" w:bidi="ar"/>
        </w:rPr>
        <w:t xml:space="preserve">в) Оцена испуњености обавезе које произлазе из наведене одредбе Споразума </w:t>
      </w:r>
    </w:p>
    <w:p w14:paraId="317BD00D" w14:textId="722A4C1A" w:rsidR="00327BE8" w:rsidRPr="00FD40F2" w:rsidRDefault="00327BE8" w:rsidP="00327BE8">
      <w:pPr>
        <w:ind w:firstLine="567"/>
        <w:rPr>
          <w:lang w:val="sr-Cyrl-CS" w:eastAsia="zh-CN" w:bidi="ar"/>
        </w:rPr>
      </w:pPr>
      <w:r w:rsidRPr="00FD40F2">
        <w:rPr>
          <w:lang w:val="sr-Cyrl-CS" w:eastAsia="zh-CN" w:bidi="ar"/>
        </w:rPr>
        <w:tab/>
      </w:r>
      <w:r w:rsidR="00C0488C" w:rsidRPr="00FD40F2">
        <w:rPr>
          <w:lang w:val="sr-Cyrl-CS" w:eastAsia="zh-CN" w:bidi="ar"/>
        </w:rPr>
        <w:tab/>
      </w:r>
      <w:r w:rsidRPr="00FD40F2">
        <w:rPr>
          <w:lang w:val="sr-Cyrl-CS" w:eastAsia="zh-CN" w:bidi="ar"/>
        </w:rPr>
        <w:t>Нема.</w:t>
      </w:r>
    </w:p>
    <w:p w14:paraId="75E95D9C" w14:textId="77777777" w:rsidR="00327BE8" w:rsidRPr="00FD40F2" w:rsidRDefault="00327BE8" w:rsidP="00327BE8">
      <w:pPr>
        <w:ind w:firstLine="567"/>
        <w:rPr>
          <w:lang w:val="sr-Cyrl-CS"/>
        </w:rPr>
      </w:pPr>
    </w:p>
    <w:p w14:paraId="14B9102D" w14:textId="37E2A2CA" w:rsidR="00327BE8" w:rsidRPr="00FD40F2" w:rsidRDefault="00C0488C" w:rsidP="00327BE8">
      <w:pPr>
        <w:ind w:firstLine="567"/>
        <w:rPr>
          <w:lang w:val="sr-Cyrl-CS"/>
        </w:rPr>
      </w:pPr>
      <w:r w:rsidRPr="00FD40F2">
        <w:rPr>
          <w:lang w:val="sr-Cyrl-CS" w:eastAsia="zh-CN" w:bidi="ar"/>
        </w:rPr>
        <w:tab/>
      </w:r>
      <w:r w:rsidR="00327BE8" w:rsidRPr="00FD40F2">
        <w:rPr>
          <w:lang w:val="sr-Cyrl-CS" w:eastAsia="zh-CN" w:bidi="ar"/>
        </w:rPr>
        <w:t>г) Разлози за делимично испуњавање, односно неиспуњавање обавеза које произлазе из наведене одредбе Споразума</w:t>
      </w:r>
    </w:p>
    <w:p w14:paraId="1AAE5469" w14:textId="03C0CD3F" w:rsidR="00327BE8" w:rsidRPr="00FD40F2" w:rsidRDefault="00327BE8" w:rsidP="00327BE8">
      <w:pPr>
        <w:ind w:left="567"/>
        <w:rPr>
          <w:lang w:val="sr-Cyrl-CS" w:eastAsia="zh-CN" w:bidi="ar"/>
        </w:rPr>
      </w:pPr>
      <w:r w:rsidRPr="00FD40F2">
        <w:rPr>
          <w:lang w:val="sr-Cyrl-CS" w:eastAsia="zh-CN" w:bidi="ar"/>
        </w:rPr>
        <w:tab/>
      </w:r>
      <w:r w:rsidR="00C0488C" w:rsidRPr="00FD40F2">
        <w:rPr>
          <w:lang w:val="sr-Cyrl-CS" w:eastAsia="zh-CN" w:bidi="ar"/>
        </w:rPr>
        <w:tab/>
      </w:r>
      <w:r w:rsidRPr="00FD40F2">
        <w:rPr>
          <w:lang w:val="sr-Cyrl-CS" w:eastAsia="zh-CN" w:bidi="ar"/>
        </w:rPr>
        <w:t>Нема.</w:t>
      </w:r>
    </w:p>
    <w:p w14:paraId="2CE8ED41" w14:textId="77777777" w:rsidR="00327BE8" w:rsidRPr="00FD40F2" w:rsidRDefault="00327BE8" w:rsidP="00327BE8">
      <w:pPr>
        <w:ind w:left="567"/>
        <w:rPr>
          <w:lang w:val="sr-Cyrl-CS"/>
        </w:rPr>
      </w:pPr>
    </w:p>
    <w:p w14:paraId="7EE2976C" w14:textId="6DB4761B" w:rsidR="00327BE8" w:rsidRPr="00FD40F2" w:rsidRDefault="00327BE8" w:rsidP="00327BE8">
      <w:pPr>
        <w:ind w:firstLine="567"/>
        <w:rPr>
          <w:lang w:val="sr-Cyrl-CS"/>
        </w:rPr>
      </w:pPr>
      <w:r w:rsidRPr="00FD40F2">
        <w:rPr>
          <w:lang w:val="sr-Cyrl-CS" w:eastAsia="zh-CN" w:bidi="ar"/>
        </w:rPr>
        <w:tab/>
        <w:t>д) Веза са Националним програмом за усвајање правних тековина Европске уније.</w:t>
      </w:r>
    </w:p>
    <w:p w14:paraId="55D80F02" w14:textId="4089BB3C" w:rsidR="00327BE8" w:rsidRPr="00FD40F2" w:rsidRDefault="00327BE8" w:rsidP="00327BE8">
      <w:pPr>
        <w:rPr>
          <w:color w:val="000000"/>
          <w:lang w:val="sr-Cyrl-CS"/>
        </w:rPr>
      </w:pPr>
      <w:r w:rsidRPr="00FD40F2">
        <w:rPr>
          <w:color w:val="000000"/>
          <w:lang w:val="sr-Cyrl-CS"/>
        </w:rPr>
        <w:tab/>
        <w:t>Националним програмом за усвајање правних тековина Европске уније за период 2024 -2027. године у оквиру Кластера 5 – Ресурси, пољопривреда и кохезија, Поглављe 12 – Безбедност хране, ветеринарска и фитосанитарна политика предвиђено је усвајање овог прописа.</w:t>
      </w:r>
    </w:p>
    <w:p w14:paraId="3C3B35B8" w14:textId="77777777" w:rsidR="00327BE8" w:rsidRPr="00FD40F2" w:rsidRDefault="00327BE8" w:rsidP="00327BE8">
      <w:pPr>
        <w:rPr>
          <w:color w:val="000000"/>
          <w:lang w:val="sr-Cyrl-CS"/>
        </w:rPr>
      </w:pPr>
    </w:p>
    <w:p w14:paraId="4688AFEE" w14:textId="5CEFA834" w:rsidR="00327BE8" w:rsidRPr="00FD40F2" w:rsidRDefault="00327BE8" w:rsidP="00327BE8">
      <w:pPr>
        <w:rPr>
          <w:lang w:val="sr-Cyrl-CS"/>
        </w:rPr>
      </w:pPr>
      <w:r w:rsidRPr="00FD40F2">
        <w:rPr>
          <w:lang w:val="sr-Cyrl-CS" w:eastAsia="zh-CN" w:bidi="ar"/>
        </w:rPr>
        <w:tab/>
        <w:t>4. Усклађеност прописа са прописима Европске уније:</w:t>
      </w:r>
    </w:p>
    <w:p w14:paraId="04D2205F" w14:textId="1214172A" w:rsidR="00327BE8" w:rsidRPr="00FD40F2" w:rsidRDefault="00327BE8" w:rsidP="00327BE8">
      <w:pPr>
        <w:ind w:firstLine="567"/>
        <w:rPr>
          <w:lang w:val="sr-Cyrl-CS" w:eastAsia="zh-CN" w:bidi="ar"/>
        </w:rPr>
      </w:pPr>
      <w:r w:rsidRPr="00FD40F2">
        <w:rPr>
          <w:lang w:val="sr-Cyrl-CS" w:eastAsia="zh-CN" w:bidi="ar"/>
        </w:rPr>
        <w:tab/>
        <w:t>а) Навођење одредби примарних извора права Европске уније и оцене усклађености са њима</w:t>
      </w:r>
    </w:p>
    <w:p w14:paraId="0C308700" w14:textId="77777777" w:rsidR="00327BE8" w:rsidRPr="00FD40F2" w:rsidRDefault="00327BE8" w:rsidP="00327BE8">
      <w:pPr>
        <w:ind w:firstLine="567"/>
        <w:rPr>
          <w:lang w:val="sr-Cyrl-CS" w:eastAsia="zh-CN" w:bidi="ar"/>
        </w:rPr>
      </w:pPr>
    </w:p>
    <w:p w14:paraId="3CB7BE1A" w14:textId="0AB36A82" w:rsidR="00327BE8" w:rsidRPr="00FD40F2" w:rsidRDefault="00327BE8" w:rsidP="00327BE8">
      <w:pPr>
        <w:rPr>
          <w:lang w:val="sr-Cyrl-CS"/>
        </w:rPr>
      </w:pPr>
      <w:r w:rsidRPr="00FD40F2">
        <w:rPr>
          <w:lang w:val="sr-Cyrl-CS"/>
        </w:rPr>
        <w:tab/>
      </w:r>
      <w:r w:rsidR="0079653F" w:rsidRPr="00FD40F2">
        <w:rPr>
          <w:lang w:val="sr-Cyrl-CS"/>
        </w:rPr>
        <w:t>Предлог</w:t>
      </w:r>
      <w:r w:rsidRPr="00FD40F2">
        <w:rPr>
          <w:lang w:val="sr-Cyrl-CS"/>
        </w:rPr>
        <w:t xml:space="preserve"> закона може се довести у везу са чл. 38–44. Уговора о оснивању Европске уније, који регулишу област пољопривреде и рибарства. </w:t>
      </w:r>
    </w:p>
    <w:p w14:paraId="7004C0A3" w14:textId="77777777" w:rsidR="00327BE8" w:rsidRPr="00FD40F2" w:rsidRDefault="00327BE8" w:rsidP="00327BE8">
      <w:pPr>
        <w:rPr>
          <w:lang w:val="sr-Cyrl-CS"/>
        </w:rPr>
      </w:pPr>
    </w:p>
    <w:p w14:paraId="015F1B37" w14:textId="54D216AB" w:rsidR="00327BE8" w:rsidRPr="00FD40F2" w:rsidRDefault="00327BE8" w:rsidP="00327BE8">
      <w:pPr>
        <w:ind w:firstLine="567"/>
        <w:rPr>
          <w:lang w:val="sr-Cyrl-CS"/>
        </w:rPr>
      </w:pPr>
      <w:r w:rsidRPr="00FD40F2">
        <w:rPr>
          <w:lang w:val="sr-Cyrl-CS" w:eastAsia="zh-CN" w:bidi="ar"/>
        </w:rPr>
        <w:tab/>
        <w:t>б) Навођење секундарних извора права Европске уније и оцене усклађености са њима</w:t>
      </w:r>
    </w:p>
    <w:p w14:paraId="38A3B2F8" w14:textId="77777777" w:rsidR="00327BE8" w:rsidRPr="00FD40F2" w:rsidRDefault="00327BE8" w:rsidP="00327BE8">
      <w:pPr>
        <w:rPr>
          <w:lang w:val="sr-Cyrl-CS"/>
        </w:rPr>
      </w:pPr>
    </w:p>
    <w:p w14:paraId="7B15B174" w14:textId="4D893090" w:rsidR="00327BE8" w:rsidRPr="00FD40F2" w:rsidRDefault="00327BE8" w:rsidP="00327BE8">
      <w:pPr>
        <w:rPr>
          <w:lang w:val="sr-Cyrl-CS"/>
        </w:rPr>
      </w:pPr>
      <w:r w:rsidRPr="00FD40F2">
        <w:rPr>
          <w:lang w:val="sr-Cyrl-CS"/>
        </w:rPr>
        <w:tab/>
        <w:t>Предложени пропис је усклађен са:</w:t>
      </w:r>
    </w:p>
    <w:p w14:paraId="0A45A0E3" w14:textId="0B0F7B5A" w:rsidR="00327BE8" w:rsidRPr="00FD40F2" w:rsidRDefault="00327BE8" w:rsidP="00327BE8">
      <w:pPr>
        <w:tabs>
          <w:tab w:val="left" w:pos="1440"/>
        </w:tabs>
        <w:ind w:firstLine="360"/>
        <w:rPr>
          <w:lang w:val="sr-Cyrl-CS"/>
        </w:rPr>
      </w:pPr>
      <w:r w:rsidRPr="00FD40F2">
        <w:rPr>
          <w:lang w:val="sr-Cyrl-CS"/>
        </w:rPr>
        <w:lastRenderedPageBreak/>
        <w:t xml:space="preserve">1) Дирeктивом </w:t>
      </w:r>
      <w:bookmarkStart w:id="0" w:name="_Hlk197605512"/>
      <w:r w:rsidR="00C0488C" w:rsidRPr="00FD40F2">
        <w:rPr>
          <w:lang w:val="sr-Cyrl-CS"/>
        </w:rPr>
        <w:t>Савета</w:t>
      </w:r>
      <w:r w:rsidRPr="00FD40F2">
        <w:rPr>
          <w:lang w:val="sr-Cyrl-CS"/>
        </w:rPr>
        <w:t xml:space="preserve"> </w:t>
      </w:r>
      <w:bookmarkEnd w:id="0"/>
      <w:r w:rsidRPr="00FD40F2">
        <w:rPr>
          <w:lang w:val="sr-Cyrl-CS"/>
        </w:rPr>
        <w:t>66/401/EEЗ oд 14. јуна 1966. године o стaвљaњу нa тржиштe сeмeнa крмнoг биљa (СЛ L 125, 11. 7. 1966.);</w:t>
      </w:r>
    </w:p>
    <w:p w14:paraId="2C39CDC0" w14:textId="3BD52851" w:rsidR="00327BE8" w:rsidRPr="00FD40F2" w:rsidRDefault="00327BE8" w:rsidP="00327BE8">
      <w:pPr>
        <w:tabs>
          <w:tab w:val="left" w:pos="1440"/>
        </w:tabs>
        <w:ind w:firstLine="360"/>
        <w:rPr>
          <w:lang w:val="sr-Cyrl-CS"/>
        </w:rPr>
      </w:pPr>
      <w:r w:rsidRPr="00FD40F2">
        <w:rPr>
          <w:lang w:val="sr-Cyrl-CS"/>
        </w:rPr>
        <w:t xml:space="preserve">2) Дирeктивом </w:t>
      </w:r>
      <w:r w:rsidR="00C0488C" w:rsidRPr="00FD40F2">
        <w:rPr>
          <w:lang w:val="sr-Cyrl-CS"/>
        </w:rPr>
        <w:t xml:space="preserve">Савета </w:t>
      </w:r>
      <w:r w:rsidRPr="00FD40F2">
        <w:rPr>
          <w:lang w:val="sr-Cyrl-CS"/>
        </w:rPr>
        <w:t>66/402/EEЗ oд 14. јуна 1966. године o стaвљaњу нa тржиштe сeмeнa житaрицa (СЛ L 125, 14. 6. 1966.);</w:t>
      </w:r>
    </w:p>
    <w:p w14:paraId="40971BD0" w14:textId="587DE04E" w:rsidR="00327BE8" w:rsidRPr="00FD40F2" w:rsidRDefault="00327BE8" w:rsidP="00327BE8">
      <w:pPr>
        <w:tabs>
          <w:tab w:val="left" w:pos="1440"/>
        </w:tabs>
        <w:ind w:firstLine="360"/>
        <w:rPr>
          <w:lang w:val="sr-Cyrl-CS"/>
        </w:rPr>
      </w:pPr>
      <w:r w:rsidRPr="00FD40F2">
        <w:rPr>
          <w:lang w:val="sr-Cyrl-CS"/>
        </w:rPr>
        <w:t xml:space="preserve">3) Дирeктивом </w:t>
      </w:r>
      <w:r w:rsidR="00C0488C" w:rsidRPr="00FD40F2">
        <w:rPr>
          <w:lang w:val="sr-Cyrl-CS"/>
        </w:rPr>
        <w:t xml:space="preserve">Савета </w:t>
      </w:r>
      <w:r w:rsidRPr="00FD40F2">
        <w:rPr>
          <w:lang w:val="sr-Cyrl-CS"/>
        </w:rPr>
        <w:t>68/193/EEЗ oд 9. априла 1968. године o стaвљaњу нa тржиштe садног мaтeриjaлa зa вeгeтaтивнo умножaвање винoвe лoзe (СЛ L 93, 17. 4. 1968.);</w:t>
      </w:r>
    </w:p>
    <w:p w14:paraId="0012C4F8" w14:textId="24E76165" w:rsidR="00327BE8" w:rsidRPr="00FD40F2" w:rsidRDefault="00327BE8" w:rsidP="00327BE8">
      <w:pPr>
        <w:tabs>
          <w:tab w:val="left" w:pos="1440"/>
        </w:tabs>
        <w:ind w:firstLine="360"/>
        <w:rPr>
          <w:lang w:val="sr-Cyrl-CS"/>
        </w:rPr>
      </w:pPr>
      <w:r w:rsidRPr="00FD40F2">
        <w:rPr>
          <w:lang w:val="sr-Cyrl-CS"/>
        </w:rPr>
        <w:t xml:space="preserve">4) Дирeктивом </w:t>
      </w:r>
      <w:r w:rsidR="00C0488C" w:rsidRPr="00FD40F2">
        <w:rPr>
          <w:lang w:val="sr-Cyrl-CS"/>
        </w:rPr>
        <w:t xml:space="preserve">Савета </w:t>
      </w:r>
      <w:r w:rsidRPr="00FD40F2">
        <w:rPr>
          <w:lang w:val="sr-Cyrl-CS"/>
        </w:rPr>
        <w:t>98/56/EЗ oд 20. јула 1998. године o стaвљaњу пoљoприврeднoг садног мaтeриjaлa укрaснoг биљa нa тржиштe (СЛ L 226, 13. 8. 1998.);</w:t>
      </w:r>
    </w:p>
    <w:p w14:paraId="6B1B1FBB" w14:textId="1E5D1F98" w:rsidR="00327BE8" w:rsidRPr="00FD40F2" w:rsidRDefault="00327BE8" w:rsidP="00327BE8">
      <w:pPr>
        <w:tabs>
          <w:tab w:val="left" w:pos="1440"/>
        </w:tabs>
        <w:ind w:firstLine="360"/>
        <w:rPr>
          <w:lang w:val="sr-Cyrl-CS"/>
        </w:rPr>
      </w:pPr>
      <w:r w:rsidRPr="00FD40F2">
        <w:rPr>
          <w:lang w:val="sr-Cyrl-CS"/>
        </w:rPr>
        <w:t xml:space="preserve">5) Дирeктивом </w:t>
      </w:r>
      <w:r w:rsidR="00C0488C" w:rsidRPr="00FD40F2">
        <w:rPr>
          <w:lang w:val="sr-Cyrl-CS"/>
        </w:rPr>
        <w:t xml:space="preserve">Савета </w:t>
      </w:r>
      <w:r w:rsidRPr="00FD40F2">
        <w:rPr>
          <w:lang w:val="sr-Cyrl-CS"/>
        </w:rPr>
        <w:t>2002/53/EЗ o зajeдничк</w:t>
      </w:r>
      <w:r w:rsidR="00FD40F2">
        <w:rPr>
          <w:lang w:val="sr-Cyrl-CS"/>
        </w:rPr>
        <w:t>о</w:t>
      </w:r>
      <w:r w:rsidRPr="00FD40F2">
        <w:rPr>
          <w:lang w:val="sr-Cyrl-CS"/>
        </w:rPr>
        <w:t xml:space="preserve">ј сортној листи пoљoприврeдних биљних врстa (СЛ </w:t>
      </w:r>
      <w:r w:rsidR="00D30F56" w:rsidRPr="00FD40F2">
        <w:rPr>
          <w:lang w:val="sr-Cyrl-CS"/>
        </w:rPr>
        <w:t>L</w:t>
      </w:r>
      <w:r w:rsidRPr="00FD40F2">
        <w:rPr>
          <w:lang w:val="sr-Cyrl-CS"/>
        </w:rPr>
        <w:t xml:space="preserve"> 193, 20. 7. 2002.);</w:t>
      </w:r>
    </w:p>
    <w:p w14:paraId="0A9D2746" w14:textId="7738B1E4" w:rsidR="00327BE8" w:rsidRPr="00FD40F2" w:rsidRDefault="00327BE8" w:rsidP="00327BE8">
      <w:pPr>
        <w:tabs>
          <w:tab w:val="left" w:pos="1440"/>
        </w:tabs>
        <w:ind w:firstLine="360"/>
        <w:rPr>
          <w:lang w:val="sr-Cyrl-CS"/>
        </w:rPr>
      </w:pPr>
      <w:r w:rsidRPr="00FD40F2">
        <w:rPr>
          <w:lang w:val="sr-Cyrl-CS"/>
        </w:rPr>
        <w:t xml:space="preserve">6) Дирeктивом </w:t>
      </w:r>
      <w:r w:rsidR="00C0488C" w:rsidRPr="00FD40F2">
        <w:rPr>
          <w:lang w:val="sr-Cyrl-CS"/>
        </w:rPr>
        <w:t xml:space="preserve">Савета </w:t>
      </w:r>
      <w:r w:rsidRPr="00FD40F2">
        <w:rPr>
          <w:lang w:val="sr-Cyrl-CS"/>
        </w:rPr>
        <w:t>2002/55/EЗ oд 13. јуна 2002. године o стaвљaњу нa тржиштe сeмeнa пoврћa (СЛ L 193, 20. 7. 2002.);</w:t>
      </w:r>
    </w:p>
    <w:p w14:paraId="49F85D8E" w14:textId="7D13C712" w:rsidR="00327BE8" w:rsidRPr="00FD40F2" w:rsidRDefault="00327BE8" w:rsidP="00327BE8">
      <w:pPr>
        <w:tabs>
          <w:tab w:val="left" w:pos="1440"/>
        </w:tabs>
        <w:ind w:firstLine="360"/>
        <w:rPr>
          <w:lang w:val="sr-Cyrl-CS"/>
        </w:rPr>
      </w:pPr>
      <w:r w:rsidRPr="00FD40F2">
        <w:rPr>
          <w:lang w:val="sr-Cyrl-CS"/>
        </w:rPr>
        <w:t xml:space="preserve">7) Дирeктивом </w:t>
      </w:r>
      <w:r w:rsidR="00C0488C" w:rsidRPr="00FD40F2">
        <w:rPr>
          <w:lang w:val="sr-Cyrl-CS"/>
        </w:rPr>
        <w:t xml:space="preserve">Савета </w:t>
      </w:r>
      <w:r w:rsidRPr="00FD40F2">
        <w:rPr>
          <w:lang w:val="sr-Cyrl-CS"/>
        </w:rPr>
        <w:t>2002/56/EЗ oд 13. јуна 2002. године o стaвљaњу нa тржиштe сeмeнскoг кромпирa (СЛ L 193, 20. 7. 2002.);</w:t>
      </w:r>
    </w:p>
    <w:p w14:paraId="5829E21B" w14:textId="084E7B4B" w:rsidR="00327BE8" w:rsidRPr="00FD40F2" w:rsidRDefault="00327BE8" w:rsidP="00327BE8">
      <w:pPr>
        <w:tabs>
          <w:tab w:val="left" w:pos="1440"/>
        </w:tabs>
        <w:ind w:firstLine="360"/>
        <w:rPr>
          <w:lang w:val="sr-Cyrl-CS"/>
        </w:rPr>
      </w:pPr>
      <w:r w:rsidRPr="00FD40F2">
        <w:rPr>
          <w:lang w:val="sr-Cyrl-CS"/>
        </w:rPr>
        <w:t xml:space="preserve">8) Дирeктивом </w:t>
      </w:r>
      <w:r w:rsidR="00C0488C" w:rsidRPr="00FD40F2">
        <w:rPr>
          <w:lang w:val="sr-Cyrl-CS"/>
        </w:rPr>
        <w:t xml:space="preserve">Савета </w:t>
      </w:r>
      <w:r w:rsidRPr="00FD40F2">
        <w:rPr>
          <w:lang w:val="sr-Cyrl-CS"/>
        </w:rPr>
        <w:t>2002/57/EЗ oд 13. јуна 2002. године o стaвљaњу нa тржиштe сeмeнa уљaрицa и прeдивoг биљa (СЛ L 193, 20. 7. 2002.);</w:t>
      </w:r>
    </w:p>
    <w:p w14:paraId="59D417A0" w14:textId="3C94C61F" w:rsidR="00327BE8" w:rsidRPr="00FD40F2" w:rsidRDefault="00327BE8" w:rsidP="00327BE8">
      <w:pPr>
        <w:tabs>
          <w:tab w:val="left" w:pos="1440"/>
        </w:tabs>
        <w:ind w:firstLine="360"/>
        <w:rPr>
          <w:lang w:val="sr-Cyrl-CS"/>
        </w:rPr>
      </w:pPr>
      <w:r w:rsidRPr="00FD40F2">
        <w:rPr>
          <w:lang w:val="sr-Cyrl-CS"/>
        </w:rPr>
        <w:t xml:space="preserve">9) Дирeктивом </w:t>
      </w:r>
      <w:r w:rsidR="00C0488C" w:rsidRPr="00FD40F2">
        <w:rPr>
          <w:lang w:val="sr-Cyrl-CS"/>
        </w:rPr>
        <w:t xml:space="preserve">Савета </w:t>
      </w:r>
      <w:r w:rsidRPr="00FD40F2">
        <w:rPr>
          <w:lang w:val="sr-Cyrl-CS"/>
        </w:rPr>
        <w:t>2002/54/EЗ oд 13. јуна 2002. године o стaвљaњу нa тржиштe сeмeнa репе (СЛ L 193, 20. 7. 2002.)</w:t>
      </w:r>
    </w:p>
    <w:p w14:paraId="389B2B98" w14:textId="27A2AE62" w:rsidR="00327BE8" w:rsidRPr="00FD40F2" w:rsidRDefault="00327BE8" w:rsidP="00327BE8">
      <w:pPr>
        <w:tabs>
          <w:tab w:val="left" w:pos="1440"/>
        </w:tabs>
        <w:ind w:firstLine="360"/>
        <w:rPr>
          <w:lang w:val="sr-Cyrl-CS"/>
        </w:rPr>
      </w:pPr>
      <w:r w:rsidRPr="00FD40F2">
        <w:rPr>
          <w:lang w:val="sr-Cyrl-CS"/>
        </w:rPr>
        <w:t xml:space="preserve">10) Дирeктивом </w:t>
      </w:r>
      <w:r w:rsidR="00C0488C" w:rsidRPr="00FD40F2">
        <w:rPr>
          <w:lang w:val="sr-Cyrl-CS"/>
        </w:rPr>
        <w:t xml:space="preserve">Савета </w:t>
      </w:r>
      <w:r w:rsidRPr="00FD40F2">
        <w:rPr>
          <w:lang w:val="sr-Cyrl-CS"/>
        </w:rPr>
        <w:t>2008/72/EЗ oд 15. јула 2008. године o стaвљaњу нa тржиштe сaднoг мaтeриjaлa пoврћa, oсим сeмeнa (СЛ L 205, 1. 8. 2008.);</w:t>
      </w:r>
    </w:p>
    <w:p w14:paraId="33E43139" w14:textId="109D5DAA" w:rsidR="00327BE8" w:rsidRPr="00FD40F2" w:rsidRDefault="00327BE8" w:rsidP="00327BE8">
      <w:pPr>
        <w:tabs>
          <w:tab w:val="left" w:pos="1440"/>
        </w:tabs>
        <w:ind w:firstLine="360"/>
        <w:rPr>
          <w:lang w:val="sr-Cyrl-CS"/>
        </w:rPr>
      </w:pPr>
      <w:r w:rsidRPr="00FD40F2">
        <w:rPr>
          <w:lang w:val="sr-Cyrl-CS"/>
        </w:rPr>
        <w:t xml:space="preserve">11) Дирeктивом </w:t>
      </w:r>
      <w:r w:rsidR="00C0488C" w:rsidRPr="00FD40F2">
        <w:rPr>
          <w:lang w:val="sr-Cyrl-CS"/>
        </w:rPr>
        <w:t xml:space="preserve">Савета </w:t>
      </w:r>
      <w:r w:rsidRPr="00FD40F2">
        <w:rPr>
          <w:lang w:val="sr-Cyrl-CS"/>
        </w:rPr>
        <w:t>2008/90/EЗ oд 29. септембра 2008. године o стaвљaњу нa тржиштe рeпрoдукционог сaднoг мaтeриjaлa и сaдницa нaмењeних прoизвoдњи вoћa (СЛ L 267, 8. 10. 2008.);</w:t>
      </w:r>
    </w:p>
    <w:p w14:paraId="60D0876A" w14:textId="226DB4B9" w:rsidR="00327BE8" w:rsidRPr="00FD40F2" w:rsidRDefault="00327BE8" w:rsidP="00C0488C">
      <w:pPr>
        <w:tabs>
          <w:tab w:val="left" w:pos="1440"/>
        </w:tabs>
        <w:ind w:firstLine="360"/>
        <w:rPr>
          <w:b/>
          <w:bCs/>
          <w:lang w:val="sr-Cyrl-CS" w:eastAsia="hr-HR"/>
        </w:rPr>
      </w:pPr>
      <w:r w:rsidRPr="00FD40F2">
        <w:rPr>
          <w:lang w:val="sr-Cyrl-CS"/>
        </w:rPr>
        <w:tab/>
      </w:r>
    </w:p>
    <w:p w14:paraId="3AE7DB21" w14:textId="318A1B82" w:rsidR="00327BE8" w:rsidRPr="00FD40F2" w:rsidRDefault="00327BE8" w:rsidP="00327BE8">
      <w:pPr>
        <w:rPr>
          <w:lang w:val="sr-Cyrl-CS"/>
        </w:rPr>
      </w:pPr>
      <w:r w:rsidRPr="00FD40F2">
        <w:rPr>
          <w:lang w:val="sr-Cyrl-CS"/>
        </w:rPr>
        <w:tab/>
        <w:t xml:space="preserve">Потпуна усклађеност биће испуњена доношењем свих подзаконских аката на основу </w:t>
      </w:r>
      <w:r w:rsidR="0079653F" w:rsidRPr="00FD40F2">
        <w:rPr>
          <w:lang w:val="sr-Cyrl-CS"/>
        </w:rPr>
        <w:t>Предлог</w:t>
      </w:r>
      <w:r w:rsidRPr="00FD40F2">
        <w:rPr>
          <w:lang w:val="sr-Cyrl-CS"/>
        </w:rPr>
        <w:t>а закона.</w:t>
      </w:r>
    </w:p>
    <w:p w14:paraId="6BCE50DC" w14:textId="77777777" w:rsidR="00327BE8" w:rsidRPr="00FD40F2" w:rsidRDefault="00327BE8" w:rsidP="00327BE8">
      <w:pPr>
        <w:ind w:firstLine="1440"/>
        <w:rPr>
          <w:lang w:val="sr-Cyrl-CS" w:eastAsia="zh-CN" w:bidi="ar"/>
        </w:rPr>
      </w:pPr>
    </w:p>
    <w:p w14:paraId="6500F9E3" w14:textId="09E524EC" w:rsidR="00327BE8" w:rsidRPr="00FD40F2" w:rsidRDefault="00327BE8" w:rsidP="00327BE8">
      <w:pPr>
        <w:ind w:firstLine="567"/>
        <w:rPr>
          <w:lang w:val="sr-Cyrl-CS"/>
        </w:rPr>
      </w:pPr>
      <w:r w:rsidRPr="00FD40F2">
        <w:rPr>
          <w:lang w:val="sr-Cyrl-CS" w:eastAsia="zh-CN" w:bidi="ar"/>
        </w:rPr>
        <w:tab/>
        <w:t>в) Навођење осталих извора права Европске уније и усклађеност са њима</w:t>
      </w:r>
    </w:p>
    <w:p w14:paraId="717F5DF1" w14:textId="35963A5F" w:rsidR="00327BE8" w:rsidRPr="00FD40F2" w:rsidRDefault="00327BE8" w:rsidP="00327BE8">
      <w:pPr>
        <w:rPr>
          <w:lang w:val="sr-Cyrl-CS" w:eastAsia="zh-CN" w:bidi="ar"/>
        </w:rPr>
      </w:pPr>
      <w:r w:rsidRPr="00FD40F2">
        <w:rPr>
          <w:lang w:val="sr-Cyrl-CS" w:eastAsia="zh-CN" w:bidi="ar"/>
        </w:rPr>
        <w:tab/>
      </w:r>
      <w:r w:rsidR="00C0488C" w:rsidRPr="00FD40F2">
        <w:rPr>
          <w:lang w:val="sr-Cyrl-CS" w:eastAsia="zh-CN" w:bidi="ar"/>
        </w:rPr>
        <w:tab/>
      </w:r>
      <w:r w:rsidRPr="00FD40F2">
        <w:rPr>
          <w:lang w:val="sr-Cyrl-CS" w:eastAsia="zh-CN" w:bidi="ar"/>
        </w:rPr>
        <w:t>Не постоје.</w:t>
      </w:r>
    </w:p>
    <w:p w14:paraId="3E43D6A5" w14:textId="77777777" w:rsidR="00327BE8" w:rsidRPr="00FD40F2" w:rsidRDefault="00327BE8" w:rsidP="00327BE8">
      <w:pPr>
        <w:rPr>
          <w:lang w:val="sr-Cyrl-CS"/>
        </w:rPr>
      </w:pPr>
    </w:p>
    <w:p w14:paraId="4B8E4797" w14:textId="6B9C8E21" w:rsidR="00327BE8" w:rsidRPr="00FD40F2" w:rsidRDefault="00327BE8" w:rsidP="00327BE8">
      <w:pPr>
        <w:ind w:firstLine="567"/>
        <w:rPr>
          <w:lang w:val="sr-Cyrl-CS"/>
        </w:rPr>
      </w:pPr>
      <w:r w:rsidRPr="00FD40F2">
        <w:rPr>
          <w:lang w:val="sr-Cyrl-CS" w:eastAsia="zh-CN" w:bidi="ar"/>
        </w:rPr>
        <w:tab/>
        <w:t>г) Разлози за делимичну усклађеност, односно неусклађеност,</w:t>
      </w:r>
    </w:p>
    <w:p w14:paraId="2C5D48EB" w14:textId="3BD26CAB" w:rsidR="00327BE8" w:rsidRPr="00FD40F2" w:rsidRDefault="00327BE8" w:rsidP="00327BE8">
      <w:pPr>
        <w:rPr>
          <w:bCs/>
          <w:iCs/>
          <w:lang w:val="sr-Cyrl-CS" w:eastAsia="zh-CN" w:bidi="ar"/>
        </w:rPr>
      </w:pPr>
      <w:r w:rsidRPr="00FD40F2">
        <w:rPr>
          <w:bCs/>
          <w:iCs/>
          <w:lang w:val="sr-Cyrl-CS" w:eastAsia="zh-CN" w:bidi="ar"/>
        </w:rPr>
        <w:tab/>
      </w:r>
      <w:r w:rsidR="00C0488C" w:rsidRPr="00FD40F2">
        <w:rPr>
          <w:bCs/>
          <w:iCs/>
          <w:lang w:val="sr-Cyrl-CS" w:eastAsia="zh-CN" w:bidi="ar"/>
        </w:rPr>
        <w:tab/>
      </w:r>
      <w:r w:rsidRPr="00FD40F2">
        <w:rPr>
          <w:bCs/>
          <w:iCs/>
          <w:lang w:val="sr-Cyrl-CS" w:eastAsia="zh-CN" w:bidi="ar"/>
        </w:rPr>
        <w:t>Не постоји.</w:t>
      </w:r>
    </w:p>
    <w:p w14:paraId="11C329C7" w14:textId="77777777" w:rsidR="00327BE8" w:rsidRPr="00FD40F2" w:rsidRDefault="00327BE8" w:rsidP="00327BE8">
      <w:pPr>
        <w:rPr>
          <w:rFonts w:eastAsia="Calibri"/>
          <w:lang w:val="sr-Cyrl-CS" w:eastAsia="zh-CN" w:bidi="ar"/>
        </w:rPr>
      </w:pPr>
    </w:p>
    <w:p w14:paraId="072678EF" w14:textId="1EA598CB" w:rsidR="00327BE8" w:rsidRPr="00FD40F2" w:rsidRDefault="00327BE8" w:rsidP="00327BE8">
      <w:pPr>
        <w:tabs>
          <w:tab w:val="left" w:pos="0"/>
        </w:tabs>
        <w:ind w:firstLine="567"/>
        <w:rPr>
          <w:lang w:val="sr-Cyrl-CS" w:eastAsia="zh-CN" w:bidi="ar"/>
        </w:rPr>
      </w:pPr>
      <w:r w:rsidRPr="00FD40F2">
        <w:rPr>
          <w:lang w:val="sr-Cyrl-CS" w:eastAsia="zh-CN" w:bidi="ar"/>
        </w:rPr>
        <w:tab/>
        <w:t>д) Рок у којем је предвиђено постизање потпуне усклађености прописа са прописима Европске уније.</w:t>
      </w:r>
    </w:p>
    <w:p w14:paraId="69FA20CB" w14:textId="13AFD492" w:rsidR="00327BE8" w:rsidRPr="00FD40F2" w:rsidRDefault="00327BE8" w:rsidP="00327BE8">
      <w:pPr>
        <w:tabs>
          <w:tab w:val="left" w:pos="0"/>
        </w:tabs>
        <w:rPr>
          <w:bCs/>
          <w:lang w:val="sr-Cyrl-CS" w:eastAsia="zh-CN" w:bidi="ar"/>
        </w:rPr>
      </w:pPr>
      <w:r w:rsidRPr="00FD40F2">
        <w:rPr>
          <w:bCs/>
          <w:lang w:val="sr-Cyrl-CS" w:eastAsia="zh-CN" w:bidi="ar"/>
        </w:rPr>
        <w:tab/>
      </w:r>
      <w:r w:rsidR="00C0488C" w:rsidRPr="00FD40F2">
        <w:rPr>
          <w:bCs/>
          <w:lang w:val="sr-Cyrl-CS" w:eastAsia="zh-CN" w:bidi="ar"/>
        </w:rPr>
        <w:tab/>
      </w:r>
      <w:r w:rsidRPr="00FD40F2">
        <w:rPr>
          <w:bCs/>
          <w:lang w:val="sr-Cyrl-CS" w:eastAsia="zh-CN" w:bidi="ar"/>
        </w:rPr>
        <w:t>Нема.</w:t>
      </w:r>
    </w:p>
    <w:p w14:paraId="3BC8FFE3" w14:textId="77777777" w:rsidR="00327BE8" w:rsidRPr="00FD40F2" w:rsidRDefault="00327BE8" w:rsidP="00327BE8">
      <w:pPr>
        <w:tabs>
          <w:tab w:val="left" w:pos="0"/>
        </w:tabs>
        <w:rPr>
          <w:bCs/>
          <w:i/>
          <w:lang w:val="sr-Cyrl-CS"/>
        </w:rPr>
      </w:pPr>
    </w:p>
    <w:p w14:paraId="290D6FC6" w14:textId="1AA9EAF7" w:rsidR="00327BE8" w:rsidRPr="00FD40F2" w:rsidRDefault="00327BE8" w:rsidP="00327BE8">
      <w:pPr>
        <w:ind w:firstLine="567"/>
        <w:rPr>
          <w:lang w:val="sr-Cyrl-CS" w:eastAsia="zh-CN" w:bidi="ar"/>
        </w:rPr>
      </w:pPr>
      <w:r w:rsidRPr="00FD40F2">
        <w:rPr>
          <w:lang w:val="sr-Cyrl-CS" w:eastAsia="zh-CN" w:bidi="ar"/>
        </w:rPr>
        <w:tab/>
        <w:t>5.</w:t>
      </w:r>
      <w:r w:rsidR="00C0488C" w:rsidRPr="00FD40F2">
        <w:rPr>
          <w:lang w:val="sr-Cyrl-CS" w:eastAsia="zh-CN" w:bidi="ar"/>
        </w:rPr>
        <w:t xml:space="preserve"> </w:t>
      </w:r>
      <w:r w:rsidRPr="00FD40F2">
        <w:rPr>
          <w:lang w:val="sr-Cyrl-CS" w:eastAsia="zh-CN" w:bidi="ar"/>
        </w:rPr>
        <w:t xml:space="preserve">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0385BD46" w14:textId="316E46CB" w:rsidR="00327BE8" w:rsidRPr="00FD40F2" w:rsidRDefault="0079653F" w:rsidP="00327BE8">
      <w:pPr>
        <w:ind w:firstLine="567"/>
        <w:rPr>
          <w:bCs/>
          <w:lang w:val="sr-Cyrl-CS" w:eastAsia="zh-CN" w:bidi="ar"/>
        </w:rPr>
      </w:pPr>
      <w:r w:rsidRPr="00FD40F2">
        <w:rPr>
          <w:lang w:val="sr-Cyrl-CS" w:eastAsia="zh-CN" w:bidi="ar"/>
        </w:rPr>
        <w:tab/>
      </w:r>
      <w:r w:rsidR="00C0488C" w:rsidRPr="00FD40F2">
        <w:rPr>
          <w:lang w:val="sr-Cyrl-CS" w:eastAsia="zh-CN" w:bidi="ar"/>
        </w:rPr>
        <w:t xml:space="preserve">Постоје. Наведени су у тачки 4б) ове Изјаве. </w:t>
      </w:r>
    </w:p>
    <w:p w14:paraId="3CBADEB4" w14:textId="77777777" w:rsidR="00327BE8" w:rsidRPr="00FD40F2" w:rsidRDefault="00327BE8" w:rsidP="00327BE8">
      <w:pPr>
        <w:ind w:firstLine="567"/>
        <w:rPr>
          <w:bCs/>
          <w:lang w:val="sr-Cyrl-CS"/>
        </w:rPr>
      </w:pPr>
    </w:p>
    <w:p w14:paraId="67FE62AD" w14:textId="08F8A7CC" w:rsidR="00327BE8" w:rsidRPr="00FD40F2" w:rsidRDefault="00327BE8" w:rsidP="00327BE8">
      <w:pPr>
        <w:rPr>
          <w:lang w:val="sr-Cyrl-CS"/>
        </w:rPr>
      </w:pPr>
      <w:r w:rsidRPr="00FD40F2">
        <w:rPr>
          <w:lang w:val="sr-Cyrl-CS"/>
        </w:rPr>
        <w:lastRenderedPageBreak/>
        <w:tab/>
        <w:t>6. Да ли су претходно наведени извори права Европске уније преведени на српски језик?</w:t>
      </w:r>
    </w:p>
    <w:p w14:paraId="251C6509" w14:textId="77777777" w:rsidR="00327BE8" w:rsidRPr="00FD40F2" w:rsidRDefault="00327BE8" w:rsidP="00327BE8">
      <w:pPr>
        <w:rPr>
          <w:lang w:val="sr-Cyrl-CS"/>
        </w:rPr>
      </w:pPr>
    </w:p>
    <w:p w14:paraId="4D5CCA1C" w14:textId="1CE1C4B4" w:rsidR="00327BE8" w:rsidRPr="00FD40F2" w:rsidRDefault="00327BE8" w:rsidP="00327BE8">
      <w:pPr>
        <w:rPr>
          <w:lang w:val="sr-Cyrl-CS"/>
        </w:rPr>
      </w:pPr>
      <w:r w:rsidRPr="00FD40F2">
        <w:rPr>
          <w:lang w:val="sr-Cyrl-CS"/>
        </w:rPr>
        <w:tab/>
        <w:t>Претходно наведени извори права ЕУ у највећем делу су преведени на српски језик</w:t>
      </w:r>
    </w:p>
    <w:p w14:paraId="7BC264B7" w14:textId="77777777" w:rsidR="00327BE8" w:rsidRPr="00FD40F2" w:rsidRDefault="00327BE8" w:rsidP="00327BE8">
      <w:pPr>
        <w:rPr>
          <w:lang w:val="sr-Cyrl-CS"/>
        </w:rPr>
      </w:pPr>
    </w:p>
    <w:p w14:paraId="6B9ECACC" w14:textId="73897125" w:rsidR="00327BE8" w:rsidRPr="00FD40F2" w:rsidRDefault="00327BE8" w:rsidP="00327BE8">
      <w:pPr>
        <w:rPr>
          <w:lang w:val="sr-Cyrl-CS"/>
        </w:rPr>
      </w:pPr>
      <w:r w:rsidRPr="00FD40F2">
        <w:rPr>
          <w:lang w:val="sr-Cyrl-CS"/>
        </w:rPr>
        <w:tab/>
        <w:t>7. Да ли је пропис преведен на неки службени језик Европске уније?</w:t>
      </w:r>
    </w:p>
    <w:p w14:paraId="5A3F68F2" w14:textId="77777777" w:rsidR="0079653F" w:rsidRPr="00FD40F2" w:rsidRDefault="00327BE8" w:rsidP="00327BE8">
      <w:pPr>
        <w:rPr>
          <w:lang w:val="sr-Cyrl-CS"/>
        </w:rPr>
      </w:pPr>
      <w:r w:rsidRPr="00FD40F2">
        <w:rPr>
          <w:lang w:val="sr-Cyrl-CS"/>
        </w:rPr>
        <w:tab/>
      </w:r>
    </w:p>
    <w:p w14:paraId="45D6D9F0" w14:textId="6E9EB980" w:rsidR="00327BE8" w:rsidRPr="00FD40F2" w:rsidRDefault="0079653F" w:rsidP="0079653F">
      <w:pPr>
        <w:ind w:firstLine="708"/>
        <w:rPr>
          <w:lang w:val="sr-Cyrl-CS"/>
        </w:rPr>
      </w:pPr>
      <w:r w:rsidRPr="00FD40F2">
        <w:rPr>
          <w:lang w:val="sr-Cyrl-CS"/>
        </w:rPr>
        <w:t>Предлог</w:t>
      </w:r>
      <w:r w:rsidR="00327BE8" w:rsidRPr="00FD40F2">
        <w:rPr>
          <w:lang w:val="sr-Cyrl-CS"/>
        </w:rPr>
        <w:t xml:space="preserve"> закона је преведен на енглески језик. </w:t>
      </w:r>
    </w:p>
    <w:p w14:paraId="2586A3AE" w14:textId="77777777" w:rsidR="00327BE8" w:rsidRPr="00FD40F2" w:rsidRDefault="00327BE8" w:rsidP="00327BE8">
      <w:pPr>
        <w:rPr>
          <w:lang w:val="sr-Cyrl-CS"/>
        </w:rPr>
      </w:pPr>
    </w:p>
    <w:p w14:paraId="39422254" w14:textId="547DE88C" w:rsidR="00327BE8" w:rsidRPr="00FD40F2" w:rsidRDefault="00327BE8" w:rsidP="00327BE8">
      <w:pPr>
        <w:rPr>
          <w:lang w:val="sr-Cyrl-CS"/>
        </w:rPr>
      </w:pPr>
      <w:r w:rsidRPr="00FD40F2">
        <w:rPr>
          <w:lang w:val="sr-Cyrl-CS"/>
        </w:rPr>
        <w:tab/>
        <w:t>8. Сарадња са Европском унијом и учешће консултаната у изради прописа и њихово мишљење о усклађености.</w:t>
      </w:r>
    </w:p>
    <w:p w14:paraId="392BBB5F" w14:textId="77777777" w:rsidR="00327BE8" w:rsidRPr="00FD40F2" w:rsidRDefault="00327BE8" w:rsidP="00327BE8">
      <w:pPr>
        <w:rPr>
          <w:lang w:val="sr-Cyrl-CS"/>
        </w:rPr>
      </w:pPr>
    </w:p>
    <w:p w14:paraId="5DBFF098" w14:textId="4ED7A269" w:rsidR="00327BE8" w:rsidRPr="00FD40F2" w:rsidRDefault="00327BE8" w:rsidP="0079653F">
      <w:pPr>
        <w:ind w:firstLine="708"/>
        <w:rPr>
          <w:rFonts w:eastAsia="Calibri"/>
          <w:noProof/>
          <w:lang w:val="sr-Cyrl-CS"/>
        </w:rPr>
      </w:pPr>
      <w:r w:rsidRPr="00FD40F2">
        <w:rPr>
          <w:lang w:val="sr-Cyrl-CS"/>
        </w:rPr>
        <w:t xml:space="preserve">У изради </w:t>
      </w:r>
      <w:r w:rsidR="00FD40F2">
        <w:rPr>
          <w:lang w:val="sr-Cyrl-CS"/>
        </w:rPr>
        <w:t>овог</w:t>
      </w:r>
      <w:r w:rsidRPr="00FD40F2">
        <w:rPr>
          <w:lang w:val="sr-Cyrl-CS"/>
        </w:rPr>
        <w:t xml:space="preserve"> закона </w:t>
      </w:r>
      <w:r w:rsidRPr="00FD40F2">
        <w:rPr>
          <w:rFonts w:eastAsia="Calibri"/>
          <w:noProof/>
          <w:lang w:val="sr-Cyrl-CS"/>
        </w:rPr>
        <w:t xml:space="preserve">учествовали су експерти из Европске уније, у оквиру Пројекта Европске уније </w:t>
      </w:r>
      <w:r w:rsidR="00FD40F2">
        <w:rPr>
          <w:rFonts w:eastAsia="Calibri"/>
          <w:noProof/>
          <w:lang w:val="sr-Cyrl-CS"/>
        </w:rPr>
        <w:t>„</w:t>
      </w:r>
      <w:r w:rsidRPr="00FD40F2">
        <w:rPr>
          <w:rFonts w:eastAsia="Calibri"/>
          <w:noProof/>
          <w:lang w:val="sr-Cyrl-CS"/>
        </w:rPr>
        <w:t>Јачање капацитета за усклађивање  са правним тековинама Европске уније у области пољопривреде, руралног развоја, безбедности хране, ветеринарске и фитосанитарне политике</w:t>
      </w:r>
      <w:r w:rsidR="00FD40F2">
        <w:rPr>
          <w:rFonts w:eastAsia="Calibri"/>
          <w:noProof/>
          <w:lang w:val="sr-Cyrl-CS"/>
        </w:rPr>
        <w:t>”</w:t>
      </w:r>
      <w:r w:rsidRPr="00FD40F2">
        <w:rPr>
          <w:rFonts w:eastAsia="Calibri"/>
          <w:noProof/>
          <w:lang w:val="sr-Cyrl-CS"/>
        </w:rPr>
        <w:t xml:space="preserve"> EuropeAid 138038/DH/SER/RS.</w:t>
      </w:r>
    </w:p>
    <w:p w14:paraId="277DE331" w14:textId="54E710E6" w:rsidR="00327BE8" w:rsidRPr="00FD40F2" w:rsidRDefault="00327BE8" w:rsidP="00327BE8">
      <w:pPr>
        <w:shd w:val="clear" w:color="auto" w:fill="FFFFFF"/>
        <w:rPr>
          <w:lang w:val="sr-Cyrl-CS"/>
        </w:rPr>
      </w:pPr>
      <w:r w:rsidRPr="00FD40F2">
        <w:rPr>
          <w:lang w:val="sr-Cyrl-CS"/>
        </w:rPr>
        <w:tab/>
      </w:r>
      <w:r w:rsidR="00FD40F2">
        <w:rPr>
          <w:lang w:val="sr-Cyrl-CS"/>
        </w:rPr>
        <w:t>Овај</w:t>
      </w:r>
      <w:r w:rsidRPr="00FD40F2">
        <w:rPr>
          <w:lang w:val="sr-Cyrl-CS"/>
        </w:rPr>
        <w:t xml:space="preserve"> закон послат је на мишљење Европској комисији у оквиру испуњавања Мерила 1 за отварање преговора у Поглављу 12 – Безбедност хране, ветеринарска и фитосанитарна политика, која је одговор доставила новембра 2023. године, у којем је истакнуто да </w:t>
      </w:r>
      <w:r w:rsidR="00FD40F2">
        <w:rPr>
          <w:lang w:val="sr-Cyrl-CS"/>
        </w:rPr>
        <w:t>овај</w:t>
      </w:r>
      <w:r w:rsidRPr="00FD40F2">
        <w:rPr>
          <w:lang w:val="sr-Cyrl-CS"/>
        </w:rPr>
        <w:t xml:space="preserve"> </w:t>
      </w:r>
      <w:r w:rsidR="0079653F" w:rsidRPr="00FD40F2">
        <w:rPr>
          <w:lang w:val="sr-Cyrl-CS"/>
        </w:rPr>
        <w:t>з</w:t>
      </w:r>
      <w:r w:rsidRPr="00FD40F2">
        <w:rPr>
          <w:lang w:val="sr-Cyrl-CS"/>
        </w:rPr>
        <w:t>акон испуњава услове у погледу Мерила 1 (Усвајање законодавног оквира који је усклађен са правним тековинама Европске уније који ће обезбедити пуно преношење правних тековина), чиме су се стекли услови да се овим законом као таквим крене у даљи поступак у циљу његовог усвајања.</w:t>
      </w:r>
    </w:p>
    <w:p w14:paraId="240B82E4" w14:textId="5CEAD226" w:rsidR="00327BE8" w:rsidRPr="00FD40F2" w:rsidRDefault="00327BE8" w:rsidP="00C0488C">
      <w:pPr>
        <w:shd w:val="clear" w:color="auto" w:fill="FFFFFF"/>
        <w:rPr>
          <w:bCs/>
          <w:lang w:val="sr-Cyrl-CS"/>
        </w:rPr>
      </w:pPr>
      <w:r w:rsidRPr="00FD40F2">
        <w:rPr>
          <w:lang w:val="sr-Cyrl-CS"/>
        </w:rPr>
        <w:tab/>
        <w:t xml:space="preserve">Након чега је текст </w:t>
      </w:r>
      <w:r w:rsidR="0079653F" w:rsidRPr="00FD40F2">
        <w:rPr>
          <w:lang w:val="sr-Cyrl-CS"/>
        </w:rPr>
        <w:t>Предлог</w:t>
      </w:r>
      <w:r w:rsidRPr="00FD40F2">
        <w:rPr>
          <w:lang w:val="sr-Cyrl-CS"/>
        </w:rPr>
        <w:t>а закона правнотехнички уређен и припремљен за започињање даље процедуре у циљу његовог усвајања.</w:t>
      </w:r>
    </w:p>
    <w:p w14:paraId="589910BE" w14:textId="77777777" w:rsidR="00327BE8" w:rsidRPr="00FD40F2" w:rsidRDefault="00327BE8" w:rsidP="00327BE8">
      <w:pPr>
        <w:tabs>
          <w:tab w:val="left" w:pos="1440"/>
        </w:tabs>
        <w:rPr>
          <w:lang w:val="sr-Cyrl-CS"/>
        </w:rPr>
      </w:pPr>
    </w:p>
    <w:tbl>
      <w:tblPr>
        <w:tblpPr w:leftFromText="180" w:rightFromText="180" w:vertAnchor="text" w:horzAnchor="margin" w:tblpXSpec="center" w:tblpY="1403"/>
        <w:tblW w:w="8785" w:type="dxa"/>
        <w:tblCellMar>
          <w:left w:w="0" w:type="dxa"/>
          <w:right w:w="0" w:type="dxa"/>
        </w:tblCellMar>
        <w:tblLook w:val="04A0" w:firstRow="1" w:lastRow="0" w:firstColumn="1" w:lastColumn="0" w:noHBand="0" w:noVBand="1"/>
      </w:tblPr>
      <w:tblGrid>
        <w:gridCol w:w="2965"/>
        <w:gridCol w:w="1872"/>
        <w:gridCol w:w="3948"/>
      </w:tblGrid>
      <w:tr w:rsidR="00724612" w:rsidRPr="00FD40F2" w14:paraId="05FDBCA4" w14:textId="77777777" w:rsidTr="0079653F">
        <w:tc>
          <w:tcPr>
            <w:tcW w:w="2965" w:type="dxa"/>
            <w:tcMar>
              <w:top w:w="0" w:type="dxa"/>
              <w:left w:w="108" w:type="dxa"/>
              <w:bottom w:w="0" w:type="dxa"/>
              <w:right w:w="108" w:type="dxa"/>
            </w:tcMar>
            <w:hideMark/>
          </w:tcPr>
          <w:p w14:paraId="51BEFA11" w14:textId="77777777" w:rsidR="00724612" w:rsidRPr="00FD40F2" w:rsidRDefault="00724612" w:rsidP="00F63713">
            <w:pPr>
              <w:ind w:left="-90" w:hanging="14"/>
              <w:rPr>
                <w:rFonts w:eastAsia="Calibri"/>
                <w:color w:val="FFFFFF" w:themeColor="background1"/>
                <w:sz w:val="18"/>
                <w:szCs w:val="18"/>
                <w:lang w:val="sr-Cyrl-CS"/>
              </w:rPr>
            </w:pPr>
            <w:r w:rsidRPr="00FD40F2">
              <w:rPr>
                <w:rFonts w:eastAsia="Calibri"/>
                <w:color w:val="FFFFFF" w:themeColor="background1"/>
                <w:sz w:val="18"/>
                <w:szCs w:val="18"/>
                <w:lang w:val="sr-Cyrl-CS"/>
              </w:rPr>
              <w:t>Предмет припремила:</w:t>
            </w:r>
          </w:p>
          <w:p w14:paraId="268C2F7A" w14:textId="77777777" w:rsidR="00724612" w:rsidRPr="00FD40F2" w:rsidRDefault="00724612" w:rsidP="00F63713">
            <w:pPr>
              <w:ind w:left="-90"/>
              <w:rPr>
                <w:rFonts w:eastAsia="Calibri"/>
                <w:color w:val="FFFFFF" w:themeColor="background1"/>
                <w:sz w:val="18"/>
                <w:szCs w:val="18"/>
                <w:lang w:val="sr-Cyrl-CS"/>
              </w:rPr>
            </w:pPr>
            <w:r w:rsidRPr="00FD40F2">
              <w:rPr>
                <w:rFonts w:eastAsia="Calibri"/>
                <w:color w:val="FFFFFF" w:themeColor="background1"/>
                <w:sz w:val="18"/>
                <w:szCs w:val="18"/>
                <w:lang w:val="sr-Cyrl-CS"/>
              </w:rPr>
              <w:t>Јелена Симић</w:t>
            </w:r>
          </w:p>
        </w:tc>
        <w:tc>
          <w:tcPr>
            <w:tcW w:w="1872" w:type="dxa"/>
            <w:tcMar>
              <w:top w:w="0" w:type="dxa"/>
              <w:left w:w="108" w:type="dxa"/>
              <w:bottom w:w="0" w:type="dxa"/>
              <w:right w:w="108" w:type="dxa"/>
            </w:tcMar>
          </w:tcPr>
          <w:p w14:paraId="6B0611DE" w14:textId="77777777" w:rsidR="00724612" w:rsidRPr="00FD40F2" w:rsidRDefault="00724612" w:rsidP="00F63713">
            <w:pPr>
              <w:ind w:left="-90"/>
              <w:jc w:val="center"/>
              <w:rPr>
                <w:rFonts w:eastAsia="Calibri"/>
                <w:color w:val="000000"/>
                <w:lang w:val="sr-Cyrl-CS"/>
              </w:rPr>
            </w:pPr>
          </w:p>
        </w:tc>
        <w:tc>
          <w:tcPr>
            <w:tcW w:w="3948" w:type="dxa"/>
            <w:tcMar>
              <w:top w:w="0" w:type="dxa"/>
              <w:left w:w="108" w:type="dxa"/>
              <w:bottom w:w="0" w:type="dxa"/>
              <w:right w:w="108" w:type="dxa"/>
            </w:tcMar>
          </w:tcPr>
          <w:p w14:paraId="62E8547A" w14:textId="1BECD542" w:rsidR="00724612" w:rsidRPr="00FD40F2" w:rsidRDefault="00724612" w:rsidP="00F63713">
            <w:pPr>
              <w:ind w:left="-90"/>
              <w:jc w:val="center"/>
              <w:rPr>
                <w:rFonts w:eastAsia="Calibri"/>
                <w:color w:val="000000"/>
                <w:lang w:val="sr-Cyrl-CS"/>
              </w:rPr>
            </w:pPr>
          </w:p>
        </w:tc>
      </w:tr>
      <w:tr w:rsidR="00724612" w:rsidRPr="00FD40F2" w14:paraId="0862B7BE" w14:textId="77777777" w:rsidTr="00F63713">
        <w:tc>
          <w:tcPr>
            <w:tcW w:w="2965" w:type="dxa"/>
            <w:tcMar>
              <w:top w:w="0" w:type="dxa"/>
              <w:left w:w="108" w:type="dxa"/>
              <w:bottom w:w="0" w:type="dxa"/>
              <w:right w:w="108" w:type="dxa"/>
            </w:tcMar>
          </w:tcPr>
          <w:p w14:paraId="723A9DC4" w14:textId="77777777" w:rsidR="00724612" w:rsidRPr="00FD40F2" w:rsidRDefault="00724612" w:rsidP="00F63713">
            <w:pPr>
              <w:ind w:left="-90"/>
              <w:rPr>
                <w:rFonts w:eastAsia="Calibri"/>
                <w:color w:val="FFFFFF" w:themeColor="background1"/>
                <w:sz w:val="18"/>
                <w:szCs w:val="18"/>
                <w:lang w:val="sr-Cyrl-CS"/>
              </w:rPr>
            </w:pPr>
          </w:p>
        </w:tc>
        <w:tc>
          <w:tcPr>
            <w:tcW w:w="1872" w:type="dxa"/>
            <w:tcMar>
              <w:top w:w="0" w:type="dxa"/>
              <w:left w:w="108" w:type="dxa"/>
              <w:bottom w:w="0" w:type="dxa"/>
              <w:right w:w="108" w:type="dxa"/>
            </w:tcMar>
          </w:tcPr>
          <w:p w14:paraId="4DC35F43" w14:textId="77777777" w:rsidR="00724612" w:rsidRPr="00FD40F2" w:rsidRDefault="00724612" w:rsidP="00F63713">
            <w:pPr>
              <w:ind w:left="-90"/>
              <w:rPr>
                <w:rFonts w:eastAsia="Calibri"/>
                <w:color w:val="000000"/>
                <w:sz w:val="16"/>
                <w:szCs w:val="16"/>
                <w:lang w:val="sr-Cyrl-CS"/>
              </w:rPr>
            </w:pPr>
          </w:p>
        </w:tc>
        <w:tc>
          <w:tcPr>
            <w:tcW w:w="3948" w:type="dxa"/>
            <w:tcMar>
              <w:top w:w="0" w:type="dxa"/>
              <w:left w:w="108" w:type="dxa"/>
              <w:bottom w:w="0" w:type="dxa"/>
              <w:right w:w="108" w:type="dxa"/>
            </w:tcMar>
          </w:tcPr>
          <w:p w14:paraId="5B2A7F4E" w14:textId="77777777" w:rsidR="00724612" w:rsidRPr="00FD40F2" w:rsidRDefault="00724612" w:rsidP="00F63713">
            <w:pPr>
              <w:ind w:left="-90" w:hanging="210"/>
              <w:rPr>
                <w:rFonts w:eastAsia="Calibri"/>
                <w:color w:val="000000"/>
                <w:sz w:val="16"/>
                <w:szCs w:val="16"/>
                <w:lang w:val="sr-Cyrl-CS"/>
              </w:rPr>
            </w:pPr>
          </w:p>
        </w:tc>
      </w:tr>
      <w:tr w:rsidR="00724612" w:rsidRPr="00FD40F2" w14:paraId="0C7E0F2A" w14:textId="77777777" w:rsidTr="0079653F">
        <w:tc>
          <w:tcPr>
            <w:tcW w:w="2965" w:type="dxa"/>
            <w:tcMar>
              <w:top w:w="0" w:type="dxa"/>
              <w:left w:w="108" w:type="dxa"/>
              <w:bottom w:w="0" w:type="dxa"/>
              <w:right w:w="108" w:type="dxa"/>
            </w:tcMar>
          </w:tcPr>
          <w:p w14:paraId="19CC2D7A" w14:textId="77777777" w:rsidR="00724612" w:rsidRPr="00FD40F2" w:rsidRDefault="00724612" w:rsidP="00F63713">
            <w:pPr>
              <w:spacing w:line="252" w:lineRule="auto"/>
              <w:ind w:left="-90"/>
              <w:rPr>
                <w:rFonts w:eastAsia="Calibri"/>
                <w:color w:val="FFFFFF" w:themeColor="background1"/>
                <w:sz w:val="18"/>
                <w:szCs w:val="18"/>
                <w:lang w:val="sr-Cyrl-CS"/>
              </w:rPr>
            </w:pPr>
          </w:p>
        </w:tc>
        <w:tc>
          <w:tcPr>
            <w:tcW w:w="1872" w:type="dxa"/>
            <w:tcMar>
              <w:top w:w="0" w:type="dxa"/>
              <w:left w:w="108" w:type="dxa"/>
              <w:bottom w:w="0" w:type="dxa"/>
              <w:right w:w="108" w:type="dxa"/>
            </w:tcMar>
          </w:tcPr>
          <w:p w14:paraId="48F9576B" w14:textId="77777777" w:rsidR="00724612" w:rsidRPr="00FD40F2" w:rsidRDefault="00724612" w:rsidP="00F63713">
            <w:pPr>
              <w:ind w:left="-90"/>
              <w:jc w:val="center"/>
              <w:rPr>
                <w:rFonts w:eastAsia="Calibri"/>
                <w:color w:val="000000"/>
                <w:lang w:val="sr-Cyrl-CS"/>
              </w:rPr>
            </w:pPr>
          </w:p>
        </w:tc>
        <w:tc>
          <w:tcPr>
            <w:tcW w:w="3948" w:type="dxa"/>
            <w:tcMar>
              <w:top w:w="0" w:type="dxa"/>
              <w:left w:w="108" w:type="dxa"/>
              <w:bottom w:w="0" w:type="dxa"/>
              <w:right w:w="108" w:type="dxa"/>
            </w:tcMar>
          </w:tcPr>
          <w:p w14:paraId="74DE3AAE" w14:textId="5B7468FF" w:rsidR="00724612" w:rsidRPr="00FD40F2" w:rsidRDefault="00724612" w:rsidP="00F63713">
            <w:pPr>
              <w:ind w:left="-90"/>
              <w:jc w:val="center"/>
              <w:rPr>
                <w:rFonts w:eastAsia="Calibri"/>
                <w:color w:val="000000"/>
                <w:lang w:val="sr-Cyrl-CS"/>
              </w:rPr>
            </w:pPr>
          </w:p>
        </w:tc>
      </w:tr>
    </w:tbl>
    <w:p w14:paraId="5B186BBD" w14:textId="77777777" w:rsidR="00724612" w:rsidRPr="00FD40F2" w:rsidRDefault="00724612" w:rsidP="00724612">
      <w:pPr>
        <w:rPr>
          <w:lang w:val="sr-Cyrl-CS"/>
        </w:rPr>
      </w:pPr>
    </w:p>
    <w:sectPr w:rsidR="00724612" w:rsidRPr="00FD40F2" w:rsidSect="0079653F">
      <w:headerReference w:type="default" r:id="rId6"/>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1F5DF" w14:textId="77777777" w:rsidR="00515910" w:rsidRDefault="00515910" w:rsidP="0079653F">
      <w:r>
        <w:separator/>
      </w:r>
    </w:p>
  </w:endnote>
  <w:endnote w:type="continuationSeparator" w:id="0">
    <w:p w14:paraId="210BCF1B" w14:textId="77777777" w:rsidR="00515910" w:rsidRDefault="00515910" w:rsidP="00796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78311" w14:textId="77777777" w:rsidR="00515910" w:rsidRDefault="00515910" w:rsidP="0079653F">
      <w:r>
        <w:separator/>
      </w:r>
    </w:p>
  </w:footnote>
  <w:footnote w:type="continuationSeparator" w:id="0">
    <w:p w14:paraId="48ED576B" w14:textId="77777777" w:rsidR="00515910" w:rsidRDefault="00515910" w:rsidP="007965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3711269"/>
      <w:docPartObj>
        <w:docPartGallery w:val="Page Numbers (Top of Page)"/>
        <w:docPartUnique/>
      </w:docPartObj>
    </w:sdtPr>
    <w:sdtEndPr>
      <w:rPr>
        <w:noProof/>
      </w:rPr>
    </w:sdtEndPr>
    <w:sdtContent>
      <w:p w14:paraId="2A98A83B" w14:textId="6CD1A5BF" w:rsidR="0079653F" w:rsidRDefault="0079653F">
        <w:pPr>
          <w:pStyle w:val="Header"/>
          <w:jc w:val="center"/>
        </w:pPr>
        <w:r>
          <w:fldChar w:fldCharType="begin"/>
        </w:r>
        <w:r>
          <w:instrText xml:space="preserve"> PAGE   \* MERGEFORMAT </w:instrText>
        </w:r>
        <w:r>
          <w:fldChar w:fldCharType="separate"/>
        </w:r>
        <w:r w:rsidR="00FD40F2">
          <w:rPr>
            <w:noProof/>
          </w:rPr>
          <w:t>3</w:t>
        </w:r>
        <w:r>
          <w:rPr>
            <w:noProof/>
          </w:rPr>
          <w:fldChar w:fldCharType="end"/>
        </w:r>
      </w:p>
    </w:sdtContent>
  </w:sdt>
  <w:p w14:paraId="4ACAE29E" w14:textId="77777777" w:rsidR="0079653F" w:rsidRDefault="007965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C2B"/>
    <w:rsid w:val="00125C2B"/>
    <w:rsid w:val="00260710"/>
    <w:rsid w:val="00270249"/>
    <w:rsid w:val="0031419F"/>
    <w:rsid w:val="00327BE8"/>
    <w:rsid w:val="00515910"/>
    <w:rsid w:val="00724612"/>
    <w:rsid w:val="0079653F"/>
    <w:rsid w:val="00826795"/>
    <w:rsid w:val="009D7301"/>
    <w:rsid w:val="00A55444"/>
    <w:rsid w:val="00B62A5F"/>
    <w:rsid w:val="00B86ED6"/>
    <w:rsid w:val="00C0488C"/>
    <w:rsid w:val="00D01751"/>
    <w:rsid w:val="00D30F56"/>
    <w:rsid w:val="00EB15EF"/>
    <w:rsid w:val="00FD40F2"/>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E4903"/>
  <w15:docId w15:val="{C9FABA14-DF18-46A8-A7D3-4A74FE1C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7BE8"/>
    <w:pPr>
      <w:spacing w:after="0" w:line="240" w:lineRule="auto"/>
      <w:jc w:val="both"/>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327BE8"/>
    <w:pPr>
      <w:tabs>
        <w:tab w:val="left" w:pos="567"/>
      </w:tabs>
      <w:spacing w:before="120" w:after="160" w:line="240" w:lineRule="exact"/>
      <w:ind w:left="1584" w:hanging="504"/>
      <w:jc w:val="left"/>
    </w:pPr>
    <w:rPr>
      <w:rFonts w:ascii="Arial" w:hAnsi="Arial"/>
      <w:b/>
      <w:bCs/>
      <w:color w:val="000000"/>
    </w:rPr>
  </w:style>
  <w:style w:type="character" w:styleId="CommentReference">
    <w:name w:val="annotation reference"/>
    <w:basedOn w:val="DefaultParagraphFont"/>
    <w:uiPriority w:val="99"/>
    <w:semiHidden/>
    <w:unhideWhenUsed/>
    <w:rsid w:val="00260710"/>
    <w:rPr>
      <w:sz w:val="16"/>
      <w:szCs w:val="16"/>
    </w:rPr>
  </w:style>
  <w:style w:type="paragraph" w:styleId="CommentText">
    <w:name w:val="annotation text"/>
    <w:basedOn w:val="Normal"/>
    <w:link w:val="CommentTextChar"/>
    <w:uiPriority w:val="99"/>
    <w:unhideWhenUsed/>
    <w:rsid w:val="00260710"/>
    <w:rPr>
      <w:sz w:val="20"/>
      <w:szCs w:val="20"/>
    </w:rPr>
  </w:style>
  <w:style w:type="character" w:customStyle="1" w:styleId="CommentTextChar">
    <w:name w:val="Comment Text Char"/>
    <w:basedOn w:val="DefaultParagraphFont"/>
    <w:link w:val="CommentText"/>
    <w:uiPriority w:val="99"/>
    <w:rsid w:val="0026071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60710"/>
    <w:rPr>
      <w:b/>
      <w:bCs/>
    </w:rPr>
  </w:style>
  <w:style w:type="character" w:customStyle="1" w:styleId="CommentSubjectChar">
    <w:name w:val="Comment Subject Char"/>
    <w:basedOn w:val="CommentTextChar"/>
    <w:link w:val="CommentSubject"/>
    <w:uiPriority w:val="99"/>
    <w:semiHidden/>
    <w:rsid w:val="00260710"/>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260710"/>
    <w:rPr>
      <w:rFonts w:ascii="Tahoma" w:hAnsi="Tahoma" w:cs="Tahoma"/>
      <w:sz w:val="16"/>
      <w:szCs w:val="16"/>
    </w:rPr>
  </w:style>
  <w:style w:type="character" w:customStyle="1" w:styleId="BalloonTextChar">
    <w:name w:val="Balloon Text Char"/>
    <w:basedOn w:val="DefaultParagraphFont"/>
    <w:link w:val="BalloonText"/>
    <w:uiPriority w:val="99"/>
    <w:semiHidden/>
    <w:rsid w:val="00260710"/>
    <w:rPr>
      <w:rFonts w:ascii="Tahoma" w:eastAsia="Times New Roman" w:hAnsi="Tahoma" w:cs="Tahoma"/>
      <w:sz w:val="16"/>
      <w:szCs w:val="16"/>
      <w:lang w:val="en-US"/>
    </w:rPr>
  </w:style>
  <w:style w:type="paragraph" w:styleId="Header">
    <w:name w:val="header"/>
    <w:basedOn w:val="Normal"/>
    <w:link w:val="HeaderChar"/>
    <w:uiPriority w:val="99"/>
    <w:unhideWhenUsed/>
    <w:rsid w:val="0079653F"/>
    <w:pPr>
      <w:tabs>
        <w:tab w:val="center" w:pos="4680"/>
        <w:tab w:val="right" w:pos="9360"/>
      </w:tabs>
    </w:pPr>
  </w:style>
  <w:style w:type="character" w:customStyle="1" w:styleId="HeaderChar">
    <w:name w:val="Header Char"/>
    <w:basedOn w:val="DefaultParagraphFont"/>
    <w:link w:val="Header"/>
    <w:uiPriority w:val="99"/>
    <w:rsid w:val="0079653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9653F"/>
    <w:pPr>
      <w:tabs>
        <w:tab w:val="center" w:pos="4680"/>
        <w:tab w:val="right" w:pos="9360"/>
      </w:tabs>
    </w:pPr>
  </w:style>
  <w:style w:type="character" w:customStyle="1" w:styleId="FooterChar">
    <w:name w:val="Footer Char"/>
    <w:basedOn w:val="DefaultParagraphFont"/>
    <w:link w:val="Footer"/>
    <w:uiPriority w:val="99"/>
    <w:rsid w:val="0079653F"/>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881</Words>
  <Characters>5023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норматива</dc:creator>
  <cp:keywords/>
  <dc:description/>
  <cp:lastModifiedBy>Ivana Vojinović</cp:lastModifiedBy>
  <cp:revision>2</cp:revision>
  <cp:lastPrinted>2025-06-18T12:41:00Z</cp:lastPrinted>
  <dcterms:created xsi:type="dcterms:W3CDTF">2025-06-23T13:43:00Z</dcterms:created>
  <dcterms:modified xsi:type="dcterms:W3CDTF">2025-06-23T13:43:00Z</dcterms:modified>
</cp:coreProperties>
</file>