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drawings/drawing1.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0.xml" ContentType="application/vnd.openxmlformats-officedocument.themeOverride+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2.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3.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1.xml" ContentType="application/vnd.openxmlformats-officedocument.themeOverride+xml"/>
  <Override PartName="/word/drawings/drawing4.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2.xml" ContentType="application/vnd.openxmlformats-officedocument.themeOverride+xml"/>
  <Override PartName="/word/drawings/drawing5.xml" ContentType="application/vnd.openxmlformats-officedocument.drawingml.chartshapes+xml"/>
  <Override PartName="/word/charts/chart17.xml" ContentType="application/vnd.openxmlformats-officedocument.drawingml.chart+xml"/>
  <Override PartName="/word/drawings/drawing6.xml" ContentType="application/vnd.openxmlformats-officedocument.drawingml.chartshapes+xml"/>
  <Override PartName="/word/charts/chart18.xml" ContentType="application/vnd.openxmlformats-officedocument.drawingml.chart+xml"/>
  <Override PartName="/word/drawings/drawing7.xml" ContentType="application/vnd.openxmlformats-officedocument.drawingml.chartshapes+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8.xml" ContentType="application/vnd.openxmlformats-officedocument.drawingml.chartshapes+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9.xml" ContentType="application/vnd.openxmlformats-officedocument.drawingml.chartshapes+xml"/>
  <Override PartName="/word/charts/chart21.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3.xml" ContentType="application/vnd.openxmlformats-officedocument.themeOverride+xml"/>
  <Override PartName="/word/charts/chart24.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4.xml" ContentType="application/vnd.openxmlformats-officedocument.themeOverride+xml"/>
  <Override PartName="/word/charts/chart25.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5.xml" ContentType="application/vnd.openxmlformats-officedocument.themeOverride+xml"/>
  <Override PartName="/word/charts/chart26.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6.xml" ContentType="application/vnd.openxmlformats-officedocument.themeOverride+xml"/>
  <Override PartName="/word/charts/chart27.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7.xml" ContentType="application/vnd.openxmlformats-officedocument.themeOverride+xml"/>
  <Override PartName="/word/charts/chart28.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18.xml" ContentType="application/vnd.openxmlformats-officedocument.themeOverride+xml"/>
  <Override PartName="/word/charts/chart29.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9.xml" ContentType="application/vnd.openxmlformats-officedocument.themeOverride+xml"/>
  <Override PartName="/word/charts/chart30.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0.xml" ContentType="application/vnd.openxmlformats-officedocument.themeOverride+xml"/>
  <Override PartName="/word/charts/chart31.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1.xml" ContentType="application/vnd.openxmlformats-officedocument.themeOverride+xml"/>
  <Override PartName="/word/drawings/drawing12.xml" ContentType="application/vnd.openxmlformats-officedocument.drawingml.chartshapes+xml"/>
  <Override PartName="/word/charts/chart32.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22.xml" ContentType="application/vnd.openxmlformats-officedocument.themeOverride+xml"/>
  <Override PartName="/word/charts/chart33.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3.xml" ContentType="application/vnd.openxmlformats-officedocument.themeOverride+xml"/>
  <Override PartName="/word/charts/chart34.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24.xml" ContentType="application/vnd.openxmlformats-officedocument.themeOverride+xml"/>
  <Override PartName="/word/charts/chart35.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25.xml" ContentType="application/vnd.openxmlformats-officedocument.themeOverride+xml"/>
  <Override PartName="/word/charts/chart36.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26.xml" ContentType="application/vnd.openxmlformats-officedocument.themeOverride+xml"/>
  <Override PartName="/word/charts/chart37.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7.xml" ContentType="application/vnd.openxmlformats-officedocument.themeOverride+xml"/>
  <Override PartName="/word/charts/chart38.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28.xml" ContentType="application/vnd.openxmlformats-officedocument.themeOverride+xml"/>
  <Override PartName="/word/charts/chart39.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29.xml" ContentType="application/vnd.openxmlformats-officedocument.themeOverride+xml"/>
  <Override PartName="/word/charts/chart40.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0.xml" ContentType="application/vnd.openxmlformats-officedocument.themeOverride+xml"/>
  <Override PartName="/word/charts/chart41.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31.xml" ContentType="application/vnd.openxmlformats-officedocument.themeOverride+xml"/>
  <Override PartName="/word/charts/chart42.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32.xml" ContentType="application/vnd.openxmlformats-officedocument.themeOverride+xml"/>
  <Override PartName="/word/charts/chart43.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33.xml" ContentType="application/vnd.openxmlformats-officedocument.themeOverride+xml"/>
  <Override PartName="/word/charts/chart44.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34.xml" ContentType="application/vnd.openxmlformats-officedocument.themeOverride+xml"/>
  <Override PartName="/word/charts/chart45.xml" ContentType="application/vnd.openxmlformats-officedocument.drawingml.chart+xml"/>
  <Override PartName="/word/charts/style41.xml" ContentType="application/vnd.ms-office.chartstyle+xml"/>
  <Override PartName="/word/charts/colors41.xml" ContentType="application/vnd.ms-office.chartcolorstyle+xml"/>
  <Override PartName="/word/footer8.xml" ContentType="application/vnd.openxmlformats-officedocument.wordprocessingml.footer+xml"/>
  <Override PartName="/word/header7.xml" ContentType="application/vnd.openxmlformats-officedocument.wordprocessingml.header+xml"/>
  <Override PartName="/word/charts/chart46.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35.xml" ContentType="application/vnd.openxmlformats-officedocument.themeOverride+xml"/>
  <Override PartName="/word/drawings/drawing13.xml" ContentType="application/vnd.openxmlformats-officedocument.drawingml.chartshapes+xml"/>
  <Override PartName="/word/charts/chart47.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36.xml" ContentType="application/vnd.openxmlformats-officedocument.themeOverride+xml"/>
  <Override PartName="/word/drawings/drawing14.xml" ContentType="application/vnd.openxmlformats-officedocument.drawingml.chartshapes+xml"/>
  <Override PartName="/word/charts/chart48.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37.xml" ContentType="application/vnd.openxmlformats-officedocument.themeOverride+xml"/>
  <Override PartName="/word/charts/chart49.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38.xml" ContentType="application/vnd.openxmlformats-officedocument.themeOverride+xml"/>
  <Override PartName="/word/drawings/drawing15.xml" ContentType="application/vnd.openxmlformats-officedocument.drawingml.chartshapes+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charts/chart50.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39.xml" ContentType="application/vnd.openxmlformats-officedocument.themeOverride+xml"/>
  <Override PartName="/word/charts/chart51.xml" ContentType="application/vnd.openxmlformats-officedocument.drawingml.chart+xml"/>
  <Override PartName="/word/theme/themeOverride40.xml" ContentType="application/vnd.openxmlformats-officedocument.themeOverride+xml"/>
  <Override PartName="/word/drawings/drawing16.xml" ContentType="application/vnd.openxmlformats-officedocument.drawingml.chartshapes+xml"/>
  <Override PartName="/word/charts/chart52.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41.xml" ContentType="application/vnd.openxmlformats-officedocument.themeOverride+xml"/>
  <Override PartName="/word/charts/chart53.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42.xml" ContentType="application/vnd.openxmlformats-officedocument.themeOverride+xml"/>
  <Override PartName="/word/charts/chart54.xml" ContentType="application/vnd.openxmlformats-officedocument.drawingml.chart+xml"/>
  <Override PartName="/word/charts/style49.xml" ContentType="application/vnd.ms-office.chartstyle+xml"/>
  <Override PartName="/word/charts/colors49.xml" ContentType="application/vnd.ms-office.chartcolorstyle+xml"/>
  <Override PartName="/word/theme/themeOverride43.xml" ContentType="application/vnd.openxmlformats-officedocument.themeOverride+xml"/>
  <Override PartName="/word/charts/chart55.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44.xml" ContentType="application/vnd.openxmlformats-officedocument.themeOverride+xml"/>
  <Override PartName="/word/charts/chart56.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45.xml" ContentType="application/vnd.openxmlformats-officedocument.themeOverride+xml"/>
  <Override PartName="/word/drawings/drawing17.xml" ContentType="application/vnd.openxmlformats-officedocument.drawingml.chartshapes+xml"/>
  <Override PartName="/word/charts/chart57.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46.xml" ContentType="application/vnd.openxmlformats-officedocument.themeOverride+xml"/>
  <Override PartName="/word/drawings/drawing18.xml" ContentType="application/vnd.openxmlformats-officedocument.drawingml.chartshapes+xml"/>
  <Override PartName="/word/charts/chart58.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9.xml" ContentType="application/vnd.openxmlformats-officedocument.drawingml.chart+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47.xml" ContentType="application/vnd.openxmlformats-officedocument.themeOverride+xml"/>
  <Override PartName="/word/drawings/drawing19.xml" ContentType="application/vnd.openxmlformats-officedocument.drawingml.chartshapes+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theme/themeOverride48.xml" ContentType="application/vnd.openxmlformats-officedocument.themeOverride+xml"/>
  <Override PartName="/word/drawings/drawing20.xml" ContentType="application/vnd.openxmlformats-officedocument.drawingml.chartshapes+xml"/>
  <Override PartName="/word/header1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2.xml" ContentType="application/vnd.openxmlformats-officedocument.wordprocessingml.header+xml"/>
  <Override PartName="/word/footer16.xml" ContentType="application/vnd.openxmlformats-officedocument.wordprocessingml.footer+xml"/>
  <Override PartName="/word/header13.xml" ContentType="application/vnd.openxmlformats-officedocument.wordprocessingml.header+xml"/>
  <Override PartName="/word/footer1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header19.xml" ContentType="application/vnd.openxmlformats-officedocument.wordprocessingml.header+xml"/>
  <Override PartName="/word/footer23.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charts/chart62.xml" ContentType="application/vnd.openxmlformats-officedocument.drawingml.chart+xml"/>
  <Override PartName="/word/charts/style56.xml" ContentType="application/vnd.ms-office.chartstyle+xml"/>
  <Override PartName="/word/charts/colors56.xml" ContentType="application/vnd.ms-office.chartcolorstyle+xml"/>
  <Override PartName="/word/header22.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7.xml" ContentType="application/vnd.openxmlformats-officedocument.wordprocessingml.header+xml"/>
  <Override PartName="/word/charts/chart63.xml" ContentType="application/vnd.openxmlformats-officedocument.drawingml.chart+xml"/>
  <Override PartName="/word/charts/style57.xml" ContentType="application/vnd.ms-office.chartstyle+xml"/>
  <Override PartName="/word/charts/colors57.xml" ContentType="application/vnd.ms-office.chartcolorstyle+xml"/>
  <Override PartName="/word/drawings/drawing21.xml" ContentType="application/vnd.openxmlformats-officedocument.drawingml.chartshapes+xml"/>
  <Override PartName="/word/charts/chart64.xml" ContentType="application/vnd.openxmlformats-officedocument.drawingml.chart+xml"/>
  <Override PartName="/word/charts/style58.xml" ContentType="application/vnd.ms-office.chartstyle+xml"/>
  <Override PartName="/word/charts/colors58.xml" ContentType="application/vnd.ms-office.chartcolorstyle+xml"/>
  <Override PartName="/word/drawings/drawing22.xml" ContentType="application/vnd.openxmlformats-officedocument.drawingml.chartshapes+xml"/>
  <Override PartName="/word/charts/chart65.xml" ContentType="application/vnd.openxmlformats-officedocument.drawingml.chart+xml"/>
  <Override PartName="/word/charts/style59.xml" ContentType="application/vnd.ms-office.chartstyle+xml"/>
  <Override PartName="/word/charts/colors59.xml" ContentType="application/vnd.ms-office.chartcolorstyle+xml"/>
  <Override PartName="/word/header28.xml" ContentType="application/vnd.openxmlformats-officedocument.wordprocessingml.header+xml"/>
  <Override PartName="/word/header29.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header34.xml" ContentType="application/vnd.openxmlformats-officedocument.wordprocessingml.header+xml"/>
  <Override PartName="/word/charts/chart66.xml" ContentType="application/vnd.openxmlformats-officedocument.drawingml.chart+xml"/>
  <Override PartName="/word/drawings/drawing23.xml" ContentType="application/vnd.openxmlformats-officedocument.drawingml.chartshapes+xml"/>
  <Override PartName="/word/header35.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header36.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39.xml" ContentType="application/vnd.openxmlformats-officedocument.wordprocessingml.header+xml"/>
  <Override PartName="/word/charts/chart67.xml" ContentType="application/vnd.openxmlformats-officedocument.drawingml.chart+xml"/>
  <Override PartName="/word/charts/style60.xml" ContentType="application/vnd.ms-office.chartstyle+xml"/>
  <Override PartName="/word/charts/colors60.xml" ContentType="application/vnd.ms-office.chartcolorstyle+xml"/>
  <Override PartName="/word/header40.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45.xml" ContentType="application/vnd.openxmlformats-officedocument.wordprocessingml.header+xml"/>
  <Override PartName="/word/charts/chart68.xml" ContentType="application/vnd.openxmlformats-officedocument.drawingml.chart+xml"/>
  <Override PartName="/word/charts/style61.xml" ContentType="application/vnd.ms-office.chartstyle+xml"/>
  <Override PartName="/word/charts/colors61.xml" ContentType="application/vnd.ms-office.chartcolorstyle+xml"/>
  <Override PartName="/word/drawings/drawing24.xml" ContentType="application/vnd.openxmlformats-officedocument.drawingml.chartshapes+xml"/>
  <Override PartName="/word/charts/chart69.xml" ContentType="application/vnd.openxmlformats-officedocument.drawingml.chart+xml"/>
  <Override PartName="/word/charts/style62.xml" ContentType="application/vnd.ms-office.chartstyle+xml"/>
  <Override PartName="/word/charts/colors62.xml" ContentType="application/vnd.ms-office.chartcolorstyle+xml"/>
  <Override PartName="/word/drawings/drawing25.xml" ContentType="application/vnd.openxmlformats-officedocument.drawingml.chartshapes+xml"/>
  <Override PartName="/word/charts/chart70.xml" ContentType="application/vnd.openxmlformats-officedocument.drawingml.chart+xml"/>
  <Override PartName="/word/theme/themeOverride49.xml" ContentType="application/vnd.openxmlformats-officedocument.themeOverride+xml"/>
  <Override PartName="/word/drawings/drawing26.xml" ContentType="application/vnd.openxmlformats-officedocument.drawingml.chartshapes+xml"/>
  <Override PartName="/word/header46.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49.xml" ContentType="application/vnd.openxmlformats-officedocument.wordprocessingml.header+xml"/>
  <Override PartName="/word/charts/chart71.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72.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73.xml" ContentType="application/vnd.openxmlformats-officedocument.drawingml.chart+xml"/>
  <Override PartName="/word/charts/style65.xml" ContentType="application/vnd.ms-office.chartstyle+xml"/>
  <Override PartName="/word/charts/colors65.xml" ContentType="application/vnd.ms-office.chartcolorstyle+xml"/>
  <Override PartName="/word/drawings/drawing27.xml" ContentType="application/vnd.openxmlformats-officedocument.drawingml.chartshapes+xml"/>
  <Override PartName="/word/charts/chart74.xml" ContentType="application/vnd.openxmlformats-officedocument.drawingml.chart+xml"/>
  <Override PartName="/word/theme/themeOverride50.xml" ContentType="application/vnd.openxmlformats-officedocument.themeOverride+xml"/>
  <Override PartName="/word/charts/chart75.xml" ContentType="application/vnd.openxmlformats-officedocument.drawingml.chart+xml"/>
  <Override PartName="/word/theme/themeOverride51.xml" ContentType="application/vnd.openxmlformats-officedocument.themeOverride+xml"/>
  <Override PartName="/word/charts/chart76.xml" ContentType="application/vnd.openxmlformats-officedocument.drawingml.chart+xml"/>
  <Override PartName="/word/theme/themeOverride52.xml" ContentType="application/vnd.openxmlformats-officedocument.themeOverride+xml"/>
  <Override PartName="/word/header50.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charts/chart77.xml" ContentType="application/vnd.openxmlformats-officedocument.drawingml.chart+xml"/>
  <Override PartName="/word/theme/themeOverride53.xml" ContentType="application/vnd.openxmlformats-officedocument.themeOverride+xml"/>
  <Override PartName="/word/charts/chart78.xml" ContentType="application/vnd.openxmlformats-officedocument.drawingml.chart+xml"/>
  <Override PartName="/word/charts/chart79.xml" ContentType="application/vnd.openxmlformats-officedocument.drawingml.chart+xml"/>
  <Override PartName="/word/charts/style66.xml" ContentType="application/vnd.ms-office.chartstyle+xml"/>
  <Override PartName="/word/charts/colors66.xml" ContentType="application/vnd.ms-office.chartcolorstyle+xml"/>
  <Override PartName="/word/header51.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header52.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header53.xml" ContentType="application/vnd.openxmlformats-officedocument.wordprocessingml.head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D71DD5" w14:textId="652298CA" w:rsidR="00F717E6" w:rsidRPr="00F5596D" w:rsidRDefault="00F717E6" w:rsidP="00E72B3D">
      <w:pPr>
        <w:ind w:firstLine="720"/>
        <w:rPr>
          <w:lang w:val="sr-Cyrl-CS"/>
        </w:rPr>
      </w:pPr>
      <w:r w:rsidRPr="00F5596D">
        <w:rPr>
          <w:lang w:val="sr-Cyrl-CS"/>
        </w:rPr>
        <w:t>На основу члана 27в став 1. и</w:t>
      </w:r>
      <w:r w:rsidR="00400C34" w:rsidRPr="00F5596D">
        <w:rPr>
          <w:lang w:val="sr-Cyrl-CS"/>
        </w:rPr>
        <w:t xml:space="preserve"> члана 31. став 1. </w:t>
      </w:r>
      <w:r w:rsidR="00E72B3D" w:rsidRPr="00F5596D">
        <w:rPr>
          <w:lang w:val="sr-Cyrl-CS"/>
        </w:rPr>
        <w:t>тачка 1) подтачка (7)</w:t>
      </w:r>
      <w:r w:rsidR="00400C34" w:rsidRPr="00F5596D">
        <w:rPr>
          <w:lang w:val="sr-Cyrl-CS"/>
        </w:rPr>
        <w:t> </w:t>
      </w:r>
      <w:r w:rsidRPr="00F5596D">
        <w:rPr>
          <w:lang w:val="sr-Cyrl-CS"/>
        </w:rPr>
        <w:t>Закона о буџетском систему („Службени гласник РС”, бр. 54/09, 73/10, 101/10, 101/11, 93/12, 62/13, 63/13-исправка, 108/13, 142/14, 68/15-др. закон, 103/15, 99/16, 113/17, 95/18, 31/19, 72/19, 149/20, 118/21, 118/21 – др. закон, 138/22, 92/23 и 94/24)</w:t>
      </w:r>
      <w:r w:rsidR="00E72B3D" w:rsidRPr="00F5596D">
        <w:rPr>
          <w:lang w:val="sr-Cyrl-CS"/>
        </w:rPr>
        <w:t>,</w:t>
      </w:r>
    </w:p>
    <w:p w14:paraId="1E46F047" w14:textId="77777777" w:rsidR="00FD55AC" w:rsidRDefault="00FD55AC" w:rsidP="003C3685">
      <w:pPr>
        <w:ind w:firstLine="720"/>
        <w:rPr>
          <w:rFonts w:cstheme="minorHAnsi"/>
          <w:bCs/>
          <w:szCs w:val="72"/>
          <w:lang w:val="sr-Cyrl-CS"/>
        </w:rPr>
      </w:pPr>
    </w:p>
    <w:p w14:paraId="6CD5367C" w14:textId="746693F4" w:rsidR="006F6A0B" w:rsidRPr="00F5596D" w:rsidRDefault="006F6A0B" w:rsidP="003C3685">
      <w:pPr>
        <w:ind w:firstLine="720"/>
        <w:rPr>
          <w:rFonts w:cstheme="minorHAnsi"/>
          <w:bCs/>
          <w:szCs w:val="72"/>
          <w:highlight w:val="darkGray"/>
          <w:lang w:val="sr-Cyrl-CS"/>
        </w:rPr>
      </w:pPr>
      <w:r w:rsidRPr="00F5596D">
        <w:rPr>
          <w:rFonts w:cstheme="minorHAnsi"/>
          <w:bCs/>
          <w:szCs w:val="72"/>
          <w:lang w:val="sr-Cyrl-CS"/>
        </w:rPr>
        <w:t>Влада усваја</w:t>
      </w:r>
    </w:p>
    <w:p w14:paraId="4A9836C5" w14:textId="308D742C" w:rsidR="006F6A0B" w:rsidRPr="00F5596D" w:rsidRDefault="000277D3" w:rsidP="008420D4">
      <w:pPr>
        <w:spacing w:after="0" w:line="240" w:lineRule="auto"/>
        <w:jc w:val="center"/>
        <w:rPr>
          <w:rFonts w:cstheme="minorHAnsi"/>
          <w:b/>
          <w:bCs/>
          <w:sz w:val="26"/>
          <w:szCs w:val="26"/>
          <w:lang w:val="sr-Cyrl-CS"/>
        </w:rPr>
      </w:pPr>
      <w:r w:rsidRPr="00F5596D">
        <w:rPr>
          <w:rFonts w:cstheme="minorHAnsi"/>
          <w:b/>
          <w:bCs/>
          <w:sz w:val="26"/>
          <w:szCs w:val="26"/>
          <w:lang w:val="sr-Cyrl-CS"/>
        </w:rPr>
        <w:t xml:space="preserve"> </w:t>
      </w:r>
      <w:r w:rsidR="006F6A0B" w:rsidRPr="00F5596D">
        <w:rPr>
          <w:rFonts w:cstheme="minorHAnsi"/>
          <w:b/>
          <w:bCs/>
          <w:sz w:val="26"/>
          <w:szCs w:val="26"/>
          <w:lang w:val="sr-Cyrl-CS"/>
        </w:rPr>
        <w:t>ФИСКАЛНУ СТРАТЕГИЈУ</w:t>
      </w:r>
    </w:p>
    <w:p w14:paraId="4C7A09FE" w14:textId="5045322F" w:rsidR="006F6A0B" w:rsidRPr="00F5596D" w:rsidRDefault="001A395C" w:rsidP="008420D4">
      <w:pPr>
        <w:spacing w:after="0" w:line="240" w:lineRule="auto"/>
        <w:jc w:val="center"/>
        <w:rPr>
          <w:rFonts w:cstheme="minorHAnsi"/>
          <w:b/>
          <w:bCs/>
          <w:sz w:val="26"/>
          <w:szCs w:val="26"/>
          <w:lang w:val="sr-Cyrl-CS"/>
        </w:rPr>
      </w:pPr>
      <w:r w:rsidRPr="00F5596D">
        <w:rPr>
          <w:rFonts w:cstheme="minorHAnsi"/>
          <w:b/>
          <w:bCs/>
          <w:sz w:val="26"/>
          <w:szCs w:val="26"/>
          <w:lang w:val="sr-Cyrl-CS"/>
        </w:rPr>
        <w:t>ЗА 2026. Г</w:t>
      </w:r>
      <w:r w:rsidR="00832841" w:rsidRPr="00F5596D">
        <w:rPr>
          <w:rFonts w:cstheme="minorHAnsi"/>
          <w:b/>
          <w:bCs/>
          <w:sz w:val="26"/>
          <w:szCs w:val="26"/>
          <w:lang w:val="sr-Cyrl-CS"/>
        </w:rPr>
        <w:t>ОДИНУ СА ПРОЈЕКЦИЈАМА ЗА 2027. и</w:t>
      </w:r>
      <w:r w:rsidRPr="00F5596D">
        <w:rPr>
          <w:rFonts w:cstheme="minorHAnsi"/>
          <w:b/>
          <w:bCs/>
          <w:sz w:val="26"/>
          <w:szCs w:val="26"/>
          <w:lang w:val="sr-Cyrl-CS"/>
        </w:rPr>
        <w:t xml:space="preserve"> 2028</w:t>
      </w:r>
      <w:r w:rsidR="006F6A0B" w:rsidRPr="00F5596D">
        <w:rPr>
          <w:rFonts w:cstheme="minorHAnsi"/>
          <w:b/>
          <w:bCs/>
          <w:sz w:val="26"/>
          <w:szCs w:val="26"/>
          <w:lang w:val="sr-Cyrl-CS"/>
        </w:rPr>
        <w:t>. ГОДИНУ</w:t>
      </w:r>
    </w:p>
    <w:p w14:paraId="687FC929" w14:textId="67BA8077" w:rsidR="006F6A0B" w:rsidRPr="00F5596D" w:rsidRDefault="006F6A0B" w:rsidP="00D20C27">
      <w:pPr>
        <w:pStyle w:val="Heading1"/>
        <w:jc w:val="center"/>
        <w:rPr>
          <w:rFonts w:asciiTheme="minorHAnsi" w:hAnsiTheme="minorHAnsi" w:cstheme="minorHAnsi"/>
          <w:b/>
          <w:sz w:val="26"/>
          <w:szCs w:val="26"/>
          <w:lang w:val="sr-Cyrl-CS"/>
        </w:rPr>
      </w:pPr>
      <w:bookmarkStart w:id="0" w:name="_Toc119654139"/>
      <w:bookmarkStart w:id="1" w:name="_Toc135994495"/>
      <w:bookmarkStart w:id="2" w:name="_Toc200117989"/>
      <w:r w:rsidRPr="00F5596D">
        <w:rPr>
          <w:rFonts w:asciiTheme="minorHAnsi" w:hAnsiTheme="minorHAnsi" w:cstheme="minorHAnsi"/>
          <w:b/>
          <w:sz w:val="26"/>
          <w:szCs w:val="26"/>
          <w:lang w:val="sr-Cyrl-CS"/>
        </w:rPr>
        <w:t>I. МАКРОЕ</w:t>
      </w:r>
      <w:r w:rsidR="001A395C" w:rsidRPr="00F5596D">
        <w:rPr>
          <w:rFonts w:asciiTheme="minorHAnsi" w:hAnsiTheme="minorHAnsi" w:cstheme="minorHAnsi"/>
          <w:b/>
          <w:sz w:val="26"/>
          <w:szCs w:val="26"/>
          <w:lang w:val="sr-Cyrl-CS"/>
        </w:rPr>
        <w:t>КОНОМСКИ ОКВИР ЗА ПЕРИОД ОД 2026</w:t>
      </w:r>
      <w:r w:rsidRPr="00F5596D">
        <w:rPr>
          <w:rFonts w:asciiTheme="minorHAnsi" w:hAnsiTheme="minorHAnsi" w:cstheme="minorHAnsi"/>
          <w:b/>
          <w:sz w:val="26"/>
          <w:szCs w:val="26"/>
          <w:lang w:val="sr-Cyrl-CS"/>
        </w:rPr>
        <w:t xml:space="preserve">. ДО </w:t>
      </w:r>
      <w:r w:rsidR="001A395C" w:rsidRPr="00F5596D">
        <w:rPr>
          <w:rFonts w:asciiTheme="minorHAnsi" w:hAnsiTheme="minorHAnsi" w:cstheme="minorHAnsi"/>
          <w:b/>
          <w:sz w:val="26"/>
          <w:szCs w:val="26"/>
          <w:lang w:val="sr-Cyrl-CS"/>
        </w:rPr>
        <w:t>2028</w:t>
      </w:r>
      <w:r w:rsidRPr="00F5596D">
        <w:rPr>
          <w:rFonts w:asciiTheme="minorHAnsi" w:hAnsiTheme="minorHAnsi" w:cstheme="minorHAnsi"/>
          <w:b/>
          <w:sz w:val="26"/>
          <w:szCs w:val="26"/>
          <w:lang w:val="sr-Cyrl-CS"/>
        </w:rPr>
        <w:t>. ГОДИНЕ</w:t>
      </w:r>
      <w:bookmarkEnd w:id="0"/>
      <w:bookmarkEnd w:id="1"/>
      <w:bookmarkEnd w:id="2"/>
    </w:p>
    <w:p w14:paraId="095510B3" w14:textId="77777777" w:rsidR="006F6A0B" w:rsidRPr="00F5596D" w:rsidRDefault="006F6A0B" w:rsidP="00087CD9">
      <w:pPr>
        <w:spacing w:after="120"/>
        <w:jc w:val="center"/>
        <w:rPr>
          <w:rFonts w:cstheme="minorHAnsi"/>
          <w:color w:val="2F5496" w:themeColor="accent1" w:themeShade="BF"/>
          <w:sz w:val="18"/>
          <w:lang w:val="sr-Cyrl-CS"/>
        </w:rPr>
      </w:pPr>
    </w:p>
    <w:p w14:paraId="1F6E6A10" w14:textId="77777777" w:rsidR="006F6A0B" w:rsidRPr="00F5596D" w:rsidRDefault="006F6A0B" w:rsidP="00D20C27">
      <w:pPr>
        <w:pStyle w:val="Heading2"/>
        <w:rPr>
          <w:rFonts w:asciiTheme="minorHAnsi" w:hAnsiTheme="minorHAnsi" w:cstheme="minorHAnsi"/>
          <w:lang w:val="sr-Cyrl-CS"/>
        </w:rPr>
      </w:pPr>
      <w:bookmarkStart w:id="3" w:name="_Toc119654140"/>
      <w:bookmarkStart w:id="4" w:name="_Toc135994496"/>
      <w:bookmarkStart w:id="5" w:name="_Toc200117990"/>
      <w:r w:rsidRPr="00F5596D">
        <w:rPr>
          <w:rFonts w:asciiTheme="minorHAnsi" w:hAnsiTheme="minorHAnsi" w:cstheme="minorHAnsi"/>
          <w:sz w:val="22"/>
          <w:lang w:val="sr-Cyrl-CS"/>
        </w:rPr>
        <w:t xml:space="preserve">1. </w:t>
      </w:r>
      <w:r w:rsidRPr="00F5596D">
        <w:rPr>
          <w:rFonts w:asciiTheme="minorHAnsi" w:hAnsiTheme="minorHAnsi" w:cstheme="minorHAnsi"/>
          <w:lang w:val="sr-Cyrl-CS"/>
        </w:rPr>
        <w:t>Општи оквир и главни циљеви и смернице економске политике</w:t>
      </w:r>
      <w:bookmarkEnd w:id="3"/>
      <w:bookmarkEnd w:id="4"/>
      <w:bookmarkEnd w:id="5"/>
    </w:p>
    <w:p w14:paraId="250A2D20" w14:textId="6E2A07AB" w:rsidR="006F6A0B" w:rsidRPr="00F5596D" w:rsidRDefault="006F6A0B" w:rsidP="002D6E55">
      <w:pPr>
        <w:rPr>
          <w:rFonts w:cstheme="minorHAnsi"/>
          <w:color w:val="auto"/>
          <w:sz w:val="18"/>
          <w:highlight w:val="darkGray"/>
          <w:lang w:val="sr-Cyrl-CS"/>
        </w:rPr>
      </w:pPr>
    </w:p>
    <w:p w14:paraId="5D7515F8" w14:textId="77777777" w:rsidR="006F6A0B" w:rsidRPr="00F5596D" w:rsidRDefault="006F6A0B" w:rsidP="002D6E55">
      <w:pPr>
        <w:rPr>
          <w:rFonts w:cstheme="minorHAnsi"/>
          <w:color w:val="auto"/>
          <w:sz w:val="18"/>
          <w:highlight w:val="darkGray"/>
          <w:lang w:val="sr-Cyrl-CS"/>
        </w:rPr>
        <w:sectPr w:rsidR="006F6A0B" w:rsidRPr="00F5596D" w:rsidSect="00766A90">
          <w:headerReference w:type="default" r:id="rId8"/>
          <w:footerReference w:type="default" r:id="rId9"/>
          <w:headerReference w:type="first" r:id="rId10"/>
          <w:pgSz w:w="12240" w:h="15840" w:code="1"/>
          <w:pgMar w:top="1440" w:right="1440" w:bottom="1440" w:left="1440" w:header="720" w:footer="720" w:gutter="0"/>
          <w:pgNumType w:start="1"/>
          <w:cols w:space="720"/>
          <w:titlePg/>
          <w:docGrid w:linePitch="360"/>
        </w:sectPr>
      </w:pPr>
    </w:p>
    <w:p w14:paraId="6B870843" w14:textId="20FF2D70"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
          <w:bCs/>
          <w:i/>
          <w:color w:val="0070C0"/>
          <w:szCs w:val="72"/>
          <w:lang w:val="sr-Cyrl-CS"/>
        </w:rPr>
        <w:t>Глобални ризици – укључујући ескалацију трговинских тензија, геополитичке сукобе и успоравање раста у еврозони – у 2025. години добијају нову димензију и представљају један од највећих изазова за економску политику земаља у развоју</w:t>
      </w:r>
      <w:r w:rsidRPr="00F5596D">
        <w:rPr>
          <w:rFonts w:ascii="Calibri" w:eastAsia="Calibri" w:hAnsi="Calibri" w:cs="Calibri"/>
          <w:bCs/>
          <w:i/>
          <w:color w:val="0070C0"/>
          <w:szCs w:val="72"/>
          <w:lang w:val="sr-Cyrl-CS"/>
        </w:rPr>
        <w:t>.</w:t>
      </w:r>
      <w:r w:rsidRPr="00F5596D">
        <w:rPr>
          <w:rFonts w:ascii="Calibri" w:eastAsia="Calibri" w:hAnsi="Calibri" w:cs="Calibri"/>
          <w:bCs/>
          <w:color w:val="0070C0"/>
          <w:szCs w:val="72"/>
          <w:lang w:val="sr-Cyrl-CS"/>
        </w:rPr>
        <w:t xml:space="preserve"> Србија пажљиво прати ова кретања и континуирано оцењује потенцијалне канале преноса негативних утицаја на домаћу економију. Иако су ризици по основу трговине, инвестиција и финансијских токова реални, Србија у овај период улази са снажним одбрамбеним позицијама: високе девизне резерве, стабилан банкарски сектор, </w:t>
      </w:r>
      <w:r w:rsidR="0069194A" w:rsidRPr="00F5596D">
        <w:rPr>
          <w:rFonts w:ascii="Calibri" w:eastAsia="Calibri" w:hAnsi="Calibri" w:cs="Calibri"/>
          <w:bCs/>
          <w:color w:val="0070C0"/>
          <w:szCs w:val="72"/>
          <w:lang w:val="sr-Cyrl-CS"/>
        </w:rPr>
        <w:t>ниско учешће јавног дуга у бруто дома</w:t>
      </w:r>
      <w:r w:rsidR="00400C34" w:rsidRPr="00F5596D">
        <w:rPr>
          <w:rFonts w:ascii="Calibri" w:eastAsia="Calibri" w:hAnsi="Calibri" w:cs="Calibri"/>
          <w:bCs/>
          <w:color w:val="0070C0"/>
          <w:szCs w:val="72"/>
          <w:lang w:val="sr-Cyrl-CS"/>
        </w:rPr>
        <w:t xml:space="preserve">ћем производу (у даљем тексту: </w:t>
      </w:r>
      <w:r w:rsidR="0069194A" w:rsidRPr="00F5596D">
        <w:rPr>
          <w:rFonts w:ascii="Calibri" w:eastAsia="Calibri" w:hAnsi="Calibri" w:cs="Calibri"/>
          <w:bCs/>
          <w:color w:val="0070C0"/>
          <w:szCs w:val="72"/>
          <w:lang w:val="sr-Cyrl-CS"/>
        </w:rPr>
        <w:t>БДП)</w:t>
      </w:r>
      <w:r w:rsidRPr="00F5596D">
        <w:rPr>
          <w:rFonts w:ascii="Calibri" w:eastAsia="Calibri" w:hAnsi="Calibri" w:cs="Calibri"/>
          <w:bCs/>
          <w:color w:val="0070C0"/>
          <w:szCs w:val="72"/>
          <w:lang w:val="sr-Cyrl-CS"/>
        </w:rPr>
        <w:t xml:space="preserve"> и формирани фискални простор пружају поуздан оквир за апсорпцију евентуалних шокова. У овом контексту, очување макроекономске стабилности и даље ће бити главни приоритет економске политике, уз појачани надзор и прилагођавање мера у складу са развојем ситуације у међународном окружењу.</w:t>
      </w:r>
    </w:p>
    <w:p w14:paraId="3654F158" w14:textId="77777777"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
          <w:bCs/>
          <w:i/>
          <w:color w:val="0070C0"/>
          <w:szCs w:val="72"/>
          <w:lang w:val="sr-Cyrl-CS"/>
        </w:rPr>
        <w:t>Упркос изазовним глобалним и регионалним условима, српска привреда је показала висок степен отпорности, што је резултат диверзификоване економске структуре и стабилне домаће потражње.</w:t>
      </w:r>
      <w:r w:rsidRPr="00F5596D">
        <w:rPr>
          <w:rFonts w:ascii="Calibri" w:eastAsia="Calibri" w:hAnsi="Calibri" w:cs="Calibri"/>
          <w:bCs/>
          <w:color w:val="0070C0"/>
          <w:szCs w:val="72"/>
          <w:lang w:val="sr-Cyrl-CS"/>
        </w:rPr>
        <w:t xml:space="preserve"> У периоду од 2020. до 2024. године, кумулативни реални раст БДП-а износио је 18,4%, праћен историјски ниским нивоом незапослености и континуираним повећањем реалних зарада. Током 2024. године макроекономска кретања су била у складу са очекивањима – остварен је реални раст БДП од 3,9%, док је инфлација стабилизована у циљаним </w:t>
      </w:r>
      <w:r w:rsidRPr="00F5596D">
        <w:rPr>
          <w:rFonts w:ascii="Calibri" w:eastAsia="Calibri" w:hAnsi="Calibri" w:cs="Calibri"/>
          <w:bCs/>
          <w:color w:val="0070C0"/>
          <w:szCs w:val="72"/>
          <w:lang w:val="sr-Cyrl-CS"/>
        </w:rPr>
        <w:t>оквирима Народне банке Србије. Снажни макроекономски показатељи, рекордни приливи инвестиција и доследна примена одрживе фискалне политике довели су до тога да Србија први пут оствари инвестициони кредитни рејтинг.</w:t>
      </w:r>
    </w:p>
    <w:p w14:paraId="73BB924F" w14:textId="77777777"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
          <w:bCs/>
          <w:i/>
          <w:color w:val="0070C0"/>
          <w:szCs w:val="72"/>
          <w:lang w:val="sr-Cyrl-CS"/>
        </w:rPr>
        <w:t>Први квартал 2025. године донео је успоравање привредног раста на 2,0%, првенствено услед домаће неизвесности и одложене потрошње.</w:t>
      </w:r>
      <w:r w:rsidRPr="00F5596D">
        <w:rPr>
          <w:rFonts w:ascii="Calibri" w:eastAsia="Calibri" w:hAnsi="Calibri" w:cs="Calibri"/>
          <w:bCs/>
          <w:color w:val="0070C0"/>
          <w:szCs w:val="72"/>
          <w:lang w:val="sr-Cyrl-CS"/>
        </w:rPr>
        <w:t xml:space="preserve"> Ипак, снажне економске основе, омогућавају брз повратак на путању раста. Ревидирана пројекција привредног раста за 2025. годину износи 3,0%, са очекиваним убрзањем на 4,2% у 2026. и на 5,0% у 2027. години, захваљујући великим инфраструктурним пројектима повезаним са Специјализованом светском изложбом EXPO 2027. Влада Републике Србије наставља са реализацијом амбициозног програма јавних инвестиција у оквиру стратешког плана „Скок у будућност – EXPO Србија 2027”, који укључује модернизацију инфраструктуре, дигитализацију, обновљиве изворе енергије и иновативне технологије. Планирана улагања имају за циљ модернизацију земље, јачање конкурентности домаће привреде и привлачење нових страних и домаћих инвестиција.</w:t>
      </w:r>
    </w:p>
    <w:p w14:paraId="7DE8DCA1" w14:textId="77777777"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
          <w:bCs/>
          <w:i/>
          <w:color w:val="0070C0"/>
          <w:szCs w:val="72"/>
          <w:lang w:val="sr-Cyrl-CS"/>
        </w:rPr>
        <w:t>Средњорочне перспективе привредног раста остају позитивне, са просечном годишњом стопом од око 4,2% за период од 2026. до 2028. године.</w:t>
      </w:r>
      <w:r w:rsidRPr="00F5596D">
        <w:rPr>
          <w:rFonts w:ascii="Calibri" w:eastAsia="Calibri" w:hAnsi="Calibri" w:cs="Calibri"/>
          <w:bCs/>
          <w:color w:val="0070C0"/>
          <w:szCs w:val="72"/>
          <w:lang w:val="sr-Cyrl-CS"/>
        </w:rPr>
        <w:t xml:space="preserve"> Раст ће бити подржан стабилном домаћом тражњом, интензивном реализацијом инфраструктурних пројеката и даљим јачањем приватне потрошње и инвестиција. Посебан значај </w:t>
      </w:r>
      <w:r w:rsidRPr="00F5596D">
        <w:rPr>
          <w:rFonts w:ascii="Calibri" w:eastAsia="Calibri" w:hAnsi="Calibri" w:cs="Calibri"/>
          <w:bCs/>
          <w:color w:val="0070C0"/>
          <w:szCs w:val="72"/>
          <w:lang w:val="sr-Cyrl-CS"/>
        </w:rPr>
        <w:lastRenderedPageBreak/>
        <w:t>има ИКТ сектор, који бележи двоцифрене стопе раста извоза и све већи удео у БДП.</w:t>
      </w:r>
    </w:p>
    <w:p w14:paraId="6964F71C" w14:textId="77777777"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Cs/>
          <w:color w:val="0070C0"/>
          <w:szCs w:val="72"/>
          <w:lang w:val="sr-Cyrl-CS"/>
        </w:rPr>
        <w:t>Развијени су и алтернативни сценарији који указују на потенцијална одступања привредног раста од ±1,5 п.п., у зависности од динамике домаћих и глобалних ризика. Структурне реформе, јачање институционалних капацитета и унапређење транспарентности јавних инвестиција представљају кључне елементе за дугорочну отпорност и конкурентност привреде.</w:t>
      </w:r>
    </w:p>
    <w:p w14:paraId="6168D94B" w14:textId="34633EE4" w:rsidR="001A395C" w:rsidRPr="00F5596D" w:rsidRDefault="001A395C" w:rsidP="001A395C">
      <w:pPr>
        <w:rPr>
          <w:rFonts w:ascii="Calibri" w:eastAsia="Calibri" w:hAnsi="Calibri" w:cs="Calibri"/>
          <w:bCs/>
          <w:color w:val="0070C0"/>
          <w:szCs w:val="72"/>
          <w:lang w:val="sr-Cyrl-CS"/>
        </w:rPr>
      </w:pPr>
      <w:r w:rsidRPr="00F5596D">
        <w:rPr>
          <w:rFonts w:ascii="Calibri" w:eastAsia="Calibri" w:hAnsi="Calibri" w:cs="Calibri"/>
          <w:b/>
          <w:bCs/>
          <w:i/>
          <w:color w:val="0070C0"/>
          <w:szCs w:val="72"/>
          <w:lang w:val="sr-Cyrl-CS"/>
        </w:rPr>
        <w:t>Фискална дисциплина остаје темељни принцип економске политике, уз пажљиво планирани буџетски дефицит од око 3,0% БДП током инвестиционог циклуса, са постепеним смањењем на 2,5% БДП-а до 2028. године.</w:t>
      </w:r>
      <w:r w:rsidRPr="00F5596D">
        <w:rPr>
          <w:rFonts w:ascii="Calibri" w:eastAsia="Calibri" w:hAnsi="Calibri" w:cs="Calibri"/>
          <w:bCs/>
          <w:color w:val="0070C0"/>
          <w:szCs w:val="72"/>
          <w:lang w:val="sr-Cyrl-CS"/>
        </w:rPr>
        <w:t xml:space="preserve"> Овакав оквир обезбеђује континуирано смањење удела јавног дуга у БДП-у, који ће се, према тренутним проценама, спустити на око 46,2% до краја средњорочног периода. Истовремено, јавне инвестиције остају приоритет и биће задржане на високом нивоу од око 7,0% БДП-а, уз даље јачање механизама контроле и унапређење транспарентности у управљању капиталним пројектима.</w:t>
      </w:r>
    </w:p>
    <w:p w14:paraId="5E707BFB" w14:textId="63392132" w:rsidR="001A395C" w:rsidRPr="00F5596D" w:rsidRDefault="001A395C" w:rsidP="001A395C">
      <w:pPr>
        <w:rPr>
          <w:rFonts w:ascii="Calibri" w:eastAsia="Calibri" w:hAnsi="Calibri" w:cs="Calibri"/>
          <w:bCs/>
          <w:color w:val="0070C0"/>
          <w:szCs w:val="72"/>
          <w:lang w:val="sr-Cyrl-CS"/>
        </w:rPr>
      </w:pPr>
    </w:p>
    <w:p w14:paraId="21BB6CFB" w14:textId="1475ED82" w:rsidR="001A395C" w:rsidRPr="00F5596D" w:rsidRDefault="001A395C" w:rsidP="001A395C">
      <w:pPr>
        <w:rPr>
          <w:rFonts w:ascii="Calibri" w:eastAsia="Calibri" w:hAnsi="Calibri" w:cs="Calibri"/>
          <w:bCs/>
          <w:color w:val="0070C0"/>
          <w:szCs w:val="72"/>
          <w:lang w:val="sr-Cyrl-CS"/>
        </w:rPr>
      </w:pPr>
    </w:p>
    <w:p w14:paraId="0B255199" w14:textId="6AA19CE1" w:rsidR="001A395C" w:rsidRPr="00F5596D" w:rsidRDefault="001A395C" w:rsidP="001A395C">
      <w:pPr>
        <w:rPr>
          <w:rFonts w:ascii="Calibri" w:eastAsia="Calibri" w:hAnsi="Calibri" w:cs="Calibri"/>
          <w:bCs/>
          <w:color w:val="0070C0"/>
          <w:szCs w:val="72"/>
          <w:lang w:val="sr-Cyrl-CS"/>
        </w:rPr>
      </w:pPr>
    </w:p>
    <w:p w14:paraId="550C515B" w14:textId="2734C506" w:rsidR="001A395C" w:rsidRPr="00F5596D" w:rsidRDefault="001A395C" w:rsidP="001A395C">
      <w:pPr>
        <w:rPr>
          <w:rFonts w:ascii="Calibri" w:eastAsia="Calibri" w:hAnsi="Calibri" w:cs="Calibri"/>
          <w:bCs/>
          <w:color w:val="0070C0"/>
          <w:szCs w:val="72"/>
          <w:lang w:val="sr-Cyrl-CS"/>
        </w:rPr>
      </w:pPr>
    </w:p>
    <w:p w14:paraId="2E7739F1" w14:textId="011C3A40" w:rsidR="001A395C" w:rsidRPr="00F5596D" w:rsidRDefault="001A395C" w:rsidP="001A395C">
      <w:pPr>
        <w:rPr>
          <w:rFonts w:ascii="Calibri" w:eastAsia="Calibri" w:hAnsi="Calibri" w:cs="Calibri"/>
          <w:bCs/>
          <w:color w:val="0070C0"/>
          <w:szCs w:val="72"/>
          <w:lang w:val="sr-Cyrl-CS"/>
        </w:rPr>
      </w:pPr>
    </w:p>
    <w:p w14:paraId="32F35921" w14:textId="7E178DAF" w:rsidR="001A395C" w:rsidRPr="00F5596D" w:rsidRDefault="001A395C" w:rsidP="001A395C">
      <w:pPr>
        <w:rPr>
          <w:rFonts w:ascii="Calibri" w:eastAsia="Calibri" w:hAnsi="Calibri" w:cs="Calibri"/>
          <w:bCs/>
          <w:color w:val="0070C0"/>
          <w:szCs w:val="72"/>
          <w:lang w:val="sr-Cyrl-CS"/>
        </w:rPr>
      </w:pPr>
    </w:p>
    <w:p w14:paraId="68A364FD" w14:textId="107BB612" w:rsidR="001A395C" w:rsidRPr="00F5596D" w:rsidRDefault="001A395C" w:rsidP="001A395C">
      <w:pPr>
        <w:rPr>
          <w:rFonts w:ascii="Calibri" w:eastAsia="Calibri" w:hAnsi="Calibri" w:cs="Calibri"/>
          <w:bCs/>
          <w:color w:val="0070C0"/>
          <w:szCs w:val="72"/>
          <w:lang w:val="sr-Cyrl-CS"/>
        </w:rPr>
      </w:pPr>
    </w:p>
    <w:p w14:paraId="7504988B" w14:textId="2D60C73D" w:rsidR="001A395C" w:rsidRPr="00F5596D" w:rsidRDefault="001A395C" w:rsidP="001A395C">
      <w:pPr>
        <w:rPr>
          <w:rFonts w:ascii="Calibri" w:eastAsia="Calibri" w:hAnsi="Calibri" w:cs="Calibri"/>
          <w:bCs/>
          <w:color w:val="0070C0"/>
          <w:szCs w:val="72"/>
          <w:lang w:val="sr-Cyrl-CS"/>
        </w:rPr>
      </w:pPr>
    </w:p>
    <w:p w14:paraId="74C83511" w14:textId="54D352AA" w:rsidR="001A395C" w:rsidRPr="00F5596D" w:rsidRDefault="001A395C" w:rsidP="001A395C">
      <w:pPr>
        <w:rPr>
          <w:rFonts w:ascii="Calibri" w:eastAsia="Calibri" w:hAnsi="Calibri" w:cs="Calibri"/>
          <w:bCs/>
          <w:color w:val="0070C0"/>
          <w:szCs w:val="72"/>
          <w:lang w:val="sr-Cyrl-CS"/>
        </w:rPr>
      </w:pPr>
    </w:p>
    <w:p w14:paraId="4A171F8B" w14:textId="3E9B7CF0" w:rsidR="001A395C" w:rsidRPr="00F5596D" w:rsidRDefault="001A395C" w:rsidP="001A395C">
      <w:pPr>
        <w:rPr>
          <w:rFonts w:ascii="Calibri" w:eastAsia="Calibri" w:hAnsi="Calibri" w:cs="Calibri"/>
          <w:bCs/>
          <w:color w:val="0070C0"/>
          <w:szCs w:val="72"/>
          <w:lang w:val="sr-Cyrl-CS"/>
        </w:rPr>
      </w:pPr>
    </w:p>
    <w:p w14:paraId="6E14C712" w14:textId="03B31933" w:rsidR="001A395C" w:rsidRPr="00F5596D" w:rsidRDefault="001A395C" w:rsidP="001A395C">
      <w:pPr>
        <w:rPr>
          <w:rFonts w:ascii="Calibri" w:eastAsia="Calibri" w:hAnsi="Calibri" w:cs="Calibri"/>
          <w:bCs/>
          <w:color w:val="0070C0"/>
          <w:szCs w:val="72"/>
          <w:lang w:val="sr-Cyrl-CS"/>
        </w:rPr>
      </w:pPr>
    </w:p>
    <w:p w14:paraId="08DA7D31" w14:textId="5571B2F9" w:rsidR="001A395C" w:rsidRPr="00F5596D" w:rsidRDefault="001A395C" w:rsidP="001A395C">
      <w:pPr>
        <w:rPr>
          <w:rFonts w:ascii="Calibri" w:eastAsia="Calibri" w:hAnsi="Calibri" w:cs="Calibri"/>
          <w:bCs/>
          <w:color w:val="0070C0"/>
          <w:szCs w:val="72"/>
          <w:lang w:val="sr-Cyrl-CS"/>
        </w:rPr>
      </w:pPr>
    </w:p>
    <w:p w14:paraId="05EBCC35" w14:textId="5815EB2F" w:rsidR="001A395C" w:rsidRPr="00F5596D" w:rsidRDefault="001A395C" w:rsidP="001A395C">
      <w:pPr>
        <w:rPr>
          <w:rFonts w:ascii="Calibri" w:eastAsia="Calibri" w:hAnsi="Calibri" w:cs="Calibri"/>
          <w:bCs/>
          <w:color w:val="0070C0"/>
          <w:szCs w:val="72"/>
          <w:lang w:val="sr-Cyrl-CS"/>
        </w:rPr>
      </w:pPr>
    </w:p>
    <w:p w14:paraId="5BEC58E4" w14:textId="77777777" w:rsidR="001A395C" w:rsidRPr="00F5596D" w:rsidRDefault="001A395C" w:rsidP="001A395C">
      <w:pPr>
        <w:rPr>
          <w:rFonts w:ascii="Calibri" w:eastAsia="Calibri" w:hAnsi="Calibri" w:cs="Calibri"/>
          <w:bCs/>
          <w:color w:val="0070C0"/>
          <w:szCs w:val="72"/>
          <w:lang w:val="sr-Cyrl-CS"/>
        </w:rPr>
      </w:pPr>
    </w:p>
    <w:p w14:paraId="4DCA3853" w14:textId="0E64F036" w:rsidR="00730D89" w:rsidRPr="00F5596D" w:rsidRDefault="001A395C" w:rsidP="001A395C">
      <w:pPr>
        <w:spacing w:after="0"/>
        <w:rPr>
          <w:rFonts w:ascii="Calibri" w:eastAsia="Calibri" w:hAnsi="Calibri" w:cs="Calibri"/>
          <w:bCs/>
          <w:color w:val="0070C0"/>
          <w:szCs w:val="72"/>
          <w:lang w:val="sr-Cyrl-CS"/>
        </w:rPr>
        <w:sectPr w:rsidR="00730D89" w:rsidRPr="00F5596D" w:rsidSect="006F6A0B">
          <w:type w:val="continuous"/>
          <w:pgSz w:w="12240" w:h="15840" w:code="1"/>
          <w:pgMar w:top="1440" w:right="1440" w:bottom="1440" w:left="1440" w:header="720" w:footer="720" w:gutter="0"/>
          <w:pgNumType w:start="1"/>
          <w:cols w:num="2" w:space="720"/>
          <w:titlePg/>
          <w:docGrid w:linePitch="360"/>
        </w:sectPr>
      </w:pPr>
      <w:r w:rsidRPr="00F5596D">
        <w:rPr>
          <w:rFonts w:ascii="Calibri" w:eastAsia="Calibri" w:hAnsi="Calibri" w:cs="Calibri"/>
          <w:b/>
          <w:bCs/>
          <w:i/>
          <w:color w:val="0070C0"/>
          <w:szCs w:val="72"/>
          <w:lang w:val="sr-Cyrl-CS"/>
        </w:rPr>
        <w:t>Наставак процеса европских интеграција и продубљивање регионалне сарадње остају стратешки приоритети економске и спољне политике Србије.</w:t>
      </w:r>
      <w:r w:rsidRPr="00F5596D">
        <w:rPr>
          <w:rFonts w:ascii="Calibri" w:eastAsia="Calibri" w:hAnsi="Calibri" w:cs="Calibri"/>
          <w:bCs/>
          <w:color w:val="0070C0"/>
          <w:szCs w:val="72"/>
          <w:lang w:val="sr-Cyrl-CS"/>
        </w:rPr>
        <w:t xml:space="preserve"> У том контексту, имплементација Агенде раста представља важан инструмент за јачање економске повезаности Западног Балкана са јединственим тржиштем ЕУ, кроз унапређење институционалног оквира, економску конвергенцију и структурне реформе. Истовремено, нови саветодавни аранжман са Међународним монетарним фондом пружа додатни ослонац за спровођење реформи, унапређује транспарентност и предвидивост економске политике, те значајно доприноси очувању поверења инвеститора и јачању макроекономског кредибилитета Србије у међународним оквирима. Комбиновано, ови процеси позиционирају Србију као поузданог партнера на европском путу и у регионалним иницијативама.</w:t>
      </w:r>
    </w:p>
    <w:p w14:paraId="642639A3" w14:textId="77777777" w:rsidR="001A395C" w:rsidRPr="00F5596D" w:rsidRDefault="001A395C" w:rsidP="009306C3">
      <w:pPr>
        <w:pStyle w:val="Heading2"/>
        <w:rPr>
          <w:rFonts w:eastAsia="Times New Roman"/>
          <w:lang w:val="sr-Cyrl-CS"/>
        </w:rPr>
      </w:pPr>
      <w:bookmarkStart w:id="6" w:name="_Toc146277912"/>
      <w:bookmarkStart w:id="7" w:name="_Toc148431265"/>
      <w:bookmarkStart w:id="8" w:name="_Toc171062478"/>
      <w:bookmarkStart w:id="9" w:name="_Toc200117991"/>
      <w:r w:rsidRPr="00F5596D">
        <w:rPr>
          <w:rFonts w:eastAsia="Times New Roman"/>
          <w:lang w:val="sr-Cyrl-CS"/>
        </w:rPr>
        <w:lastRenderedPageBreak/>
        <w:t>2. Процене међународног економског окружења</w:t>
      </w:r>
      <w:bookmarkEnd w:id="6"/>
      <w:bookmarkEnd w:id="7"/>
      <w:bookmarkEnd w:id="8"/>
      <w:bookmarkEnd w:id="9"/>
    </w:p>
    <w:p w14:paraId="297DFBC1" w14:textId="77777777" w:rsidR="001A395C" w:rsidRPr="00F5596D" w:rsidRDefault="001A395C" w:rsidP="001A395C">
      <w:pPr>
        <w:rPr>
          <w:rFonts w:ascii="Calibri" w:eastAsia="Calibri" w:hAnsi="Calibri" w:cs="Times New Roman"/>
          <w:color w:val="44546A"/>
          <w:highlight w:val="yellow"/>
          <w:lang w:val="sr-Cyrl-CS"/>
        </w:rPr>
      </w:pPr>
      <w:r w:rsidRPr="00F5596D">
        <w:rPr>
          <w:rFonts w:ascii="Calibri" w:eastAsia="Calibri" w:hAnsi="Calibri" w:cs="Calibri"/>
          <w:b/>
          <w:noProof/>
          <w:color w:val="44546A"/>
          <w:sz w:val="24"/>
          <w:highlight w:val="yellow"/>
        </w:rPr>
        <mc:AlternateContent>
          <mc:Choice Requires="wps">
            <w:drawing>
              <wp:anchor distT="0" distB="0" distL="114300" distR="114300" simplePos="0" relativeHeight="251690496" behindDoc="1" locked="0" layoutInCell="1" allowOverlap="1" wp14:anchorId="11AFAC64" wp14:editId="1B75461B">
                <wp:simplePos x="0" y="0"/>
                <wp:positionH relativeFrom="margin">
                  <wp:posOffset>-101600</wp:posOffset>
                </wp:positionH>
                <wp:positionV relativeFrom="paragraph">
                  <wp:posOffset>205741</wp:posOffset>
                </wp:positionV>
                <wp:extent cx="6139815" cy="6007100"/>
                <wp:effectExtent l="0" t="0" r="0" b="0"/>
                <wp:wrapNone/>
                <wp:docPr id="63" name="Rectangle 63"/>
                <wp:cNvGraphicFramePr/>
                <a:graphic xmlns:a="http://schemas.openxmlformats.org/drawingml/2006/main">
                  <a:graphicData uri="http://schemas.microsoft.com/office/word/2010/wordprocessingShape">
                    <wps:wsp>
                      <wps:cNvSpPr/>
                      <wps:spPr>
                        <a:xfrm>
                          <a:off x="0" y="0"/>
                          <a:ext cx="6139815" cy="6007100"/>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txbx>
                        <w:txbxContent>
                          <w:p w14:paraId="1364DCE9" w14:textId="77777777" w:rsidR="00F5596D" w:rsidRDefault="00F5596D" w:rsidP="001A39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FAC64" id="Rectangle 63" o:spid="_x0000_s1026" style="position:absolute;left:0;text-align:left;margin-left:-8pt;margin-top:16.2pt;width:483.45pt;height:473pt;z-index:-25162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" fillcolor="#d9d9d9" stroked="f" strokeweight="1pt">
                <v:fill r:id="rId11" o:title="" color2="window" type="pattern"/>
                <v:textbox>
                  <w:txbxContent>
                    <w:p w14:paraId="1364DCE9" w14:textId="77777777" w:rsidR="00F5596D" w:rsidRDefault="00F5596D" w:rsidP="001A395C">
                      <w:pPr>
                        <w:jc w:val="center"/>
                      </w:pPr>
                    </w:p>
                  </w:txbxContent>
                </v:textbox>
                <w10:wrap anchorx="margin"/>
              </v:rect>
            </w:pict>
          </mc:Fallback>
        </mc:AlternateContent>
      </w:r>
    </w:p>
    <w:p w14:paraId="612FF746" w14:textId="77777777" w:rsidR="001A395C" w:rsidRPr="00F5596D" w:rsidRDefault="001A395C" w:rsidP="001A395C">
      <w:pPr>
        <w:spacing w:after="240"/>
        <w:rPr>
          <w:rFonts w:ascii="Calibri" w:eastAsia="Calibri" w:hAnsi="Calibri" w:cs="Calibri"/>
          <w:bCs/>
          <w:color w:val="FF0000"/>
          <w:szCs w:val="72"/>
          <w:highlight w:val="yellow"/>
          <w:lang w:val="sr-Cyrl-CS"/>
        </w:rPr>
        <w:sectPr w:rsidR="001A395C" w:rsidRPr="00F5596D" w:rsidSect="001A395C">
          <w:headerReference w:type="even" r:id="rId12"/>
          <w:headerReference w:type="default" r:id="rId13"/>
          <w:footerReference w:type="even" r:id="rId14"/>
          <w:footerReference w:type="default" r:id="rId15"/>
          <w:footerReference w:type="first" r:id="rId16"/>
          <w:pgSz w:w="12240" w:h="15840" w:code="1"/>
          <w:pgMar w:top="1440" w:right="1440" w:bottom="1440" w:left="1440" w:header="720" w:footer="720" w:gutter="0"/>
          <w:cols w:space="720"/>
          <w:titlePg/>
          <w:docGrid w:linePitch="360"/>
        </w:sectPr>
      </w:pPr>
    </w:p>
    <w:p w14:paraId="082E224F" w14:textId="20936D6A" w:rsidR="001A395C" w:rsidRPr="00F5596D" w:rsidRDefault="001A395C" w:rsidP="001A395C">
      <w:pPr>
        <w:spacing w:after="240"/>
        <w:rPr>
          <w:rFonts w:ascii="Calibri" w:eastAsia="Calibri" w:hAnsi="Calibri" w:cs="Calibri"/>
          <w:bCs/>
          <w:color w:val="0070C0"/>
          <w:szCs w:val="72"/>
          <w:lang w:val="sr-Cyrl-CS"/>
        </w:rPr>
      </w:pPr>
      <w:r w:rsidRPr="00F5596D">
        <w:rPr>
          <w:rFonts w:ascii="Calibri" w:eastAsia="Calibri" w:hAnsi="Calibri" w:cs="Calibri"/>
          <w:bCs/>
          <w:color w:val="0070C0"/>
          <w:szCs w:val="72"/>
          <w:lang w:val="sr-Cyrl-CS"/>
        </w:rPr>
        <w:t xml:space="preserve">Глобална економија се почетком 2025. године суочава са новим изазовима, након што је у претходном периоду показала изузетну отпорност на шокове изазване пандемијом COVID-19 и сукобом у Украјини. Иако су крајем претходне године забележени знаци стабилизације, почетком 2025. године повећана је неизвесност која изнова тестира отпорност глобалне економије. Увођење трговинских тарифа од стране САД изазвало је реципрочне мере других земаља и довело до ескалације тензија у светским трговинским односима која прети да прерасте у глобални царински рат. Повећане тарифе и протекционистичке политике, уз недостатак координације међу великим економијама, изазивају пад поверења, одлагање инвестиција и потрошње, што додатно успорава глобалну економију. Све већи број земаља фаворизује трговину унутар политичких савеза, што доводи до преусмеравања трговинских токова и растућих геополитичких подела. Структурни изазови значајно отежавају процес опоравка, при чему се као кључни проблеми издвајају ниска продуктивност у већини земаља осим САД, демографско старење, смањене инвестиције, као и рањивости проистекле из високе енергетске зависности. У 2025. години, према проценама </w:t>
      </w:r>
      <w:r w:rsidR="000B492F" w:rsidRPr="00F5596D">
        <w:rPr>
          <w:rFonts w:ascii="Calibri" w:eastAsia="Calibri" w:hAnsi="Calibri" w:cs="Calibri"/>
          <w:bCs/>
          <w:color w:val="0070C0"/>
          <w:szCs w:val="72"/>
          <w:lang w:val="sr-Cyrl-CS"/>
        </w:rPr>
        <w:t xml:space="preserve">Међународног монетарног фонда (у даљем тексту: </w:t>
      </w:r>
      <w:r w:rsidRPr="00F5596D">
        <w:rPr>
          <w:rFonts w:ascii="Calibri" w:eastAsia="Calibri" w:hAnsi="Calibri" w:cs="Calibri"/>
          <w:bCs/>
          <w:color w:val="0070C0"/>
          <w:szCs w:val="72"/>
          <w:lang w:val="sr-Cyrl-CS"/>
        </w:rPr>
        <w:t>ММФ</w:t>
      </w:r>
      <w:r w:rsidR="000B492F" w:rsidRPr="00F5596D">
        <w:rPr>
          <w:rFonts w:ascii="Calibri" w:eastAsia="Calibri" w:hAnsi="Calibri" w:cs="Calibri"/>
          <w:bCs/>
          <w:color w:val="0070C0"/>
          <w:szCs w:val="72"/>
          <w:lang w:val="sr-Cyrl-CS"/>
        </w:rPr>
        <w:t>)</w:t>
      </w:r>
      <w:r w:rsidRPr="00F5596D">
        <w:rPr>
          <w:rFonts w:ascii="Calibri" w:eastAsia="Calibri" w:hAnsi="Calibri" w:cs="Calibri"/>
          <w:bCs/>
          <w:color w:val="0070C0"/>
          <w:szCs w:val="72"/>
          <w:lang w:val="sr-Cyrl-CS"/>
        </w:rPr>
        <w:t xml:space="preserve">, очекује се успоравање глобалног раста на 2,8%, што је најнижи ниво у последњој деценији ако се изузме пандемијска 2020. година. Пројекције за 2026. годину предвиђају благи опоравак на 3,0%. Успоравање је широко распрострањено и обухвата готово све земље, при чему су посебно погођене економије које су </w:t>
      </w:r>
      <w:r w:rsidRPr="00F5596D">
        <w:rPr>
          <w:rFonts w:ascii="Calibri" w:eastAsia="Calibri" w:hAnsi="Calibri" w:cs="Calibri"/>
          <w:bCs/>
          <w:color w:val="0070C0"/>
          <w:szCs w:val="72"/>
          <w:lang w:val="sr-Cyrl-CS"/>
        </w:rPr>
        <w:t>високо интегрисане у глобалне ланце снабдевања. Истовремено, простор за додатне економске интервенције је значајно сужен. Многе земље већ имају високе нивое јавног дуга услед фискалне помоћи током пандемије и енергетске кризе. Изазови фискалне консолидације постављају се као препрека геополитичким настојањима за већим улагањима. Монетарна политика остаје ограничена у свом маневру, будући да се централне банке суочавају са истовременим притисцима инфлације и успорене тражње. Очекује се да ће глобална инфлација опадати, али споријим темпом него што се раније предвиђало, услед нових трговинских баријера и повећане неизвесности.</w:t>
      </w:r>
    </w:p>
    <w:p w14:paraId="6CE6D70F" w14:textId="77777777" w:rsidR="001A395C" w:rsidRPr="00F5596D" w:rsidRDefault="001A395C" w:rsidP="001A395C">
      <w:pPr>
        <w:spacing w:after="120"/>
        <w:rPr>
          <w:rFonts w:ascii="Calibri" w:eastAsia="Calibri" w:hAnsi="Calibri" w:cs="Calibri"/>
          <w:bCs/>
          <w:color w:val="0070C0"/>
          <w:szCs w:val="72"/>
          <w:lang w:val="sr-Cyrl-CS"/>
        </w:rPr>
        <w:sectPr w:rsidR="001A395C" w:rsidRPr="00F5596D" w:rsidSect="001A395C">
          <w:type w:val="continuous"/>
          <w:pgSz w:w="12240" w:h="15840"/>
          <w:pgMar w:top="1440" w:right="1440" w:bottom="1440" w:left="1440" w:header="708" w:footer="708" w:gutter="0"/>
          <w:cols w:num="2" w:space="708"/>
          <w:docGrid w:linePitch="360"/>
        </w:sectPr>
      </w:pPr>
      <w:r w:rsidRPr="00F5596D">
        <w:rPr>
          <w:rFonts w:ascii="Calibri" w:eastAsia="Calibri" w:hAnsi="Calibri" w:cs="Calibri"/>
          <w:bCs/>
          <w:color w:val="0070C0"/>
          <w:szCs w:val="72"/>
          <w:lang w:val="sr-Cyrl-CS"/>
        </w:rPr>
        <w:t>Ризици пројекција су асиметрични наниже и односе се на даље погоршање трговинских односа, слабљење поверења инвеститора и ограничену способност држава да реагују, што може довести до озбиљнијег и распрострањенијег глобалног успоравања, па чак и до рецесије у појединим деловима света. У случају шокова на финансијским тржиштима, посебно су рањиве земље у развоју са већ постојећим проблемима спољног задуживања. С друге стране, уколико дође до смиривања трговинских тензија и обнови се предвидив и стабилан трговински режим, глобални изгледи могли би се значајно поправити. Кључни елементи опоравка подразумевају јачање међународне сарадње, фискалну одговорност, структурне реформе усмерене ка већој продуктивности и дигиталној транзицији, као и оснаживање институционалног оквира у циљу очувања макроекономске стабилности.</w:t>
      </w:r>
    </w:p>
    <w:p w14:paraId="6ED55AA6" w14:textId="77777777" w:rsidR="001A395C" w:rsidRPr="00F5596D" w:rsidRDefault="001A395C" w:rsidP="001A395C">
      <w:pPr>
        <w:rPr>
          <w:rFonts w:ascii="Calibri" w:eastAsia="Calibri" w:hAnsi="Calibri" w:cs="Calibri"/>
          <w:b/>
          <w:color w:val="2F5496" w:themeColor="accent1" w:themeShade="BF"/>
          <w:highlight w:val="yellow"/>
          <w:lang w:val="sr-Cyrl-CS"/>
        </w:rPr>
        <w:sectPr w:rsidR="001A395C" w:rsidRPr="00F5596D" w:rsidSect="001A395C">
          <w:type w:val="continuous"/>
          <w:pgSz w:w="12240" w:h="15840"/>
          <w:pgMar w:top="1440" w:right="1440" w:bottom="1440" w:left="1440" w:header="708" w:footer="708" w:gutter="0"/>
          <w:cols w:num="2" w:space="708"/>
          <w:docGrid w:linePitch="360"/>
        </w:sectPr>
      </w:pPr>
    </w:p>
    <w:p w14:paraId="0A038A6B" w14:textId="77777777" w:rsidR="001A395C" w:rsidRPr="00F5596D" w:rsidRDefault="001A395C" w:rsidP="001A395C">
      <w:pPr>
        <w:rPr>
          <w:rFonts w:ascii="Calibri" w:eastAsia="Calibri" w:hAnsi="Calibri" w:cs="Calibri"/>
          <w:b/>
          <w:color w:val="2F5496" w:themeColor="accent1" w:themeShade="BF"/>
          <w:sz w:val="22"/>
          <w:lang w:val="sr-Cyrl-CS"/>
        </w:rPr>
      </w:pPr>
      <w:r w:rsidRPr="00F5596D">
        <w:rPr>
          <w:rFonts w:ascii="Calibri" w:eastAsia="Calibri" w:hAnsi="Calibri" w:cs="Calibri"/>
          <w:b/>
          <w:color w:val="2F5496" w:themeColor="accent1" w:themeShade="BF"/>
          <w:sz w:val="22"/>
          <w:lang w:val="sr-Cyrl-CS"/>
        </w:rPr>
        <w:t>Макроекономске процене Међународног монетарног фонда (ММФ)</w:t>
      </w:r>
    </w:p>
    <w:p w14:paraId="44E1E4F1" w14:textId="77777777" w:rsidR="001A395C" w:rsidRPr="00F5596D" w:rsidRDefault="001A395C" w:rsidP="001A395C">
      <w:pPr>
        <w:rPr>
          <w:rFonts w:ascii="Calibri" w:eastAsia="Calibri" w:hAnsi="Calibri" w:cs="Times New Roman"/>
          <w:color w:val="44546A"/>
          <w:lang w:val="sr-Cyrl-CS"/>
        </w:rPr>
      </w:pPr>
      <w:r w:rsidRPr="00F5596D">
        <w:rPr>
          <w:rFonts w:ascii="Calibri" w:eastAsia="Calibri" w:hAnsi="Calibri" w:cs="Times New Roman"/>
          <w:color w:val="44546A"/>
          <w:lang w:val="sr-Cyrl-CS"/>
        </w:rPr>
        <w:t xml:space="preserve">У првим месецима 2025. године, глобални трговински систем обележила је нагла ескалација царинских мера, која је оставила снажан утицај на економска кретања у великом броју земаља широм света. Иницијални потез начиниле су САД, које су у фебруару повећале тарифе на кинеске </w:t>
      </w:r>
      <w:r w:rsidRPr="00F5596D">
        <w:rPr>
          <w:rFonts w:ascii="Calibri" w:eastAsia="Calibri" w:hAnsi="Calibri" w:cs="Times New Roman"/>
          <w:color w:val="44546A"/>
          <w:lang w:val="sr-Cyrl-CS"/>
        </w:rPr>
        <w:t xml:space="preserve">производе за 10%. Већ у марту уследило је ново повећање од додатних 10%, а уведенe су и тарифе од 25% на увоз из Мексика и Канаде. Кулминација је наступила 2. априла, када су САД прогласиле „Дан ослобођења“ и најавиле примену универзалне царине од 10% на сав увоз, са додатним "реципрочним" тарифама од 34% на робу из 57 земаља, укључујући Кину. Као одговор, Кина је 4. априла најавила узвратне тарифе од 34% </w:t>
      </w:r>
      <w:r w:rsidRPr="00F5596D">
        <w:rPr>
          <w:rFonts w:ascii="Calibri" w:eastAsia="Calibri" w:hAnsi="Calibri" w:cs="Times New Roman"/>
          <w:color w:val="44546A"/>
          <w:lang w:val="sr-Cyrl-CS"/>
        </w:rPr>
        <w:lastRenderedPageBreak/>
        <w:t xml:space="preserve">на све америчке производе. Убрзо након тога обе стране су наставиле са новим таласима повећања тарифа, што је довело до рекордно високих царинских стопа. Европска унија је такође у априлу 2025. године најавила и одобрила пакет тарифа као одговор на царинске мере САД.​ Како би се смањиле тензије на тржиштима и отворио простор за преговоре, САД су 9. априла најавиле 90-дневну суспензију додатних тарифа изнад основне стопе од 10% за већину земаља, изузев Кине. Европска комисија је такође суспендовала своје мере за исти период, како би се пружила шанса за дипломатско решење. </w:t>
      </w:r>
    </w:p>
    <w:p w14:paraId="2918C2A0" w14:textId="77777777" w:rsidR="001A395C" w:rsidRPr="00F5596D" w:rsidRDefault="001A395C" w:rsidP="001A395C">
      <w:pPr>
        <w:keepNext/>
        <w:jc w:val="center"/>
        <w:rPr>
          <w:rFonts w:ascii="Calibri" w:eastAsia="Calibri" w:hAnsi="Calibri" w:cs="Calibri"/>
          <w:b/>
          <w:color w:val="002060"/>
          <w:lang w:val="sr-Cyrl-CS"/>
        </w:rPr>
      </w:pPr>
      <w:r w:rsidRPr="00F5596D">
        <w:rPr>
          <w:rFonts w:ascii="Calibri" w:eastAsia="Calibri" w:hAnsi="Calibri" w:cs="Calibri"/>
          <w:b/>
          <w:color w:val="002060"/>
          <w:lang w:val="sr-Cyrl-CS"/>
        </w:rPr>
        <w:t>Ефективне царинске стопе САД на целокупан увоз, %</w:t>
      </w:r>
    </w:p>
    <w:p w14:paraId="35EF3C22" w14:textId="77777777" w:rsidR="001A395C" w:rsidRPr="00F5596D" w:rsidRDefault="001A395C" w:rsidP="001A395C">
      <w:pPr>
        <w:spacing w:after="120"/>
        <w:rPr>
          <w:rFonts w:ascii="Calibri" w:eastAsia="Calibri" w:hAnsi="Calibri" w:cs="Times New Roman"/>
          <w:color w:val="44546A"/>
          <w:lang w:val="sr-Cyrl-CS"/>
        </w:rPr>
      </w:pPr>
      <w:r w:rsidRPr="00F5596D">
        <w:rPr>
          <w:noProof/>
        </w:rPr>
        <w:drawing>
          <wp:inline distT="0" distB="0" distL="0" distR="0" wp14:anchorId="7D0F421C" wp14:editId="4D68373D">
            <wp:extent cx="2742872" cy="1433182"/>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58555" cy="1441377"/>
                    </a:xfrm>
                    <a:prstGeom prst="rect">
                      <a:avLst/>
                    </a:prstGeom>
                  </pic:spPr>
                </pic:pic>
              </a:graphicData>
            </a:graphic>
          </wp:inline>
        </w:drawing>
      </w:r>
    </w:p>
    <w:p w14:paraId="35E2AD2F" w14:textId="77777777" w:rsidR="001A395C" w:rsidRPr="00F5596D" w:rsidRDefault="001A395C" w:rsidP="001A395C">
      <w:pPr>
        <w:spacing w:after="120"/>
        <w:rPr>
          <w:rFonts w:ascii="Calibri" w:eastAsia="Calibri" w:hAnsi="Calibri" w:cs="Times New Roman"/>
          <w:color w:val="44546A"/>
          <w:sz w:val="14"/>
          <w:szCs w:val="16"/>
          <w:lang w:val="sr-Cyrl-CS"/>
        </w:rPr>
      </w:pPr>
      <w:r w:rsidRPr="00F5596D">
        <w:rPr>
          <w:rFonts w:ascii="Calibri" w:eastAsia="Calibri" w:hAnsi="Calibri" w:cs="Times New Roman"/>
          <w:color w:val="44546A"/>
          <w:sz w:val="14"/>
          <w:szCs w:val="16"/>
          <w:lang w:val="sr-Cyrl-CS"/>
        </w:rPr>
        <w:t>Извор: ММФ, World Economic Outlook, април 2025.</w:t>
      </w:r>
    </w:p>
    <w:p w14:paraId="541AACD4" w14:textId="77777777" w:rsidR="001A395C" w:rsidRPr="00F5596D" w:rsidRDefault="001A395C" w:rsidP="001A395C">
      <w:pPr>
        <w:rPr>
          <w:rFonts w:ascii="Calibri" w:eastAsia="Calibri" w:hAnsi="Calibri" w:cs="Times New Roman"/>
          <w:color w:val="44546A"/>
          <w:lang w:val="sr-Cyrl-CS"/>
        </w:rPr>
      </w:pPr>
      <w:r w:rsidRPr="00F5596D">
        <w:rPr>
          <w:rFonts w:ascii="Calibri" w:eastAsia="Calibri" w:hAnsi="Calibri" w:cs="Times New Roman"/>
          <w:color w:val="44546A"/>
          <w:lang w:val="sr-Cyrl-CS"/>
        </w:rPr>
        <w:t xml:space="preserve">Пораст неизвесности током 2025. године добија све већи значај као кључни фактор који обликује глобална економска кретања. Овај пораст највидљивије се огледа у драматичном узлету три глобално призната индикатора неизвесности: Индекса глобалне неизвесности (World Uncertainty Index - WUI), Индекса неизвесности економске политике (Economic Policy Uncertainty - EPU) и Индекса неизвесности трговинске политике (Trade Policy Uncertainty - TPU). Сва три индекса током пролећа 2025. године показала су значајан узлазни тренд, при чему се посебно издваја скок TPU индекса, који је у априлу достигао ниво чак седам пута виши у односу на октобар 2024. године, премашивши чак и највише вредности забележене током врхунца кризе изазване пандемијом COVID-19. Таква експлозија трговинске неизвесности није само статистички сигнал, већ има и дубоке реалне економске импликације. Повећана неизвесност у погледу трговинске политике води ка одлагању инвестиционих одлука, порасту трошкова </w:t>
      </w:r>
      <w:r w:rsidRPr="00F5596D">
        <w:rPr>
          <w:rFonts w:ascii="Calibri" w:eastAsia="Calibri" w:hAnsi="Calibri" w:cs="Times New Roman"/>
          <w:color w:val="44546A"/>
          <w:lang w:val="sr-Cyrl-CS"/>
        </w:rPr>
        <w:t>финансирања и преусмеравању производних токова. Компаније широм света суочавају се са сложеним ризицима при планирању извоза и увоза, као и уговарању нових улагања, што резултира снижењем глобалне инвестиционе активности и успоравањем трговине. Истовремено, поремећаји у глобалним ланцима снабдевања доводе до смањене ефикасности производње и дистрибуције, што додатно отежава нормализацију привредне активности у већини региона. Глобална економија је ушла у нову фазу споријег раста, при чему актуелни изазови произилазе не само из раста глобалне неизвесности, већ и из структурних слабости</w:t>
      </w:r>
      <w:r w:rsidRPr="00F5596D">
        <w:rPr>
          <w:lang w:val="sr-Cyrl-CS"/>
        </w:rPr>
        <w:t xml:space="preserve"> </w:t>
      </w:r>
      <w:r w:rsidRPr="00F5596D">
        <w:rPr>
          <w:rFonts w:ascii="Calibri" w:eastAsia="Calibri" w:hAnsi="Calibri" w:cs="Times New Roman"/>
          <w:color w:val="44546A"/>
          <w:lang w:val="sr-Cyrl-CS"/>
        </w:rPr>
        <w:t xml:space="preserve">попут ниске продуктивности, смањеног потенцијалног раста у развијеним економијама, демографских изазова и технолошке трансформације тржишта рада. </w:t>
      </w:r>
    </w:p>
    <w:p w14:paraId="1E65292B" w14:textId="77777777" w:rsidR="001A395C" w:rsidRPr="00F5596D" w:rsidRDefault="001A395C" w:rsidP="001A395C">
      <w:pPr>
        <w:keepNext/>
        <w:jc w:val="center"/>
        <w:rPr>
          <w:rFonts w:ascii="Calibri" w:eastAsia="Calibri" w:hAnsi="Calibri" w:cs="Calibri"/>
          <w:b/>
          <w:color w:val="002060"/>
          <w:lang w:val="sr-Cyrl-CS"/>
        </w:rPr>
      </w:pPr>
      <w:r w:rsidRPr="00F5596D">
        <w:rPr>
          <w:rFonts w:ascii="Calibri" w:eastAsia="Calibri" w:hAnsi="Calibri" w:cs="Calibri"/>
          <w:b/>
          <w:color w:val="002060"/>
          <w:lang w:val="sr-Cyrl-CS"/>
        </w:rPr>
        <w:t>Укупна, економска и трговинска неизвесност (индекс)</w:t>
      </w:r>
    </w:p>
    <w:p w14:paraId="29E91C88" w14:textId="77777777" w:rsidR="001A395C" w:rsidRPr="00F5596D" w:rsidRDefault="001A395C" w:rsidP="001A395C">
      <w:pPr>
        <w:spacing w:after="120"/>
        <w:rPr>
          <w:rFonts w:ascii="Times New Roman" w:eastAsia="Calibri" w:hAnsi="Times New Roman" w:cs="Times New Roman"/>
          <w:color w:val="44546A"/>
          <w:sz w:val="16"/>
          <w:szCs w:val="16"/>
          <w:lang w:val="sr-Cyrl-CS"/>
        </w:rPr>
      </w:pPr>
      <w:r w:rsidRPr="00F5596D">
        <w:rPr>
          <w:noProof/>
        </w:rPr>
        <w:drawing>
          <wp:inline distT="0" distB="0" distL="0" distR="0" wp14:anchorId="321BFDCC" wp14:editId="76E43E64">
            <wp:extent cx="2743200" cy="1970625"/>
            <wp:effectExtent l="0" t="0" r="0" b="1079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F5596D">
        <w:rPr>
          <w:rFonts w:ascii="Calibri" w:eastAsia="Calibri" w:hAnsi="Calibri" w:cs="Times New Roman"/>
          <w:color w:val="44546A"/>
          <w:sz w:val="14"/>
          <w:szCs w:val="16"/>
          <w:lang w:val="sr-Cyrl-CS"/>
        </w:rPr>
        <w:t>Извор: ММФ, World Economic Outlook, април 2025.</w:t>
      </w:r>
    </w:p>
    <w:p w14:paraId="6EF852F0" w14:textId="77777777" w:rsidR="001A395C" w:rsidRPr="00F5596D" w:rsidRDefault="001A395C" w:rsidP="001A395C">
      <w:pPr>
        <w:rPr>
          <w:rFonts w:ascii="Calibri" w:eastAsia="Calibri" w:hAnsi="Calibri" w:cs="Times New Roman"/>
          <w:color w:val="44546A"/>
          <w:lang w:val="sr-Cyrl-CS"/>
        </w:rPr>
        <w:sectPr w:rsidR="001A395C" w:rsidRPr="00F5596D" w:rsidSect="001A395C">
          <w:type w:val="continuous"/>
          <w:pgSz w:w="12240" w:h="15840"/>
          <w:pgMar w:top="1440" w:right="1440" w:bottom="1440" w:left="1440" w:header="708" w:footer="708" w:gutter="0"/>
          <w:cols w:num="2" w:space="708"/>
          <w:docGrid w:linePitch="360"/>
        </w:sectPr>
      </w:pPr>
      <w:r w:rsidRPr="00F5596D">
        <w:rPr>
          <w:rFonts w:ascii="Calibri" w:eastAsia="Calibri" w:hAnsi="Calibri" w:cs="Times New Roman"/>
          <w:color w:val="44546A"/>
          <w:lang w:val="sr-Cyrl-CS"/>
        </w:rPr>
        <w:t>Иако је пуна примена америчких тарифа одложена, глобалну економију и даље оптерећују изражени негативни ризици због претње ескалације у свеобухватни царински рат.</w:t>
      </w:r>
      <w:r w:rsidRPr="00F5596D">
        <w:rPr>
          <w:lang w:val="sr-Cyrl-CS"/>
        </w:rPr>
        <w:t xml:space="preserve"> </w:t>
      </w:r>
      <w:r w:rsidRPr="00F5596D">
        <w:rPr>
          <w:rFonts w:ascii="Calibri" w:eastAsia="Calibri" w:hAnsi="Calibri" w:cs="Times New Roman"/>
          <w:color w:val="44546A"/>
          <w:lang w:val="sr-Cyrl-CS"/>
        </w:rPr>
        <w:t xml:space="preserve">Под утицајем ових фактора тренутне пројекције ММФ представљају само једну од могућих путања кретања глобалне економије, при чему бројни фактори могу довести до значајних одступања од пројектованог правца. </w:t>
      </w:r>
      <w:r w:rsidRPr="00F5596D">
        <w:rPr>
          <w:rFonts w:ascii="Calibri" w:eastAsia="Calibri" w:hAnsi="Calibri" w:cs="Calibri"/>
          <w:bCs/>
          <w:color w:val="44546A"/>
          <w:szCs w:val="72"/>
          <w:lang w:val="sr-Cyrl-CS"/>
        </w:rPr>
        <w:t xml:space="preserve">Према априлским проценама ММФ, након економског раста од 3,3% у 2024. години, очекује се успоравање у 2025. на 2,8%, а потом благи опоравак на 3,0% у 2026. години. Пројекције за 2025. и 2026. годину ревидиране су наниже за 0,5 п.п. и 0,3 п.п. у односу </w:t>
      </w:r>
      <w:r w:rsidRPr="00F5596D">
        <w:rPr>
          <w:rFonts w:ascii="Calibri" w:eastAsia="Calibri" w:hAnsi="Calibri" w:cs="Calibri"/>
          <w:bCs/>
          <w:color w:val="44546A"/>
          <w:szCs w:val="72"/>
          <w:lang w:val="sr-Cyrl-CS"/>
        </w:rPr>
        <w:lastRenderedPageBreak/>
        <w:t>на очекивања из јануара, односно за 0,4 п.п. и 0,3 п.п. у односу на прогнозу из октобра претходне године.</w:t>
      </w:r>
      <w:r w:rsidRPr="00F5596D">
        <w:rPr>
          <w:lang w:val="sr-Cyrl-CS"/>
        </w:rPr>
        <w:t xml:space="preserve"> </w:t>
      </w:r>
      <w:r w:rsidRPr="00F5596D">
        <w:rPr>
          <w:rFonts w:ascii="Calibri" w:eastAsia="Calibri" w:hAnsi="Calibri" w:cs="Calibri"/>
          <w:bCs/>
          <w:color w:val="44546A"/>
          <w:szCs w:val="72"/>
          <w:lang w:val="sr-Cyrl-CS"/>
        </w:rPr>
        <w:t xml:space="preserve">Главни узроци ове ревизије јесу нагла ескалација трговинских тензија, повећана </w:t>
      </w:r>
      <w:r w:rsidRPr="00F5596D">
        <w:rPr>
          <w:rFonts w:ascii="Calibri" w:eastAsia="Calibri" w:hAnsi="Calibri" w:cs="Calibri"/>
          <w:bCs/>
          <w:color w:val="44546A"/>
          <w:szCs w:val="72"/>
          <w:lang w:val="sr-Cyrl-CS"/>
        </w:rPr>
        <w:t>неизвесност и слабљење домаће и спољне тражње, као и ограничени капацитети економске политике за даље стимулисање раста.</w:t>
      </w:r>
    </w:p>
    <w:tbl>
      <w:tblPr>
        <w:tblStyle w:val="TableGrid"/>
        <w:tblW w:w="500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1042"/>
        <w:gridCol w:w="1042"/>
        <w:gridCol w:w="1042"/>
        <w:gridCol w:w="1042"/>
        <w:gridCol w:w="1042"/>
      </w:tblGrid>
      <w:tr w:rsidR="001A395C" w:rsidRPr="00F5596D" w14:paraId="618E080B" w14:textId="77777777" w:rsidTr="001A395C">
        <w:trPr>
          <w:trHeight w:val="351"/>
        </w:trPr>
        <w:tc>
          <w:tcPr>
            <w:tcW w:w="5000" w:type="pct"/>
            <w:gridSpan w:val="6"/>
            <w:tcBorders>
              <w:bottom w:val="single" w:sz="4" w:space="0" w:color="002060"/>
            </w:tcBorders>
            <w:vAlign w:val="center"/>
          </w:tcPr>
          <w:p w14:paraId="4792B09B" w14:textId="77777777" w:rsidR="001A395C" w:rsidRPr="00F5596D" w:rsidRDefault="001A395C" w:rsidP="001A395C">
            <w:pPr>
              <w:jc w:val="center"/>
              <w:rPr>
                <w:rFonts w:ascii="Calibri" w:eastAsia="Calibri" w:hAnsi="Calibri" w:cs="Calibri"/>
                <w:b/>
                <w:color w:val="002060"/>
                <w:lang w:val="sr-Cyrl-CS"/>
              </w:rPr>
            </w:pPr>
            <w:r w:rsidRPr="00F5596D">
              <w:rPr>
                <w:rFonts w:ascii="Calibri" w:eastAsia="Calibri" w:hAnsi="Calibri" w:cs="Calibri"/>
                <w:b/>
                <w:color w:val="002060"/>
                <w:lang w:val="sr-Cyrl-CS"/>
              </w:rPr>
              <w:t>Табела 1. Међународно окружење – макроекономски показатељи</w:t>
            </w:r>
          </w:p>
        </w:tc>
      </w:tr>
      <w:tr w:rsidR="001A395C" w:rsidRPr="00F5596D" w14:paraId="160D5E87" w14:textId="77777777" w:rsidTr="001A395C">
        <w:trPr>
          <w:trHeight w:val="180"/>
        </w:trPr>
        <w:tc>
          <w:tcPr>
            <w:tcW w:w="2220" w:type="pct"/>
            <w:tcBorders>
              <w:top w:val="single" w:sz="4" w:space="0" w:color="002060"/>
              <w:left w:val="single" w:sz="2" w:space="0" w:color="FFFFFF"/>
              <w:bottom w:val="single" w:sz="2" w:space="0" w:color="FFFFFF"/>
              <w:right w:val="single" w:sz="2" w:space="0" w:color="FFFFFF"/>
            </w:tcBorders>
          </w:tcPr>
          <w:p w14:paraId="20D770C1" w14:textId="77777777" w:rsidR="001A395C" w:rsidRPr="00F5596D" w:rsidRDefault="001A395C" w:rsidP="001A395C">
            <w:pPr>
              <w:rPr>
                <w:rFonts w:ascii="Calibri" w:eastAsia="Calibri" w:hAnsi="Calibri" w:cs="Calibri"/>
                <w:color w:val="002060"/>
                <w:sz w:val="18"/>
                <w:lang w:val="sr-Cyrl-CS"/>
              </w:rPr>
            </w:pPr>
          </w:p>
        </w:tc>
        <w:tc>
          <w:tcPr>
            <w:tcW w:w="556" w:type="pct"/>
            <w:tcBorders>
              <w:top w:val="single" w:sz="4" w:space="0" w:color="002060"/>
              <w:left w:val="single" w:sz="2" w:space="0" w:color="FFFFFF"/>
              <w:bottom w:val="single" w:sz="4" w:space="0" w:color="002060"/>
              <w:right w:val="single" w:sz="2" w:space="0" w:color="FFFFFF"/>
            </w:tcBorders>
          </w:tcPr>
          <w:p w14:paraId="040D5F07"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2024</w:t>
            </w:r>
          </w:p>
        </w:tc>
        <w:tc>
          <w:tcPr>
            <w:tcW w:w="556" w:type="pct"/>
            <w:tcBorders>
              <w:top w:val="single" w:sz="4" w:space="0" w:color="002060"/>
              <w:left w:val="single" w:sz="2" w:space="0" w:color="FFFFFF"/>
              <w:bottom w:val="single" w:sz="4" w:space="0" w:color="002060"/>
              <w:right w:val="single" w:sz="2" w:space="0" w:color="FFFFFF"/>
            </w:tcBorders>
          </w:tcPr>
          <w:p w14:paraId="10034AE4"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2025</w:t>
            </w:r>
          </w:p>
        </w:tc>
        <w:tc>
          <w:tcPr>
            <w:tcW w:w="556" w:type="pct"/>
            <w:tcBorders>
              <w:top w:val="single" w:sz="4" w:space="0" w:color="002060"/>
              <w:left w:val="single" w:sz="2" w:space="0" w:color="FFFFFF"/>
              <w:bottom w:val="single" w:sz="4" w:space="0" w:color="002060"/>
              <w:right w:val="single" w:sz="2" w:space="0" w:color="FFFFFF"/>
            </w:tcBorders>
          </w:tcPr>
          <w:p w14:paraId="695CBAE8"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2026</w:t>
            </w:r>
          </w:p>
        </w:tc>
        <w:tc>
          <w:tcPr>
            <w:tcW w:w="556" w:type="pct"/>
            <w:tcBorders>
              <w:top w:val="single" w:sz="4" w:space="0" w:color="002060"/>
              <w:left w:val="single" w:sz="2" w:space="0" w:color="FFFFFF"/>
              <w:bottom w:val="single" w:sz="4" w:space="0" w:color="002060"/>
              <w:right w:val="single" w:sz="2" w:space="0" w:color="FFFFFF"/>
            </w:tcBorders>
          </w:tcPr>
          <w:p w14:paraId="257B4B52"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2027</w:t>
            </w:r>
          </w:p>
        </w:tc>
        <w:tc>
          <w:tcPr>
            <w:tcW w:w="556" w:type="pct"/>
            <w:tcBorders>
              <w:top w:val="single" w:sz="4" w:space="0" w:color="002060"/>
              <w:left w:val="single" w:sz="2" w:space="0" w:color="FFFFFF"/>
              <w:bottom w:val="single" w:sz="4" w:space="0" w:color="002060"/>
              <w:right w:val="single" w:sz="2" w:space="0" w:color="FFFFFF"/>
            </w:tcBorders>
          </w:tcPr>
          <w:p w14:paraId="060557FE"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2028</w:t>
            </w:r>
          </w:p>
        </w:tc>
      </w:tr>
      <w:tr w:rsidR="001A395C" w:rsidRPr="00F5596D" w14:paraId="08172C64" w14:textId="77777777" w:rsidTr="001A395C">
        <w:trPr>
          <w:trHeight w:val="190"/>
        </w:trPr>
        <w:tc>
          <w:tcPr>
            <w:tcW w:w="2220" w:type="pct"/>
            <w:tcBorders>
              <w:top w:val="single" w:sz="2" w:space="0" w:color="FFFFFF"/>
              <w:left w:val="single" w:sz="2" w:space="0" w:color="FFFFFF"/>
              <w:bottom w:val="single" w:sz="2" w:space="0" w:color="FFFFFF"/>
            </w:tcBorders>
            <w:shd w:val="clear" w:color="auto" w:fill="E7E6E6"/>
          </w:tcPr>
          <w:p w14:paraId="19F01DD0"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Реални раст БДП</w:t>
            </w:r>
            <w:r w:rsidRPr="00F5596D">
              <w:rPr>
                <w:rFonts w:ascii="Calibri" w:eastAsia="Calibri" w:hAnsi="Calibri" w:cs="Calibri"/>
                <w:color w:val="002060"/>
                <w:sz w:val="18"/>
                <w:vertAlign w:val="superscript"/>
                <w:lang w:val="sr-Cyrl-CS"/>
              </w:rPr>
              <w:t>1</w:t>
            </w:r>
            <w:r w:rsidRPr="00F5596D">
              <w:rPr>
                <w:rFonts w:ascii="Calibri" w:eastAsia="Calibri" w:hAnsi="Calibri" w:cs="Calibri"/>
                <w:color w:val="002060"/>
                <w:sz w:val="18"/>
                <w:lang w:val="sr-Cyrl-CS"/>
              </w:rPr>
              <w:t>, %</w:t>
            </w:r>
          </w:p>
        </w:tc>
        <w:tc>
          <w:tcPr>
            <w:tcW w:w="556" w:type="pct"/>
            <w:tcBorders>
              <w:top w:val="single" w:sz="2" w:space="0" w:color="FFFFFF"/>
              <w:bottom w:val="single" w:sz="2" w:space="0" w:color="FFFFFF"/>
            </w:tcBorders>
            <w:shd w:val="clear" w:color="auto" w:fill="E7E6E6"/>
          </w:tcPr>
          <w:p w14:paraId="2BB473F4" w14:textId="77777777" w:rsidR="001A395C" w:rsidRPr="00F5596D" w:rsidRDefault="001A395C" w:rsidP="001A395C">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44D124BE" w14:textId="77777777" w:rsidR="001A395C" w:rsidRPr="00F5596D" w:rsidRDefault="001A395C" w:rsidP="001A395C">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267B6358" w14:textId="77777777" w:rsidR="001A395C" w:rsidRPr="00F5596D" w:rsidRDefault="001A395C" w:rsidP="001A395C">
            <w:pPr>
              <w:rPr>
                <w:rFonts w:ascii="Calibri" w:eastAsia="Calibri" w:hAnsi="Calibri" w:cs="Calibri"/>
                <w:color w:val="002060"/>
                <w:sz w:val="18"/>
                <w:lang w:val="sr-Cyrl-CS"/>
              </w:rPr>
            </w:pPr>
          </w:p>
        </w:tc>
        <w:tc>
          <w:tcPr>
            <w:tcW w:w="556" w:type="pct"/>
            <w:tcBorders>
              <w:top w:val="single" w:sz="2" w:space="0" w:color="FFFFFF"/>
              <w:bottom w:val="single" w:sz="2" w:space="0" w:color="FFFFFF"/>
            </w:tcBorders>
            <w:shd w:val="clear" w:color="auto" w:fill="E7E6E6"/>
          </w:tcPr>
          <w:p w14:paraId="669EE409" w14:textId="77777777" w:rsidR="001A395C" w:rsidRPr="00F5596D" w:rsidRDefault="001A395C" w:rsidP="001A395C">
            <w:pPr>
              <w:rPr>
                <w:rFonts w:ascii="Calibri" w:eastAsia="Calibri" w:hAnsi="Calibri" w:cs="Calibri"/>
                <w:color w:val="002060"/>
                <w:sz w:val="18"/>
                <w:lang w:val="sr-Cyrl-CS"/>
              </w:rPr>
            </w:pPr>
          </w:p>
        </w:tc>
        <w:tc>
          <w:tcPr>
            <w:tcW w:w="556" w:type="pct"/>
            <w:tcBorders>
              <w:top w:val="single" w:sz="2" w:space="0" w:color="FFFFFF"/>
              <w:bottom w:val="single" w:sz="2" w:space="0" w:color="FFFFFF"/>
              <w:right w:val="single" w:sz="2" w:space="0" w:color="FFFFFF"/>
            </w:tcBorders>
            <w:shd w:val="clear" w:color="auto" w:fill="E7E6E6"/>
          </w:tcPr>
          <w:p w14:paraId="789F0887" w14:textId="77777777" w:rsidR="001A395C" w:rsidRPr="00F5596D" w:rsidRDefault="001A395C" w:rsidP="001A395C">
            <w:pPr>
              <w:rPr>
                <w:rFonts w:ascii="Calibri" w:eastAsia="Calibri" w:hAnsi="Calibri" w:cs="Calibri"/>
                <w:color w:val="002060"/>
                <w:sz w:val="18"/>
                <w:lang w:val="sr-Cyrl-CS"/>
              </w:rPr>
            </w:pPr>
          </w:p>
        </w:tc>
      </w:tr>
      <w:tr w:rsidR="001A395C" w:rsidRPr="00F5596D" w14:paraId="1EC3AB59" w14:textId="77777777" w:rsidTr="001A395C">
        <w:trPr>
          <w:trHeight w:val="190"/>
        </w:trPr>
        <w:tc>
          <w:tcPr>
            <w:tcW w:w="2220" w:type="pct"/>
            <w:tcBorders>
              <w:top w:val="single" w:sz="2" w:space="0" w:color="FFFFFF"/>
            </w:tcBorders>
          </w:tcPr>
          <w:p w14:paraId="7C0EA9DA" w14:textId="77777777" w:rsidR="001A395C" w:rsidRPr="00F5596D" w:rsidRDefault="001A395C" w:rsidP="001A395C">
            <w:pPr>
              <w:ind w:left="255"/>
              <w:rPr>
                <w:rFonts w:ascii="Calibri" w:eastAsia="Calibri" w:hAnsi="Calibri" w:cs="Calibri"/>
                <w:color w:val="002060"/>
                <w:sz w:val="18"/>
                <w:lang w:val="sr-Cyrl-CS"/>
              </w:rPr>
            </w:pPr>
            <w:r w:rsidRPr="00F5596D">
              <w:rPr>
                <w:rFonts w:ascii="Calibri" w:eastAsia="Calibri" w:hAnsi="Calibri" w:cs="Calibri"/>
                <w:color w:val="002060"/>
                <w:sz w:val="18"/>
                <w:lang w:val="sr-Cyrl-CS"/>
              </w:rPr>
              <w:t>Свет укупно</w:t>
            </w:r>
          </w:p>
        </w:tc>
        <w:tc>
          <w:tcPr>
            <w:tcW w:w="556" w:type="pct"/>
            <w:tcBorders>
              <w:top w:val="single" w:sz="2" w:space="0" w:color="FFFFFF"/>
            </w:tcBorders>
            <w:vAlign w:val="center"/>
          </w:tcPr>
          <w:p w14:paraId="599712DE"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3,3</w:t>
            </w:r>
          </w:p>
        </w:tc>
        <w:tc>
          <w:tcPr>
            <w:tcW w:w="556" w:type="pct"/>
            <w:tcBorders>
              <w:top w:val="single" w:sz="2" w:space="0" w:color="FFFFFF"/>
            </w:tcBorders>
            <w:vAlign w:val="center"/>
          </w:tcPr>
          <w:p w14:paraId="13BBC67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2,8</w:t>
            </w:r>
          </w:p>
        </w:tc>
        <w:tc>
          <w:tcPr>
            <w:tcW w:w="556" w:type="pct"/>
            <w:tcBorders>
              <w:top w:val="single" w:sz="2" w:space="0" w:color="FFFFFF"/>
            </w:tcBorders>
            <w:vAlign w:val="center"/>
          </w:tcPr>
          <w:p w14:paraId="25B9615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3,0</w:t>
            </w:r>
          </w:p>
        </w:tc>
        <w:tc>
          <w:tcPr>
            <w:tcW w:w="556" w:type="pct"/>
            <w:tcBorders>
              <w:top w:val="single" w:sz="2" w:space="0" w:color="FFFFFF"/>
            </w:tcBorders>
            <w:vAlign w:val="center"/>
          </w:tcPr>
          <w:p w14:paraId="53D89448"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3,2</w:t>
            </w:r>
          </w:p>
        </w:tc>
        <w:tc>
          <w:tcPr>
            <w:tcW w:w="556" w:type="pct"/>
            <w:tcBorders>
              <w:top w:val="single" w:sz="2" w:space="0" w:color="FFFFFF"/>
            </w:tcBorders>
            <w:vAlign w:val="center"/>
          </w:tcPr>
          <w:p w14:paraId="36BD7F2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3,2</w:t>
            </w:r>
          </w:p>
        </w:tc>
      </w:tr>
      <w:tr w:rsidR="001A395C" w:rsidRPr="00F5596D" w14:paraId="09F9FD17" w14:textId="77777777" w:rsidTr="001A395C">
        <w:trPr>
          <w:trHeight w:val="180"/>
        </w:trPr>
        <w:tc>
          <w:tcPr>
            <w:tcW w:w="2220" w:type="pct"/>
          </w:tcPr>
          <w:p w14:paraId="5391474D" w14:textId="77777777" w:rsidR="001A395C" w:rsidRPr="00F5596D" w:rsidRDefault="001A395C" w:rsidP="001A395C">
            <w:pPr>
              <w:ind w:left="255"/>
              <w:rPr>
                <w:rFonts w:ascii="Calibri" w:eastAsia="Calibri" w:hAnsi="Calibri" w:cs="Calibri"/>
                <w:color w:val="002060"/>
                <w:sz w:val="18"/>
                <w:lang w:val="sr-Cyrl-CS"/>
              </w:rPr>
            </w:pPr>
            <w:r w:rsidRPr="00F5596D">
              <w:rPr>
                <w:rFonts w:ascii="Calibri" w:eastAsia="Calibri" w:hAnsi="Calibri" w:cs="Calibri"/>
                <w:color w:val="002060"/>
                <w:sz w:val="18"/>
                <w:lang w:val="sr-Cyrl-CS"/>
              </w:rPr>
              <w:t>Развијене економије</w:t>
            </w:r>
          </w:p>
        </w:tc>
        <w:tc>
          <w:tcPr>
            <w:tcW w:w="556" w:type="pct"/>
            <w:vAlign w:val="center"/>
          </w:tcPr>
          <w:p w14:paraId="07694A3D"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1,8</w:t>
            </w:r>
          </w:p>
        </w:tc>
        <w:tc>
          <w:tcPr>
            <w:tcW w:w="556" w:type="pct"/>
            <w:vAlign w:val="center"/>
          </w:tcPr>
          <w:p w14:paraId="6D51C3E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1,4</w:t>
            </w:r>
          </w:p>
        </w:tc>
        <w:tc>
          <w:tcPr>
            <w:tcW w:w="556" w:type="pct"/>
            <w:vAlign w:val="center"/>
          </w:tcPr>
          <w:p w14:paraId="74D5422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1,5</w:t>
            </w:r>
          </w:p>
        </w:tc>
        <w:tc>
          <w:tcPr>
            <w:tcW w:w="556" w:type="pct"/>
            <w:vAlign w:val="center"/>
          </w:tcPr>
          <w:p w14:paraId="34584FF3"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1,7</w:t>
            </w:r>
          </w:p>
        </w:tc>
        <w:tc>
          <w:tcPr>
            <w:tcW w:w="556" w:type="pct"/>
            <w:vAlign w:val="center"/>
          </w:tcPr>
          <w:p w14:paraId="3AFFFF82"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1,7</w:t>
            </w:r>
          </w:p>
        </w:tc>
      </w:tr>
      <w:tr w:rsidR="001A395C" w:rsidRPr="00F5596D" w14:paraId="272BC1BE" w14:textId="77777777" w:rsidTr="001A395C">
        <w:trPr>
          <w:trHeight w:val="190"/>
        </w:trPr>
        <w:tc>
          <w:tcPr>
            <w:tcW w:w="2220" w:type="pct"/>
          </w:tcPr>
          <w:p w14:paraId="566F0D2F" w14:textId="77777777" w:rsidR="001A395C" w:rsidRPr="00F5596D" w:rsidRDefault="001A395C" w:rsidP="001A395C">
            <w:pPr>
              <w:ind w:left="615" w:hanging="180"/>
              <w:rPr>
                <w:rFonts w:ascii="Calibri" w:eastAsia="Calibri" w:hAnsi="Calibri" w:cs="Calibri"/>
                <w:color w:val="002060"/>
                <w:sz w:val="18"/>
                <w:lang w:val="sr-Cyrl-CS"/>
              </w:rPr>
            </w:pPr>
            <w:r w:rsidRPr="00F5596D">
              <w:rPr>
                <w:rFonts w:ascii="Calibri" w:eastAsia="Calibri" w:hAnsi="Calibri" w:cs="Calibri"/>
                <w:color w:val="002060"/>
                <w:sz w:val="18"/>
                <w:lang w:val="sr-Cyrl-CS"/>
              </w:rPr>
              <w:t>САД</w:t>
            </w:r>
          </w:p>
        </w:tc>
        <w:tc>
          <w:tcPr>
            <w:tcW w:w="556" w:type="pct"/>
            <w:vAlign w:val="center"/>
          </w:tcPr>
          <w:p w14:paraId="7D5995E4"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2,8</w:t>
            </w:r>
          </w:p>
        </w:tc>
        <w:tc>
          <w:tcPr>
            <w:tcW w:w="556" w:type="pct"/>
            <w:vAlign w:val="center"/>
          </w:tcPr>
          <w:p w14:paraId="70D85984"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1,8</w:t>
            </w:r>
          </w:p>
        </w:tc>
        <w:tc>
          <w:tcPr>
            <w:tcW w:w="556" w:type="pct"/>
            <w:vAlign w:val="center"/>
          </w:tcPr>
          <w:p w14:paraId="36EF0960"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1,7</w:t>
            </w:r>
          </w:p>
        </w:tc>
        <w:tc>
          <w:tcPr>
            <w:tcW w:w="556" w:type="pct"/>
            <w:vAlign w:val="center"/>
          </w:tcPr>
          <w:p w14:paraId="0B477B6C"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2,0</w:t>
            </w:r>
          </w:p>
        </w:tc>
        <w:tc>
          <w:tcPr>
            <w:tcW w:w="556" w:type="pct"/>
            <w:vAlign w:val="center"/>
          </w:tcPr>
          <w:p w14:paraId="5056A604"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2,1</w:t>
            </w:r>
          </w:p>
        </w:tc>
      </w:tr>
      <w:tr w:rsidR="001A395C" w:rsidRPr="00F5596D" w14:paraId="7C0B3B18" w14:textId="77777777" w:rsidTr="001A395C">
        <w:trPr>
          <w:trHeight w:val="180"/>
        </w:trPr>
        <w:tc>
          <w:tcPr>
            <w:tcW w:w="2220" w:type="pct"/>
          </w:tcPr>
          <w:p w14:paraId="54B46B24" w14:textId="77777777" w:rsidR="001A395C" w:rsidRPr="00F5596D" w:rsidRDefault="001A395C" w:rsidP="001A395C">
            <w:pPr>
              <w:ind w:left="615" w:hanging="180"/>
              <w:rPr>
                <w:rFonts w:ascii="Calibri" w:eastAsia="Calibri" w:hAnsi="Calibri" w:cs="Calibri"/>
                <w:color w:val="002060"/>
                <w:sz w:val="18"/>
                <w:highlight w:val="yellow"/>
                <w:lang w:val="sr-Cyrl-CS"/>
              </w:rPr>
            </w:pPr>
            <w:r w:rsidRPr="00F5596D">
              <w:rPr>
                <w:rFonts w:ascii="Calibri" w:eastAsia="Calibri" w:hAnsi="Calibri" w:cs="Calibri"/>
                <w:color w:val="002060"/>
                <w:sz w:val="18"/>
                <w:lang w:val="sr-Cyrl-CS"/>
              </w:rPr>
              <w:t>Еврозона</w:t>
            </w:r>
          </w:p>
        </w:tc>
        <w:tc>
          <w:tcPr>
            <w:tcW w:w="556" w:type="pct"/>
            <w:vAlign w:val="center"/>
          </w:tcPr>
          <w:p w14:paraId="287F2B1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0,9</w:t>
            </w:r>
          </w:p>
        </w:tc>
        <w:tc>
          <w:tcPr>
            <w:tcW w:w="556" w:type="pct"/>
            <w:vAlign w:val="center"/>
          </w:tcPr>
          <w:p w14:paraId="31A57B48"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0,8</w:t>
            </w:r>
          </w:p>
        </w:tc>
        <w:tc>
          <w:tcPr>
            <w:tcW w:w="556" w:type="pct"/>
            <w:vAlign w:val="center"/>
          </w:tcPr>
          <w:p w14:paraId="34775625"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1,2</w:t>
            </w:r>
          </w:p>
        </w:tc>
        <w:tc>
          <w:tcPr>
            <w:tcW w:w="556" w:type="pct"/>
            <w:vAlign w:val="center"/>
          </w:tcPr>
          <w:p w14:paraId="61308CE0"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1,3</w:t>
            </w:r>
          </w:p>
        </w:tc>
        <w:tc>
          <w:tcPr>
            <w:tcW w:w="556" w:type="pct"/>
            <w:vAlign w:val="center"/>
          </w:tcPr>
          <w:p w14:paraId="1E995980"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1,3</w:t>
            </w:r>
          </w:p>
        </w:tc>
      </w:tr>
      <w:tr w:rsidR="001A395C" w:rsidRPr="00F5596D" w14:paraId="6C973F97" w14:textId="77777777" w:rsidTr="001A395C">
        <w:trPr>
          <w:trHeight w:val="190"/>
        </w:trPr>
        <w:tc>
          <w:tcPr>
            <w:tcW w:w="2220" w:type="pct"/>
          </w:tcPr>
          <w:p w14:paraId="55E6FF61" w14:textId="77777777" w:rsidR="001A395C" w:rsidRPr="00F5596D" w:rsidRDefault="001A395C" w:rsidP="001A395C">
            <w:pPr>
              <w:ind w:left="345" w:hanging="90"/>
              <w:rPr>
                <w:rFonts w:ascii="Calibri" w:eastAsia="Calibri" w:hAnsi="Calibri" w:cs="Calibri"/>
                <w:color w:val="002060"/>
                <w:sz w:val="18"/>
                <w:lang w:val="sr-Cyrl-CS"/>
              </w:rPr>
            </w:pPr>
            <w:r w:rsidRPr="00F5596D">
              <w:rPr>
                <w:rFonts w:ascii="Calibri" w:eastAsia="Calibri" w:hAnsi="Calibri" w:cs="Calibri"/>
                <w:color w:val="002060"/>
                <w:sz w:val="18"/>
                <w:lang w:val="sr-Cyrl-CS"/>
              </w:rPr>
              <w:t>Земље у успону</w:t>
            </w:r>
          </w:p>
        </w:tc>
        <w:tc>
          <w:tcPr>
            <w:tcW w:w="556" w:type="pct"/>
            <w:vAlign w:val="center"/>
          </w:tcPr>
          <w:p w14:paraId="19E0093A"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4,3</w:t>
            </w:r>
          </w:p>
        </w:tc>
        <w:tc>
          <w:tcPr>
            <w:tcW w:w="556" w:type="pct"/>
            <w:vAlign w:val="center"/>
          </w:tcPr>
          <w:p w14:paraId="42CEB982"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3,7</w:t>
            </w:r>
          </w:p>
        </w:tc>
        <w:tc>
          <w:tcPr>
            <w:tcW w:w="556" w:type="pct"/>
            <w:vAlign w:val="center"/>
          </w:tcPr>
          <w:p w14:paraId="0FAF75FD"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3,9</w:t>
            </w:r>
          </w:p>
        </w:tc>
        <w:tc>
          <w:tcPr>
            <w:tcW w:w="556" w:type="pct"/>
            <w:vAlign w:val="center"/>
          </w:tcPr>
          <w:p w14:paraId="594E2281"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4,2</w:t>
            </w:r>
          </w:p>
        </w:tc>
        <w:tc>
          <w:tcPr>
            <w:tcW w:w="556" w:type="pct"/>
            <w:vAlign w:val="center"/>
          </w:tcPr>
          <w:p w14:paraId="258EA687"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4,1</w:t>
            </w:r>
          </w:p>
        </w:tc>
      </w:tr>
      <w:tr w:rsidR="001A395C" w:rsidRPr="00F5596D" w14:paraId="3CD37037" w14:textId="77777777" w:rsidTr="001A395C">
        <w:trPr>
          <w:trHeight w:val="180"/>
        </w:trPr>
        <w:tc>
          <w:tcPr>
            <w:tcW w:w="2220" w:type="pct"/>
          </w:tcPr>
          <w:p w14:paraId="016F66B1" w14:textId="77777777" w:rsidR="001A395C" w:rsidRPr="00F5596D" w:rsidRDefault="001A395C" w:rsidP="001A395C">
            <w:pPr>
              <w:ind w:left="615" w:hanging="180"/>
              <w:rPr>
                <w:rFonts w:ascii="Calibri" w:eastAsia="Calibri" w:hAnsi="Calibri" w:cs="Calibri"/>
                <w:color w:val="002060"/>
                <w:sz w:val="18"/>
                <w:lang w:val="sr-Cyrl-CS"/>
              </w:rPr>
            </w:pPr>
            <w:r w:rsidRPr="00F5596D">
              <w:rPr>
                <w:rFonts w:ascii="Calibri" w:eastAsia="Calibri" w:hAnsi="Calibri" w:cs="Calibri"/>
                <w:color w:val="002060"/>
                <w:sz w:val="18"/>
                <w:lang w:val="sr-Cyrl-CS"/>
              </w:rPr>
              <w:t>Кина</w:t>
            </w:r>
          </w:p>
        </w:tc>
        <w:tc>
          <w:tcPr>
            <w:tcW w:w="556" w:type="pct"/>
            <w:vAlign w:val="center"/>
          </w:tcPr>
          <w:p w14:paraId="29C337E5"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5,0</w:t>
            </w:r>
          </w:p>
        </w:tc>
        <w:tc>
          <w:tcPr>
            <w:tcW w:w="556" w:type="pct"/>
            <w:vAlign w:val="center"/>
          </w:tcPr>
          <w:p w14:paraId="41440A62"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4,0</w:t>
            </w:r>
          </w:p>
        </w:tc>
        <w:tc>
          <w:tcPr>
            <w:tcW w:w="556" w:type="pct"/>
            <w:vAlign w:val="center"/>
          </w:tcPr>
          <w:p w14:paraId="6A4F2DCC"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4,0</w:t>
            </w:r>
          </w:p>
        </w:tc>
        <w:tc>
          <w:tcPr>
            <w:tcW w:w="556" w:type="pct"/>
            <w:vAlign w:val="center"/>
          </w:tcPr>
          <w:p w14:paraId="7A9CEBAF"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4,2</w:t>
            </w:r>
          </w:p>
        </w:tc>
        <w:tc>
          <w:tcPr>
            <w:tcW w:w="556" w:type="pct"/>
            <w:vAlign w:val="center"/>
          </w:tcPr>
          <w:p w14:paraId="710A8D1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4,1</w:t>
            </w:r>
          </w:p>
        </w:tc>
      </w:tr>
      <w:tr w:rsidR="001A395C" w:rsidRPr="00F5596D" w14:paraId="1DA07666" w14:textId="77777777" w:rsidTr="001A395C">
        <w:trPr>
          <w:trHeight w:val="190"/>
        </w:trPr>
        <w:tc>
          <w:tcPr>
            <w:tcW w:w="2220" w:type="pct"/>
          </w:tcPr>
          <w:p w14:paraId="1684C520" w14:textId="77777777" w:rsidR="001A395C" w:rsidRPr="00F5596D" w:rsidRDefault="001A395C" w:rsidP="001A395C">
            <w:pPr>
              <w:ind w:left="615" w:hanging="180"/>
              <w:rPr>
                <w:rFonts w:ascii="Calibri" w:eastAsia="Calibri" w:hAnsi="Calibri" w:cs="Calibri"/>
                <w:color w:val="002060"/>
                <w:sz w:val="18"/>
                <w:lang w:val="sr-Cyrl-CS"/>
              </w:rPr>
            </w:pPr>
            <w:r w:rsidRPr="00F5596D">
              <w:rPr>
                <w:rFonts w:ascii="Calibri" w:eastAsia="Calibri" w:hAnsi="Calibri" w:cs="Calibri"/>
                <w:color w:val="002060"/>
                <w:sz w:val="18"/>
                <w:lang w:val="sr-Cyrl-CS"/>
              </w:rPr>
              <w:t xml:space="preserve">Русија </w:t>
            </w:r>
          </w:p>
        </w:tc>
        <w:tc>
          <w:tcPr>
            <w:tcW w:w="556" w:type="pct"/>
            <w:vAlign w:val="center"/>
          </w:tcPr>
          <w:p w14:paraId="7E8B199D"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4,1</w:t>
            </w:r>
          </w:p>
        </w:tc>
        <w:tc>
          <w:tcPr>
            <w:tcW w:w="556" w:type="pct"/>
            <w:vAlign w:val="center"/>
          </w:tcPr>
          <w:p w14:paraId="396296B2"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1,5</w:t>
            </w:r>
          </w:p>
        </w:tc>
        <w:tc>
          <w:tcPr>
            <w:tcW w:w="556" w:type="pct"/>
            <w:vAlign w:val="center"/>
          </w:tcPr>
          <w:p w14:paraId="163BEB7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0,9</w:t>
            </w:r>
          </w:p>
        </w:tc>
        <w:tc>
          <w:tcPr>
            <w:tcW w:w="556" w:type="pct"/>
            <w:vAlign w:val="center"/>
          </w:tcPr>
          <w:p w14:paraId="13C585BC"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1,1</w:t>
            </w:r>
          </w:p>
        </w:tc>
        <w:tc>
          <w:tcPr>
            <w:tcW w:w="556" w:type="pct"/>
            <w:vAlign w:val="center"/>
          </w:tcPr>
          <w:p w14:paraId="1BA82BAE"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1,1</w:t>
            </w:r>
          </w:p>
        </w:tc>
      </w:tr>
      <w:tr w:rsidR="001A395C" w:rsidRPr="00F5596D" w14:paraId="322176B2" w14:textId="77777777" w:rsidTr="001A395C">
        <w:trPr>
          <w:trHeight w:val="180"/>
        </w:trPr>
        <w:tc>
          <w:tcPr>
            <w:tcW w:w="2220" w:type="pct"/>
          </w:tcPr>
          <w:p w14:paraId="2FEAE5C5" w14:textId="77777777" w:rsidR="001A395C" w:rsidRPr="00F5596D" w:rsidRDefault="001A395C" w:rsidP="001A395C">
            <w:pPr>
              <w:ind w:left="345" w:hanging="90"/>
              <w:rPr>
                <w:rFonts w:ascii="Calibri" w:eastAsia="Calibri" w:hAnsi="Calibri" w:cs="Calibri"/>
                <w:color w:val="002060"/>
                <w:sz w:val="18"/>
                <w:lang w:val="sr-Cyrl-CS"/>
              </w:rPr>
            </w:pPr>
            <w:r w:rsidRPr="00F5596D">
              <w:rPr>
                <w:rFonts w:ascii="Calibri" w:eastAsia="Calibri" w:hAnsi="Calibri" w:cs="Calibri"/>
                <w:color w:val="002060"/>
                <w:sz w:val="18"/>
                <w:lang w:val="sr-Cyrl-CS"/>
              </w:rPr>
              <w:t>Раст светске трговине, %</w:t>
            </w:r>
          </w:p>
        </w:tc>
        <w:tc>
          <w:tcPr>
            <w:tcW w:w="556" w:type="pct"/>
            <w:vAlign w:val="center"/>
          </w:tcPr>
          <w:p w14:paraId="617D91AD"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3,8</w:t>
            </w:r>
          </w:p>
        </w:tc>
        <w:tc>
          <w:tcPr>
            <w:tcW w:w="556" w:type="pct"/>
            <w:vAlign w:val="center"/>
          </w:tcPr>
          <w:p w14:paraId="294A9542"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1,7</w:t>
            </w:r>
          </w:p>
        </w:tc>
        <w:tc>
          <w:tcPr>
            <w:tcW w:w="556" w:type="pct"/>
            <w:vAlign w:val="center"/>
          </w:tcPr>
          <w:p w14:paraId="2D4CBEAC"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2,5</w:t>
            </w:r>
          </w:p>
        </w:tc>
        <w:tc>
          <w:tcPr>
            <w:tcW w:w="556" w:type="pct"/>
            <w:vAlign w:val="center"/>
          </w:tcPr>
          <w:p w14:paraId="743BA113"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3,0</w:t>
            </w:r>
          </w:p>
        </w:tc>
        <w:tc>
          <w:tcPr>
            <w:tcW w:w="556" w:type="pct"/>
            <w:vAlign w:val="center"/>
          </w:tcPr>
          <w:p w14:paraId="2E9F58E1"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3,2</w:t>
            </w:r>
          </w:p>
        </w:tc>
      </w:tr>
      <w:tr w:rsidR="001A395C" w:rsidRPr="00F5596D" w14:paraId="6AB6E9EC" w14:textId="77777777" w:rsidTr="001A395C">
        <w:trPr>
          <w:trHeight w:val="190"/>
        </w:trPr>
        <w:tc>
          <w:tcPr>
            <w:tcW w:w="2220" w:type="pct"/>
            <w:shd w:val="clear" w:color="auto" w:fill="E7E6E6"/>
          </w:tcPr>
          <w:p w14:paraId="48D36507"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Стопа незапослености, %</w:t>
            </w:r>
          </w:p>
        </w:tc>
        <w:tc>
          <w:tcPr>
            <w:tcW w:w="556" w:type="pct"/>
            <w:shd w:val="clear" w:color="auto" w:fill="E7E6E6"/>
          </w:tcPr>
          <w:p w14:paraId="70D799A1" w14:textId="77777777" w:rsidR="001A395C" w:rsidRPr="00F5596D" w:rsidRDefault="001A395C" w:rsidP="001A395C">
            <w:pPr>
              <w:rPr>
                <w:rFonts w:ascii="Calibri" w:eastAsia="Calibri" w:hAnsi="Calibri" w:cs="Calibri"/>
                <w:color w:val="002060"/>
                <w:sz w:val="18"/>
                <w:szCs w:val="18"/>
                <w:lang w:val="sr-Cyrl-CS"/>
              </w:rPr>
            </w:pPr>
          </w:p>
        </w:tc>
        <w:tc>
          <w:tcPr>
            <w:tcW w:w="556" w:type="pct"/>
            <w:shd w:val="clear" w:color="auto" w:fill="E7E6E6"/>
          </w:tcPr>
          <w:p w14:paraId="1A2D9865" w14:textId="77777777" w:rsidR="001A395C" w:rsidRPr="00F5596D" w:rsidRDefault="001A395C" w:rsidP="001A395C">
            <w:pPr>
              <w:rPr>
                <w:rFonts w:ascii="Calibri" w:eastAsia="Calibri" w:hAnsi="Calibri" w:cs="Calibri"/>
                <w:color w:val="002060"/>
                <w:sz w:val="18"/>
                <w:szCs w:val="18"/>
                <w:lang w:val="sr-Cyrl-CS"/>
              </w:rPr>
            </w:pPr>
          </w:p>
        </w:tc>
        <w:tc>
          <w:tcPr>
            <w:tcW w:w="556" w:type="pct"/>
            <w:shd w:val="clear" w:color="auto" w:fill="E7E6E6"/>
          </w:tcPr>
          <w:p w14:paraId="623C2B8A" w14:textId="77777777" w:rsidR="001A395C" w:rsidRPr="00F5596D" w:rsidRDefault="001A395C" w:rsidP="001A395C">
            <w:pPr>
              <w:rPr>
                <w:rFonts w:ascii="Calibri" w:eastAsia="Calibri" w:hAnsi="Calibri" w:cs="Calibri"/>
                <w:color w:val="002060"/>
                <w:sz w:val="18"/>
                <w:szCs w:val="18"/>
                <w:lang w:val="sr-Cyrl-CS"/>
              </w:rPr>
            </w:pPr>
          </w:p>
        </w:tc>
        <w:tc>
          <w:tcPr>
            <w:tcW w:w="556" w:type="pct"/>
            <w:shd w:val="clear" w:color="auto" w:fill="E7E6E6"/>
          </w:tcPr>
          <w:p w14:paraId="395F2699" w14:textId="77777777" w:rsidR="001A395C" w:rsidRPr="00F5596D" w:rsidRDefault="001A395C" w:rsidP="001A395C">
            <w:pPr>
              <w:rPr>
                <w:rFonts w:ascii="Calibri" w:eastAsia="Calibri" w:hAnsi="Calibri" w:cs="Calibri"/>
                <w:color w:val="002060"/>
                <w:sz w:val="18"/>
                <w:szCs w:val="18"/>
                <w:lang w:val="sr-Cyrl-CS"/>
              </w:rPr>
            </w:pPr>
          </w:p>
        </w:tc>
        <w:tc>
          <w:tcPr>
            <w:tcW w:w="556" w:type="pct"/>
            <w:shd w:val="clear" w:color="auto" w:fill="E7E6E6"/>
          </w:tcPr>
          <w:p w14:paraId="125890C7" w14:textId="77777777" w:rsidR="001A395C" w:rsidRPr="00F5596D" w:rsidRDefault="001A395C" w:rsidP="001A395C">
            <w:pPr>
              <w:rPr>
                <w:rFonts w:ascii="Calibri" w:eastAsia="Calibri" w:hAnsi="Calibri" w:cs="Calibri"/>
                <w:color w:val="002060"/>
                <w:sz w:val="18"/>
                <w:szCs w:val="18"/>
                <w:lang w:val="sr-Cyrl-CS"/>
              </w:rPr>
            </w:pPr>
          </w:p>
        </w:tc>
      </w:tr>
      <w:tr w:rsidR="001A395C" w:rsidRPr="00F5596D" w14:paraId="55E035E1" w14:textId="77777777" w:rsidTr="001A395C">
        <w:trPr>
          <w:trHeight w:val="190"/>
        </w:trPr>
        <w:tc>
          <w:tcPr>
            <w:tcW w:w="2220" w:type="pct"/>
          </w:tcPr>
          <w:p w14:paraId="0638F574" w14:textId="77777777" w:rsidR="001A395C" w:rsidRPr="00F5596D" w:rsidRDefault="001A395C" w:rsidP="001A395C">
            <w:pPr>
              <w:ind w:left="440" w:hanging="180"/>
              <w:rPr>
                <w:rFonts w:ascii="Calibri" w:eastAsia="Calibri" w:hAnsi="Calibri" w:cs="Calibri"/>
                <w:color w:val="002060"/>
                <w:sz w:val="18"/>
                <w:lang w:val="sr-Cyrl-CS"/>
              </w:rPr>
            </w:pPr>
            <w:r w:rsidRPr="00F5596D">
              <w:rPr>
                <w:rFonts w:ascii="Calibri" w:eastAsia="Calibri" w:hAnsi="Calibri" w:cs="Calibri"/>
                <w:color w:val="002060"/>
                <w:sz w:val="18"/>
                <w:lang w:val="sr-Cyrl-CS"/>
              </w:rPr>
              <w:t>Еврозона</w:t>
            </w:r>
          </w:p>
        </w:tc>
        <w:tc>
          <w:tcPr>
            <w:tcW w:w="556" w:type="pct"/>
            <w:vAlign w:val="center"/>
          </w:tcPr>
          <w:p w14:paraId="522D1A23"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6,4</w:t>
            </w:r>
          </w:p>
        </w:tc>
        <w:tc>
          <w:tcPr>
            <w:tcW w:w="556" w:type="pct"/>
            <w:vAlign w:val="center"/>
          </w:tcPr>
          <w:p w14:paraId="275096FE"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6,4</w:t>
            </w:r>
          </w:p>
        </w:tc>
        <w:tc>
          <w:tcPr>
            <w:tcW w:w="556" w:type="pct"/>
            <w:vAlign w:val="center"/>
          </w:tcPr>
          <w:p w14:paraId="59BD65CA"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6,3</w:t>
            </w:r>
          </w:p>
        </w:tc>
        <w:tc>
          <w:tcPr>
            <w:tcW w:w="556" w:type="pct"/>
            <w:vAlign w:val="center"/>
          </w:tcPr>
          <w:p w14:paraId="51F6D637"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6,2</w:t>
            </w:r>
          </w:p>
        </w:tc>
        <w:tc>
          <w:tcPr>
            <w:tcW w:w="556" w:type="pct"/>
            <w:vAlign w:val="center"/>
          </w:tcPr>
          <w:p w14:paraId="0584E209"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6,2</w:t>
            </w:r>
          </w:p>
        </w:tc>
      </w:tr>
      <w:tr w:rsidR="001A395C" w:rsidRPr="00F5596D" w14:paraId="4226BE9E" w14:textId="77777777" w:rsidTr="001A395C">
        <w:trPr>
          <w:trHeight w:val="180"/>
        </w:trPr>
        <w:tc>
          <w:tcPr>
            <w:tcW w:w="2220" w:type="pct"/>
          </w:tcPr>
          <w:p w14:paraId="157FE4F0" w14:textId="77777777" w:rsidR="001A395C" w:rsidRPr="00F5596D" w:rsidRDefault="001A395C" w:rsidP="001A395C">
            <w:pPr>
              <w:ind w:left="440" w:hanging="180"/>
              <w:rPr>
                <w:rFonts w:ascii="Calibri" w:eastAsia="Calibri" w:hAnsi="Calibri" w:cs="Calibri"/>
                <w:color w:val="002060"/>
                <w:sz w:val="18"/>
                <w:lang w:val="sr-Cyrl-CS"/>
              </w:rPr>
            </w:pPr>
            <w:r w:rsidRPr="00F5596D">
              <w:rPr>
                <w:rFonts w:ascii="Calibri" w:eastAsia="Calibri" w:hAnsi="Calibri" w:cs="Calibri"/>
                <w:color w:val="002060"/>
                <w:sz w:val="18"/>
                <w:lang w:val="sr-Cyrl-CS"/>
              </w:rPr>
              <w:t>САД</w:t>
            </w:r>
          </w:p>
        </w:tc>
        <w:tc>
          <w:tcPr>
            <w:tcW w:w="556" w:type="pct"/>
            <w:vAlign w:val="center"/>
          </w:tcPr>
          <w:p w14:paraId="667E89C0"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4,0</w:t>
            </w:r>
          </w:p>
        </w:tc>
        <w:tc>
          <w:tcPr>
            <w:tcW w:w="556" w:type="pct"/>
            <w:vAlign w:val="center"/>
          </w:tcPr>
          <w:p w14:paraId="1F777E4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4,2</w:t>
            </w:r>
          </w:p>
        </w:tc>
        <w:tc>
          <w:tcPr>
            <w:tcW w:w="556" w:type="pct"/>
            <w:vAlign w:val="center"/>
          </w:tcPr>
          <w:p w14:paraId="4634BA2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4,2</w:t>
            </w:r>
          </w:p>
        </w:tc>
        <w:tc>
          <w:tcPr>
            <w:tcW w:w="556" w:type="pct"/>
            <w:vAlign w:val="center"/>
          </w:tcPr>
          <w:p w14:paraId="6FD6E2ED"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4,1</w:t>
            </w:r>
          </w:p>
        </w:tc>
        <w:tc>
          <w:tcPr>
            <w:tcW w:w="556" w:type="pct"/>
            <w:vAlign w:val="center"/>
          </w:tcPr>
          <w:p w14:paraId="21CCA01A"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3,9</w:t>
            </w:r>
          </w:p>
        </w:tc>
      </w:tr>
      <w:tr w:rsidR="001A395C" w:rsidRPr="00F5596D" w14:paraId="44D582EC" w14:textId="77777777" w:rsidTr="001A395C">
        <w:trPr>
          <w:trHeight w:val="190"/>
        </w:trPr>
        <w:tc>
          <w:tcPr>
            <w:tcW w:w="2220" w:type="pct"/>
            <w:shd w:val="clear" w:color="auto" w:fill="E7E6E6"/>
          </w:tcPr>
          <w:p w14:paraId="636B7D93" w14:textId="77777777" w:rsidR="001A395C" w:rsidRPr="00F5596D" w:rsidRDefault="001A395C" w:rsidP="001A395C">
            <w:pPr>
              <w:rPr>
                <w:rFonts w:ascii="Calibri" w:eastAsia="Calibri" w:hAnsi="Calibri" w:cs="Calibri"/>
                <w:color w:val="002060"/>
                <w:sz w:val="18"/>
                <w:highlight w:val="yellow"/>
                <w:lang w:val="sr-Cyrl-CS"/>
              </w:rPr>
            </w:pPr>
            <w:r w:rsidRPr="00F5596D">
              <w:rPr>
                <w:rFonts w:ascii="Calibri" w:eastAsia="Calibri" w:hAnsi="Calibri" w:cs="Calibri"/>
                <w:color w:val="002060"/>
                <w:sz w:val="18"/>
                <w:lang w:val="sr-Cyrl-CS"/>
              </w:rPr>
              <w:t>Потрошачке цене, просек периода, %</w:t>
            </w:r>
          </w:p>
        </w:tc>
        <w:tc>
          <w:tcPr>
            <w:tcW w:w="556" w:type="pct"/>
            <w:shd w:val="clear" w:color="auto" w:fill="E7E6E6"/>
          </w:tcPr>
          <w:p w14:paraId="2DBD69DD"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shd w:val="clear" w:color="auto" w:fill="E7E6E6"/>
          </w:tcPr>
          <w:p w14:paraId="5693079E"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shd w:val="clear" w:color="auto" w:fill="E7E6E6"/>
          </w:tcPr>
          <w:p w14:paraId="61982B69"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shd w:val="clear" w:color="auto" w:fill="E7E6E6"/>
          </w:tcPr>
          <w:p w14:paraId="25C65461"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shd w:val="clear" w:color="auto" w:fill="E7E6E6"/>
          </w:tcPr>
          <w:p w14:paraId="449FE308" w14:textId="77777777" w:rsidR="001A395C" w:rsidRPr="00F5596D" w:rsidRDefault="001A395C" w:rsidP="001A395C">
            <w:pPr>
              <w:rPr>
                <w:rFonts w:ascii="Calibri" w:eastAsia="Calibri" w:hAnsi="Calibri" w:cs="Calibri"/>
                <w:color w:val="002060"/>
                <w:sz w:val="18"/>
                <w:szCs w:val="18"/>
                <w:highlight w:val="yellow"/>
                <w:lang w:val="sr-Cyrl-CS"/>
              </w:rPr>
            </w:pPr>
          </w:p>
        </w:tc>
      </w:tr>
      <w:tr w:rsidR="001A395C" w:rsidRPr="00F5596D" w14:paraId="1FEF7EEC" w14:textId="77777777" w:rsidTr="001A395C">
        <w:trPr>
          <w:trHeight w:val="180"/>
        </w:trPr>
        <w:tc>
          <w:tcPr>
            <w:tcW w:w="2220" w:type="pct"/>
          </w:tcPr>
          <w:p w14:paraId="4E0C697B" w14:textId="77777777" w:rsidR="001A395C" w:rsidRPr="00F5596D" w:rsidRDefault="001A395C" w:rsidP="001A395C">
            <w:pPr>
              <w:ind w:left="350" w:hanging="90"/>
              <w:rPr>
                <w:rFonts w:ascii="Calibri" w:eastAsia="Calibri" w:hAnsi="Calibri" w:cs="Calibri"/>
                <w:color w:val="002060"/>
                <w:sz w:val="18"/>
                <w:lang w:val="sr-Cyrl-CS"/>
              </w:rPr>
            </w:pPr>
            <w:r w:rsidRPr="00F5596D">
              <w:rPr>
                <w:rFonts w:ascii="Calibri" w:eastAsia="Calibri" w:hAnsi="Calibri" w:cs="Calibri"/>
                <w:color w:val="002060"/>
                <w:sz w:val="18"/>
                <w:lang w:val="sr-Cyrl-CS"/>
              </w:rPr>
              <w:t>Еврозона</w:t>
            </w:r>
          </w:p>
        </w:tc>
        <w:tc>
          <w:tcPr>
            <w:tcW w:w="556" w:type="pct"/>
            <w:vAlign w:val="center"/>
          </w:tcPr>
          <w:p w14:paraId="4D37740A"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2,4</w:t>
            </w:r>
          </w:p>
        </w:tc>
        <w:tc>
          <w:tcPr>
            <w:tcW w:w="556" w:type="pct"/>
            <w:vAlign w:val="center"/>
          </w:tcPr>
          <w:p w14:paraId="636B9419"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2,1</w:t>
            </w:r>
          </w:p>
        </w:tc>
        <w:tc>
          <w:tcPr>
            <w:tcW w:w="556" w:type="pct"/>
            <w:vAlign w:val="center"/>
          </w:tcPr>
          <w:p w14:paraId="311D7593"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1,9</w:t>
            </w:r>
          </w:p>
        </w:tc>
        <w:tc>
          <w:tcPr>
            <w:tcW w:w="556" w:type="pct"/>
            <w:vAlign w:val="center"/>
          </w:tcPr>
          <w:p w14:paraId="523450D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2,0</w:t>
            </w:r>
          </w:p>
        </w:tc>
        <w:tc>
          <w:tcPr>
            <w:tcW w:w="556" w:type="pct"/>
            <w:vAlign w:val="center"/>
          </w:tcPr>
          <w:p w14:paraId="3C0ED433"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2,0</w:t>
            </w:r>
          </w:p>
        </w:tc>
      </w:tr>
      <w:tr w:rsidR="001A395C" w:rsidRPr="00F5596D" w14:paraId="21FFCEA8" w14:textId="77777777" w:rsidTr="001A395C">
        <w:trPr>
          <w:trHeight w:val="190"/>
        </w:trPr>
        <w:tc>
          <w:tcPr>
            <w:tcW w:w="2220" w:type="pct"/>
          </w:tcPr>
          <w:p w14:paraId="41E4E7C5" w14:textId="77777777" w:rsidR="001A395C" w:rsidRPr="00F5596D" w:rsidRDefault="001A395C" w:rsidP="001A395C">
            <w:pPr>
              <w:ind w:left="350" w:hanging="90"/>
              <w:rPr>
                <w:rFonts w:ascii="Calibri" w:eastAsia="Calibri" w:hAnsi="Calibri" w:cs="Calibri"/>
                <w:color w:val="002060"/>
                <w:sz w:val="18"/>
                <w:lang w:val="sr-Cyrl-CS"/>
              </w:rPr>
            </w:pPr>
            <w:r w:rsidRPr="00F5596D">
              <w:rPr>
                <w:rFonts w:ascii="Calibri" w:eastAsia="Calibri" w:hAnsi="Calibri" w:cs="Calibri"/>
                <w:color w:val="002060"/>
                <w:sz w:val="18"/>
                <w:lang w:val="sr-Cyrl-CS"/>
              </w:rPr>
              <w:t>Развијене економије</w:t>
            </w:r>
          </w:p>
        </w:tc>
        <w:tc>
          <w:tcPr>
            <w:tcW w:w="556" w:type="pct"/>
            <w:vAlign w:val="center"/>
          </w:tcPr>
          <w:p w14:paraId="059C47B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2,6</w:t>
            </w:r>
          </w:p>
        </w:tc>
        <w:tc>
          <w:tcPr>
            <w:tcW w:w="556" w:type="pct"/>
            <w:vAlign w:val="center"/>
          </w:tcPr>
          <w:p w14:paraId="5777CE1C"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2,5</w:t>
            </w:r>
          </w:p>
        </w:tc>
        <w:tc>
          <w:tcPr>
            <w:tcW w:w="556" w:type="pct"/>
            <w:vAlign w:val="center"/>
          </w:tcPr>
          <w:p w14:paraId="2A2ADC78"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2,2</w:t>
            </w:r>
          </w:p>
        </w:tc>
        <w:tc>
          <w:tcPr>
            <w:tcW w:w="556" w:type="pct"/>
            <w:vAlign w:val="center"/>
          </w:tcPr>
          <w:p w14:paraId="4958A855"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2,0</w:t>
            </w:r>
          </w:p>
        </w:tc>
        <w:tc>
          <w:tcPr>
            <w:tcW w:w="556" w:type="pct"/>
            <w:vAlign w:val="center"/>
          </w:tcPr>
          <w:p w14:paraId="693E9C51"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2,1</w:t>
            </w:r>
          </w:p>
        </w:tc>
      </w:tr>
      <w:tr w:rsidR="001A395C" w:rsidRPr="00F5596D" w14:paraId="5EB31C9C" w14:textId="77777777" w:rsidTr="001A395C">
        <w:trPr>
          <w:trHeight w:val="70"/>
        </w:trPr>
        <w:tc>
          <w:tcPr>
            <w:tcW w:w="2220" w:type="pct"/>
          </w:tcPr>
          <w:p w14:paraId="6DA7C6D7" w14:textId="77777777" w:rsidR="001A395C" w:rsidRPr="00F5596D" w:rsidRDefault="001A395C" w:rsidP="001A395C">
            <w:pPr>
              <w:ind w:left="350" w:hanging="90"/>
              <w:rPr>
                <w:rFonts w:ascii="Calibri" w:eastAsia="Calibri" w:hAnsi="Calibri" w:cs="Calibri"/>
                <w:color w:val="002060"/>
                <w:sz w:val="18"/>
                <w:lang w:val="sr-Cyrl-CS"/>
              </w:rPr>
            </w:pPr>
            <w:r w:rsidRPr="00F5596D">
              <w:rPr>
                <w:rFonts w:ascii="Calibri" w:eastAsia="Calibri" w:hAnsi="Calibri" w:cs="Calibri"/>
                <w:color w:val="002060"/>
                <w:sz w:val="18"/>
                <w:lang w:val="sr-Cyrl-CS"/>
              </w:rPr>
              <w:t>Земље у успону</w:t>
            </w:r>
          </w:p>
        </w:tc>
        <w:tc>
          <w:tcPr>
            <w:tcW w:w="556" w:type="pct"/>
            <w:vAlign w:val="center"/>
          </w:tcPr>
          <w:p w14:paraId="58840EB4"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7,7</w:t>
            </w:r>
          </w:p>
        </w:tc>
        <w:tc>
          <w:tcPr>
            <w:tcW w:w="556" w:type="pct"/>
            <w:vAlign w:val="center"/>
          </w:tcPr>
          <w:p w14:paraId="5D34FF1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Times New Roman" w:hAnsi="Calibri" w:cs="Calibri"/>
                <w:color w:val="002060"/>
                <w:sz w:val="18"/>
                <w:szCs w:val="18"/>
                <w:lang w:val="sr-Cyrl-CS" w:eastAsia="en-GB"/>
              </w:rPr>
              <w:t>5,5</w:t>
            </w:r>
          </w:p>
        </w:tc>
        <w:tc>
          <w:tcPr>
            <w:tcW w:w="556" w:type="pct"/>
            <w:vAlign w:val="center"/>
          </w:tcPr>
          <w:p w14:paraId="552BA857"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4,6</w:t>
            </w:r>
          </w:p>
        </w:tc>
        <w:tc>
          <w:tcPr>
            <w:tcW w:w="556" w:type="pct"/>
            <w:vAlign w:val="center"/>
          </w:tcPr>
          <w:p w14:paraId="06E60347"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4,1</w:t>
            </w:r>
          </w:p>
        </w:tc>
        <w:tc>
          <w:tcPr>
            <w:tcW w:w="556" w:type="pct"/>
            <w:vAlign w:val="center"/>
          </w:tcPr>
          <w:p w14:paraId="41185CF6"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4,0</w:t>
            </w:r>
          </w:p>
        </w:tc>
      </w:tr>
      <w:tr w:rsidR="001A395C" w:rsidRPr="00F5596D" w14:paraId="3253C6BC" w14:textId="77777777" w:rsidTr="001A395C">
        <w:trPr>
          <w:trHeight w:val="20"/>
        </w:trPr>
        <w:tc>
          <w:tcPr>
            <w:tcW w:w="2220" w:type="pct"/>
          </w:tcPr>
          <w:p w14:paraId="185D854F" w14:textId="77777777" w:rsidR="001A395C" w:rsidRPr="00F5596D" w:rsidRDefault="001A395C" w:rsidP="001A395C">
            <w:pPr>
              <w:rPr>
                <w:rFonts w:ascii="Calibri" w:eastAsia="Calibri" w:hAnsi="Calibri" w:cs="Calibri"/>
                <w:color w:val="002060"/>
                <w:sz w:val="18"/>
                <w:highlight w:val="yellow"/>
                <w:lang w:val="sr-Cyrl-CS"/>
              </w:rPr>
            </w:pPr>
          </w:p>
        </w:tc>
        <w:tc>
          <w:tcPr>
            <w:tcW w:w="556" w:type="pct"/>
            <w:vAlign w:val="center"/>
          </w:tcPr>
          <w:p w14:paraId="56CFEC1C"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vAlign w:val="center"/>
          </w:tcPr>
          <w:p w14:paraId="01A1C1CC"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vAlign w:val="center"/>
          </w:tcPr>
          <w:p w14:paraId="3594577F"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vAlign w:val="center"/>
          </w:tcPr>
          <w:p w14:paraId="16ED794F" w14:textId="77777777" w:rsidR="001A395C" w:rsidRPr="00F5596D" w:rsidRDefault="001A395C" w:rsidP="001A395C">
            <w:pPr>
              <w:rPr>
                <w:rFonts w:ascii="Calibri" w:eastAsia="Calibri" w:hAnsi="Calibri" w:cs="Calibri"/>
                <w:color w:val="002060"/>
                <w:sz w:val="18"/>
                <w:szCs w:val="18"/>
                <w:highlight w:val="yellow"/>
                <w:lang w:val="sr-Cyrl-CS"/>
              </w:rPr>
            </w:pPr>
          </w:p>
        </w:tc>
        <w:tc>
          <w:tcPr>
            <w:tcW w:w="556" w:type="pct"/>
            <w:vAlign w:val="center"/>
          </w:tcPr>
          <w:p w14:paraId="2F53864B" w14:textId="77777777" w:rsidR="001A395C" w:rsidRPr="00F5596D" w:rsidRDefault="001A395C" w:rsidP="001A395C">
            <w:pPr>
              <w:rPr>
                <w:rFonts w:ascii="Calibri" w:eastAsia="Calibri" w:hAnsi="Calibri" w:cs="Calibri"/>
                <w:color w:val="002060"/>
                <w:sz w:val="18"/>
                <w:szCs w:val="18"/>
                <w:highlight w:val="yellow"/>
                <w:lang w:val="sr-Cyrl-CS"/>
              </w:rPr>
            </w:pPr>
          </w:p>
        </w:tc>
      </w:tr>
      <w:tr w:rsidR="001A395C" w:rsidRPr="00F5596D" w14:paraId="58F9FE85" w14:textId="77777777" w:rsidTr="001A395C">
        <w:trPr>
          <w:trHeight w:val="70"/>
        </w:trPr>
        <w:tc>
          <w:tcPr>
            <w:tcW w:w="2220" w:type="pct"/>
          </w:tcPr>
          <w:p w14:paraId="52FBEBD1"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Девизни курс, евро/долар, крај периода</w:t>
            </w:r>
          </w:p>
        </w:tc>
        <w:tc>
          <w:tcPr>
            <w:tcW w:w="556" w:type="pct"/>
            <w:vAlign w:val="center"/>
          </w:tcPr>
          <w:p w14:paraId="2592A2BE"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1,1</w:t>
            </w:r>
          </w:p>
        </w:tc>
        <w:tc>
          <w:tcPr>
            <w:tcW w:w="556" w:type="pct"/>
            <w:vAlign w:val="center"/>
          </w:tcPr>
          <w:p w14:paraId="057A297F"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1,1</w:t>
            </w:r>
          </w:p>
        </w:tc>
        <w:tc>
          <w:tcPr>
            <w:tcW w:w="556" w:type="pct"/>
            <w:vAlign w:val="center"/>
          </w:tcPr>
          <w:p w14:paraId="3A9691C7"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w:t>
            </w:r>
          </w:p>
        </w:tc>
        <w:tc>
          <w:tcPr>
            <w:tcW w:w="556" w:type="pct"/>
            <w:vAlign w:val="center"/>
          </w:tcPr>
          <w:p w14:paraId="3D635250"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w:t>
            </w:r>
          </w:p>
        </w:tc>
        <w:tc>
          <w:tcPr>
            <w:tcW w:w="556" w:type="pct"/>
            <w:vAlign w:val="center"/>
          </w:tcPr>
          <w:p w14:paraId="2659AACB" w14:textId="77777777" w:rsidR="001A395C" w:rsidRPr="00F5596D" w:rsidRDefault="001A395C" w:rsidP="001A395C">
            <w:pPr>
              <w:jc w:val="center"/>
              <w:rPr>
                <w:rFonts w:ascii="Calibri" w:eastAsia="Calibri" w:hAnsi="Calibri" w:cs="Calibri"/>
                <w:color w:val="002060"/>
                <w:sz w:val="18"/>
                <w:szCs w:val="18"/>
                <w:lang w:val="sr-Cyrl-CS"/>
              </w:rPr>
            </w:pPr>
            <w:r w:rsidRPr="00F5596D">
              <w:rPr>
                <w:rFonts w:ascii="Calibri" w:eastAsia="Calibri" w:hAnsi="Calibri" w:cs="Calibri"/>
                <w:color w:val="002060"/>
                <w:sz w:val="18"/>
                <w:szCs w:val="18"/>
                <w:lang w:val="sr-Cyrl-CS"/>
              </w:rPr>
              <w:t>-</w:t>
            </w:r>
          </w:p>
        </w:tc>
      </w:tr>
      <w:tr w:rsidR="001A395C" w:rsidRPr="00F5596D" w14:paraId="25615B04" w14:textId="77777777" w:rsidTr="001A395C">
        <w:trPr>
          <w:trHeight w:val="135"/>
        </w:trPr>
        <w:tc>
          <w:tcPr>
            <w:tcW w:w="2220" w:type="pct"/>
          </w:tcPr>
          <w:p w14:paraId="09A606D1"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Цене житарица, у доларима, годишње промене</w:t>
            </w:r>
            <w:r w:rsidRPr="00F5596D">
              <w:rPr>
                <w:rFonts w:ascii="Calibri" w:eastAsia="Calibri" w:hAnsi="Calibri" w:cs="Calibri"/>
                <w:color w:val="002060"/>
                <w:sz w:val="18"/>
                <w:vertAlign w:val="superscript"/>
                <w:lang w:val="sr-Cyrl-CS"/>
              </w:rPr>
              <w:t>2</w:t>
            </w:r>
          </w:p>
        </w:tc>
        <w:tc>
          <w:tcPr>
            <w:tcW w:w="556" w:type="pct"/>
            <w:vAlign w:val="center"/>
          </w:tcPr>
          <w:p w14:paraId="416032E1"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-20,1</w:t>
            </w:r>
          </w:p>
        </w:tc>
        <w:tc>
          <w:tcPr>
            <w:tcW w:w="556" w:type="pct"/>
            <w:vAlign w:val="center"/>
          </w:tcPr>
          <w:p w14:paraId="228CA8FF"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-5,3</w:t>
            </w:r>
          </w:p>
        </w:tc>
        <w:tc>
          <w:tcPr>
            <w:tcW w:w="556" w:type="pct"/>
            <w:vAlign w:val="center"/>
          </w:tcPr>
          <w:p w14:paraId="093C0E84"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4,6</w:t>
            </w:r>
          </w:p>
        </w:tc>
        <w:tc>
          <w:tcPr>
            <w:tcW w:w="556" w:type="pct"/>
            <w:vAlign w:val="center"/>
          </w:tcPr>
          <w:p w14:paraId="60058331"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1,3</w:t>
            </w:r>
          </w:p>
        </w:tc>
        <w:tc>
          <w:tcPr>
            <w:tcW w:w="556" w:type="pct"/>
            <w:vAlign w:val="center"/>
          </w:tcPr>
          <w:p w14:paraId="4E86D334"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-0,2</w:t>
            </w:r>
          </w:p>
        </w:tc>
      </w:tr>
      <w:tr w:rsidR="001A395C" w:rsidRPr="00F5596D" w14:paraId="124DA4CE" w14:textId="77777777" w:rsidTr="001A395C">
        <w:trPr>
          <w:trHeight w:val="167"/>
        </w:trPr>
        <w:tc>
          <w:tcPr>
            <w:tcW w:w="2220" w:type="pct"/>
          </w:tcPr>
          <w:p w14:paraId="22ED7C3A"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Цене метала, годишње промене</w:t>
            </w:r>
            <w:r w:rsidRPr="00F5596D">
              <w:rPr>
                <w:rFonts w:ascii="Calibri" w:eastAsia="Calibri" w:hAnsi="Calibri" w:cs="Calibri"/>
                <w:color w:val="002060"/>
                <w:sz w:val="18"/>
                <w:vertAlign w:val="superscript"/>
                <w:lang w:val="sr-Cyrl-CS"/>
              </w:rPr>
              <w:t>3</w:t>
            </w:r>
          </w:p>
        </w:tc>
        <w:tc>
          <w:tcPr>
            <w:tcW w:w="556" w:type="pct"/>
            <w:vAlign w:val="center"/>
          </w:tcPr>
          <w:p w14:paraId="0BC37366"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-1,9</w:t>
            </w:r>
          </w:p>
        </w:tc>
        <w:tc>
          <w:tcPr>
            <w:tcW w:w="556" w:type="pct"/>
            <w:vAlign w:val="center"/>
          </w:tcPr>
          <w:p w14:paraId="642EB79D"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-4,0</w:t>
            </w:r>
          </w:p>
        </w:tc>
        <w:tc>
          <w:tcPr>
            <w:tcW w:w="556" w:type="pct"/>
            <w:vAlign w:val="center"/>
          </w:tcPr>
          <w:p w14:paraId="6F46FEA3"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-2,4</w:t>
            </w:r>
          </w:p>
        </w:tc>
        <w:tc>
          <w:tcPr>
            <w:tcW w:w="556" w:type="pct"/>
            <w:vAlign w:val="center"/>
          </w:tcPr>
          <w:p w14:paraId="11A3B60B"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0,5</w:t>
            </w:r>
          </w:p>
        </w:tc>
        <w:tc>
          <w:tcPr>
            <w:tcW w:w="556" w:type="pct"/>
            <w:vAlign w:val="center"/>
          </w:tcPr>
          <w:p w14:paraId="508B7D2A"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1,0</w:t>
            </w:r>
          </w:p>
        </w:tc>
      </w:tr>
      <w:tr w:rsidR="001A395C" w:rsidRPr="00F5596D" w14:paraId="1FC6F241" w14:textId="77777777" w:rsidTr="001A395C">
        <w:trPr>
          <w:trHeight w:val="70"/>
        </w:trPr>
        <w:tc>
          <w:tcPr>
            <w:tcW w:w="2220" w:type="pct"/>
          </w:tcPr>
          <w:p w14:paraId="47B81F91"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Цена руде гвожђа, у доларима</w:t>
            </w:r>
            <w:r w:rsidRPr="00F5596D">
              <w:rPr>
                <w:rFonts w:ascii="Calibri" w:eastAsia="Calibri" w:hAnsi="Calibri" w:cs="Calibri"/>
                <w:color w:val="002060"/>
                <w:sz w:val="18"/>
                <w:vertAlign w:val="superscript"/>
                <w:lang w:val="sr-Cyrl-CS"/>
              </w:rPr>
              <w:t>4</w:t>
            </w:r>
          </w:p>
        </w:tc>
        <w:tc>
          <w:tcPr>
            <w:tcW w:w="556" w:type="pct"/>
            <w:vAlign w:val="center"/>
          </w:tcPr>
          <w:p w14:paraId="7D9FE85F"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-7,7</w:t>
            </w:r>
          </w:p>
        </w:tc>
        <w:tc>
          <w:tcPr>
            <w:tcW w:w="556" w:type="pct"/>
            <w:vAlign w:val="center"/>
          </w:tcPr>
          <w:p w14:paraId="7AA27786"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-9,9</w:t>
            </w:r>
          </w:p>
        </w:tc>
        <w:tc>
          <w:tcPr>
            <w:tcW w:w="556" w:type="pct"/>
            <w:vAlign w:val="center"/>
          </w:tcPr>
          <w:p w14:paraId="45D048FD"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-7,9</w:t>
            </w:r>
          </w:p>
        </w:tc>
        <w:tc>
          <w:tcPr>
            <w:tcW w:w="556" w:type="pct"/>
            <w:vAlign w:val="center"/>
          </w:tcPr>
          <w:p w14:paraId="628CEEBF"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-2,1</w:t>
            </w:r>
          </w:p>
        </w:tc>
        <w:tc>
          <w:tcPr>
            <w:tcW w:w="556" w:type="pct"/>
            <w:vAlign w:val="center"/>
          </w:tcPr>
          <w:p w14:paraId="53AFF13F"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0,0</w:t>
            </w:r>
          </w:p>
        </w:tc>
      </w:tr>
      <w:tr w:rsidR="001A395C" w:rsidRPr="00F5596D" w14:paraId="447F6FE8" w14:textId="77777777" w:rsidTr="001A395C">
        <w:trPr>
          <w:trHeight w:val="173"/>
        </w:trPr>
        <w:tc>
          <w:tcPr>
            <w:tcW w:w="2220" w:type="pct"/>
            <w:tcBorders>
              <w:bottom w:val="single" w:sz="4" w:space="0" w:color="002060"/>
            </w:tcBorders>
          </w:tcPr>
          <w:p w14:paraId="2E485E76" w14:textId="77777777" w:rsidR="001A395C" w:rsidRPr="00F5596D" w:rsidRDefault="001A395C" w:rsidP="001A395C">
            <w:pPr>
              <w:rPr>
                <w:rFonts w:ascii="Calibri" w:eastAsia="Calibri" w:hAnsi="Calibri" w:cs="Calibri"/>
                <w:color w:val="002060"/>
                <w:sz w:val="18"/>
                <w:lang w:val="sr-Cyrl-CS"/>
              </w:rPr>
            </w:pPr>
            <w:r w:rsidRPr="00F5596D">
              <w:rPr>
                <w:rFonts w:ascii="Calibri" w:eastAsia="Calibri" w:hAnsi="Calibri" w:cs="Calibri"/>
                <w:color w:val="002060"/>
                <w:sz w:val="18"/>
                <w:lang w:val="sr-Cyrl-CS"/>
              </w:rPr>
              <w:t>Цене нафте, у доларима, годишње промене, %</w:t>
            </w:r>
          </w:p>
        </w:tc>
        <w:tc>
          <w:tcPr>
            <w:tcW w:w="556" w:type="pct"/>
            <w:tcBorders>
              <w:bottom w:val="single" w:sz="4" w:space="0" w:color="002060"/>
            </w:tcBorders>
            <w:vAlign w:val="center"/>
          </w:tcPr>
          <w:p w14:paraId="295CAD36"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-1,8</w:t>
            </w:r>
          </w:p>
        </w:tc>
        <w:tc>
          <w:tcPr>
            <w:tcW w:w="556" w:type="pct"/>
            <w:tcBorders>
              <w:bottom w:val="single" w:sz="4" w:space="0" w:color="002060"/>
            </w:tcBorders>
            <w:vAlign w:val="center"/>
          </w:tcPr>
          <w:p w14:paraId="636DAA03"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-15,5</w:t>
            </w:r>
          </w:p>
        </w:tc>
        <w:tc>
          <w:tcPr>
            <w:tcW w:w="556" w:type="pct"/>
            <w:tcBorders>
              <w:bottom w:val="single" w:sz="4" w:space="0" w:color="002060"/>
            </w:tcBorders>
            <w:vAlign w:val="center"/>
          </w:tcPr>
          <w:p w14:paraId="0120142E"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-6,8</w:t>
            </w:r>
          </w:p>
        </w:tc>
        <w:tc>
          <w:tcPr>
            <w:tcW w:w="556" w:type="pct"/>
            <w:tcBorders>
              <w:bottom w:val="single" w:sz="4" w:space="0" w:color="002060"/>
            </w:tcBorders>
            <w:vAlign w:val="center"/>
          </w:tcPr>
          <w:p w14:paraId="46B2C914"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0,6</w:t>
            </w:r>
          </w:p>
        </w:tc>
        <w:tc>
          <w:tcPr>
            <w:tcW w:w="556" w:type="pct"/>
            <w:tcBorders>
              <w:bottom w:val="single" w:sz="4" w:space="0" w:color="002060"/>
            </w:tcBorders>
            <w:vAlign w:val="center"/>
          </w:tcPr>
          <w:p w14:paraId="53D8F016" w14:textId="77777777" w:rsidR="001A395C" w:rsidRPr="00F5596D" w:rsidRDefault="001A395C" w:rsidP="001A395C">
            <w:pPr>
              <w:jc w:val="center"/>
              <w:rPr>
                <w:rFonts w:ascii="Calibri" w:eastAsia="Times New Roman" w:hAnsi="Calibri" w:cs="Calibri"/>
                <w:color w:val="002060"/>
                <w:sz w:val="18"/>
                <w:szCs w:val="18"/>
                <w:lang w:val="sr-Cyrl-CS" w:eastAsia="en-GB"/>
              </w:rPr>
            </w:pPr>
            <w:r w:rsidRPr="00F5596D">
              <w:rPr>
                <w:rFonts w:ascii="Calibri" w:eastAsia="Times New Roman" w:hAnsi="Calibri" w:cs="Calibri"/>
                <w:color w:val="002060"/>
                <w:sz w:val="18"/>
                <w:szCs w:val="18"/>
                <w:lang w:val="sr-Cyrl-CS" w:eastAsia="en-GB"/>
              </w:rPr>
              <w:t>1,4</w:t>
            </w:r>
          </w:p>
        </w:tc>
      </w:tr>
      <w:tr w:rsidR="001A395C" w:rsidRPr="00F5596D" w14:paraId="3AD02410" w14:textId="77777777" w:rsidTr="001A395C">
        <w:trPr>
          <w:trHeight w:val="159"/>
        </w:trPr>
        <w:tc>
          <w:tcPr>
            <w:tcW w:w="5000" w:type="pct"/>
            <w:gridSpan w:val="6"/>
            <w:tcBorders>
              <w:top w:val="single" w:sz="4" w:space="0" w:color="002060"/>
            </w:tcBorders>
          </w:tcPr>
          <w:p w14:paraId="67F4F10B" w14:textId="77777777" w:rsidR="001A395C" w:rsidRPr="00F5596D" w:rsidRDefault="001A395C" w:rsidP="001A395C">
            <w:pPr>
              <w:rPr>
                <w:rFonts w:ascii="Calibri" w:eastAsia="Calibri" w:hAnsi="Calibri" w:cs="Calibri"/>
                <w:bCs/>
                <w:color w:val="44546A"/>
                <w:sz w:val="14"/>
                <w:szCs w:val="14"/>
                <w:lang w:val="sr-Cyrl-CS"/>
              </w:rPr>
            </w:pPr>
            <w:r w:rsidRPr="00F5596D">
              <w:rPr>
                <w:rFonts w:ascii="Calibri" w:eastAsia="Calibri" w:hAnsi="Calibri" w:cs="Calibri"/>
                <w:bCs/>
                <w:color w:val="44546A"/>
                <w:sz w:val="14"/>
                <w:szCs w:val="14"/>
                <w:lang w:val="sr-Cyrl-CS"/>
              </w:rPr>
              <w:t xml:space="preserve">Извор: ММФ, </w:t>
            </w:r>
            <w:r w:rsidRPr="00F5596D">
              <w:rPr>
                <w:rFonts w:ascii="Calibri" w:eastAsia="Calibri" w:hAnsi="Calibri" w:cs="Calibri"/>
                <w:bCs/>
                <w:i/>
                <w:color w:val="44546A"/>
                <w:sz w:val="14"/>
                <w:szCs w:val="14"/>
                <w:lang w:val="sr-Cyrl-CS"/>
              </w:rPr>
              <w:t>World Economic Outlook</w:t>
            </w:r>
            <w:r w:rsidRPr="00F5596D">
              <w:rPr>
                <w:rFonts w:ascii="Calibri" w:eastAsia="Calibri" w:hAnsi="Calibri" w:cs="Calibri"/>
                <w:bCs/>
                <w:color w:val="44546A"/>
                <w:sz w:val="14"/>
                <w:szCs w:val="14"/>
                <w:lang w:val="sr-Cyrl-CS"/>
              </w:rPr>
              <w:t>, април 2025.</w:t>
            </w:r>
          </w:p>
        </w:tc>
      </w:tr>
      <w:tr w:rsidR="001A395C" w:rsidRPr="00F5596D" w14:paraId="54AE041E" w14:textId="77777777" w:rsidTr="001A395C">
        <w:trPr>
          <w:trHeight w:val="535"/>
        </w:trPr>
        <w:tc>
          <w:tcPr>
            <w:tcW w:w="5000" w:type="pct"/>
            <w:gridSpan w:val="6"/>
          </w:tcPr>
          <w:p w14:paraId="5E045752" w14:textId="77777777" w:rsidR="001A395C" w:rsidRPr="00F5596D" w:rsidRDefault="001A395C" w:rsidP="001A395C">
            <w:pPr>
              <w:rPr>
                <w:rFonts w:ascii="Calibri" w:eastAsia="Calibri" w:hAnsi="Calibri" w:cs="Calibri"/>
                <w:bCs/>
                <w:color w:val="44546A"/>
                <w:sz w:val="14"/>
                <w:szCs w:val="14"/>
                <w:lang w:val="sr-Cyrl-CS"/>
              </w:rPr>
            </w:pPr>
            <w:r w:rsidRPr="00F5596D">
              <w:rPr>
                <w:rFonts w:ascii="Calibri" w:eastAsia="Calibri" w:hAnsi="Calibri" w:cs="Calibri"/>
                <w:bCs/>
                <w:color w:val="44546A"/>
                <w:sz w:val="14"/>
                <w:szCs w:val="14"/>
                <w:vertAlign w:val="superscript"/>
                <w:lang w:val="sr-Cyrl-CS"/>
              </w:rPr>
              <w:t>1</w:t>
            </w:r>
            <w:r w:rsidRPr="00F5596D">
              <w:rPr>
                <w:rFonts w:ascii="Calibri" w:eastAsia="Calibri" w:hAnsi="Calibri" w:cs="Calibri"/>
                <w:bCs/>
                <w:color w:val="44546A"/>
                <w:sz w:val="14"/>
                <w:szCs w:val="14"/>
                <w:lang w:val="sr-Cyrl-CS"/>
              </w:rPr>
              <w:t xml:space="preserve"> Светски БДП израчунат је према паритету куповне моћи.</w:t>
            </w:r>
          </w:p>
          <w:p w14:paraId="6796D900" w14:textId="77777777" w:rsidR="001A395C" w:rsidRPr="00F5596D" w:rsidRDefault="001A395C" w:rsidP="001A395C">
            <w:pPr>
              <w:rPr>
                <w:rFonts w:ascii="Calibri" w:eastAsia="Calibri" w:hAnsi="Calibri" w:cs="Calibri"/>
                <w:bCs/>
                <w:color w:val="44546A"/>
                <w:sz w:val="14"/>
                <w:szCs w:val="14"/>
                <w:lang w:val="sr-Cyrl-CS"/>
              </w:rPr>
            </w:pPr>
            <w:r w:rsidRPr="00F5596D">
              <w:rPr>
                <w:rFonts w:ascii="Calibri" w:eastAsia="Calibri" w:hAnsi="Calibri" w:cs="Calibri"/>
                <w:bCs/>
                <w:color w:val="44546A"/>
                <w:sz w:val="14"/>
                <w:szCs w:val="14"/>
                <w:vertAlign w:val="superscript"/>
                <w:lang w:val="sr-Cyrl-CS"/>
              </w:rPr>
              <w:t>2</w:t>
            </w:r>
            <w:r w:rsidRPr="00F5596D">
              <w:rPr>
                <w:rFonts w:ascii="Calibri" w:eastAsia="Calibri" w:hAnsi="Calibri" w:cs="Calibri"/>
                <w:bCs/>
                <w:color w:val="44546A"/>
                <w:sz w:val="14"/>
                <w:szCs w:val="14"/>
                <w:lang w:val="sr-Cyrl-CS"/>
              </w:rPr>
              <w:t xml:space="preserve"> Цена житарица добијена као пондерисани просек цена пшенице, кукуруза, соје, пиринча и јечма.</w:t>
            </w:r>
          </w:p>
          <w:p w14:paraId="210FCAA4" w14:textId="77777777" w:rsidR="001A395C" w:rsidRPr="00F5596D" w:rsidRDefault="001A395C" w:rsidP="001A395C">
            <w:pPr>
              <w:rPr>
                <w:rFonts w:ascii="Calibri" w:eastAsia="Calibri" w:hAnsi="Calibri" w:cs="Calibri"/>
                <w:bCs/>
                <w:color w:val="44546A"/>
                <w:sz w:val="14"/>
                <w:szCs w:val="14"/>
                <w:lang w:val="sr-Cyrl-CS"/>
              </w:rPr>
            </w:pPr>
            <w:r w:rsidRPr="00F5596D">
              <w:rPr>
                <w:rFonts w:ascii="Calibri" w:eastAsia="Calibri" w:hAnsi="Calibri" w:cs="Calibri"/>
                <w:bCs/>
                <w:color w:val="44546A"/>
                <w:sz w:val="14"/>
                <w:szCs w:val="14"/>
                <w:vertAlign w:val="superscript"/>
                <w:lang w:val="sr-Cyrl-CS"/>
              </w:rPr>
              <w:t>3</w:t>
            </w:r>
            <w:r w:rsidRPr="00F5596D">
              <w:rPr>
                <w:rFonts w:ascii="Calibri" w:eastAsia="Calibri" w:hAnsi="Calibri" w:cs="Calibri"/>
                <w:bCs/>
                <w:color w:val="44546A"/>
                <w:sz w:val="14"/>
                <w:szCs w:val="14"/>
                <w:lang w:val="sr-Cyrl-CS"/>
              </w:rPr>
              <w:t xml:space="preserve"> Цена метала добијена као пондерисани просек цена бакра, алуминијума, руде гвожђа, калаја, никла, цинка, олова и уранијума.</w:t>
            </w:r>
          </w:p>
          <w:p w14:paraId="75DDAFCB" w14:textId="77777777" w:rsidR="001A395C" w:rsidRPr="00F5596D" w:rsidRDefault="001A395C" w:rsidP="001A395C">
            <w:pPr>
              <w:rPr>
                <w:rFonts w:ascii="Calibri" w:eastAsia="Calibri" w:hAnsi="Calibri" w:cs="Calibri"/>
                <w:bCs/>
                <w:color w:val="44546A"/>
                <w:sz w:val="14"/>
                <w:szCs w:val="14"/>
                <w:vertAlign w:val="superscript"/>
                <w:lang w:val="sr-Cyrl-CS"/>
              </w:rPr>
            </w:pPr>
            <w:r w:rsidRPr="00F5596D">
              <w:rPr>
                <w:rFonts w:ascii="Calibri" w:eastAsia="Calibri" w:hAnsi="Calibri" w:cs="Calibri"/>
                <w:bCs/>
                <w:color w:val="44546A"/>
                <w:sz w:val="14"/>
                <w:szCs w:val="14"/>
                <w:vertAlign w:val="superscript"/>
                <w:lang w:val="sr-Cyrl-CS"/>
              </w:rPr>
              <w:t>4</w:t>
            </w:r>
            <w:r w:rsidRPr="00F5596D">
              <w:rPr>
                <w:rFonts w:ascii="Calibri" w:eastAsia="Calibri" w:hAnsi="Calibri" w:cs="Calibri"/>
                <w:bCs/>
                <w:color w:val="44546A"/>
                <w:sz w:val="14"/>
                <w:szCs w:val="14"/>
                <w:lang w:val="sr-Cyrl-CS"/>
              </w:rPr>
              <w:t xml:space="preserve"> Цена руде гвожђа (садржај гвожђа од 62%) за увоз у Кини, лука Тиан Јан, у доларима по метричкој тони.</w:t>
            </w:r>
          </w:p>
        </w:tc>
      </w:tr>
    </w:tbl>
    <w:p w14:paraId="32E0D907" w14:textId="77777777" w:rsidR="001A395C" w:rsidRPr="00F5596D" w:rsidRDefault="001A395C" w:rsidP="001A395C">
      <w:pPr>
        <w:spacing w:after="0" w:line="240" w:lineRule="auto"/>
        <w:rPr>
          <w:rFonts w:ascii="Calibri" w:eastAsia="Calibri" w:hAnsi="Calibri" w:cs="Calibri"/>
          <w:highlight w:val="yellow"/>
          <w:lang w:val="sr-Cyrl-CS"/>
        </w:rPr>
      </w:pPr>
    </w:p>
    <w:p w14:paraId="76F2AB1F" w14:textId="77777777" w:rsidR="001A395C" w:rsidRPr="00F5596D" w:rsidRDefault="001A395C" w:rsidP="001A395C">
      <w:pPr>
        <w:spacing w:after="0" w:line="240" w:lineRule="auto"/>
        <w:rPr>
          <w:rFonts w:ascii="Calibri" w:eastAsia="Calibri" w:hAnsi="Calibri" w:cs="Calibri"/>
          <w:lang w:val="sr-Cyrl-CS"/>
        </w:rPr>
        <w:sectPr w:rsidR="001A395C" w:rsidRPr="00F5596D" w:rsidSect="001A395C">
          <w:type w:val="continuous"/>
          <w:pgSz w:w="12240" w:h="15840"/>
          <w:pgMar w:top="1440" w:right="1440" w:bottom="1440" w:left="1440" w:header="708" w:footer="708" w:gutter="0"/>
          <w:cols w:space="708"/>
          <w:docGrid w:linePitch="360"/>
        </w:sectPr>
      </w:pPr>
    </w:p>
    <w:p w14:paraId="569BAC56" w14:textId="77777777" w:rsidR="001A395C" w:rsidRPr="00F5596D" w:rsidRDefault="001A395C" w:rsidP="001A395C">
      <w:pPr>
        <w:keepNext/>
        <w:rPr>
          <w:rFonts w:ascii="Calibri" w:eastAsia="Calibri" w:hAnsi="Calibri" w:cs="Calibri"/>
          <w:bCs/>
          <w:iCs/>
          <w:color w:val="44546A"/>
          <w:szCs w:val="18"/>
          <w:lang w:val="sr-Cyrl-CS"/>
        </w:rPr>
      </w:pPr>
      <w:r w:rsidRPr="00F5596D">
        <w:rPr>
          <w:rFonts w:ascii="Calibri" w:eastAsia="Calibri" w:hAnsi="Calibri" w:cs="Calibri"/>
          <w:bCs/>
          <w:iCs/>
          <w:color w:val="44546A"/>
          <w:szCs w:val="18"/>
          <w:lang w:val="sr-Cyrl-CS"/>
        </w:rPr>
        <w:t xml:space="preserve">Код развијених земаља очекује се тренд кретања економске активности у складу са глобалним дешавањима, па ће БДП успорити са 1,8% у 2024. години, на 1,4% у 2025. години, уз благи опоравак на 1,5% у 2026. години. </w:t>
      </w:r>
    </w:p>
    <w:p w14:paraId="2D2F449F" w14:textId="77777777" w:rsidR="001A395C" w:rsidRPr="00F5596D" w:rsidRDefault="001A395C" w:rsidP="001A395C">
      <w:pPr>
        <w:keepNext/>
        <w:jc w:val="center"/>
        <w:rPr>
          <w:rFonts w:ascii="Calibri" w:eastAsia="Calibri" w:hAnsi="Calibri" w:cs="Calibri"/>
          <w:bCs/>
          <w:iCs/>
          <w:color w:val="44546A"/>
          <w:szCs w:val="18"/>
          <w:lang w:val="sr-Cyrl-CS"/>
        </w:rPr>
      </w:pPr>
      <w:r w:rsidRPr="00F5596D">
        <w:rPr>
          <w:rFonts w:ascii="Calibri" w:eastAsia="Calibri" w:hAnsi="Calibri" w:cs="Calibri"/>
          <w:b/>
          <w:color w:val="002060"/>
          <w:lang w:val="sr-Cyrl-CS"/>
        </w:rPr>
        <w:t>Глобални економски раст, п.п.</w:t>
      </w:r>
    </w:p>
    <w:p w14:paraId="09685863" w14:textId="77777777" w:rsidR="001A395C" w:rsidRPr="00F5596D" w:rsidRDefault="001A395C" w:rsidP="001A395C">
      <w:pPr>
        <w:spacing w:after="40"/>
        <w:rPr>
          <w:rFonts w:ascii="Calibri" w:eastAsia="Calibri" w:hAnsi="Calibri" w:cs="Calibri"/>
          <w:bCs/>
          <w:color w:val="44546A"/>
          <w:sz w:val="16"/>
          <w:szCs w:val="72"/>
          <w:highlight w:val="yellow"/>
          <w:lang w:val="sr-Cyrl-CS"/>
        </w:rPr>
      </w:pPr>
      <w:r w:rsidRPr="00F5596D">
        <w:rPr>
          <w:noProof/>
        </w:rPr>
        <w:drawing>
          <wp:inline distT="0" distB="0" distL="0" distR="0" wp14:anchorId="2D3A86E1" wp14:editId="395525A7">
            <wp:extent cx="2743200" cy="1940379"/>
            <wp:effectExtent l="0" t="0" r="0" b="3175"/>
            <wp:docPr id="2" name="Chart 2">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3139287" w14:textId="77777777" w:rsidR="001A395C" w:rsidRPr="00F5596D" w:rsidRDefault="001A395C" w:rsidP="001A395C">
      <w:pPr>
        <w:rPr>
          <w:rFonts w:ascii="Calibri" w:eastAsia="Calibri" w:hAnsi="Calibri" w:cs="Calibri"/>
          <w:bCs/>
          <w:color w:val="44546A"/>
          <w:sz w:val="14"/>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iCs/>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20E9003D" w14:textId="77777777" w:rsidR="001A395C" w:rsidRPr="00F5596D" w:rsidRDefault="001A395C" w:rsidP="001A395C">
      <w:pPr>
        <w:keepNext/>
        <w:rPr>
          <w:rFonts w:ascii="Calibri" w:eastAsia="Calibri" w:hAnsi="Calibri" w:cs="Calibri"/>
          <w:bCs/>
          <w:iCs/>
          <w:color w:val="44546A"/>
          <w:szCs w:val="18"/>
          <w:lang w:val="sr-Cyrl-CS"/>
        </w:rPr>
      </w:pPr>
      <w:r w:rsidRPr="00F5596D">
        <w:rPr>
          <w:rFonts w:ascii="Calibri" w:eastAsia="Calibri" w:hAnsi="Calibri" w:cs="Calibri"/>
          <w:bCs/>
          <w:iCs/>
          <w:color w:val="44546A"/>
          <w:szCs w:val="18"/>
          <w:lang w:val="sr-Cyrl-CS"/>
        </w:rPr>
        <w:t>За САД, водећу економију у овој групи, предвиђа се слабљење раста са 2,8% у претходној на 1,8% у 2025. години, што је за 0,9 п.п. мање од очекивања из јануарске пројекције. Ревизија наниже последица је наглог погоршања пословног и потрошачког поверења услед увођења обимних тарифа које су изазвале неизвесност и тржишне шокове. Такође, лична потрошња која је била главни покретач раста БДП бележи успоравање почетком године, док приватне инвестиције стагнирају.</w:t>
      </w:r>
      <w:r w:rsidRPr="00F5596D">
        <w:rPr>
          <w:lang w:val="sr-Cyrl-CS"/>
        </w:rPr>
        <w:t xml:space="preserve"> </w:t>
      </w:r>
      <w:r w:rsidRPr="00F5596D">
        <w:rPr>
          <w:rFonts w:ascii="Calibri" w:eastAsia="Calibri" w:hAnsi="Calibri" w:cs="Calibri"/>
          <w:bCs/>
          <w:iCs/>
          <w:color w:val="44546A"/>
          <w:szCs w:val="18"/>
          <w:lang w:val="sr-Cyrl-CS"/>
        </w:rPr>
        <w:t xml:space="preserve">Америчка привреда ће и у 2026. наставити да се суочава са бројним ограничењима. Кључни фактори обухватају дуготрајне последице трговинских тензија које су изазвале значајну неизвесност, нарушиле поверење инвеститора и довеле до смањења приватних инвестиција. Истовремено, високе каматне стопе, задржане као мера предострожности због упорне инфлације, додатно притискају домаћу тражњу и ограничавају приступ </w:t>
      </w:r>
      <w:r w:rsidRPr="00F5596D">
        <w:rPr>
          <w:rFonts w:ascii="Calibri" w:eastAsia="Calibri" w:hAnsi="Calibri" w:cs="Calibri"/>
          <w:bCs/>
          <w:iCs/>
          <w:color w:val="44546A"/>
          <w:szCs w:val="18"/>
          <w:lang w:val="sr-Cyrl-CS"/>
        </w:rPr>
        <w:lastRenderedPageBreak/>
        <w:t xml:space="preserve">финансијским средствима. Осим монетарних ограничења, и фискални простор је знатно сужен. Висок ниво јавног дуга и буџетски дефицити наслеђени из претходних периода смањују могућност спровођења снажнијих стимулативних мера, што ограничава утицај економске политике на убрзање раста. У таквом окружењу, очекивани раст од 1,7% у 2026. години представља благи напредак у односу на 2025, али и даље значајно испод предкризног потенцијала. </w:t>
      </w:r>
    </w:p>
    <w:p w14:paraId="25BAEAAC" w14:textId="77777777" w:rsidR="001A395C" w:rsidRPr="00F5596D" w:rsidRDefault="001A395C" w:rsidP="001A395C">
      <w:pPr>
        <w:keepNext/>
        <w:rPr>
          <w:rFonts w:ascii="Calibri" w:eastAsia="Calibri" w:hAnsi="Calibri" w:cs="Calibri"/>
          <w:bCs/>
          <w:iCs/>
          <w:color w:val="44546A"/>
          <w:szCs w:val="18"/>
          <w:lang w:val="sr-Cyrl-CS"/>
        </w:rPr>
      </w:pPr>
      <w:r w:rsidRPr="00F5596D">
        <w:rPr>
          <w:noProof/>
        </w:rPr>
        <w:drawing>
          <wp:inline distT="0" distB="0" distL="0" distR="0" wp14:anchorId="12924F30" wp14:editId="11F49DE9">
            <wp:extent cx="2743200" cy="1789044"/>
            <wp:effectExtent l="0" t="0" r="0" b="1905"/>
            <wp:docPr id="9" name="Chart 9">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EC9900B" w14:textId="77777777" w:rsidR="001A395C" w:rsidRPr="00F5596D" w:rsidRDefault="001A395C" w:rsidP="001A395C">
      <w:pPr>
        <w:keepNext/>
        <w:rPr>
          <w:lang w:val="sr-Cyrl-CS"/>
        </w:rPr>
      </w:pPr>
      <w:r w:rsidRPr="00F5596D">
        <w:rPr>
          <w:noProof/>
        </w:rPr>
        <w:drawing>
          <wp:inline distT="0" distB="0" distL="0" distR="0" wp14:anchorId="705AB355" wp14:editId="629EACDA">
            <wp:extent cx="2647784" cy="137905"/>
            <wp:effectExtent l="0" t="0" r="635"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2770916" cy="144318"/>
                    </a:xfrm>
                    <a:prstGeom prst="rect">
                      <a:avLst/>
                    </a:prstGeom>
                  </pic:spPr>
                </pic:pic>
              </a:graphicData>
            </a:graphic>
          </wp:inline>
        </w:drawing>
      </w:r>
    </w:p>
    <w:p w14:paraId="65A7BB61" w14:textId="77777777" w:rsidR="001A395C" w:rsidRPr="00F5596D" w:rsidRDefault="001A395C" w:rsidP="001A395C">
      <w:pPr>
        <w:rPr>
          <w:rFonts w:ascii="Calibri" w:eastAsia="Calibri" w:hAnsi="Calibri" w:cs="Calibri"/>
          <w:bCs/>
          <w:color w:val="44546A"/>
          <w:sz w:val="14"/>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iCs/>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6ECC59B8" w14:textId="77777777" w:rsidR="001A395C" w:rsidRPr="00F5596D" w:rsidRDefault="001A395C" w:rsidP="001A395C">
      <w:pPr>
        <w:keepNext/>
        <w:rPr>
          <w:lang w:val="sr-Cyrl-CS"/>
        </w:rPr>
      </w:pPr>
      <w:r w:rsidRPr="00F5596D">
        <w:rPr>
          <w:rFonts w:ascii="Calibri" w:eastAsia="Calibri" w:hAnsi="Calibri" w:cs="Calibri"/>
          <w:bCs/>
          <w:iCs/>
          <w:color w:val="44546A"/>
          <w:szCs w:val="18"/>
          <w:lang w:val="sr-Cyrl-CS"/>
        </w:rPr>
        <w:t>Економија еврозоне наставља да се суочава са изазовима у 2025. години. Пројектовани раст износи 0,8%, што је ревизија наниже за 0,2 п.п. у односу на процену из јануара и 0,4 п.п у поређењу са очекивањима из октобра претходне године. Главни фактори који утичу на успорену динамику економске активности односе се на погоршање глобалног спољнотрговинског окружења, услед ескалације трговинских тензија између великих економија, што је довело до повећане неизвесности и смањене спремности компанија за нове инвестиције. Високи трошкови енергије, нарочито у индустријски оријентисаним земљама попут Немачке, и даље представљају ограничење за производњу и конкурентност, док слаба домаћа тражња и опрезност потрошача утичу на ниску динамику раста у кључним економијама као што су Француска и Италија. За 2026. годину, очекује се умерени опоравак са пројектованим растом од 1,2%. Овај опоравак ће бити резултат јачања приватне потрошње подстакнут растом реалних зарада и очекиваним фискалним попуштањем у неким земљама чланицама.</w:t>
      </w:r>
      <w:r w:rsidRPr="00F5596D">
        <w:rPr>
          <w:lang w:val="sr-Cyrl-CS"/>
        </w:rPr>
        <w:t xml:space="preserve"> </w:t>
      </w:r>
      <w:r w:rsidRPr="00F5596D">
        <w:rPr>
          <w:lang w:val="sr-Cyrl-CS"/>
        </w:rPr>
        <w:br w:type="column"/>
      </w:r>
      <w:r w:rsidRPr="00F5596D">
        <w:rPr>
          <w:noProof/>
        </w:rPr>
        <w:drawing>
          <wp:inline distT="0" distB="0" distL="0" distR="0" wp14:anchorId="7C5A1377" wp14:editId="26A9A821">
            <wp:extent cx="2743200" cy="1971923"/>
            <wp:effectExtent l="0" t="0" r="0" b="0"/>
            <wp:docPr id="6" name="Chart 6">
              <a:extLst xmlns:a="http://schemas.openxmlformats.org/drawingml/2006/main">
                <a:ext uri="{FF2B5EF4-FFF2-40B4-BE49-F238E27FC236}">
                  <a16:creationId xmlns:a16="http://schemas.microsoft.com/office/drawing/2014/main" id="{00000000-0008-0000-0800-00001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09ACDBF" w14:textId="77777777" w:rsidR="001A395C" w:rsidRPr="00F5596D" w:rsidRDefault="001A395C" w:rsidP="001A395C">
      <w:pPr>
        <w:keepNext/>
        <w:rPr>
          <w:lang w:val="sr-Cyrl-CS"/>
        </w:rPr>
      </w:pPr>
      <w:r w:rsidRPr="00F5596D">
        <w:rPr>
          <w:noProof/>
        </w:rPr>
        <w:drawing>
          <wp:inline distT="0" distB="0" distL="0" distR="0" wp14:anchorId="55A3C30B" wp14:editId="067E5AA9">
            <wp:extent cx="2647784" cy="137905"/>
            <wp:effectExtent l="0" t="0" r="635"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2770916" cy="144318"/>
                    </a:xfrm>
                    <a:prstGeom prst="rect">
                      <a:avLst/>
                    </a:prstGeom>
                  </pic:spPr>
                </pic:pic>
              </a:graphicData>
            </a:graphic>
          </wp:inline>
        </w:drawing>
      </w:r>
    </w:p>
    <w:p w14:paraId="3DD3F36D" w14:textId="77777777" w:rsidR="001A395C" w:rsidRPr="00F5596D" w:rsidRDefault="001A395C" w:rsidP="001A395C">
      <w:pPr>
        <w:rPr>
          <w:rFonts w:ascii="Calibri" w:eastAsia="Calibri" w:hAnsi="Calibri" w:cs="Calibri"/>
          <w:bCs/>
          <w:color w:val="44546A"/>
          <w:sz w:val="14"/>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iCs/>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072E6AAD" w14:textId="77777777" w:rsidR="001A395C" w:rsidRPr="00F5596D" w:rsidRDefault="001A395C" w:rsidP="001A395C">
      <w:pPr>
        <w:spacing w:after="80"/>
        <w:rPr>
          <w:rFonts w:ascii="Calibri" w:eastAsia="Calibri" w:hAnsi="Calibri" w:cs="Calibri"/>
          <w:bCs/>
          <w:iCs/>
          <w:color w:val="44546A"/>
          <w:szCs w:val="18"/>
          <w:lang w:val="sr-Cyrl-CS"/>
        </w:rPr>
      </w:pPr>
      <w:r w:rsidRPr="00F5596D">
        <w:rPr>
          <w:rFonts w:ascii="Calibri" w:eastAsia="Calibri" w:hAnsi="Calibri" w:cs="Calibri"/>
          <w:bCs/>
          <w:iCs/>
          <w:color w:val="44546A"/>
          <w:szCs w:val="18"/>
          <w:lang w:val="sr-Cyrl-CS"/>
        </w:rPr>
        <w:t>Динамика економске активности Немачке и Италије, као наших најважнијих спољнотрговинских партнера из еврозоне, показује знаке озбиљне слабости. Немачка, као највећа економија еврозоне, ће према најновијим очекивањима забележити стагнацију у 2025. години (раст од 0,0%), што представља ревизију наниже од 0,3 п.п. у односу на јануарску и чак 0,8 п.п. у односу на октобарску процену. Главни фактори који ограничавају раст су енергетска зависност, слабљење извоза, као и дубока зависност индустрије од глобалних ланаца снабдевања који су нарушени растућим геополитичким тензијама и трговинским баријерама. За 2026. годину, очекује се умерени опоравак раста на 0,9%, подстакнут благом фискалном експанзијом и умереним опоравком индустријске активности. Италијанска економија ће у 2025. години остварити раст од 0,4%, уз ревизију наниже од 0,3 п.п. Дугорочни структурни изазови, као што су ниска продуктивност, неповољна демографска структура и висок јавни дуг, остају ограничавајући фактори за раст. Извозна активност успорава, док су домаће инвестиције и даље на ниском нивоу. Пројекција за 2026. годину предвиђа раст од 0,8%, при чему се очекује умерено повећање јавне потрошње, као и опоравак у сектору услуга и убрзање инфраструктурних улагања, делимично финансираних средствима из европских фондова. Ипак, упркос очекиваним благом опоравку у 2026. години, укупна динамика раста обе економије остаје знатно испод свог дугорочног потенцијала.</w:t>
      </w:r>
    </w:p>
    <w:p w14:paraId="1ABF2CAB" w14:textId="77777777" w:rsidR="001A395C" w:rsidRPr="00F5596D" w:rsidRDefault="001A395C" w:rsidP="001A395C">
      <w:pPr>
        <w:keepNext/>
        <w:rPr>
          <w:rFonts w:ascii="Calibri" w:eastAsia="Calibri" w:hAnsi="Calibri" w:cs="Calibri"/>
          <w:bCs/>
          <w:color w:val="44546A"/>
          <w:szCs w:val="72"/>
          <w:highlight w:val="yellow"/>
          <w:lang w:val="sr-Cyrl-CS"/>
        </w:rPr>
      </w:pPr>
      <w:r w:rsidRPr="00F5596D">
        <w:rPr>
          <w:noProof/>
        </w:rPr>
        <w:lastRenderedPageBreak/>
        <w:drawing>
          <wp:inline distT="0" distB="0" distL="0" distR="0" wp14:anchorId="3868BAD2" wp14:editId="24D3D153">
            <wp:extent cx="2743200" cy="1729408"/>
            <wp:effectExtent l="0" t="0" r="0" b="4445"/>
            <wp:docPr id="5" name="Chart 5">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32149FA" w14:textId="77777777" w:rsidR="001A395C" w:rsidRPr="00F5596D" w:rsidRDefault="001A395C" w:rsidP="001A395C">
      <w:pPr>
        <w:keepNext/>
        <w:rPr>
          <w:rFonts w:ascii="Calibri" w:eastAsia="Calibri" w:hAnsi="Calibri" w:cs="Calibri"/>
          <w:bCs/>
          <w:iCs/>
          <w:color w:val="44546A"/>
          <w:szCs w:val="18"/>
          <w:lang w:val="sr-Cyrl-CS"/>
        </w:rPr>
      </w:pPr>
      <w:r w:rsidRPr="00F5596D">
        <w:rPr>
          <w:noProof/>
        </w:rPr>
        <w:drawing>
          <wp:inline distT="0" distB="0" distL="0" distR="0" wp14:anchorId="6D12181E" wp14:editId="6A34353A">
            <wp:extent cx="2743200" cy="1633993"/>
            <wp:effectExtent l="0" t="0" r="0" b="4445"/>
            <wp:docPr id="7" name="Chart 7">
              <a:extLst xmlns:a="http://schemas.openxmlformats.org/drawingml/2006/main">
                <a:ext uri="{FF2B5EF4-FFF2-40B4-BE49-F238E27FC236}">
                  <a16:creationId xmlns:a16="http://schemas.microsoft.com/office/drawing/2014/main" id="{00000000-0008-0000-0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F1FDBF5" w14:textId="77777777" w:rsidR="001A395C" w:rsidRPr="00F5596D" w:rsidRDefault="001A395C" w:rsidP="001A395C">
      <w:pPr>
        <w:keepNext/>
        <w:rPr>
          <w:rFonts w:ascii="Calibri" w:eastAsia="Calibri" w:hAnsi="Calibri" w:cs="Calibri"/>
          <w:bCs/>
          <w:color w:val="44546A"/>
          <w:sz w:val="16"/>
          <w:szCs w:val="72"/>
          <w:lang w:val="sr-Cyrl-CS"/>
        </w:rPr>
      </w:pPr>
      <w:r w:rsidRPr="00F5596D">
        <w:rPr>
          <w:noProof/>
          <w:sz w:val="18"/>
        </w:rPr>
        <w:drawing>
          <wp:inline distT="0" distB="0" distL="0" distR="0" wp14:anchorId="6FEAD57F" wp14:editId="1F0D6AC4">
            <wp:extent cx="2743200" cy="143264"/>
            <wp:effectExtent l="0" t="0" r="0" b="9525"/>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2743200" cy="143264"/>
                    </a:xfrm>
                    <a:prstGeom prst="rect">
                      <a:avLst/>
                    </a:prstGeom>
                  </pic:spPr>
                </pic:pic>
              </a:graphicData>
            </a:graphic>
          </wp:inline>
        </w:drawing>
      </w:r>
    </w:p>
    <w:p w14:paraId="2445FB34" w14:textId="77777777" w:rsidR="001A395C" w:rsidRPr="00F5596D" w:rsidRDefault="001A395C" w:rsidP="001A395C">
      <w:pPr>
        <w:rPr>
          <w:rFonts w:ascii="Calibri" w:eastAsia="Calibri" w:hAnsi="Calibri" w:cs="Calibri"/>
          <w:bCs/>
          <w:color w:val="44546A"/>
          <w:sz w:val="14"/>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iCs/>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2BC2D262" w14:textId="77777777" w:rsidR="001A395C" w:rsidRPr="00F5596D" w:rsidRDefault="001A395C" w:rsidP="001A395C">
      <w:pPr>
        <w:spacing w:after="80"/>
        <w:rPr>
          <w:rFonts w:ascii="Calibri" w:eastAsia="Calibri" w:hAnsi="Calibri" w:cs="Calibri"/>
          <w:bCs/>
          <w:iCs/>
          <w:color w:val="44546A"/>
          <w:szCs w:val="18"/>
          <w:lang w:val="sr-Cyrl-CS"/>
        </w:rPr>
      </w:pPr>
      <w:r w:rsidRPr="00F5596D">
        <w:rPr>
          <w:rFonts w:ascii="Calibri" w:eastAsia="Calibri" w:hAnsi="Calibri" w:cs="Calibri"/>
          <w:bCs/>
          <w:iCs/>
          <w:color w:val="44546A"/>
          <w:szCs w:val="18"/>
          <w:lang w:val="sr-Cyrl-CS"/>
        </w:rPr>
        <w:t xml:space="preserve">Код земаља у успону очекује се да ће раст успорити на 3,7% и 3,9% у 2025. и 2026. години, што је за 0,5 п.п. односно 0,4 п.п. ниже у поређењу са пројекцијом из јануара. Привреда Кине суочава се са израженим успоравањем раста, уз прогнозу од 4,0% у 2025. години, што представља ревизију наниже од 0,6 п.п. у односу на јануарску процену. Очекује се да ће сличан темпо раста бити задржан и у 2026. години. Главни узрок успоравања јесте заоштравање трговинских односа са САД као главним спољнотрговинским партнером. Поред спољашњих фактора, Кина се суочава и са унутрашњим структурним изазовима. Сектор некретнина и даље је под притиском, а буџети локалних самоуправа су оптерећени дуговима. Поверење потрошача, које је нагло опало почетком 2022. године, није се опоравило, што додатно отежава прелазак са модела раста заснованог на инвестицијама ка моделу базираном на домаћој потрошњи. Висока стопа штедње домаћинстава и стагнација у услужном сектору додатно ограничавају опоравак. Све то указује да ће Кина, барем средњорочно, наставити да бележи раст испод пре-пандемијског тренда. </w:t>
      </w:r>
      <w:r w:rsidRPr="00F5596D">
        <w:rPr>
          <w:rFonts w:ascii="Calibri" w:eastAsia="Calibri" w:hAnsi="Calibri" w:cs="Calibri"/>
          <w:bCs/>
          <w:iCs/>
          <w:color w:val="44546A"/>
          <w:szCs w:val="18"/>
          <w:lang w:val="sr-Cyrl-CS"/>
        </w:rPr>
        <w:t>Руска економија након снажног раста од 4,1% у 2024. години, улази такође у фазу успоравања, са прогнозом раста од 1,5% у 2025. и 0,9% у 2026. години. Претходни раст био је подстакнут државном потрошњом, приходима од извоза енергената и отпорношћу домаћег тржишта. Међутим, санкције, геополитичка изолација и ограничен приступ технологијама све више ограничавају економски потенцијал. Раст остаје зависан од домаће тражње, субвенционисане индустрије и војног сектора, уз недостатак диверсификације и ограничен фискални простор услед високих трошкова рата. У таквим условима, могућности за одржив раст су ограничене, а дугорочни изгледи остају значајно испод глобалног просека. Предвиђа се убрзање раста земаља Блиског истока и Централне Азије, обзиром да ефекти поремећаја у производњи нафте и транспорта ишчезавају, а утицај текућих сукоба се смањује. Земље подсахарске Африке и Латинске Америке суочавају се са успоравањем раста у 2025. години, након чега се у 2026. очекује постепени опоравак и повратак на динамику из претходног периода. У земљама са ниским нивоом дохотка очекује се убрзање раста БДП са 4,0% у 2024. години на 5,2% у 2025. години.</w:t>
      </w:r>
    </w:p>
    <w:p w14:paraId="6C0DC0EE" w14:textId="77777777" w:rsidR="001A395C" w:rsidRPr="00F5596D" w:rsidRDefault="001A395C" w:rsidP="001A395C">
      <w:pPr>
        <w:spacing w:after="80"/>
        <w:rPr>
          <w:rFonts w:ascii="Calibri" w:eastAsia="Calibri" w:hAnsi="Calibri" w:cs="Calibri"/>
          <w:bCs/>
          <w:iCs/>
          <w:color w:val="44546A"/>
          <w:szCs w:val="18"/>
          <w:lang w:val="sr-Cyrl-CS"/>
        </w:rPr>
      </w:pPr>
      <w:r w:rsidRPr="00F5596D">
        <w:rPr>
          <w:noProof/>
        </w:rPr>
        <w:drawing>
          <wp:inline distT="0" distB="0" distL="0" distR="0" wp14:anchorId="60C59DF8" wp14:editId="184A18D9">
            <wp:extent cx="2743200" cy="1647190"/>
            <wp:effectExtent l="0" t="0" r="0" b="0"/>
            <wp:docPr id="15" name="Chart 15">
              <a:extLst xmlns:a="http://schemas.openxmlformats.org/drawingml/2006/main">
                <a:ext uri="{FF2B5EF4-FFF2-40B4-BE49-F238E27FC236}">
                  <a16:creationId xmlns:a16="http://schemas.microsoft.com/office/drawing/2014/main" id="{00000000-0008-0000-0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6AF67AA" w14:textId="77777777" w:rsidR="001A395C" w:rsidRPr="00F5596D" w:rsidRDefault="001A395C" w:rsidP="001A395C">
      <w:pPr>
        <w:spacing w:after="80"/>
        <w:rPr>
          <w:rFonts w:ascii="Calibri" w:eastAsia="Calibri" w:hAnsi="Calibri" w:cs="Calibri"/>
          <w:bCs/>
          <w:iCs/>
          <w:color w:val="44546A"/>
          <w:szCs w:val="18"/>
          <w:lang w:val="sr-Cyrl-CS"/>
        </w:rPr>
      </w:pPr>
      <w:r w:rsidRPr="00F5596D">
        <w:rPr>
          <w:noProof/>
        </w:rPr>
        <w:drawing>
          <wp:inline distT="0" distB="0" distL="0" distR="0" wp14:anchorId="6DA809EE" wp14:editId="6291EC24">
            <wp:extent cx="2743200" cy="1581150"/>
            <wp:effectExtent l="0" t="0" r="0" b="0"/>
            <wp:docPr id="16" name="Chart 16">
              <a:extLst xmlns:a="http://schemas.openxmlformats.org/drawingml/2006/main">
                <a:ext uri="{FF2B5EF4-FFF2-40B4-BE49-F238E27FC236}">
                  <a16:creationId xmlns:a16="http://schemas.microsoft.com/office/drawing/2014/main" id="{00000000-0008-0000-0800-00001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228D2AD" w14:textId="77777777" w:rsidR="001A395C" w:rsidRPr="00F5596D" w:rsidRDefault="001A395C" w:rsidP="001A395C">
      <w:pPr>
        <w:spacing w:after="80"/>
        <w:rPr>
          <w:rFonts w:ascii="Calibri" w:eastAsia="Calibri" w:hAnsi="Calibri" w:cs="Calibri"/>
          <w:bCs/>
          <w:iCs/>
          <w:color w:val="44546A"/>
          <w:szCs w:val="18"/>
          <w:lang w:val="sr-Cyrl-CS"/>
        </w:rPr>
      </w:pPr>
      <w:r w:rsidRPr="00F5596D">
        <w:rPr>
          <w:rFonts w:ascii="Calibri" w:eastAsia="Calibri" w:hAnsi="Calibri" w:cs="Calibri"/>
          <w:bCs/>
          <w:iCs/>
          <w:noProof/>
          <w:color w:val="44546A"/>
          <w:szCs w:val="18"/>
        </w:rPr>
        <w:drawing>
          <wp:inline distT="0" distB="0" distL="0" distR="0" wp14:anchorId="131D0483" wp14:editId="5B42CA7D">
            <wp:extent cx="2743200" cy="1403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140335"/>
                    </a:xfrm>
                    <a:prstGeom prst="rect">
                      <a:avLst/>
                    </a:prstGeom>
                    <a:noFill/>
                  </pic:spPr>
                </pic:pic>
              </a:graphicData>
            </a:graphic>
          </wp:inline>
        </w:drawing>
      </w:r>
    </w:p>
    <w:p w14:paraId="23272299" w14:textId="77777777" w:rsidR="001A395C" w:rsidRPr="00F5596D" w:rsidRDefault="001A395C" w:rsidP="001A395C">
      <w:pPr>
        <w:spacing w:after="80"/>
        <w:rPr>
          <w:rFonts w:ascii="Calibri" w:eastAsia="Calibri" w:hAnsi="Calibri" w:cs="Calibri"/>
          <w:bCs/>
          <w:iCs/>
          <w:color w:val="44546A"/>
          <w:sz w:val="14"/>
          <w:szCs w:val="14"/>
          <w:lang w:val="sr-Cyrl-CS"/>
        </w:rPr>
      </w:pPr>
      <w:r w:rsidRPr="00F5596D">
        <w:rPr>
          <w:rFonts w:ascii="Calibri" w:eastAsia="Calibri" w:hAnsi="Calibri" w:cs="Calibri"/>
          <w:bCs/>
          <w:iCs/>
          <w:color w:val="44546A"/>
          <w:sz w:val="14"/>
          <w:szCs w:val="14"/>
          <w:lang w:val="sr-Cyrl-CS"/>
        </w:rPr>
        <w:t xml:space="preserve">Извор: ММФ, </w:t>
      </w:r>
      <w:r w:rsidRPr="00F5596D">
        <w:rPr>
          <w:rFonts w:ascii="Calibri" w:eastAsia="Calibri" w:hAnsi="Calibri" w:cs="Calibri"/>
          <w:bCs/>
          <w:i/>
          <w:iCs/>
          <w:color w:val="44546A"/>
          <w:sz w:val="14"/>
          <w:szCs w:val="14"/>
          <w:lang w:val="sr-Cyrl-CS"/>
        </w:rPr>
        <w:t>World Economic Outlook</w:t>
      </w:r>
      <w:r w:rsidRPr="00F5596D">
        <w:rPr>
          <w:rFonts w:ascii="Calibri" w:eastAsia="Calibri" w:hAnsi="Calibri" w:cs="Calibri"/>
          <w:bCs/>
          <w:iCs/>
          <w:color w:val="44546A"/>
          <w:sz w:val="14"/>
          <w:szCs w:val="14"/>
          <w:lang w:val="sr-Cyrl-CS"/>
        </w:rPr>
        <w:t>, април 2025.</w:t>
      </w:r>
    </w:p>
    <w:p w14:paraId="2F6702DA" w14:textId="77777777" w:rsidR="001A395C" w:rsidRPr="00F5596D" w:rsidRDefault="001A395C" w:rsidP="001A395C">
      <w:pPr>
        <w:spacing w:after="80"/>
        <w:rPr>
          <w:rFonts w:ascii="Calibri" w:eastAsia="Calibri" w:hAnsi="Calibri" w:cs="Calibri"/>
          <w:bCs/>
          <w:color w:val="44546A"/>
          <w:szCs w:val="72"/>
          <w:lang w:val="sr-Cyrl-CS"/>
        </w:rPr>
      </w:pPr>
      <w:r w:rsidRPr="00F5596D">
        <w:rPr>
          <w:rFonts w:ascii="Calibri" w:eastAsia="Calibri" w:hAnsi="Calibri" w:cs="Calibri"/>
          <w:bCs/>
          <w:iCs/>
          <w:color w:val="44546A"/>
          <w:szCs w:val="18"/>
          <w:lang w:val="sr-Cyrl-CS"/>
        </w:rPr>
        <w:lastRenderedPageBreak/>
        <w:t>Према актуелним пројекцијама ММФ, глобална инфлација ће успорити са</w:t>
      </w:r>
      <w:r w:rsidRPr="00F5596D" w:rsidDel="00A75EA0">
        <w:rPr>
          <w:rFonts w:ascii="Calibri" w:eastAsia="Calibri" w:hAnsi="Calibri" w:cs="Calibri"/>
          <w:bCs/>
          <w:iCs/>
          <w:color w:val="44546A"/>
          <w:szCs w:val="18"/>
          <w:lang w:val="sr-Cyrl-CS"/>
        </w:rPr>
        <w:t xml:space="preserve"> </w:t>
      </w:r>
      <w:r w:rsidRPr="00F5596D">
        <w:rPr>
          <w:rFonts w:ascii="Calibri" w:eastAsia="Calibri" w:hAnsi="Calibri" w:cs="Calibri"/>
          <w:bCs/>
          <w:iCs/>
          <w:color w:val="44546A"/>
          <w:szCs w:val="18"/>
          <w:lang w:val="sr-Cyrl-CS"/>
        </w:rPr>
        <w:t>5,7% у 2024. години на 4,3% у 2025. и 3,6% у 2026</w:t>
      </w:r>
      <w:r w:rsidRPr="00F5596D">
        <w:rPr>
          <w:rFonts w:ascii="Calibri" w:eastAsia="Calibri" w:hAnsi="Calibri" w:cs="Calibri"/>
          <w:bCs/>
          <w:color w:val="44546A"/>
          <w:szCs w:val="72"/>
          <w:lang w:val="sr-Cyrl-CS"/>
        </w:rPr>
        <w:t>. години. Међутим, иако се очекује успоравање инфлације, ове пројекције су ревидиранe благо навише у односу на претходне. Најзначајније повећање пројектоване инфлације у 2025. години забележено је у САД и Уједињеном Краљевству (у даљем тексту УК), за 1,0 п.п и 0,7 п.п., респективно. Ревизија инфлације у САД последица је упорне инфлације у сектору услуга, раста цена основних добара и ефеката уведених царина, док је ревизија у УК условљена једнократним променама регулисаних цена, укључујући више трошкове енергије и воде за домаћинства, као и повећање минималне зараде. Упркос овим повећањима, ММФ предвиђа да ће инфлација у обе земље успорити до 2026. године, приближавајући се циљаним нивоима централних банака. Код развијених економија, инфлација би могла раније да се приближи циљаном нивоу и да у 2026. години износи 2,2%, док се за земље у развоју предвиђа виша стопа од 4,6%. Инфлаторни притисци ће се разликовати међу регионима, у Азији ће бити умеренији захваљујући ниској инфлацији у Кини, док су пројекције повишене за Русију, Украјину и поједине земље Латинске Америке. Слично као и у случају пројекција привредног раста, и пројекције инфлације изложене су великом степену неизвесности. Утицај царина на инфлацију зависи од више међусобно повезаних фактора, при чему је од кључног значаја трајање уведених тарифних мера, будући да привремене царине могу имати ограничен ефекат на цене, док би дуготрајне или трајне мере створиле притисак на увозне трошкове и трајнију инфлаторну динамику. Поред тога, важан је и степен у којем компаније могу или желе да прилагоде своје марже. Ако предузећа апсорбују већи део трошкова, ефекат на потрошачке цене може бити ублажен. Међутим, уколико се повећани трошкови директно пренесу на крајње купце, инфлаторни притисци се појачавају. На крају, важан фактор је и валута у којој се увоз фактурише. Ако се роба увози у америчким доларима, а локална валута слаби, ефекат царина на увозне цене биће додатно појачан.</w:t>
      </w:r>
      <w:r w:rsidRPr="00F5596D">
        <w:rPr>
          <w:lang w:val="sr-Cyrl-CS"/>
        </w:rPr>
        <w:t xml:space="preserve"> </w:t>
      </w:r>
    </w:p>
    <w:p w14:paraId="1DE532AC" w14:textId="77777777" w:rsidR="001A395C" w:rsidRPr="00F5596D" w:rsidRDefault="001A395C" w:rsidP="001A395C">
      <w:pPr>
        <w:rPr>
          <w:rFonts w:ascii="Calibri" w:eastAsia="Calibri" w:hAnsi="Calibri" w:cs="Calibri"/>
          <w:bCs/>
          <w:color w:val="44546A"/>
          <w:szCs w:val="72"/>
          <w:lang w:val="sr-Cyrl-CS"/>
        </w:rPr>
      </w:pPr>
      <w:r w:rsidRPr="00F5596D">
        <w:rPr>
          <w:rFonts w:ascii="Calibri" w:eastAsia="Calibri" w:hAnsi="Calibri" w:cs="Calibri"/>
          <w:bCs/>
          <w:color w:val="44546A"/>
          <w:szCs w:val="72"/>
          <w:lang w:val="sr-Cyrl-CS"/>
        </w:rPr>
        <w:t>У другој половини 2024. и почетком 2025. године дошло је до раста светских цена примарних производа, услед раста цена гаса и племенитих метала. На тржишту нафте цене су пале, услед забринутости да би трговински рат могао додатно да умањи глобалну тражњу. Цене сирове нафте су смањене за 1,8% у 2024. години и наставиће у наредном периоду да се крећу силазном путањом, уз очекивано смањење са 79,2 у 2024. на 66,9 долара по барелу у 2025. години, што је пад од 15,5%. Са изузетком цена злата које су наставиле да расту због геополитичке неизвесности, већина цена добара је пала са најавом увођења царинских тарифа од стране САД. Цене житарица ће забележити смањење у 2025. години услед најављених трговинских баријера, а затим се очекује постепена стабилизација. Пројектује се и пад цена основних метала и гвожђа у периоду 2025–2026. године, док ће злато забележити историјски рекордну цену.</w:t>
      </w:r>
    </w:p>
    <w:p w14:paraId="7CD5C347" w14:textId="77777777" w:rsidR="001A395C" w:rsidRPr="00F5596D" w:rsidRDefault="001A395C" w:rsidP="001A395C">
      <w:pPr>
        <w:jc w:val="center"/>
        <w:rPr>
          <w:rFonts w:ascii="Calibri" w:eastAsia="Calibri" w:hAnsi="Calibri" w:cs="Calibri"/>
          <w:i/>
          <w:color w:val="002060"/>
          <w:lang w:val="sr-Cyrl-CS"/>
        </w:rPr>
      </w:pPr>
      <w:r w:rsidRPr="00F5596D">
        <w:rPr>
          <w:rFonts w:ascii="Calibri" w:eastAsia="Calibri" w:hAnsi="Calibri" w:cs="Calibri"/>
          <w:b/>
          <w:color w:val="002060"/>
          <w:lang w:val="sr-Cyrl-CS"/>
        </w:rPr>
        <w:t>Кретање цена, индекси, 2016=100</w:t>
      </w:r>
    </w:p>
    <w:p w14:paraId="2FB16FFB" w14:textId="77777777" w:rsidR="001A395C" w:rsidRPr="00F5596D" w:rsidRDefault="001A395C" w:rsidP="001A395C">
      <w:pPr>
        <w:spacing w:after="40"/>
        <w:rPr>
          <w:rFonts w:ascii="Calibri" w:eastAsia="Calibri" w:hAnsi="Calibri" w:cs="Calibri"/>
          <w:bCs/>
          <w:color w:val="44546A"/>
          <w:sz w:val="16"/>
          <w:szCs w:val="72"/>
          <w:highlight w:val="yellow"/>
          <w:lang w:val="sr-Cyrl-CS"/>
        </w:rPr>
      </w:pPr>
      <w:r w:rsidRPr="00F5596D">
        <w:rPr>
          <w:noProof/>
        </w:rPr>
        <w:drawing>
          <wp:inline distT="0" distB="0" distL="0" distR="0" wp14:anchorId="2C5F0064" wp14:editId="539ED425">
            <wp:extent cx="2790190" cy="1653871"/>
            <wp:effectExtent l="0" t="0" r="0" b="3810"/>
            <wp:docPr id="1" name="Chart 1">
              <a:extLst xmlns:a="http://schemas.openxmlformats.org/drawingml/2006/main">
                <a:ext uri="{FF2B5EF4-FFF2-40B4-BE49-F238E27FC236}">
                  <a16:creationId xmlns:a16="http://schemas.microsoft.com/office/drawing/2014/main"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521CD52" w14:textId="77777777" w:rsidR="001A395C" w:rsidRPr="00F5596D" w:rsidRDefault="001A395C" w:rsidP="001A395C">
      <w:pPr>
        <w:rPr>
          <w:rFonts w:ascii="Calibri" w:eastAsia="Calibri" w:hAnsi="Calibri" w:cs="Calibri"/>
          <w:color w:val="44546A"/>
          <w:sz w:val="18"/>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3CCE9429" w14:textId="77777777" w:rsidR="001A395C" w:rsidRPr="00F5596D" w:rsidRDefault="001A395C" w:rsidP="001A395C">
      <w:pPr>
        <w:keepNext/>
        <w:spacing w:after="0"/>
        <w:jc w:val="center"/>
        <w:rPr>
          <w:rFonts w:ascii="Calibri" w:eastAsia="Calibri" w:hAnsi="Calibri" w:cs="Calibri"/>
          <w:i/>
          <w:color w:val="002060"/>
          <w:highlight w:val="yellow"/>
          <w:lang w:val="sr-Cyrl-CS"/>
        </w:rPr>
      </w:pPr>
      <w:r w:rsidRPr="00F5596D">
        <w:rPr>
          <w:rFonts w:ascii="Calibri" w:eastAsia="Calibri" w:hAnsi="Calibri" w:cs="Calibri"/>
          <w:b/>
          <w:color w:val="002060"/>
          <w:lang w:val="sr-Cyrl-CS"/>
        </w:rPr>
        <w:t>Пројекција кретања цена, индекси, 2019=100</w:t>
      </w:r>
    </w:p>
    <w:p w14:paraId="5C16CCC6" w14:textId="77777777" w:rsidR="001A395C" w:rsidRPr="00F5596D" w:rsidRDefault="001A395C" w:rsidP="001A395C">
      <w:pPr>
        <w:spacing w:after="0"/>
        <w:rPr>
          <w:rFonts w:ascii="Calibri" w:eastAsia="Calibri" w:hAnsi="Calibri" w:cs="Times New Roman"/>
          <w:color w:val="44546A"/>
          <w:highlight w:val="yellow"/>
          <w:lang w:val="sr-Cyrl-CS"/>
        </w:rPr>
      </w:pPr>
      <w:r w:rsidRPr="00F5596D">
        <w:rPr>
          <w:noProof/>
        </w:rPr>
        <w:drawing>
          <wp:inline distT="0" distB="0" distL="0" distR="0" wp14:anchorId="0F3D64CA" wp14:editId="41504896">
            <wp:extent cx="2743200" cy="2083241"/>
            <wp:effectExtent l="0" t="0" r="0" b="12700"/>
            <wp:docPr id="12" name="Chart 12">
              <a:extLst xmlns:a="http://schemas.openxmlformats.org/drawingml/2006/main">
                <a:ext uri="{FF2B5EF4-FFF2-40B4-BE49-F238E27FC236}">
                  <a16:creationId xmlns:a16="http://schemas.microsoft.com/office/drawing/2014/main" id="{00000000-0008-0000-0200-00001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1BAA6A3" w14:textId="77777777" w:rsidR="001A395C" w:rsidRPr="00F5596D" w:rsidRDefault="001A395C" w:rsidP="001A395C">
      <w:pPr>
        <w:rPr>
          <w:rFonts w:ascii="Calibri" w:eastAsia="Calibri" w:hAnsi="Calibri" w:cs="Calibri"/>
          <w:color w:val="44546A"/>
          <w:sz w:val="18"/>
          <w:szCs w:val="72"/>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2097ABD6" w14:textId="77777777" w:rsidR="001A395C" w:rsidRPr="00F5596D" w:rsidRDefault="001A395C" w:rsidP="001A395C">
      <w:pPr>
        <w:rPr>
          <w:rFonts w:ascii="Calibri" w:eastAsia="Calibri" w:hAnsi="Calibri" w:cs="Calibri"/>
          <w:bCs/>
          <w:color w:val="44546A"/>
          <w:szCs w:val="72"/>
          <w:lang w:val="sr-Cyrl-CS"/>
        </w:rPr>
      </w:pPr>
      <w:r w:rsidRPr="00F5596D">
        <w:rPr>
          <w:rFonts w:ascii="Calibri" w:eastAsia="Calibri" w:hAnsi="Calibri" w:cs="Calibri"/>
          <w:bCs/>
          <w:color w:val="44546A"/>
          <w:szCs w:val="72"/>
          <w:lang w:val="sr-Cyrl-CS"/>
        </w:rPr>
        <w:lastRenderedPageBreak/>
        <w:t>Америчке федералне резерве (у даљем тексту: ФЕД) од децембра 2024. године држе референтну каматну стопу стабилном на распону 4,25% до 4,50%, а даље мере монетарне политике зависиће од кретања на глобалним тржиштима и стопе инфлације.</w:t>
      </w:r>
    </w:p>
    <w:p w14:paraId="75A7E484" w14:textId="6BA5F573" w:rsidR="001A395C" w:rsidRPr="00F5596D" w:rsidRDefault="001A395C" w:rsidP="001A395C">
      <w:pPr>
        <w:spacing w:after="0"/>
        <w:jc w:val="center"/>
        <w:rPr>
          <w:rFonts w:ascii="Calibri" w:eastAsia="Calibri" w:hAnsi="Calibri" w:cs="Calibri"/>
          <w:b/>
          <w:bCs/>
          <w:color w:val="002060"/>
          <w:szCs w:val="72"/>
          <w:highlight w:val="yellow"/>
          <w:lang w:val="sr-Cyrl-CS"/>
        </w:rPr>
      </w:pPr>
      <w:r w:rsidRPr="00F5596D">
        <w:rPr>
          <w:rFonts w:ascii="Calibri" w:eastAsia="Calibri" w:hAnsi="Calibri" w:cs="Calibri"/>
          <w:b/>
          <w:bCs/>
          <w:color w:val="002060"/>
          <w:szCs w:val="72"/>
          <w:lang w:val="sr-Cyrl-CS"/>
        </w:rPr>
        <w:t>Кретање референтне каматне стопе по изабраним земљама, %</w:t>
      </w:r>
      <w:r w:rsidR="00B77F82" w:rsidRPr="00F5596D">
        <w:rPr>
          <w:noProof/>
        </w:rPr>
        <w:drawing>
          <wp:inline distT="0" distB="0" distL="0" distR="0" wp14:anchorId="58C635C9" wp14:editId="464E3D50">
            <wp:extent cx="2743200" cy="1591056"/>
            <wp:effectExtent l="0" t="0" r="0" b="0"/>
            <wp:docPr id="551732427" name="Chart 551732427">
              <a:extLst xmlns:a="http://schemas.openxmlformats.org/drawingml/2006/main">
                <a:ext uri="{FF2B5EF4-FFF2-40B4-BE49-F238E27FC236}">
                  <a16:creationId xmlns:a16="http://schemas.microsoft.com/office/drawing/2014/main" id="{00000000-0008-0000-07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4F68980" w14:textId="77777777" w:rsidR="001A395C" w:rsidRPr="00F5596D" w:rsidRDefault="001A395C" w:rsidP="001A395C">
      <w:pPr>
        <w:spacing w:after="0" w:line="240" w:lineRule="auto"/>
        <w:rPr>
          <w:rFonts w:ascii="Calibri" w:eastAsia="Calibri" w:hAnsi="Calibri" w:cs="Calibri"/>
          <w:bCs/>
          <w:color w:val="44546A"/>
          <w:sz w:val="14"/>
          <w:szCs w:val="16"/>
          <w:lang w:val="sr-Cyrl-CS"/>
        </w:rPr>
      </w:pPr>
      <w:r w:rsidRPr="00F5596D">
        <w:rPr>
          <w:rFonts w:ascii="Calibri" w:eastAsia="Calibri" w:hAnsi="Calibri" w:cs="Calibri"/>
          <w:bCs/>
          <w:color w:val="44546A"/>
          <w:sz w:val="14"/>
          <w:szCs w:val="16"/>
          <w:lang w:val="sr-Cyrl-CS"/>
        </w:rPr>
        <w:t>Извор: Централне банке изабраних земаља</w:t>
      </w:r>
    </w:p>
    <w:p w14:paraId="4105BC8E" w14:textId="77777777" w:rsidR="001A395C" w:rsidRPr="00F5596D" w:rsidRDefault="001A395C" w:rsidP="001A395C">
      <w:pPr>
        <w:spacing w:before="120"/>
        <w:rPr>
          <w:rFonts w:ascii="Calibri" w:eastAsia="Calibri" w:hAnsi="Calibri" w:cs="Calibri"/>
          <w:bCs/>
          <w:color w:val="44546A"/>
          <w:szCs w:val="72"/>
          <w:lang w:val="sr-Cyrl-CS"/>
        </w:rPr>
      </w:pPr>
      <w:r w:rsidRPr="00F5596D">
        <w:rPr>
          <w:rFonts w:ascii="Calibri" w:eastAsia="Calibri" w:hAnsi="Calibri" w:cs="Calibri"/>
          <w:bCs/>
          <w:color w:val="44546A"/>
          <w:szCs w:val="72"/>
          <w:lang w:val="sr-Cyrl-CS"/>
        </w:rPr>
        <w:t>Светска привреда улази у 2025. годину са ограниченим фискалним потенцијалом, што је последица високог јавног дуга и скупљег финансирања. Након изузетно трошковних мера током пандемије COVID-19 и енергетске кризе проузроковане ратом у Украјини, већина земаља је у великој мери већ искористила расположиве фискалне ресурсе. Иако су постојала очекивања да ће многе економије приступити фази фискалне консолидације, избијање нових геополитичких напетости и растућа неизвесност у међународној трговини подстичу неке земље да поново прибегну експанзивној фискалној политици. У великом броју економија јавни дуг је достигао рекордне нивое. У САД, према пројекцијама, јавни дуг ће порасти са 121% БДП-а у 2024. на 130% до 2030. године, док се истовремено у еврозони очекује пораст дуга са 88% на 93% БДП, углавном као резултат већих издатака за одбрану и јавне инвестиције. Према проценама ММФ, у многим земљама биће потребно значајно фискално прилагођавање како би се обезбедила стабилизација односа дуга и БДП.</w:t>
      </w:r>
    </w:p>
    <w:p w14:paraId="141F7140" w14:textId="77777777" w:rsidR="001A395C" w:rsidRPr="00F5596D" w:rsidRDefault="001A395C" w:rsidP="001A395C">
      <w:pPr>
        <w:rPr>
          <w:rFonts w:ascii="Calibri" w:eastAsia="Calibri" w:hAnsi="Calibri" w:cs="Times New Roman"/>
          <w:color w:val="44546A"/>
          <w:lang w:val="sr-Cyrl-CS"/>
        </w:rPr>
      </w:pPr>
      <w:r w:rsidRPr="00F5596D">
        <w:rPr>
          <w:rFonts w:ascii="Calibri" w:eastAsia="Calibri" w:hAnsi="Calibri" w:cs="Times New Roman"/>
          <w:color w:val="44546A"/>
          <w:lang w:val="sr-Cyrl-CS"/>
        </w:rPr>
        <w:t xml:space="preserve">Ризици по основу пројекција глобалног привредног раста оцењени су као превасходно негативни, и на кратак и на средњи рок. Вероватноћа да глобални раст у 2025. падне испод 2% износи око 30%, што је знатно више него у процени из октобра 2024. када је износила 17%. </w:t>
      </w:r>
      <w:r w:rsidRPr="00F5596D">
        <w:rPr>
          <w:rFonts w:ascii="Calibri" w:eastAsia="Calibri" w:hAnsi="Calibri" w:cs="Times New Roman"/>
          <w:color w:val="44546A"/>
          <w:lang w:val="sr-Cyrl-CS"/>
        </w:rPr>
        <w:t>Кључне претње нижем расту од очекиваног односе се пре свега на могућу ескалацију трговинских мера и продужену неизвесност у области трговинске политике. Нове тарифе би у првој фази највише погодиле Кину и САД, али би у средњем року утицале и на бројне економије у Азији и Европи. Потенцијални трговински ратови могли би да додатно појачају инфлаторне притиске, нарочито путем раста цена увоза, док би продужена политичка неизвесност могла негативно да утиче на инвестиције и економску активност. Уколико инфлација потраје или поново добије на замаху услед јачања протекционизма, централне банке би могле дуже задржати каматне стопе на повишеним нивоима у односу на тренутна очекивања. Поред тога, све чешћи и скупљи утицаји природних катастрофа, као и интензивирање друштвених сукоба, захтевају сталну и координисану међународну реакцију, што представља растући изазов имајући у виду тренутне глобалне геополитичке односе. Ипак, упркос доминацији негативних ризика, постоје и потенцијални позитивни импулси. Наставак неизвесности у трговинској политици могао би да подстакне иницијативе за нове регионалне и мултилатералне договоре који би повећали предвидивост и смањили трговинске баријере. Истовремено, ублажавање постојећих геополитичких тензија могло би да доведе до пада глобалних цена добара и ефикасније расподеле ресурса. Додатни потенцијал за убрзање раста лежи у спровођењу структурних реформи, као и у технолошком напретку, нарочито у области вештачке интелигенције, чија све већа примена може значајно повећати продуктивност.</w:t>
      </w:r>
    </w:p>
    <w:p w14:paraId="154859AD" w14:textId="77777777" w:rsidR="001A395C" w:rsidRPr="00F5596D" w:rsidRDefault="001A395C" w:rsidP="001A395C">
      <w:pPr>
        <w:jc w:val="center"/>
        <w:rPr>
          <w:rFonts w:ascii="Calibri" w:eastAsia="Calibri" w:hAnsi="Calibri" w:cs="Calibri"/>
          <w:i/>
          <w:color w:val="002060"/>
          <w:lang w:val="sr-Cyrl-CS"/>
        </w:rPr>
      </w:pPr>
      <w:r w:rsidRPr="00F5596D">
        <w:rPr>
          <w:rFonts w:ascii="Calibri" w:eastAsia="Calibri" w:hAnsi="Calibri" w:cs="Calibri"/>
          <w:b/>
          <w:color w:val="002060"/>
          <w:lang w:val="sr-Cyrl-CS"/>
        </w:rPr>
        <w:t>Пројекције раста глобалног БДП - са матрицом ризика, %</w:t>
      </w:r>
    </w:p>
    <w:p w14:paraId="13A508E2" w14:textId="77777777" w:rsidR="001A395C" w:rsidRPr="00F5596D" w:rsidRDefault="001A395C" w:rsidP="001A395C">
      <w:pPr>
        <w:rPr>
          <w:rFonts w:ascii="Calibri" w:eastAsia="Calibri" w:hAnsi="Calibri" w:cs="Times New Roman"/>
          <w:color w:val="FF0000"/>
          <w:lang w:val="sr-Cyrl-CS"/>
        </w:rPr>
      </w:pPr>
      <w:r w:rsidRPr="00F5596D">
        <w:rPr>
          <w:noProof/>
        </w:rPr>
        <w:drawing>
          <wp:inline distT="0" distB="0" distL="0" distR="0" wp14:anchorId="4620C057" wp14:editId="717F9E59">
            <wp:extent cx="2743200" cy="157127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D528112" w14:textId="77777777" w:rsidR="001A395C" w:rsidRPr="00F5596D" w:rsidRDefault="001A395C" w:rsidP="001A395C">
      <w:pPr>
        <w:rPr>
          <w:rFonts w:ascii="Calibri" w:eastAsia="Calibri" w:hAnsi="Calibri" w:cs="Times New Roman"/>
          <w:color w:val="FF0000"/>
          <w:lang w:val="sr-Cyrl-CS"/>
        </w:rPr>
      </w:pPr>
      <w:r w:rsidRPr="00F5596D">
        <w:rPr>
          <w:rFonts w:ascii="Calibri" w:eastAsia="Calibri" w:hAnsi="Calibri" w:cs="Calibri"/>
          <w:bCs/>
          <w:color w:val="44546A"/>
          <w:sz w:val="14"/>
          <w:szCs w:val="72"/>
          <w:lang w:val="sr-Cyrl-CS"/>
        </w:rPr>
        <w:t xml:space="preserve">Извор: ММФ, </w:t>
      </w:r>
      <w:r w:rsidRPr="00F5596D">
        <w:rPr>
          <w:rFonts w:ascii="Calibri" w:eastAsia="Calibri" w:hAnsi="Calibri" w:cs="Calibri"/>
          <w:bCs/>
          <w:i/>
          <w:iCs/>
          <w:color w:val="44546A"/>
          <w:sz w:val="14"/>
          <w:szCs w:val="72"/>
          <w:lang w:val="sr-Cyrl-CS"/>
        </w:rPr>
        <w:t>World Economic Outlook</w:t>
      </w:r>
      <w:r w:rsidRPr="00F5596D">
        <w:rPr>
          <w:rFonts w:ascii="Calibri" w:eastAsia="Calibri" w:hAnsi="Calibri" w:cs="Calibri"/>
          <w:bCs/>
          <w:color w:val="44546A"/>
          <w:sz w:val="14"/>
          <w:szCs w:val="72"/>
          <w:lang w:val="sr-Cyrl-CS"/>
        </w:rPr>
        <w:t>, април 2025</w:t>
      </w:r>
    </w:p>
    <w:p w14:paraId="212E6782" w14:textId="77777777" w:rsidR="001A395C" w:rsidRPr="00F5596D" w:rsidRDefault="001A395C" w:rsidP="001A395C">
      <w:pPr>
        <w:rPr>
          <w:b/>
          <w:color w:val="2F5496" w:themeColor="accent1" w:themeShade="BF"/>
          <w:sz w:val="22"/>
          <w:lang w:val="sr-Cyrl-CS"/>
        </w:rPr>
      </w:pPr>
      <w:r w:rsidRPr="00F5596D">
        <w:rPr>
          <w:b/>
          <w:color w:val="2F5496" w:themeColor="accent1" w:themeShade="BF"/>
          <w:sz w:val="22"/>
          <w:lang w:val="sr-Cyrl-CS"/>
        </w:rPr>
        <w:lastRenderedPageBreak/>
        <w:t>Макроекономске процене Европске комисије за подручје еврозоне</w:t>
      </w:r>
    </w:p>
    <w:p w14:paraId="0C45A326" w14:textId="77777777" w:rsidR="001A395C" w:rsidRPr="00F5596D" w:rsidRDefault="001A395C" w:rsidP="001A395C">
      <w:pPr>
        <w:rPr>
          <w:lang w:val="sr-Cyrl-CS"/>
        </w:rPr>
      </w:pPr>
      <w:r w:rsidRPr="00F5596D">
        <w:rPr>
          <w:lang w:val="sr-Cyrl-CS"/>
        </w:rPr>
        <w:t>Економска активност еврозоне у 2024. години била је снажнија од претходних очекивања, што је подстакло оптимизам да би у наредном периоду, уз даље попуштање монетарне политике и повољне услове на тржишту рада, могло да дође до позитивних ревизија стопа привредног раста. Међутим, почетком 2025. године глобална економија се суочила са најизраженијим трговинским и економским шоком у последњих неколико деценија. САД су, неочекивано, увеле сет тарифа на увоз добара из више земаља, што је изазвало снажан потрес на тржиштима и довело до нагле ревизије очекивања у погледу глобалног раста и инфлације. Након увођења мера, уследиле су оштре реакције Кине у виду реципрочних тарифа на америчку робу, што је додатно продубило неизвесност и погоршало глобалне трговинске односе. Иако је америчка администрација убрзо суспендовала део „реципрочних“ тарифа, одређене мере су остале на снази. То је створило нестабилно и непредвидиво трговинско окружење, у коме неизвесност око будућег тарифног режима остаје веома висока, а тржишта су и даље осетљива на сваку промену реторике или политичке одлуке. У таквом контексту, најновији високофреквентни показатељи економске активности у еврозони сигнализирају стагнацију. PMI индекс еврозоне у априлу 2025. године износио је 50,4 поена, што је пети месец заредом изнад прагa од 50, али и даље близу неутралне зоне, што упућује на минималан раст.</w:t>
      </w:r>
    </w:p>
    <w:p w14:paraId="66908FC4" w14:textId="77777777" w:rsidR="001A395C" w:rsidRPr="00F5596D" w:rsidRDefault="001A395C" w:rsidP="001A395C">
      <w:pPr>
        <w:rPr>
          <w:lang w:val="sr-Cyrl-CS"/>
        </w:rPr>
      </w:pPr>
      <w:r w:rsidRPr="00F5596D">
        <w:rPr>
          <w:lang w:val="sr-Cyrl-CS"/>
        </w:rPr>
        <w:t xml:space="preserve">Према пролећним проценама Европске комисије (у даљем тексту: ЕК), економска активност у еврозони током 2025. године оствариће раст од 0,9%, што представља значајну ревизију наниже у односу на јесење прогнозе. Очекује се да ће привредни раст умерено убрзати у 2026. години на 1,4%. Ипак, ревизија пројекција за еврозону у 2025. и 2026. години указује на спорији раст за 0,4 п.п. односно 0,2 п.п. у односу на јесење прогнозе Ова корекција у великој мери одражава ефекте повећаних царина и појачане неизвесности настале услед наглих промена у трговинској </w:t>
      </w:r>
      <w:r w:rsidRPr="00F5596D">
        <w:rPr>
          <w:lang w:val="sr-Cyrl-CS"/>
        </w:rPr>
        <w:t>политици САД, као и неизвесности у вези са коначном одлуком о будућем тарифном режиму. Потрошња би требало да остане кључни покретач раста током 2025. и 2026. године, али је и даље ограничена повишеним нивоом штедње због страха од погоршања укупних економских изгледа. Наставак запошљавања, раст зарада и постепено успоравање инфлације требало би да допринесу повећању расположивог дохотка домаћинстава. Пројекција за 2026. годину полази од претпоставке да екстремне царине неће бити поново уведене, а да ће се трговина између Кине и САД стабилизовати на нижим, али одрживим нивоима. То би допринело смањењу неизвесности и подстакло опоравак спољне тражње, што би имало повољан утицај на извозно оријентисане привреде еврозоне. Истовремено, очекује се умерени опоравак инвестиционе активности, посебно у секторима инфраструктуре, станоградње и истраживања и развоја, уз подршку средстава из фонда за опоравак (RRF). Додатни импулс доћи ће од попуштања монетарне политике, с обзиром на то да се очекује да ће ЕЦБ постепено смањити каматне стопе, чиме ће се побољшати финансијски услови.</w:t>
      </w:r>
    </w:p>
    <w:p w14:paraId="52E83D6D" w14:textId="77777777" w:rsidR="001A395C" w:rsidRPr="00F5596D" w:rsidRDefault="001A395C" w:rsidP="001A395C">
      <w:pPr>
        <w:rPr>
          <w:lang w:val="sr-Cyrl-CS"/>
        </w:rPr>
      </w:pPr>
      <w:r w:rsidRPr="00F5596D">
        <w:rPr>
          <w:lang w:val="sr-Cyrl-CS"/>
        </w:rPr>
        <w:t>На нивоу највећих економија еврозоне забележене су значајне ревизије привредног раста наниже. Пројекција раста БДП Немачке за 2025. годину смањена је на 0,0%, што представља погоршање од 0,7 п.п. у односу на јесењу прогнозу, док је за 2026. годину, раст ревидиран наниже за 0,2 п.п. односно на 1,1%. Немачка, као велика извозно оријентисана привреда, посебно је погођена смањењем спољне тражње и извозних очекивања. Компаније одлажу инвестиције због неизвесности у вези са будућим трговинским режимом, као и због високих трошкова прилагођавања производње новим тржишним условима и регулативама, укључујући и потребу за проналаском нових партнера и дистрибутивних канала. Привреда Италије ће, према актуелним пројекцијама, забележити раст од 0,7% у 2025. и 0,9% у 2026. години, што представља ревизију наниже од по 0,3 п.п. у поређењу са претходним проценама, пре свега услед слабије спољне тражње, високих трошкова финансирања и структурних ограничења у домаћој економији.</w:t>
      </w:r>
      <w:r w:rsidRPr="00F5596D">
        <w:rPr>
          <w:lang w:val="sr-Cyrl-CS"/>
        </w:rPr>
        <w:br w:type="page"/>
      </w:r>
    </w:p>
    <w:p w14:paraId="328955AA" w14:textId="77777777" w:rsidR="001A395C" w:rsidRPr="00F5596D" w:rsidRDefault="001A395C" w:rsidP="001A395C">
      <w:pPr>
        <w:spacing w:after="120" w:line="240" w:lineRule="auto"/>
        <w:ind w:left="255"/>
        <w:jc w:val="center"/>
        <w:rPr>
          <w:b/>
          <w:color w:val="002060"/>
          <w:lang w:val="sr-Cyrl-CS"/>
        </w:rPr>
        <w:sectPr w:rsidR="001A395C" w:rsidRPr="00F5596D" w:rsidSect="001A395C">
          <w:footerReference w:type="default" r:id="rId32"/>
          <w:type w:val="continuous"/>
          <w:pgSz w:w="12240" w:h="15840" w:code="1"/>
          <w:pgMar w:top="1440" w:right="1440" w:bottom="1440" w:left="1440" w:header="720" w:footer="720" w:gutter="0"/>
          <w:cols w:num="2" w:space="720"/>
          <w:docGrid w:linePitch="360"/>
        </w:sectPr>
      </w:pPr>
    </w:p>
    <w:tbl>
      <w:tblPr>
        <w:tblW w:w="5038" w:type="pct"/>
        <w:jc w:val="center"/>
        <w:tblLook w:val="04A0" w:firstRow="1" w:lastRow="0" w:firstColumn="1" w:lastColumn="0" w:noHBand="0" w:noVBand="1"/>
      </w:tblPr>
      <w:tblGrid>
        <w:gridCol w:w="3597"/>
        <w:gridCol w:w="941"/>
        <w:gridCol w:w="1243"/>
        <w:gridCol w:w="1251"/>
        <w:gridCol w:w="1196"/>
        <w:gridCol w:w="1203"/>
      </w:tblGrid>
      <w:tr w:rsidR="001A395C" w:rsidRPr="00F5596D" w14:paraId="25585EDC" w14:textId="77777777" w:rsidTr="001A395C">
        <w:trPr>
          <w:trHeight w:val="228"/>
          <w:jc w:val="center"/>
        </w:trPr>
        <w:tc>
          <w:tcPr>
            <w:tcW w:w="5000" w:type="pct"/>
            <w:gridSpan w:val="6"/>
            <w:tcBorders>
              <w:bottom w:val="single" w:sz="4" w:space="0" w:color="002060"/>
            </w:tcBorders>
            <w:shd w:val="clear" w:color="auto" w:fill="auto"/>
            <w:noWrap/>
            <w:vAlign w:val="bottom"/>
            <w:hideMark/>
          </w:tcPr>
          <w:p w14:paraId="59A83725" w14:textId="77777777" w:rsidR="001A395C" w:rsidRPr="00F5596D" w:rsidRDefault="001A395C" w:rsidP="001A395C">
            <w:pPr>
              <w:spacing w:after="120" w:line="240" w:lineRule="auto"/>
              <w:ind w:left="255"/>
              <w:jc w:val="center"/>
              <w:rPr>
                <w:b/>
                <w:color w:val="002060"/>
                <w:lang w:val="sr-Cyrl-CS"/>
              </w:rPr>
            </w:pPr>
            <w:r w:rsidRPr="00F5596D">
              <w:rPr>
                <w:b/>
                <w:color w:val="002060"/>
                <w:lang w:val="sr-Cyrl-CS"/>
              </w:rPr>
              <w:lastRenderedPageBreak/>
              <w:t>Табела 2. Макроекономске пројекције за подручје еврозоне, %</w:t>
            </w:r>
          </w:p>
        </w:tc>
      </w:tr>
      <w:tr w:rsidR="001A395C" w:rsidRPr="00F5596D" w14:paraId="50D3163B" w14:textId="77777777" w:rsidTr="001A395C">
        <w:trPr>
          <w:trHeight w:val="172"/>
          <w:jc w:val="center"/>
        </w:trPr>
        <w:tc>
          <w:tcPr>
            <w:tcW w:w="1907" w:type="pct"/>
            <w:tcBorders>
              <w:top w:val="single" w:sz="4" w:space="0" w:color="002060"/>
            </w:tcBorders>
            <w:shd w:val="clear" w:color="auto" w:fill="auto"/>
            <w:noWrap/>
            <w:vAlign w:val="center"/>
          </w:tcPr>
          <w:p w14:paraId="4A3BDE49" w14:textId="77777777" w:rsidR="001A395C" w:rsidRPr="00F5596D" w:rsidRDefault="001A395C" w:rsidP="001A395C">
            <w:pPr>
              <w:spacing w:after="0" w:line="240" w:lineRule="auto"/>
              <w:jc w:val="center"/>
              <w:rPr>
                <w:rFonts w:eastAsia="Times New Roman" w:cs="Times New Roman"/>
                <w:color w:val="002060"/>
                <w:sz w:val="18"/>
                <w:szCs w:val="18"/>
                <w:lang w:val="sr-Cyrl-CS"/>
              </w:rPr>
            </w:pPr>
          </w:p>
        </w:tc>
        <w:tc>
          <w:tcPr>
            <w:tcW w:w="499" w:type="pct"/>
            <w:tcBorders>
              <w:top w:val="single" w:sz="4" w:space="0" w:color="002060"/>
              <w:bottom w:val="single" w:sz="4" w:space="0" w:color="002060"/>
            </w:tcBorders>
            <w:shd w:val="clear" w:color="auto" w:fill="auto"/>
            <w:noWrap/>
            <w:vAlign w:val="center"/>
          </w:tcPr>
          <w:p w14:paraId="75CB717B" w14:textId="77777777" w:rsidR="001A395C" w:rsidRPr="00F5596D" w:rsidRDefault="001A395C" w:rsidP="001A395C">
            <w:pPr>
              <w:spacing w:after="0" w:line="240" w:lineRule="auto"/>
              <w:jc w:val="center"/>
              <w:rPr>
                <w:rFonts w:cstheme="minorHAnsi"/>
                <w:color w:val="002060"/>
                <w:sz w:val="18"/>
                <w:lang w:val="sr-Cyrl-CS"/>
              </w:rPr>
            </w:pPr>
          </w:p>
        </w:tc>
        <w:tc>
          <w:tcPr>
            <w:tcW w:w="1322" w:type="pct"/>
            <w:gridSpan w:val="2"/>
            <w:tcBorders>
              <w:top w:val="single" w:sz="4" w:space="0" w:color="002060"/>
              <w:bottom w:val="single" w:sz="4" w:space="0" w:color="002060"/>
            </w:tcBorders>
            <w:shd w:val="clear" w:color="auto" w:fill="auto"/>
            <w:noWrap/>
            <w:vAlign w:val="center"/>
          </w:tcPr>
          <w:p w14:paraId="18CD692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Тренутна пројекција</w:t>
            </w:r>
          </w:p>
        </w:tc>
        <w:tc>
          <w:tcPr>
            <w:tcW w:w="1272" w:type="pct"/>
            <w:gridSpan w:val="2"/>
            <w:tcBorders>
              <w:top w:val="single" w:sz="4" w:space="0" w:color="002060"/>
              <w:bottom w:val="single" w:sz="4" w:space="0" w:color="002060"/>
            </w:tcBorders>
            <w:shd w:val="clear" w:color="auto" w:fill="auto"/>
            <w:noWrap/>
            <w:vAlign w:val="center"/>
          </w:tcPr>
          <w:p w14:paraId="1B47E58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Претходна (јесења)</w:t>
            </w:r>
          </w:p>
          <w:p w14:paraId="303DE04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пројекција</w:t>
            </w:r>
          </w:p>
        </w:tc>
      </w:tr>
      <w:tr w:rsidR="001A395C" w:rsidRPr="00F5596D" w14:paraId="450274F5" w14:textId="77777777" w:rsidTr="001A395C">
        <w:trPr>
          <w:trHeight w:val="172"/>
          <w:jc w:val="center"/>
        </w:trPr>
        <w:tc>
          <w:tcPr>
            <w:tcW w:w="1907" w:type="pct"/>
            <w:tcBorders>
              <w:top w:val="single" w:sz="4" w:space="0" w:color="002060"/>
            </w:tcBorders>
            <w:shd w:val="clear" w:color="auto" w:fill="auto"/>
            <w:noWrap/>
            <w:vAlign w:val="center"/>
          </w:tcPr>
          <w:p w14:paraId="4D08C5FA" w14:textId="77777777" w:rsidR="001A395C" w:rsidRPr="00F5596D" w:rsidRDefault="001A395C" w:rsidP="001A395C">
            <w:pPr>
              <w:spacing w:after="0" w:line="240" w:lineRule="auto"/>
              <w:jc w:val="center"/>
              <w:rPr>
                <w:rFonts w:eastAsia="Times New Roman" w:cs="Times New Roman"/>
                <w:color w:val="002060"/>
                <w:sz w:val="18"/>
                <w:szCs w:val="18"/>
                <w:lang w:val="sr-Cyrl-CS"/>
              </w:rPr>
            </w:pPr>
          </w:p>
        </w:tc>
        <w:tc>
          <w:tcPr>
            <w:tcW w:w="499" w:type="pct"/>
            <w:tcBorders>
              <w:top w:val="single" w:sz="4" w:space="0" w:color="002060"/>
              <w:bottom w:val="single" w:sz="4" w:space="0" w:color="002060"/>
            </w:tcBorders>
            <w:shd w:val="clear" w:color="auto" w:fill="auto"/>
            <w:noWrap/>
            <w:vAlign w:val="center"/>
          </w:tcPr>
          <w:p w14:paraId="649FDAEA"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2024</w:t>
            </w:r>
          </w:p>
        </w:tc>
        <w:tc>
          <w:tcPr>
            <w:tcW w:w="659" w:type="pct"/>
            <w:tcBorders>
              <w:top w:val="single" w:sz="4" w:space="0" w:color="002060"/>
              <w:bottom w:val="single" w:sz="4" w:space="0" w:color="002060"/>
            </w:tcBorders>
            <w:shd w:val="clear" w:color="auto" w:fill="auto"/>
            <w:noWrap/>
            <w:vAlign w:val="center"/>
          </w:tcPr>
          <w:p w14:paraId="639E2DB4"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2025</w:t>
            </w:r>
          </w:p>
        </w:tc>
        <w:tc>
          <w:tcPr>
            <w:tcW w:w="663" w:type="pct"/>
            <w:tcBorders>
              <w:top w:val="single" w:sz="4" w:space="0" w:color="002060"/>
              <w:bottom w:val="single" w:sz="4" w:space="0" w:color="002060"/>
            </w:tcBorders>
            <w:shd w:val="clear" w:color="auto" w:fill="auto"/>
            <w:noWrap/>
            <w:vAlign w:val="center"/>
          </w:tcPr>
          <w:p w14:paraId="464C456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2026</w:t>
            </w:r>
          </w:p>
        </w:tc>
        <w:tc>
          <w:tcPr>
            <w:tcW w:w="634" w:type="pct"/>
            <w:tcBorders>
              <w:top w:val="single" w:sz="4" w:space="0" w:color="002060"/>
              <w:bottom w:val="single" w:sz="4" w:space="0" w:color="002060"/>
            </w:tcBorders>
            <w:shd w:val="clear" w:color="auto" w:fill="auto"/>
            <w:noWrap/>
            <w:vAlign w:val="center"/>
          </w:tcPr>
          <w:p w14:paraId="770F79A6"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2025</w:t>
            </w:r>
          </w:p>
        </w:tc>
        <w:tc>
          <w:tcPr>
            <w:tcW w:w="638" w:type="pct"/>
            <w:tcBorders>
              <w:top w:val="single" w:sz="4" w:space="0" w:color="002060"/>
              <w:bottom w:val="single" w:sz="4" w:space="0" w:color="002060"/>
            </w:tcBorders>
          </w:tcPr>
          <w:p w14:paraId="27BAD176"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2026</w:t>
            </w:r>
          </w:p>
        </w:tc>
      </w:tr>
      <w:tr w:rsidR="001A395C" w:rsidRPr="00F5596D" w14:paraId="1CA058EA" w14:textId="77777777" w:rsidTr="001A395C">
        <w:trPr>
          <w:trHeight w:val="172"/>
          <w:jc w:val="center"/>
        </w:trPr>
        <w:tc>
          <w:tcPr>
            <w:tcW w:w="1907" w:type="pct"/>
            <w:shd w:val="clear" w:color="auto" w:fill="E6E6E6"/>
            <w:noWrap/>
            <w:vAlign w:val="bottom"/>
            <w:hideMark/>
          </w:tcPr>
          <w:p w14:paraId="0A4DB3B9" w14:textId="77777777" w:rsidR="001A395C" w:rsidRPr="00F5596D" w:rsidRDefault="001A395C" w:rsidP="001A395C">
            <w:pPr>
              <w:spacing w:after="0" w:line="240" w:lineRule="auto"/>
              <w:ind w:left="357" w:hanging="357"/>
              <w:rPr>
                <w:rFonts w:cstheme="minorHAnsi"/>
                <w:color w:val="002060"/>
                <w:sz w:val="18"/>
                <w:lang w:val="sr-Cyrl-CS"/>
              </w:rPr>
            </w:pPr>
            <w:r w:rsidRPr="00F5596D">
              <w:rPr>
                <w:rFonts w:cstheme="minorHAnsi"/>
                <w:color w:val="002060"/>
                <w:sz w:val="18"/>
                <w:lang w:val="sr-Cyrl-CS"/>
              </w:rPr>
              <w:t>Реални раст БДП, %</w:t>
            </w:r>
          </w:p>
        </w:tc>
        <w:tc>
          <w:tcPr>
            <w:tcW w:w="499" w:type="pct"/>
            <w:tcBorders>
              <w:top w:val="single" w:sz="4" w:space="0" w:color="002060"/>
            </w:tcBorders>
            <w:shd w:val="clear" w:color="auto" w:fill="E6E6E6"/>
            <w:noWrap/>
            <w:vAlign w:val="center"/>
          </w:tcPr>
          <w:p w14:paraId="61F47614" w14:textId="77777777" w:rsidR="001A395C" w:rsidRPr="00F5596D" w:rsidRDefault="001A395C" w:rsidP="001A395C">
            <w:pPr>
              <w:spacing w:after="0" w:line="240" w:lineRule="auto"/>
              <w:jc w:val="center"/>
              <w:rPr>
                <w:rFonts w:cstheme="minorHAnsi"/>
                <w:color w:val="002060"/>
                <w:sz w:val="18"/>
                <w:lang w:val="sr-Cyrl-CS"/>
              </w:rPr>
            </w:pPr>
          </w:p>
        </w:tc>
        <w:tc>
          <w:tcPr>
            <w:tcW w:w="659" w:type="pct"/>
            <w:tcBorders>
              <w:top w:val="single" w:sz="4" w:space="0" w:color="002060"/>
            </w:tcBorders>
            <w:shd w:val="clear" w:color="auto" w:fill="E6E6E6"/>
            <w:noWrap/>
            <w:vAlign w:val="center"/>
          </w:tcPr>
          <w:p w14:paraId="7A62CE1B" w14:textId="77777777" w:rsidR="001A395C" w:rsidRPr="00F5596D" w:rsidRDefault="001A395C" w:rsidP="001A395C">
            <w:pPr>
              <w:spacing w:after="0" w:line="240" w:lineRule="auto"/>
              <w:jc w:val="center"/>
              <w:rPr>
                <w:rFonts w:cstheme="minorHAnsi"/>
                <w:color w:val="002060"/>
                <w:sz w:val="18"/>
                <w:lang w:val="sr-Cyrl-CS"/>
              </w:rPr>
            </w:pPr>
          </w:p>
        </w:tc>
        <w:tc>
          <w:tcPr>
            <w:tcW w:w="663" w:type="pct"/>
            <w:tcBorders>
              <w:top w:val="single" w:sz="4" w:space="0" w:color="002060"/>
            </w:tcBorders>
            <w:shd w:val="clear" w:color="auto" w:fill="E6E6E6"/>
            <w:noWrap/>
            <w:vAlign w:val="center"/>
          </w:tcPr>
          <w:p w14:paraId="3B89D0C7" w14:textId="77777777" w:rsidR="001A395C" w:rsidRPr="00F5596D" w:rsidRDefault="001A395C" w:rsidP="001A395C">
            <w:pPr>
              <w:spacing w:after="0" w:line="240" w:lineRule="auto"/>
              <w:jc w:val="center"/>
              <w:rPr>
                <w:rFonts w:cstheme="minorHAnsi"/>
                <w:color w:val="002060"/>
                <w:sz w:val="18"/>
                <w:lang w:val="sr-Cyrl-CS"/>
              </w:rPr>
            </w:pPr>
          </w:p>
        </w:tc>
        <w:tc>
          <w:tcPr>
            <w:tcW w:w="634" w:type="pct"/>
            <w:tcBorders>
              <w:top w:val="single" w:sz="4" w:space="0" w:color="002060"/>
            </w:tcBorders>
            <w:shd w:val="clear" w:color="auto" w:fill="E6E6E6"/>
            <w:noWrap/>
            <w:vAlign w:val="center"/>
          </w:tcPr>
          <w:p w14:paraId="311B3C95" w14:textId="77777777" w:rsidR="001A395C" w:rsidRPr="00F5596D" w:rsidRDefault="001A395C" w:rsidP="001A395C">
            <w:pPr>
              <w:spacing w:after="0" w:line="240" w:lineRule="auto"/>
              <w:jc w:val="center"/>
              <w:rPr>
                <w:rFonts w:cstheme="minorHAnsi"/>
                <w:color w:val="002060"/>
                <w:sz w:val="18"/>
                <w:lang w:val="sr-Cyrl-CS"/>
              </w:rPr>
            </w:pPr>
          </w:p>
        </w:tc>
        <w:tc>
          <w:tcPr>
            <w:tcW w:w="638" w:type="pct"/>
            <w:tcBorders>
              <w:top w:val="single" w:sz="4" w:space="0" w:color="002060"/>
            </w:tcBorders>
            <w:shd w:val="clear" w:color="auto" w:fill="E6E6E6"/>
          </w:tcPr>
          <w:p w14:paraId="7CEFF53E" w14:textId="77777777" w:rsidR="001A395C" w:rsidRPr="00F5596D" w:rsidRDefault="001A395C" w:rsidP="001A395C">
            <w:pPr>
              <w:spacing w:after="0" w:line="240" w:lineRule="auto"/>
              <w:jc w:val="center"/>
              <w:rPr>
                <w:rFonts w:cstheme="minorHAnsi"/>
                <w:color w:val="002060"/>
                <w:sz w:val="18"/>
                <w:lang w:val="sr-Cyrl-CS"/>
              </w:rPr>
            </w:pPr>
          </w:p>
        </w:tc>
      </w:tr>
      <w:tr w:rsidR="001A395C" w:rsidRPr="00F5596D" w14:paraId="67506C48" w14:textId="77777777" w:rsidTr="001A395C">
        <w:trPr>
          <w:trHeight w:val="172"/>
          <w:jc w:val="center"/>
        </w:trPr>
        <w:tc>
          <w:tcPr>
            <w:tcW w:w="1907" w:type="pct"/>
            <w:shd w:val="clear" w:color="auto" w:fill="auto"/>
            <w:noWrap/>
            <w:vAlign w:val="bottom"/>
          </w:tcPr>
          <w:p w14:paraId="4E7FD98E" w14:textId="77777777" w:rsidR="001A395C" w:rsidRPr="00F5596D" w:rsidRDefault="001A395C" w:rsidP="001A395C">
            <w:pPr>
              <w:spacing w:after="0" w:line="240" w:lineRule="auto"/>
              <w:ind w:left="641" w:hanging="357"/>
              <w:rPr>
                <w:rFonts w:cstheme="minorHAnsi"/>
                <w:color w:val="002060"/>
                <w:sz w:val="18"/>
                <w:lang w:val="sr-Cyrl-CS"/>
              </w:rPr>
            </w:pPr>
            <w:r w:rsidRPr="00F5596D">
              <w:rPr>
                <w:rFonts w:cstheme="minorHAnsi"/>
                <w:color w:val="002060"/>
                <w:sz w:val="18"/>
                <w:lang w:val="sr-Cyrl-CS"/>
              </w:rPr>
              <w:t>Еврозона</w:t>
            </w:r>
          </w:p>
        </w:tc>
        <w:tc>
          <w:tcPr>
            <w:tcW w:w="499" w:type="pct"/>
            <w:shd w:val="clear" w:color="auto" w:fill="auto"/>
            <w:noWrap/>
            <w:vAlign w:val="center"/>
          </w:tcPr>
          <w:p w14:paraId="19CA008B"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0,9</w:t>
            </w:r>
          </w:p>
        </w:tc>
        <w:tc>
          <w:tcPr>
            <w:tcW w:w="659" w:type="pct"/>
            <w:shd w:val="clear" w:color="auto" w:fill="auto"/>
            <w:noWrap/>
            <w:vAlign w:val="center"/>
          </w:tcPr>
          <w:p w14:paraId="758393C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0,9</w:t>
            </w:r>
          </w:p>
        </w:tc>
        <w:tc>
          <w:tcPr>
            <w:tcW w:w="663" w:type="pct"/>
            <w:shd w:val="clear" w:color="auto" w:fill="auto"/>
            <w:noWrap/>
            <w:vAlign w:val="center"/>
          </w:tcPr>
          <w:p w14:paraId="53CA58B2"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1,4</w:t>
            </w:r>
          </w:p>
        </w:tc>
        <w:tc>
          <w:tcPr>
            <w:tcW w:w="634" w:type="pct"/>
            <w:shd w:val="clear" w:color="auto" w:fill="auto"/>
            <w:noWrap/>
            <w:vAlign w:val="center"/>
          </w:tcPr>
          <w:p w14:paraId="14B97F1B"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1,3</w:t>
            </w:r>
          </w:p>
        </w:tc>
        <w:tc>
          <w:tcPr>
            <w:tcW w:w="638" w:type="pct"/>
          </w:tcPr>
          <w:p w14:paraId="2B4DEB81"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1,6</w:t>
            </w:r>
          </w:p>
        </w:tc>
      </w:tr>
      <w:tr w:rsidR="001A395C" w:rsidRPr="00F5596D" w14:paraId="17F71578" w14:textId="77777777" w:rsidTr="001A395C">
        <w:trPr>
          <w:trHeight w:val="172"/>
          <w:jc w:val="center"/>
        </w:trPr>
        <w:tc>
          <w:tcPr>
            <w:tcW w:w="1907" w:type="pct"/>
            <w:shd w:val="clear" w:color="auto" w:fill="auto"/>
            <w:noWrap/>
            <w:vAlign w:val="bottom"/>
          </w:tcPr>
          <w:p w14:paraId="1356FDBF" w14:textId="77777777" w:rsidR="001A395C" w:rsidRPr="00F5596D" w:rsidRDefault="001A395C" w:rsidP="001A395C">
            <w:pPr>
              <w:spacing w:after="0" w:line="240" w:lineRule="auto"/>
              <w:ind w:left="641" w:hanging="357"/>
              <w:rPr>
                <w:rFonts w:cstheme="minorHAnsi"/>
                <w:color w:val="002060"/>
                <w:sz w:val="18"/>
                <w:lang w:val="sr-Cyrl-CS"/>
              </w:rPr>
            </w:pPr>
            <w:r w:rsidRPr="00F5596D">
              <w:rPr>
                <w:rFonts w:cstheme="minorHAnsi"/>
                <w:color w:val="002060"/>
                <w:sz w:val="18"/>
                <w:lang w:val="sr-Cyrl-CS"/>
              </w:rPr>
              <w:t>Европска унија</w:t>
            </w:r>
          </w:p>
        </w:tc>
        <w:tc>
          <w:tcPr>
            <w:tcW w:w="499" w:type="pct"/>
            <w:shd w:val="clear" w:color="auto" w:fill="auto"/>
            <w:noWrap/>
            <w:vAlign w:val="center"/>
          </w:tcPr>
          <w:p w14:paraId="0B5137F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1,0</w:t>
            </w:r>
          </w:p>
        </w:tc>
        <w:tc>
          <w:tcPr>
            <w:tcW w:w="659" w:type="pct"/>
            <w:shd w:val="clear" w:color="auto" w:fill="auto"/>
            <w:noWrap/>
            <w:vAlign w:val="center"/>
          </w:tcPr>
          <w:p w14:paraId="45DCE5A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1,1</w:t>
            </w:r>
          </w:p>
        </w:tc>
        <w:tc>
          <w:tcPr>
            <w:tcW w:w="663" w:type="pct"/>
            <w:shd w:val="clear" w:color="auto" w:fill="auto"/>
            <w:noWrap/>
            <w:vAlign w:val="center"/>
          </w:tcPr>
          <w:p w14:paraId="46643414"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1,5</w:t>
            </w:r>
          </w:p>
        </w:tc>
        <w:tc>
          <w:tcPr>
            <w:tcW w:w="634" w:type="pct"/>
            <w:shd w:val="clear" w:color="auto" w:fill="auto"/>
            <w:noWrap/>
            <w:vAlign w:val="center"/>
          </w:tcPr>
          <w:p w14:paraId="0D2EC460"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1,5</w:t>
            </w:r>
          </w:p>
        </w:tc>
        <w:tc>
          <w:tcPr>
            <w:tcW w:w="638" w:type="pct"/>
          </w:tcPr>
          <w:p w14:paraId="563059E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1,8</w:t>
            </w:r>
          </w:p>
        </w:tc>
      </w:tr>
      <w:tr w:rsidR="001A395C" w:rsidRPr="00F5596D" w14:paraId="6F367D2D" w14:textId="77777777" w:rsidTr="001A395C">
        <w:trPr>
          <w:trHeight w:val="172"/>
          <w:jc w:val="center"/>
        </w:trPr>
        <w:tc>
          <w:tcPr>
            <w:tcW w:w="1907" w:type="pct"/>
            <w:shd w:val="clear" w:color="auto" w:fill="auto"/>
            <w:noWrap/>
            <w:vAlign w:val="bottom"/>
          </w:tcPr>
          <w:p w14:paraId="7CFF68CB" w14:textId="77777777" w:rsidR="001A395C" w:rsidRPr="00F5596D" w:rsidRDefault="001A395C" w:rsidP="001A395C">
            <w:pPr>
              <w:spacing w:after="0" w:line="240" w:lineRule="auto"/>
              <w:ind w:left="924" w:hanging="357"/>
              <w:rPr>
                <w:rFonts w:cstheme="minorHAnsi"/>
                <w:color w:val="002060"/>
                <w:sz w:val="18"/>
                <w:lang w:val="sr-Cyrl-CS"/>
              </w:rPr>
            </w:pPr>
            <w:r w:rsidRPr="00F5596D">
              <w:rPr>
                <w:rFonts w:cstheme="minorHAnsi"/>
                <w:color w:val="002060"/>
                <w:sz w:val="18"/>
                <w:lang w:val="sr-Cyrl-CS"/>
              </w:rPr>
              <w:t>Немачка</w:t>
            </w:r>
          </w:p>
        </w:tc>
        <w:tc>
          <w:tcPr>
            <w:tcW w:w="499" w:type="pct"/>
            <w:shd w:val="clear" w:color="auto" w:fill="auto"/>
            <w:noWrap/>
            <w:vAlign w:val="center"/>
          </w:tcPr>
          <w:p w14:paraId="6D64298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-0,2</w:t>
            </w:r>
          </w:p>
        </w:tc>
        <w:tc>
          <w:tcPr>
            <w:tcW w:w="659" w:type="pct"/>
            <w:shd w:val="clear" w:color="auto" w:fill="auto"/>
            <w:noWrap/>
            <w:vAlign w:val="center"/>
          </w:tcPr>
          <w:p w14:paraId="369A34ED" w14:textId="77777777" w:rsidR="001A395C" w:rsidRPr="00F5596D" w:rsidRDefault="001A395C" w:rsidP="001A395C">
            <w:pPr>
              <w:spacing w:after="0" w:line="240" w:lineRule="auto"/>
              <w:ind w:left="-17"/>
              <w:jc w:val="center"/>
              <w:rPr>
                <w:rFonts w:cstheme="minorHAnsi"/>
                <w:color w:val="002060"/>
                <w:sz w:val="18"/>
                <w:lang w:val="sr-Cyrl-CS"/>
              </w:rPr>
            </w:pPr>
            <w:r w:rsidRPr="00F5596D">
              <w:rPr>
                <w:rFonts w:cstheme="minorHAnsi"/>
                <w:color w:val="002060"/>
                <w:sz w:val="18"/>
                <w:lang w:val="sr-Cyrl-CS"/>
              </w:rPr>
              <w:t>0,0</w:t>
            </w:r>
          </w:p>
        </w:tc>
        <w:tc>
          <w:tcPr>
            <w:tcW w:w="663" w:type="pct"/>
            <w:shd w:val="clear" w:color="auto" w:fill="auto"/>
            <w:noWrap/>
            <w:vAlign w:val="center"/>
          </w:tcPr>
          <w:p w14:paraId="54ED3EF0"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1,1</w:t>
            </w:r>
          </w:p>
        </w:tc>
        <w:tc>
          <w:tcPr>
            <w:tcW w:w="634" w:type="pct"/>
            <w:shd w:val="clear" w:color="auto" w:fill="auto"/>
            <w:noWrap/>
            <w:vAlign w:val="center"/>
          </w:tcPr>
          <w:p w14:paraId="2C946B09"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0,7</w:t>
            </w:r>
          </w:p>
        </w:tc>
        <w:tc>
          <w:tcPr>
            <w:tcW w:w="638" w:type="pct"/>
          </w:tcPr>
          <w:p w14:paraId="54DAF6A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1,3</w:t>
            </w:r>
          </w:p>
        </w:tc>
      </w:tr>
      <w:tr w:rsidR="001A395C" w:rsidRPr="00F5596D" w14:paraId="49DCF93B" w14:textId="77777777" w:rsidTr="001A395C">
        <w:trPr>
          <w:trHeight w:val="172"/>
          <w:jc w:val="center"/>
        </w:trPr>
        <w:tc>
          <w:tcPr>
            <w:tcW w:w="1907" w:type="pct"/>
            <w:shd w:val="clear" w:color="auto" w:fill="auto"/>
            <w:noWrap/>
            <w:vAlign w:val="bottom"/>
          </w:tcPr>
          <w:p w14:paraId="186D0CE1" w14:textId="77777777" w:rsidR="001A395C" w:rsidRPr="00F5596D" w:rsidRDefault="001A395C" w:rsidP="001A395C">
            <w:pPr>
              <w:spacing w:after="0" w:line="240" w:lineRule="auto"/>
              <w:ind w:left="924" w:hanging="357"/>
              <w:rPr>
                <w:rFonts w:cstheme="minorHAnsi"/>
                <w:color w:val="002060"/>
                <w:sz w:val="18"/>
                <w:lang w:val="sr-Cyrl-CS"/>
              </w:rPr>
            </w:pPr>
            <w:r w:rsidRPr="00F5596D">
              <w:rPr>
                <w:rFonts w:cstheme="minorHAnsi"/>
                <w:color w:val="002060"/>
                <w:sz w:val="18"/>
                <w:lang w:val="sr-Cyrl-CS"/>
              </w:rPr>
              <w:t>Италија</w:t>
            </w:r>
          </w:p>
        </w:tc>
        <w:tc>
          <w:tcPr>
            <w:tcW w:w="499" w:type="pct"/>
            <w:shd w:val="clear" w:color="auto" w:fill="auto"/>
            <w:noWrap/>
            <w:vAlign w:val="center"/>
          </w:tcPr>
          <w:p w14:paraId="2A93CC03"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0,7</w:t>
            </w:r>
          </w:p>
        </w:tc>
        <w:tc>
          <w:tcPr>
            <w:tcW w:w="659" w:type="pct"/>
            <w:shd w:val="clear" w:color="auto" w:fill="auto"/>
            <w:noWrap/>
            <w:vAlign w:val="center"/>
          </w:tcPr>
          <w:p w14:paraId="03065261"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0,7</w:t>
            </w:r>
          </w:p>
        </w:tc>
        <w:tc>
          <w:tcPr>
            <w:tcW w:w="663" w:type="pct"/>
            <w:shd w:val="clear" w:color="auto" w:fill="auto"/>
            <w:noWrap/>
            <w:vAlign w:val="center"/>
          </w:tcPr>
          <w:p w14:paraId="24930B10"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0,9</w:t>
            </w:r>
          </w:p>
        </w:tc>
        <w:tc>
          <w:tcPr>
            <w:tcW w:w="634" w:type="pct"/>
            <w:shd w:val="clear" w:color="auto" w:fill="auto"/>
            <w:noWrap/>
            <w:vAlign w:val="center"/>
          </w:tcPr>
          <w:p w14:paraId="381C24A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1,0</w:t>
            </w:r>
          </w:p>
        </w:tc>
        <w:tc>
          <w:tcPr>
            <w:tcW w:w="638" w:type="pct"/>
          </w:tcPr>
          <w:p w14:paraId="2AB7023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1,2</w:t>
            </w:r>
          </w:p>
        </w:tc>
      </w:tr>
      <w:tr w:rsidR="001A395C" w:rsidRPr="00F5596D" w14:paraId="53027F2F" w14:textId="77777777" w:rsidTr="001A395C">
        <w:trPr>
          <w:trHeight w:val="172"/>
          <w:jc w:val="center"/>
        </w:trPr>
        <w:tc>
          <w:tcPr>
            <w:tcW w:w="1907" w:type="pct"/>
            <w:shd w:val="clear" w:color="auto" w:fill="E6E6E6"/>
            <w:noWrap/>
            <w:vAlign w:val="bottom"/>
          </w:tcPr>
          <w:p w14:paraId="3D5232F0" w14:textId="77777777" w:rsidR="001A395C" w:rsidRPr="00F5596D" w:rsidRDefault="001A395C" w:rsidP="001A395C">
            <w:pPr>
              <w:spacing w:after="0" w:line="240" w:lineRule="auto"/>
              <w:ind w:left="357" w:hanging="357"/>
              <w:rPr>
                <w:rFonts w:cstheme="minorHAnsi"/>
                <w:color w:val="002060"/>
                <w:sz w:val="18"/>
                <w:lang w:val="sr-Cyrl-CS"/>
              </w:rPr>
            </w:pPr>
            <w:r w:rsidRPr="00F5596D">
              <w:rPr>
                <w:rFonts w:cstheme="minorHAnsi"/>
                <w:color w:val="002060"/>
                <w:sz w:val="18"/>
                <w:lang w:val="sr-Cyrl-CS"/>
              </w:rPr>
              <w:t>Инфлација, просек периода, %</w:t>
            </w:r>
          </w:p>
        </w:tc>
        <w:tc>
          <w:tcPr>
            <w:tcW w:w="499" w:type="pct"/>
            <w:shd w:val="clear" w:color="auto" w:fill="E6E6E6"/>
            <w:noWrap/>
            <w:vAlign w:val="center"/>
          </w:tcPr>
          <w:p w14:paraId="1578E740" w14:textId="77777777" w:rsidR="001A395C" w:rsidRPr="00F5596D" w:rsidRDefault="001A395C" w:rsidP="001A395C">
            <w:pPr>
              <w:spacing w:after="0" w:line="240" w:lineRule="auto"/>
              <w:jc w:val="center"/>
              <w:rPr>
                <w:rFonts w:cstheme="minorHAnsi"/>
                <w:color w:val="002060"/>
                <w:sz w:val="18"/>
                <w:lang w:val="sr-Cyrl-CS"/>
              </w:rPr>
            </w:pPr>
          </w:p>
        </w:tc>
        <w:tc>
          <w:tcPr>
            <w:tcW w:w="659" w:type="pct"/>
            <w:shd w:val="clear" w:color="auto" w:fill="E6E6E6"/>
            <w:noWrap/>
            <w:vAlign w:val="center"/>
          </w:tcPr>
          <w:p w14:paraId="5A4C2F5B" w14:textId="77777777" w:rsidR="001A395C" w:rsidRPr="00F5596D" w:rsidRDefault="001A395C" w:rsidP="001A395C">
            <w:pPr>
              <w:spacing w:after="0" w:line="240" w:lineRule="auto"/>
              <w:jc w:val="center"/>
              <w:rPr>
                <w:rFonts w:cstheme="minorHAnsi"/>
                <w:color w:val="002060"/>
                <w:sz w:val="18"/>
                <w:lang w:val="sr-Cyrl-CS"/>
              </w:rPr>
            </w:pPr>
          </w:p>
        </w:tc>
        <w:tc>
          <w:tcPr>
            <w:tcW w:w="663" w:type="pct"/>
            <w:shd w:val="clear" w:color="auto" w:fill="E6E6E6"/>
            <w:noWrap/>
            <w:vAlign w:val="center"/>
          </w:tcPr>
          <w:p w14:paraId="37C19D3C" w14:textId="77777777" w:rsidR="001A395C" w:rsidRPr="00F5596D" w:rsidRDefault="001A395C" w:rsidP="001A395C">
            <w:pPr>
              <w:spacing w:after="0" w:line="240" w:lineRule="auto"/>
              <w:jc w:val="center"/>
              <w:rPr>
                <w:rFonts w:cstheme="minorHAnsi"/>
                <w:color w:val="002060"/>
                <w:sz w:val="18"/>
                <w:lang w:val="sr-Cyrl-CS"/>
              </w:rPr>
            </w:pPr>
          </w:p>
        </w:tc>
        <w:tc>
          <w:tcPr>
            <w:tcW w:w="634" w:type="pct"/>
            <w:shd w:val="clear" w:color="auto" w:fill="E6E6E6"/>
            <w:noWrap/>
            <w:vAlign w:val="center"/>
          </w:tcPr>
          <w:p w14:paraId="19B9E536" w14:textId="77777777" w:rsidR="001A395C" w:rsidRPr="00F5596D" w:rsidRDefault="001A395C" w:rsidP="001A395C">
            <w:pPr>
              <w:spacing w:after="0" w:line="240" w:lineRule="auto"/>
              <w:jc w:val="center"/>
              <w:rPr>
                <w:rFonts w:cstheme="minorHAnsi"/>
                <w:color w:val="002060"/>
                <w:sz w:val="18"/>
                <w:lang w:val="sr-Cyrl-CS"/>
              </w:rPr>
            </w:pPr>
          </w:p>
        </w:tc>
        <w:tc>
          <w:tcPr>
            <w:tcW w:w="638" w:type="pct"/>
            <w:shd w:val="clear" w:color="auto" w:fill="E6E6E6"/>
          </w:tcPr>
          <w:p w14:paraId="0B9AF700" w14:textId="77777777" w:rsidR="001A395C" w:rsidRPr="00F5596D" w:rsidRDefault="001A395C" w:rsidP="001A395C">
            <w:pPr>
              <w:spacing w:after="0" w:line="240" w:lineRule="auto"/>
              <w:jc w:val="center"/>
              <w:rPr>
                <w:rFonts w:cstheme="minorHAnsi"/>
                <w:color w:val="002060"/>
                <w:sz w:val="18"/>
                <w:lang w:val="sr-Cyrl-CS"/>
              </w:rPr>
            </w:pPr>
          </w:p>
        </w:tc>
      </w:tr>
      <w:tr w:rsidR="001A395C" w:rsidRPr="00F5596D" w14:paraId="149BC16B" w14:textId="77777777" w:rsidTr="001A395C">
        <w:trPr>
          <w:trHeight w:val="172"/>
          <w:jc w:val="center"/>
        </w:trPr>
        <w:tc>
          <w:tcPr>
            <w:tcW w:w="1907" w:type="pct"/>
            <w:shd w:val="clear" w:color="auto" w:fill="auto"/>
            <w:noWrap/>
            <w:vAlign w:val="bottom"/>
          </w:tcPr>
          <w:p w14:paraId="21D61328" w14:textId="77777777" w:rsidR="001A395C" w:rsidRPr="00F5596D" w:rsidRDefault="001A395C" w:rsidP="001A395C">
            <w:pPr>
              <w:spacing w:after="0" w:line="240" w:lineRule="auto"/>
              <w:ind w:left="641" w:hanging="357"/>
              <w:rPr>
                <w:rFonts w:cstheme="minorHAnsi"/>
                <w:color w:val="002060"/>
                <w:sz w:val="18"/>
                <w:lang w:val="sr-Cyrl-CS"/>
              </w:rPr>
            </w:pPr>
            <w:r w:rsidRPr="00F5596D">
              <w:rPr>
                <w:rFonts w:cstheme="minorHAnsi"/>
                <w:color w:val="002060"/>
                <w:sz w:val="18"/>
                <w:lang w:val="sr-Cyrl-CS"/>
              </w:rPr>
              <w:t>Еврозона</w:t>
            </w:r>
          </w:p>
        </w:tc>
        <w:tc>
          <w:tcPr>
            <w:tcW w:w="499" w:type="pct"/>
            <w:shd w:val="clear" w:color="auto" w:fill="auto"/>
            <w:noWrap/>
            <w:vAlign w:val="center"/>
          </w:tcPr>
          <w:p w14:paraId="2CA99A48"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2,4</w:t>
            </w:r>
          </w:p>
        </w:tc>
        <w:tc>
          <w:tcPr>
            <w:tcW w:w="659" w:type="pct"/>
            <w:shd w:val="clear" w:color="auto" w:fill="auto"/>
            <w:noWrap/>
            <w:vAlign w:val="center"/>
          </w:tcPr>
          <w:p w14:paraId="01909134"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2,1</w:t>
            </w:r>
          </w:p>
        </w:tc>
        <w:tc>
          <w:tcPr>
            <w:tcW w:w="663" w:type="pct"/>
            <w:shd w:val="clear" w:color="auto" w:fill="auto"/>
            <w:noWrap/>
            <w:vAlign w:val="center"/>
          </w:tcPr>
          <w:p w14:paraId="221F3196"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1,7</w:t>
            </w:r>
          </w:p>
        </w:tc>
        <w:tc>
          <w:tcPr>
            <w:tcW w:w="634" w:type="pct"/>
            <w:shd w:val="clear" w:color="auto" w:fill="auto"/>
            <w:noWrap/>
            <w:vAlign w:val="center"/>
          </w:tcPr>
          <w:p w14:paraId="21BE1C17"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2,1</w:t>
            </w:r>
          </w:p>
        </w:tc>
        <w:tc>
          <w:tcPr>
            <w:tcW w:w="638" w:type="pct"/>
          </w:tcPr>
          <w:p w14:paraId="1548601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1,9</w:t>
            </w:r>
          </w:p>
        </w:tc>
      </w:tr>
      <w:tr w:rsidR="001A395C" w:rsidRPr="00F5596D" w14:paraId="38105F8E" w14:textId="77777777" w:rsidTr="001A395C">
        <w:trPr>
          <w:trHeight w:val="172"/>
          <w:jc w:val="center"/>
        </w:trPr>
        <w:tc>
          <w:tcPr>
            <w:tcW w:w="1907" w:type="pct"/>
            <w:shd w:val="clear" w:color="auto" w:fill="auto"/>
            <w:noWrap/>
            <w:vAlign w:val="bottom"/>
          </w:tcPr>
          <w:p w14:paraId="3657DA49" w14:textId="77777777" w:rsidR="001A395C" w:rsidRPr="00F5596D" w:rsidRDefault="001A395C" w:rsidP="001A395C">
            <w:pPr>
              <w:spacing w:after="0" w:line="240" w:lineRule="auto"/>
              <w:ind w:left="641" w:hanging="357"/>
              <w:rPr>
                <w:rFonts w:cstheme="minorHAnsi"/>
                <w:color w:val="002060"/>
                <w:sz w:val="18"/>
                <w:lang w:val="sr-Cyrl-CS"/>
              </w:rPr>
            </w:pPr>
            <w:r w:rsidRPr="00F5596D">
              <w:rPr>
                <w:rFonts w:cstheme="minorHAnsi"/>
                <w:color w:val="002060"/>
                <w:sz w:val="18"/>
                <w:lang w:val="sr-Cyrl-CS"/>
              </w:rPr>
              <w:t>Европска унија</w:t>
            </w:r>
          </w:p>
        </w:tc>
        <w:tc>
          <w:tcPr>
            <w:tcW w:w="499" w:type="pct"/>
            <w:shd w:val="clear" w:color="auto" w:fill="auto"/>
            <w:noWrap/>
            <w:vAlign w:val="center"/>
          </w:tcPr>
          <w:p w14:paraId="635DEB63"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2,6</w:t>
            </w:r>
          </w:p>
        </w:tc>
        <w:tc>
          <w:tcPr>
            <w:tcW w:w="659" w:type="pct"/>
            <w:shd w:val="clear" w:color="auto" w:fill="auto"/>
            <w:noWrap/>
            <w:vAlign w:val="center"/>
          </w:tcPr>
          <w:p w14:paraId="251C146D"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2,3</w:t>
            </w:r>
          </w:p>
        </w:tc>
        <w:tc>
          <w:tcPr>
            <w:tcW w:w="663" w:type="pct"/>
            <w:shd w:val="clear" w:color="auto" w:fill="auto"/>
            <w:noWrap/>
            <w:vAlign w:val="center"/>
          </w:tcPr>
          <w:p w14:paraId="41485CC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1,9</w:t>
            </w:r>
          </w:p>
        </w:tc>
        <w:tc>
          <w:tcPr>
            <w:tcW w:w="634" w:type="pct"/>
            <w:shd w:val="clear" w:color="auto" w:fill="auto"/>
            <w:noWrap/>
            <w:vAlign w:val="center"/>
          </w:tcPr>
          <w:p w14:paraId="101D486B"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2,4</w:t>
            </w:r>
          </w:p>
        </w:tc>
        <w:tc>
          <w:tcPr>
            <w:tcW w:w="638" w:type="pct"/>
          </w:tcPr>
          <w:p w14:paraId="4E6FF4D5"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2,0</w:t>
            </w:r>
          </w:p>
        </w:tc>
      </w:tr>
      <w:tr w:rsidR="001A395C" w:rsidRPr="00F5596D" w14:paraId="366DAE03" w14:textId="77777777" w:rsidTr="001A395C">
        <w:trPr>
          <w:trHeight w:val="172"/>
          <w:jc w:val="center"/>
        </w:trPr>
        <w:tc>
          <w:tcPr>
            <w:tcW w:w="1907" w:type="pct"/>
            <w:shd w:val="clear" w:color="auto" w:fill="auto"/>
            <w:noWrap/>
            <w:vAlign w:val="bottom"/>
          </w:tcPr>
          <w:p w14:paraId="672E8BB2" w14:textId="77777777" w:rsidR="001A395C" w:rsidRPr="00F5596D" w:rsidRDefault="001A395C" w:rsidP="001A395C">
            <w:pPr>
              <w:spacing w:after="0" w:line="240" w:lineRule="auto"/>
              <w:ind w:left="924" w:hanging="357"/>
              <w:rPr>
                <w:rFonts w:cstheme="minorHAnsi"/>
                <w:color w:val="002060"/>
                <w:sz w:val="18"/>
                <w:lang w:val="sr-Cyrl-CS"/>
              </w:rPr>
            </w:pPr>
            <w:r w:rsidRPr="00F5596D">
              <w:rPr>
                <w:rFonts w:cstheme="minorHAnsi"/>
                <w:color w:val="002060"/>
                <w:sz w:val="18"/>
                <w:lang w:val="sr-Cyrl-CS"/>
              </w:rPr>
              <w:t>Немачка</w:t>
            </w:r>
          </w:p>
        </w:tc>
        <w:tc>
          <w:tcPr>
            <w:tcW w:w="499" w:type="pct"/>
            <w:shd w:val="clear" w:color="auto" w:fill="auto"/>
            <w:noWrap/>
            <w:vAlign w:val="center"/>
          </w:tcPr>
          <w:p w14:paraId="7FB225F2"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2,5</w:t>
            </w:r>
          </w:p>
        </w:tc>
        <w:tc>
          <w:tcPr>
            <w:tcW w:w="659" w:type="pct"/>
            <w:shd w:val="clear" w:color="auto" w:fill="auto"/>
            <w:noWrap/>
            <w:vAlign w:val="center"/>
          </w:tcPr>
          <w:p w14:paraId="70669F89"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2,4</w:t>
            </w:r>
          </w:p>
        </w:tc>
        <w:tc>
          <w:tcPr>
            <w:tcW w:w="663" w:type="pct"/>
            <w:shd w:val="clear" w:color="auto" w:fill="auto"/>
            <w:noWrap/>
            <w:vAlign w:val="center"/>
          </w:tcPr>
          <w:p w14:paraId="2C0336E5"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1,9</w:t>
            </w:r>
          </w:p>
        </w:tc>
        <w:tc>
          <w:tcPr>
            <w:tcW w:w="634" w:type="pct"/>
            <w:shd w:val="clear" w:color="auto" w:fill="auto"/>
            <w:noWrap/>
            <w:vAlign w:val="center"/>
          </w:tcPr>
          <w:p w14:paraId="125DA6DE"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2,1</w:t>
            </w:r>
          </w:p>
        </w:tc>
        <w:tc>
          <w:tcPr>
            <w:tcW w:w="638" w:type="pct"/>
          </w:tcPr>
          <w:p w14:paraId="2DD7448D"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1,9</w:t>
            </w:r>
          </w:p>
        </w:tc>
      </w:tr>
      <w:tr w:rsidR="001A395C" w:rsidRPr="00F5596D" w14:paraId="1BF90F18" w14:textId="77777777" w:rsidTr="001A395C">
        <w:trPr>
          <w:trHeight w:val="172"/>
          <w:jc w:val="center"/>
        </w:trPr>
        <w:tc>
          <w:tcPr>
            <w:tcW w:w="1907" w:type="pct"/>
            <w:shd w:val="clear" w:color="auto" w:fill="auto"/>
            <w:noWrap/>
            <w:vAlign w:val="bottom"/>
          </w:tcPr>
          <w:p w14:paraId="28B98C4C" w14:textId="77777777" w:rsidR="001A395C" w:rsidRPr="00F5596D" w:rsidRDefault="001A395C" w:rsidP="001A395C">
            <w:pPr>
              <w:spacing w:after="0" w:line="240" w:lineRule="auto"/>
              <w:ind w:left="924" w:hanging="357"/>
              <w:rPr>
                <w:rFonts w:cstheme="minorHAnsi"/>
                <w:color w:val="002060"/>
                <w:sz w:val="18"/>
                <w:lang w:val="sr-Cyrl-CS"/>
              </w:rPr>
            </w:pPr>
            <w:r w:rsidRPr="00F5596D">
              <w:rPr>
                <w:rFonts w:cstheme="minorHAnsi"/>
                <w:color w:val="002060"/>
                <w:sz w:val="18"/>
                <w:lang w:val="sr-Cyrl-CS"/>
              </w:rPr>
              <w:t>Италија</w:t>
            </w:r>
          </w:p>
        </w:tc>
        <w:tc>
          <w:tcPr>
            <w:tcW w:w="499" w:type="pct"/>
            <w:shd w:val="clear" w:color="auto" w:fill="auto"/>
            <w:noWrap/>
            <w:vAlign w:val="center"/>
          </w:tcPr>
          <w:p w14:paraId="714805F7"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1,1</w:t>
            </w:r>
          </w:p>
        </w:tc>
        <w:tc>
          <w:tcPr>
            <w:tcW w:w="659" w:type="pct"/>
            <w:shd w:val="clear" w:color="auto" w:fill="auto"/>
            <w:noWrap/>
            <w:vAlign w:val="center"/>
          </w:tcPr>
          <w:p w14:paraId="7319C412"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1,8</w:t>
            </w:r>
          </w:p>
        </w:tc>
        <w:tc>
          <w:tcPr>
            <w:tcW w:w="663" w:type="pct"/>
            <w:shd w:val="clear" w:color="auto" w:fill="auto"/>
            <w:noWrap/>
            <w:vAlign w:val="center"/>
          </w:tcPr>
          <w:p w14:paraId="3E83E3B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1,5</w:t>
            </w:r>
          </w:p>
        </w:tc>
        <w:tc>
          <w:tcPr>
            <w:tcW w:w="634" w:type="pct"/>
            <w:shd w:val="clear" w:color="auto" w:fill="auto"/>
            <w:noWrap/>
            <w:vAlign w:val="center"/>
          </w:tcPr>
          <w:p w14:paraId="64C4DDF1"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1,9</w:t>
            </w:r>
          </w:p>
        </w:tc>
        <w:tc>
          <w:tcPr>
            <w:tcW w:w="638" w:type="pct"/>
          </w:tcPr>
          <w:p w14:paraId="6F83524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1,7</w:t>
            </w:r>
          </w:p>
        </w:tc>
      </w:tr>
      <w:tr w:rsidR="001A395C" w:rsidRPr="00F5596D" w14:paraId="067DED27" w14:textId="77777777" w:rsidTr="001A395C">
        <w:trPr>
          <w:trHeight w:val="172"/>
          <w:jc w:val="center"/>
        </w:trPr>
        <w:tc>
          <w:tcPr>
            <w:tcW w:w="1907" w:type="pct"/>
            <w:shd w:val="clear" w:color="auto" w:fill="auto"/>
            <w:noWrap/>
            <w:vAlign w:val="bottom"/>
          </w:tcPr>
          <w:p w14:paraId="3CC4CB55" w14:textId="77777777" w:rsidR="001A395C" w:rsidRPr="00F5596D" w:rsidRDefault="001A395C" w:rsidP="001A395C">
            <w:pPr>
              <w:spacing w:after="0" w:line="240" w:lineRule="auto"/>
              <w:rPr>
                <w:rFonts w:cstheme="minorHAnsi"/>
                <w:color w:val="002060"/>
                <w:sz w:val="18"/>
                <w:lang w:val="sr-Cyrl-CS"/>
              </w:rPr>
            </w:pPr>
            <w:r w:rsidRPr="00F5596D">
              <w:rPr>
                <w:rFonts w:cstheme="minorHAnsi"/>
                <w:color w:val="002060"/>
                <w:sz w:val="18"/>
                <w:lang w:val="sr-Cyrl-CS"/>
              </w:rPr>
              <w:t>Стопа незапослености, %</w:t>
            </w:r>
          </w:p>
        </w:tc>
        <w:tc>
          <w:tcPr>
            <w:tcW w:w="499" w:type="pct"/>
            <w:shd w:val="clear" w:color="auto" w:fill="auto"/>
            <w:noWrap/>
            <w:vAlign w:val="center"/>
          </w:tcPr>
          <w:p w14:paraId="64B95DE2"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6,4</w:t>
            </w:r>
          </w:p>
        </w:tc>
        <w:tc>
          <w:tcPr>
            <w:tcW w:w="659" w:type="pct"/>
            <w:shd w:val="clear" w:color="auto" w:fill="auto"/>
            <w:noWrap/>
            <w:vAlign w:val="center"/>
          </w:tcPr>
          <w:p w14:paraId="3653976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6,3</w:t>
            </w:r>
          </w:p>
        </w:tc>
        <w:tc>
          <w:tcPr>
            <w:tcW w:w="663" w:type="pct"/>
            <w:shd w:val="clear" w:color="auto" w:fill="auto"/>
            <w:noWrap/>
            <w:vAlign w:val="center"/>
          </w:tcPr>
          <w:p w14:paraId="3FE4C86D"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6,1</w:t>
            </w:r>
          </w:p>
        </w:tc>
        <w:tc>
          <w:tcPr>
            <w:tcW w:w="634" w:type="pct"/>
            <w:shd w:val="clear" w:color="auto" w:fill="auto"/>
            <w:noWrap/>
            <w:vAlign w:val="center"/>
          </w:tcPr>
          <w:p w14:paraId="46E9CE4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6,3</w:t>
            </w:r>
          </w:p>
        </w:tc>
        <w:tc>
          <w:tcPr>
            <w:tcW w:w="638" w:type="pct"/>
          </w:tcPr>
          <w:p w14:paraId="129C0524"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6,3</w:t>
            </w:r>
          </w:p>
        </w:tc>
      </w:tr>
      <w:tr w:rsidR="001A395C" w:rsidRPr="00F5596D" w14:paraId="5547945D" w14:textId="77777777" w:rsidTr="001A395C">
        <w:trPr>
          <w:trHeight w:val="172"/>
          <w:jc w:val="center"/>
        </w:trPr>
        <w:tc>
          <w:tcPr>
            <w:tcW w:w="1907" w:type="pct"/>
            <w:shd w:val="clear" w:color="auto" w:fill="auto"/>
            <w:noWrap/>
            <w:vAlign w:val="bottom"/>
          </w:tcPr>
          <w:p w14:paraId="27FFB80D" w14:textId="0D7EAD78" w:rsidR="001A395C" w:rsidRPr="00F5596D" w:rsidRDefault="001A395C" w:rsidP="00337F06">
            <w:pPr>
              <w:spacing w:after="0" w:line="240" w:lineRule="auto"/>
              <w:rPr>
                <w:rFonts w:cstheme="minorHAnsi"/>
                <w:color w:val="002060"/>
                <w:sz w:val="18"/>
                <w:lang w:val="sr-Cyrl-CS"/>
              </w:rPr>
            </w:pPr>
            <w:r w:rsidRPr="00F5596D">
              <w:rPr>
                <w:rFonts w:cstheme="minorHAnsi"/>
                <w:color w:val="002060"/>
                <w:sz w:val="18"/>
                <w:lang w:val="sr-Cyrl-CS"/>
              </w:rPr>
              <w:t xml:space="preserve">Фискални резултат </w:t>
            </w:r>
            <w:r w:rsidR="00337F06" w:rsidRPr="00F5596D">
              <w:rPr>
                <w:rFonts w:cstheme="minorHAnsi"/>
                <w:color w:val="002060"/>
                <w:sz w:val="18"/>
                <w:lang w:val="sr-Cyrl-CS"/>
              </w:rPr>
              <w:t>сектора</w:t>
            </w:r>
            <w:r w:rsidRPr="00F5596D">
              <w:rPr>
                <w:rFonts w:cstheme="minorHAnsi"/>
                <w:color w:val="002060"/>
                <w:sz w:val="18"/>
                <w:lang w:val="sr-Cyrl-CS"/>
              </w:rPr>
              <w:t xml:space="preserve"> државе, % БДП</w:t>
            </w:r>
          </w:p>
        </w:tc>
        <w:tc>
          <w:tcPr>
            <w:tcW w:w="499" w:type="pct"/>
            <w:shd w:val="clear" w:color="auto" w:fill="auto"/>
            <w:noWrap/>
            <w:vAlign w:val="center"/>
          </w:tcPr>
          <w:p w14:paraId="18449E1F"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-3,1</w:t>
            </w:r>
          </w:p>
        </w:tc>
        <w:tc>
          <w:tcPr>
            <w:tcW w:w="659" w:type="pct"/>
            <w:shd w:val="clear" w:color="auto" w:fill="auto"/>
            <w:noWrap/>
            <w:vAlign w:val="center"/>
          </w:tcPr>
          <w:p w14:paraId="1B72C51C"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-3,2</w:t>
            </w:r>
          </w:p>
        </w:tc>
        <w:tc>
          <w:tcPr>
            <w:tcW w:w="663" w:type="pct"/>
            <w:shd w:val="clear" w:color="auto" w:fill="auto"/>
            <w:noWrap/>
            <w:vAlign w:val="center"/>
          </w:tcPr>
          <w:p w14:paraId="1D007F57"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-3,3</w:t>
            </w:r>
          </w:p>
        </w:tc>
        <w:tc>
          <w:tcPr>
            <w:tcW w:w="634" w:type="pct"/>
            <w:shd w:val="clear" w:color="auto" w:fill="auto"/>
            <w:noWrap/>
            <w:vAlign w:val="center"/>
          </w:tcPr>
          <w:p w14:paraId="372200FA"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-2,9</w:t>
            </w:r>
          </w:p>
        </w:tc>
        <w:tc>
          <w:tcPr>
            <w:tcW w:w="638" w:type="pct"/>
          </w:tcPr>
          <w:p w14:paraId="2E8C3E87"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-2,8</w:t>
            </w:r>
          </w:p>
        </w:tc>
      </w:tr>
      <w:tr w:rsidR="001A395C" w:rsidRPr="00F5596D" w14:paraId="1247DBCA" w14:textId="77777777" w:rsidTr="001A395C">
        <w:trPr>
          <w:trHeight w:val="172"/>
          <w:jc w:val="center"/>
        </w:trPr>
        <w:tc>
          <w:tcPr>
            <w:tcW w:w="1907" w:type="pct"/>
            <w:shd w:val="clear" w:color="auto" w:fill="auto"/>
            <w:noWrap/>
            <w:vAlign w:val="bottom"/>
          </w:tcPr>
          <w:p w14:paraId="36138D07" w14:textId="0BBAABBF" w:rsidR="001A395C" w:rsidRPr="00F5596D" w:rsidRDefault="001A395C" w:rsidP="00337F06">
            <w:pPr>
              <w:spacing w:after="0" w:line="240" w:lineRule="auto"/>
              <w:rPr>
                <w:rFonts w:cstheme="minorHAnsi"/>
                <w:color w:val="002060"/>
                <w:sz w:val="18"/>
                <w:lang w:val="sr-Cyrl-CS"/>
              </w:rPr>
            </w:pPr>
            <w:r w:rsidRPr="00F5596D">
              <w:rPr>
                <w:rFonts w:cstheme="minorHAnsi"/>
                <w:color w:val="002060"/>
                <w:sz w:val="18"/>
                <w:lang w:val="sr-Cyrl-CS"/>
              </w:rPr>
              <w:t xml:space="preserve">Бруто дуг </w:t>
            </w:r>
            <w:r w:rsidR="00337F06" w:rsidRPr="00F5596D">
              <w:rPr>
                <w:rFonts w:cstheme="minorHAnsi"/>
                <w:color w:val="002060"/>
                <w:sz w:val="18"/>
                <w:lang w:val="sr-Cyrl-CS"/>
              </w:rPr>
              <w:t>сектора</w:t>
            </w:r>
            <w:r w:rsidRPr="00F5596D">
              <w:rPr>
                <w:rFonts w:cstheme="minorHAnsi"/>
                <w:color w:val="002060"/>
                <w:sz w:val="18"/>
                <w:lang w:val="sr-Cyrl-CS"/>
              </w:rPr>
              <w:t xml:space="preserve"> државе, % БДП</w:t>
            </w:r>
          </w:p>
        </w:tc>
        <w:tc>
          <w:tcPr>
            <w:tcW w:w="499" w:type="pct"/>
            <w:shd w:val="clear" w:color="auto" w:fill="auto"/>
            <w:noWrap/>
            <w:vAlign w:val="center"/>
          </w:tcPr>
          <w:p w14:paraId="271605D5"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88,9</w:t>
            </w:r>
          </w:p>
        </w:tc>
        <w:tc>
          <w:tcPr>
            <w:tcW w:w="659" w:type="pct"/>
            <w:shd w:val="clear" w:color="auto" w:fill="auto"/>
            <w:noWrap/>
            <w:vAlign w:val="center"/>
          </w:tcPr>
          <w:p w14:paraId="12EA9060"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89,9</w:t>
            </w:r>
          </w:p>
        </w:tc>
        <w:tc>
          <w:tcPr>
            <w:tcW w:w="663" w:type="pct"/>
            <w:shd w:val="clear" w:color="auto" w:fill="auto"/>
            <w:noWrap/>
            <w:vAlign w:val="center"/>
          </w:tcPr>
          <w:p w14:paraId="4BB17E1A"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91,0</w:t>
            </w:r>
          </w:p>
        </w:tc>
        <w:tc>
          <w:tcPr>
            <w:tcW w:w="634" w:type="pct"/>
            <w:shd w:val="clear" w:color="auto" w:fill="auto"/>
            <w:noWrap/>
            <w:vAlign w:val="center"/>
          </w:tcPr>
          <w:p w14:paraId="733F935E"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89,6</w:t>
            </w:r>
          </w:p>
        </w:tc>
        <w:tc>
          <w:tcPr>
            <w:tcW w:w="638" w:type="pct"/>
          </w:tcPr>
          <w:p w14:paraId="69057AE0" w14:textId="77777777" w:rsidR="001A395C" w:rsidRPr="00F5596D" w:rsidRDefault="001A395C" w:rsidP="001A395C">
            <w:pPr>
              <w:spacing w:after="0" w:line="240" w:lineRule="auto"/>
              <w:jc w:val="center"/>
              <w:rPr>
                <w:rFonts w:cstheme="minorHAnsi"/>
                <w:color w:val="002060"/>
                <w:sz w:val="18"/>
                <w:lang w:val="sr-Cyrl-CS"/>
              </w:rPr>
            </w:pPr>
            <w:r w:rsidRPr="00F5596D">
              <w:rPr>
                <w:rFonts w:cstheme="minorHAnsi"/>
                <w:color w:val="002060"/>
                <w:sz w:val="18"/>
                <w:lang w:val="sr-Cyrl-CS"/>
              </w:rPr>
              <w:t>90,0</w:t>
            </w:r>
          </w:p>
        </w:tc>
      </w:tr>
      <w:tr w:rsidR="001A395C" w:rsidRPr="00F5596D" w14:paraId="261B7B73" w14:textId="77777777" w:rsidTr="001A395C">
        <w:trPr>
          <w:trHeight w:val="172"/>
          <w:jc w:val="center"/>
        </w:trPr>
        <w:tc>
          <w:tcPr>
            <w:tcW w:w="5000" w:type="pct"/>
            <w:gridSpan w:val="6"/>
            <w:tcBorders>
              <w:top w:val="single" w:sz="4" w:space="0" w:color="002060"/>
            </w:tcBorders>
            <w:shd w:val="clear" w:color="auto" w:fill="auto"/>
            <w:noWrap/>
            <w:vAlign w:val="bottom"/>
          </w:tcPr>
          <w:p w14:paraId="69C783E3" w14:textId="77777777" w:rsidR="001A395C" w:rsidRPr="00F5596D" w:rsidRDefault="001A395C" w:rsidP="001A395C">
            <w:pPr>
              <w:spacing w:after="0" w:line="240" w:lineRule="auto"/>
              <w:rPr>
                <w:rFonts w:cstheme="minorHAnsi"/>
                <w:color w:val="44546A"/>
                <w:sz w:val="14"/>
                <w:lang w:val="sr-Cyrl-CS"/>
              </w:rPr>
            </w:pPr>
            <w:r w:rsidRPr="00F5596D">
              <w:rPr>
                <w:rFonts w:cstheme="minorHAnsi"/>
                <w:color w:val="44546A"/>
                <w:sz w:val="14"/>
                <w:lang w:val="sr-Cyrl-CS"/>
              </w:rPr>
              <w:t>Извор: ЕК, пролећне пројекције, мај 2025. године</w:t>
            </w:r>
          </w:p>
        </w:tc>
      </w:tr>
    </w:tbl>
    <w:p w14:paraId="075BB868" w14:textId="77777777" w:rsidR="001A395C" w:rsidRPr="00F5596D" w:rsidRDefault="001A395C" w:rsidP="001A395C">
      <w:pPr>
        <w:rPr>
          <w:rFonts w:ascii="Calibri" w:eastAsia="Calibri" w:hAnsi="Calibri" w:cs="Times New Roman"/>
          <w:b/>
          <w:color w:val="FF0000"/>
          <w:lang w:val="sr-Cyrl-CS"/>
        </w:rPr>
        <w:sectPr w:rsidR="001A395C" w:rsidRPr="00F5596D" w:rsidSect="001A395C">
          <w:footerReference w:type="default" r:id="rId33"/>
          <w:type w:val="continuous"/>
          <w:pgSz w:w="12240" w:h="15840" w:code="1"/>
          <w:pgMar w:top="1440" w:right="1440" w:bottom="1440" w:left="1440" w:header="720" w:footer="720" w:gutter="0"/>
          <w:cols w:space="720"/>
          <w:docGrid w:linePitch="360"/>
        </w:sectPr>
      </w:pPr>
    </w:p>
    <w:p w14:paraId="64BE2826" w14:textId="77777777" w:rsidR="001A395C" w:rsidRPr="00F5596D" w:rsidRDefault="001A395C" w:rsidP="001A395C">
      <w:pPr>
        <w:rPr>
          <w:lang w:val="sr-Cyrl-CS"/>
        </w:rPr>
      </w:pPr>
      <w:r w:rsidRPr="00F5596D">
        <w:rPr>
          <w:lang w:val="sr-Cyrl-CS"/>
        </w:rPr>
        <w:t>Иако је привредни раст еврозоне у 2024. години био скроман, он је ипак подржао даљи раст запослености. Међутим, након периода интензивног раста запослености у претходним годинама, динамика раста запослености показује знаке успоравања и очекује се да ће се постепено стабилизовати у наредном периоду. Према проценама, укупан број запослених ће се повећати за око 1% кумулативно у периоду 2025–2026, што је нешто мање од ранијих, јесењих пројекција. Са умереним растом понуде радне снаге, пројектује се да ће стопа незапослености у еврозони у 2026. години износити 6,1%. Ови резултати указују на снажно и отпорно тржиште рада, упркос изазовном економском амбијенту.</w:t>
      </w:r>
    </w:p>
    <w:p w14:paraId="6E1726BF" w14:textId="77777777" w:rsidR="001A395C" w:rsidRPr="00F5596D" w:rsidRDefault="001A395C" w:rsidP="001A395C">
      <w:pPr>
        <w:rPr>
          <w:lang w:val="sr-Cyrl-CS"/>
        </w:rPr>
      </w:pPr>
      <w:r w:rsidRPr="00F5596D">
        <w:rPr>
          <w:lang w:val="sr-Cyrl-CS"/>
        </w:rPr>
        <w:t xml:space="preserve">Силазни тренд инфлације настављен је током 2024. и 2025. године, а очекује се и даље постепено успоравање инфлаторних притисака у наредном периоду. На ублажавање инфлације утичу бројни фактори, а пре свега, значајно ниже цене енергената. Истовремено, појачана конкуренција у области добара ван енергетског сектора, као последица промена у трговини између САД и Кине, резултира падом цена тих производа на тржишту ЕУ. Додатно, апрецијација евра и других валута земаља чланица ЕУ у односу на друге глобалне валуте појачава дезинфлаторне притиске кроз снижавање увозних цена. С друге стране, умерено убрзање инфлације у категоријама хране и услуга делује у супротном </w:t>
      </w:r>
      <w:r w:rsidRPr="00F5596D">
        <w:rPr>
          <w:lang w:val="sr-Cyrl-CS"/>
        </w:rPr>
        <w:t xml:space="preserve">смеру, али без значајнијег утицаја на општи тренд успоравања инфлације. У складу с тим, очекује се да ће укупна инфлација у еврозони опасти са 2,4% у 2024. години на 2,1% у 2025. и 1,7% у 2026. години. </w:t>
      </w:r>
    </w:p>
    <w:p w14:paraId="093671A4" w14:textId="2DF4B59B" w:rsidR="001A395C" w:rsidRPr="00F5596D" w:rsidRDefault="001A395C" w:rsidP="001A395C">
      <w:pPr>
        <w:rPr>
          <w:lang w:val="sr-Cyrl-CS"/>
        </w:rPr>
      </w:pPr>
      <w:r w:rsidRPr="00F5596D">
        <w:rPr>
          <w:lang w:val="sr-Cyrl-CS"/>
        </w:rPr>
        <w:t>Европска централна банка (у даљем тексту: ЕЦБ) наставила је са смањивањем каматних стопа, будући да је процес дезинфлације остао у складу са очекивањима, а и укупна и базна инфлација наставиле су да се приближавају циљаном нивоу. Од јуна 2024. године, када је започет циклус попуштања монетар</w:t>
      </w:r>
      <w:r w:rsidR="008C7C71" w:rsidRPr="00F5596D">
        <w:rPr>
          <w:lang w:val="sr-Cyrl-CS"/>
        </w:rPr>
        <w:t>не политике, ЕЦБ је укупно осам</w:t>
      </w:r>
      <w:r w:rsidRPr="00F5596D">
        <w:rPr>
          <w:lang w:val="sr-Cyrl-CS"/>
        </w:rPr>
        <w:t xml:space="preserve"> пута снижавала референтну каматну с</w:t>
      </w:r>
      <w:r w:rsidR="008C7C71" w:rsidRPr="00F5596D">
        <w:rPr>
          <w:lang w:val="sr-Cyrl-CS"/>
        </w:rPr>
        <w:t>топу, смањујући је за укупно 235</w:t>
      </w:r>
      <w:r w:rsidRPr="00F5596D">
        <w:rPr>
          <w:lang w:val="sr-Cyrl-CS"/>
        </w:rPr>
        <w:t xml:space="preserve"> базних поена. До </w:t>
      </w:r>
      <w:r w:rsidR="008C7C71" w:rsidRPr="00F5596D">
        <w:rPr>
          <w:lang w:val="sr-Cyrl-CS"/>
        </w:rPr>
        <w:t>јуна</w:t>
      </w:r>
      <w:r w:rsidRPr="00F5596D">
        <w:rPr>
          <w:lang w:val="sr-Cyrl-CS"/>
        </w:rPr>
        <w:t xml:space="preserve"> 2025. године, рефере</w:t>
      </w:r>
      <w:r w:rsidR="008C7C71" w:rsidRPr="00F5596D">
        <w:rPr>
          <w:lang w:val="sr-Cyrl-CS"/>
        </w:rPr>
        <w:t>нтна стопа је снижена на 2,15</w:t>
      </w:r>
      <w:r w:rsidRPr="00F5596D">
        <w:rPr>
          <w:lang w:val="sr-Cyrl-CS"/>
        </w:rPr>
        <w:t>%. У наредном периоду, ЕЦБ ће наставити да пажљиво прати економска и инфлаторна кретања, те ће у складу с тим доносити одлуке о даљој динамици монетарне политике, са циљем да се обезбеди благовремена и стабилна нормализација инфлације ка нивоу од 2,0% у средњем року.</w:t>
      </w:r>
    </w:p>
    <w:p w14:paraId="08B2449F" w14:textId="13A5490F" w:rsidR="001A395C" w:rsidRPr="00F5596D" w:rsidRDefault="001A395C" w:rsidP="001A395C">
      <w:pPr>
        <w:rPr>
          <w:lang w:val="sr-Cyrl-CS"/>
        </w:rPr>
      </w:pPr>
      <w:r w:rsidRPr="00F5596D">
        <w:rPr>
          <w:lang w:val="sr-Cyrl-CS"/>
        </w:rPr>
        <w:t>Након умерено рестриктивне фискалне политике током 2024. године,</w:t>
      </w:r>
      <w:r w:rsidRPr="00F5596D">
        <w:rPr>
          <w:rFonts w:ascii="Calibri" w:eastAsia="Calibri" w:hAnsi="Calibri" w:cs="Times New Roman"/>
          <w:color w:val="44546A"/>
          <w:lang w:val="sr-Cyrl-CS"/>
        </w:rPr>
        <w:t xml:space="preserve"> условљене повлачењем већине мера подршке нарочито оних за ублажавање последица раста цена енергената,</w:t>
      </w:r>
      <w:r w:rsidRPr="00F5596D">
        <w:rPr>
          <w:lang w:val="sr-Cyrl-CS"/>
        </w:rPr>
        <w:t xml:space="preserve"> пројектује се углавном неутрална фискална позиција у 2025. и 2026. години. Након што је фискални дефицит </w:t>
      </w:r>
      <w:r w:rsidR="00337F06" w:rsidRPr="00F5596D">
        <w:rPr>
          <w:lang w:val="sr-Cyrl-CS"/>
        </w:rPr>
        <w:t>сектора</w:t>
      </w:r>
      <w:r w:rsidRPr="00F5596D">
        <w:rPr>
          <w:lang w:val="sr-Cyrl-CS"/>
        </w:rPr>
        <w:t xml:space="preserve"> државе у 2024. години смањен на 3,1% БДП очекује се да ће у 2025. и </w:t>
      </w:r>
      <w:r w:rsidRPr="00F5596D">
        <w:rPr>
          <w:lang w:val="sr-Cyrl-CS"/>
        </w:rPr>
        <w:lastRenderedPageBreak/>
        <w:t>2026. години уследити његово даље повећање од по 0,1 п.п. Чињеница да буџетски дефицит еврозоне остаје изнад 3% БДП током целог периода пројекције указује на ограничену фискалну маневарску способност. Јавни дуг након стабилизације у претходном периоду поново улази у растућу путању, достижући 91,0% БДП у 2026. години, при чему ће пет држава чланица забележити ниво дуга већи од 100% БДП. Ово је последица константних примарних дефицита, раста каматних плаћања и неповољног односа каматних стопа и привредног раста. Упркос ограниченом обиму дискреционих мера, пројекције указују на потребу за опрезним вођењем фискалне политике, како би се очувао простор за деловање у случају нових економских шокова, посебно у условима повећане неизвесности и потенцијално већих издатака за одбрану и енергетску трансформацију.</w:t>
      </w:r>
    </w:p>
    <w:p w14:paraId="39FF4966" w14:textId="04ACEADF" w:rsidR="001A395C" w:rsidRPr="00F5596D" w:rsidRDefault="001A395C" w:rsidP="001A395C">
      <w:pPr>
        <w:rPr>
          <w:lang w:val="sr-Cyrl-CS"/>
        </w:rPr>
      </w:pPr>
      <w:r w:rsidRPr="00F5596D">
        <w:rPr>
          <w:lang w:val="sr-Cyrl-CS"/>
        </w:rPr>
        <w:t xml:space="preserve">Остварење пројекција прати изражен степен ризика и неизвесности, пре свега у вези са будућим развојем трговинских односа, режимом тарифа и царина, као и геополитичким кретањима. Највећу неизвесност представља исход ситуације у вези са тренутно суспендованим високим тарифама. Уколико би оне поново биле активиране, то би могло значајно да утиче на привредни раст еврозоне и ЕУ, посебно услед пада поверења потрошача и инвеститора. Наставак или ескалација трговинских тензија довела би до </w:t>
      </w:r>
      <w:r w:rsidRPr="00F5596D">
        <w:rPr>
          <w:lang w:val="sr-Cyrl-CS"/>
        </w:rPr>
        <w:t>дуготрајне финансијске нестабилности, што би могло да изазове негативне преливајуће ефекте и системски утицати на доступност кредита и укупну економску активност. У том контексту, поновни раст инфлације у САД, као последица поремећаја на страни понуде изазван тарифама, могао би да има глобалне импликације, јер би ФЕД могао да паузира или чак преокрене тренутни циклус монетарног попуштања. Поред економских и трговинских ризика, материјализација климатских промена и екстремних временских непогода остаје сталан и све присутнији извор нестабилности, са потенцијално снажним утицајем на пољопривреду, снабдевање храном, енергетски сектор и дугорочне инвестиције. С друге стране, одређена дешавања указују и на могућност позитивних исхода. Преговори које САД воде са кључним трговинским партнерима могли би да резултирају ублажавањем тензија. Позитиван сигнал у том смеру представља трговински споразум између САД и Кине од 12. маја, којим су царине смањене на 30% за кинески извоз у САД и 10% за амерички извоз у Кину. Неповољно глобално окружење могло би подстаћи Европску унију да интензивира унутрашње реформе и колективно одговори на изазове, као и да убрза преговоре о трговинским споразумима са другим кључним економијама, чиме би ојачала своју економску и политичку позицију на глобалном нивоу.</w:t>
      </w:r>
    </w:p>
    <w:p w14:paraId="0AB32DCC" w14:textId="77777777" w:rsidR="00336BC5" w:rsidRPr="00F5596D" w:rsidRDefault="00336BC5" w:rsidP="001A395C">
      <w:pPr>
        <w:rPr>
          <w:lang w:val="sr-Cyrl-CS"/>
        </w:rPr>
        <w:sectPr w:rsidR="00336BC5" w:rsidRPr="00F5596D" w:rsidSect="00336BC5">
          <w:headerReference w:type="default" r:id="rId34"/>
          <w:footerReference w:type="default" r:id="rId35"/>
          <w:headerReference w:type="first" r:id="rId36"/>
          <w:type w:val="continuous"/>
          <w:pgSz w:w="12240" w:h="15840" w:code="1"/>
          <w:pgMar w:top="1440" w:right="1440" w:bottom="1440" w:left="1440" w:header="720" w:footer="720" w:gutter="0"/>
          <w:cols w:num="2" w:space="720"/>
          <w:docGrid w:linePitch="360"/>
        </w:sectPr>
      </w:pPr>
    </w:p>
    <w:p w14:paraId="78BB2FB2" w14:textId="495CDDBB" w:rsidR="001A395C" w:rsidRPr="00F5596D" w:rsidRDefault="001A395C" w:rsidP="001A395C">
      <w:pPr>
        <w:rPr>
          <w:lang w:val="sr-Cyrl-CS"/>
        </w:rPr>
      </w:pPr>
    </w:p>
    <w:p w14:paraId="395FC54F" w14:textId="7F1BF840" w:rsidR="001A395C" w:rsidRPr="00F5596D" w:rsidRDefault="001A395C" w:rsidP="001A395C">
      <w:pPr>
        <w:rPr>
          <w:lang w:val="sr-Cyrl-CS"/>
        </w:rPr>
      </w:pPr>
    </w:p>
    <w:p w14:paraId="6F0FA2A3" w14:textId="4234256A" w:rsidR="001A395C" w:rsidRPr="00F5596D" w:rsidRDefault="001A395C" w:rsidP="001A395C">
      <w:pPr>
        <w:rPr>
          <w:lang w:val="sr-Cyrl-CS"/>
        </w:rPr>
      </w:pPr>
    </w:p>
    <w:p w14:paraId="658C3C08" w14:textId="5D3A18CB" w:rsidR="001A395C" w:rsidRPr="00F5596D" w:rsidRDefault="001A395C" w:rsidP="001A395C">
      <w:pPr>
        <w:rPr>
          <w:lang w:val="sr-Cyrl-CS"/>
        </w:rPr>
      </w:pPr>
    </w:p>
    <w:p w14:paraId="18D607EE" w14:textId="4783DBFC" w:rsidR="001A395C" w:rsidRPr="00F5596D" w:rsidRDefault="001A395C" w:rsidP="001A395C">
      <w:pPr>
        <w:rPr>
          <w:lang w:val="sr-Cyrl-CS"/>
        </w:rPr>
      </w:pPr>
    </w:p>
    <w:p w14:paraId="289B26C5" w14:textId="76C96DF5" w:rsidR="001A395C" w:rsidRPr="00F5596D" w:rsidRDefault="001A395C" w:rsidP="001A395C">
      <w:pPr>
        <w:rPr>
          <w:lang w:val="sr-Cyrl-CS"/>
        </w:rPr>
      </w:pPr>
    </w:p>
    <w:p w14:paraId="288C4A10" w14:textId="3FA1EB9A" w:rsidR="001A395C" w:rsidRPr="00F5596D" w:rsidRDefault="001A395C" w:rsidP="001A395C">
      <w:pPr>
        <w:rPr>
          <w:lang w:val="sr-Cyrl-CS"/>
        </w:rPr>
      </w:pPr>
    </w:p>
    <w:p w14:paraId="41D85314" w14:textId="39B5ED24" w:rsidR="001A395C" w:rsidRPr="00F5596D" w:rsidRDefault="001A395C" w:rsidP="001A395C">
      <w:pPr>
        <w:rPr>
          <w:lang w:val="sr-Cyrl-CS"/>
        </w:rPr>
      </w:pPr>
    </w:p>
    <w:p w14:paraId="1357420B" w14:textId="7F746DF1" w:rsidR="001A395C" w:rsidRPr="00F5596D" w:rsidRDefault="001A395C" w:rsidP="001A395C">
      <w:pPr>
        <w:rPr>
          <w:lang w:val="sr-Cyrl-CS"/>
        </w:rPr>
      </w:pPr>
    </w:p>
    <w:p w14:paraId="30AAA645" w14:textId="30D0ECF8" w:rsidR="001A395C" w:rsidRPr="00F5596D" w:rsidRDefault="001A395C" w:rsidP="001A395C">
      <w:pPr>
        <w:rPr>
          <w:lang w:val="sr-Cyrl-CS"/>
        </w:rPr>
      </w:pPr>
    </w:p>
    <w:p w14:paraId="48811CE9" w14:textId="29513021" w:rsidR="001A395C" w:rsidRPr="00F5596D" w:rsidRDefault="001A395C" w:rsidP="001A395C">
      <w:pPr>
        <w:rPr>
          <w:lang w:val="sr-Cyrl-CS"/>
        </w:rPr>
      </w:pPr>
    </w:p>
    <w:p w14:paraId="768130C9" w14:textId="41484A2C" w:rsidR="00DF3F61" w:rsidRPr="00F5596D" w:rsidRDefault="001A395C" w:rsidP="009306C3">
      <w:pPr>
        <w:pStyle w:val="Heading2"/>
        <w:rPr>
          <w:lang w:val="sr-Cyrl-CS"/>
        </w:rPr>
        <w:sectPr w:rsidR="00DF3F61" w:rsidRPr="00F5596D" w:rsidSect="00DF3F61">
          <w:type w:val="continuous"/>
          <w:pgSz w:w="12240" w:h="15840" w:code="1"/>
          <w:pgMar w:top="1440" w:right="1440" w:bottom="1440" w:left="1440" w:header="720" w:footer="720" w:gutter="0"/>
          <w:cols w:space="720"/>
          <w:docGrid w:linePitch="360"/>
        </w:sectPr>
      </w:pPr>
      <w:bookmarkStart w:id="10" w:name="_Toc530041994"/>
      <w:bookmarkStart w:id="11" w:name="_Toc23342462"/>
      <w:bookmarkStart w:id="12" w:name="_Toc119654142"/>
      <w:bookmarkStart w:id="13" w:name="_Toc135994498"/>
      <w:bookmarkStart w:id="14" w:name="_Toc146277913"/>
      <w:bookmarkStart w:id="15" w:name="_Toc148431266"/>
      <w:bookmarkStart w:id="16" w:name="_Toc171062479"/>
      <w:bookmarkStart w:id="17" w:name="_Toc200117992"/>
      <w:r w:rsidRPr="00F5596D">
        <w:rPr>
          <w:lang w:val="sr-Cyrl-CS"/>
        </w:rPr>
        <w:lastRenderedPageBreak/>
        <w:t>3. Текућа макроекономска кретања у</w:t>
      </w:r>
      <w:bookmarkEnd w:id="10"/>
      <w:bookmarkEnd w:id="11"/>
      <w:bookmarkEnd w:id="12"/>
      <w:bookmarkEnd w:id="13"/>
      <w:bookmarkEnd w:id="14"/>
      <w:bookmarkEnd w:id="15"/>
      <w:bookmarkEnd w:id="16"/>
      <w:r w:rsidR="00DF3F61" w:rsidRPr="00F5596D">
        <w:rPr>
          <w:lang w:val="sr-Cyrl-CS"/>
        </w:rPr>
        <w:t xml:space="preserve"> Републици Србији и изгледи за период 2026-2028. године</w:t>
      </w:r>
      <w:bookmarkEnd w:id="17"/>
    </w:p>
    <w:p w14:paraId="30B69476" w14:textId="541DCB12" w:rsidR="00DF3F61" w:rsidRPr="00F5596D" w:rsidRDefault="00DF3F61" w:rsidP="00DF3F61">
      <w:pPr>
        <w:jc w:val="left"/>
        <w:rPr>
          <w:rFonts w:cstheme="minorHAnsi"/>
          <w:b/>
          <w:sz w:val="24"/>
          <w:lang w:val="sr-Cyrl-CS"/>
        </w:rPr>
        <w:sectPr w:rsidR="00DF3F61" w:rsidRPr="00F5596D" w:rsidSect="00DF3F61">
          <w:type w:val="continuous"/>
          <w:pgSz w:w="12240" w:h="15840" w:code="1"/>
          <w:pgMar w:top="1440" w:right="1440" w:bottom="1440" w:left="1440" w:header="720" w:footer="720" w:gutter="0"/>
          <w:cols w:space="720"/>
          <w:docGrid w:linePitch="360"/>
        </w:sectPr>
      </w:pPr>
      <w:r w:rsidRPr="00F5596D">
        <w:rPr>
          <w:rFonts w:cstheme="minorHAnsi"/>
          <w:noProof/>
          <w:color w:val="FF0000"/>
          <w:sz w:val="22"/>
        </w:rPr>
        <mc:AlternateContent>
          <mc:Choice Requires="wps">
            <w:drawing>
              <wp:anchor distT="0" distB="0" distL="114300" distR="114300" simplePos="0" relativeHeight="251692544" behindDoc="1" locked="0" layoutInCell="1" allowOverlap="1" wp14:anchorId="707A3B81" wp14:editId="774046F1">
                <wp:simplePos x="0" y="0"/>
                <wp:positionH relativeFrom="margin">
                  <wp:posOffset>-182908</wp:posOffset>
                </wp:positionH>
                <wp:positionV relativeFrom="paragraph">
                  <wp:posOffset>93897</wp:posOffset>
                </wp:positionV>
                <wp:extent cx="6334760" cy="7625080"/>
                <wp:effectExtent l="0" t="0" r="8890" b="0"/>
                <wp:wrapNone/>
                <wp:docPr id="65" name="Rectangle 65"/>
                <wp:cNvGraphicFramePr/>
                <a:graphic xmlns:a="http://schemas.openxmlformats.org/drawingml/2006/main">
                  <a:graphicData uri="http://schemas.microsoft.com/office/word/2010/wordprocessingShape">
                    <wps:wsp>
                      <wps:cNvSpPr/>
                      <wps:spPr>
                        <a:xfrm>
                          <a:off x="0" y="0"/>
                          <a:ext cx="6334760" cy="7625080"/>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F42810" id="Rectangle 65" o:spid="_x0000_s1026" style="position:absolute;margin-left:-14.4pt;margin-top:7.4pt;width:498.8pt;height:600.4pt;z-index:-251623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" fillcolor="#d8d8d8 [2732]" stroked="f" strokeweight="1pt">
                <v:fill r:id="rId47" o:title="" color2="white [3212]" type="pattern"/>
                <w10:wrap anchorx="margin"/>
              </v:rect>
            </w:pict>
          </mc:Fallback>
        </mc:AlternateContent>
      </w:r>
    </w:p>
    <w:p w14:paraId="172CD184" w14:textId="42AF24A6" w:rsidR="001A395C" w:rsidRPr="00F5596D" w:rsidRDefault="001A395C" w:rsidP="001A395C">
      <w:pPr>
        <w:rPr>
          <w:rFonts w:cstheme="minorHAnsi"/>
          <w:bCs/>
          <w:color w:val="0070C0"/>
          <w:szCs w:val="72"/>
          <w:lang w:val="sr-Cyrl-CS"/>
        </w:rPr>
      </w:pPr>
      <w:r w:rsidRPr="00F5596D">
        <w:rPr>
          <w:rFonts w:cstheme="minorHAnsi"/>
          <w:bCs/>
          <w:color w:val="0070C0"/>
          <w:szCs w:val="72"/>
          <w:lang w:val="sr-Cyrl-CS"/>
        </w:rPr>
        <w:t>Током претходних неколико година Србија је, као мала и отворена економија, показала изузетну отпорност на изазове различитог карактера. Захваљујући одговорној фискалној и монетарној политици, континуираним инвестицијама у инфраструктуру и дигитализацију, као и спроведеним структурним реформама очувана је макроекономска стабилност, сачувано поверење инвеститора и обезбеђен континуитет у привредном расту.</w:t>
      </w:r>
      <w:r w:rsidRPr="00F5596D">
        <w:rPr>
          <w:lang w:val="sr-Cyrl-CS"/>
        </w:rPr>
        <w:t xml:space="preserve"> </w:t>
      </w:r>
    </w:p>
    <w:p w14:paraId="2D6E6835" w14:textId="6231D73A" w:rsidR="001A395C" w:rsidRPr="00F5596D" w:rsidRDefault="001A395C" w:rsidP="008527D6">
      <w:pPr>
        <w:rPr>
          <w:rFonts w:cstheme="minorHAnsi"/>
          <w:bCs/>
          <w:color w:val="0070C0"/>
          <w:szCs w:val="72"/>
          <w:lang w:val="sr-Cyrl-CS"/>
        </w:rPr>
      </w:pPr>
      <w:r w:rsidRPr="00F5596D">
        <w:rPr>
          <w:rFonts w:cstheme="minorHAnsi"/>
          <w:bCs/>
          <w:color w:val="0070C0"/>
          <w:szCs w:val="72"/>
          <w:lang w:val="sr-Cyrl-CS"/>
        </w:rPr>
        <w:t>Међутим, актуелна дешавања на глобалном и домаћем плану почетком 2025. године нагло су појачала економску неизвесност. На глобалном нивоу, ескалација протекционистичких мера, раст царинских баријера и процеси трговинске фрагментације изнова тестирају отпорност малих и извозно оријентисаних економија, попут Србије. Истовремено, на домаћем плану забележен је нагли пораст друштвено-социјалне нестабилности, што је, кроз појачану неизвесност и опадање економског поверења, негативно утицало на инвестициону и потрошачку активност. Као последица наведених фактора, економска активност је значајно успорила. Иако су основни макроекономски показатељи остали стабилни, раст БДП у првом кварталу 2025. године био је значајно испод очекиваног. Имајући у виду слабије остварене резултате, као и очекиване негативне утицаје глобалних фактора у наредном периоду, пројекција раста БДП за 2025. годину ревидирана је наниже, са ранијих 4,2% на 3,0%. Са друге стране, под утицајем адаптације економије на нове геополитич</w:t>
      </w:r>
      <w:r w:rsidR="00704608" w:rsidRPr="00F5596D">
        <w:rPr>
          <w:rFonts w:cstheme="minorHAnsi"/>
          <w:bCs/>
          <w:color w:val="0070C0"/>
          <w:szCs w:val="72"/>
          <w:lang w:val="sr-Cyrl-CS"/>
        </w:rPr>
        <w:t>к</w:t>
      </w:r>
      <w:r w:rsidRPr="00F5596D">
        <w:rPr>
          <w:rFonts w:cstheme="minorHAnsi"/>
          <w:bCs/>
          <w:color w:val="0070C0"/>
          <w:szCs w:val="72"/>
          <w:lang w:val="sr-Cyrl-CS"/>
        </w:rPr>
        <w:t>е околности, уз постепено ишчезавање негативних економских ефеката изазваних домаћим факторима, као и услед убрзања реализације инфраструктурних пројеката у оквиру програма „Скок у будућност – Србија 2027”, пројектује се убрзање привредног раста у 2026. години на 4,2%.</w:t>
      </w:r>
    </w:p>
    <w:p w14:paraId="7FA07604" w14:textId="2E22F0EA" w:rsidR="001A395C" w:rsidRPr="00F5596D" w:rsidRDefault="001A395C" w:rsidP="008527D6">
      <w:pPr>
        <w:rPr>
          <w:rFonts w:cstheme="minorHAnsi"/>
          <w:bCs/>
          <w:color w:val="0070C0"/>
          <w:szCs w:val="72"/>
          <w:lang w:val="sr-Cyrl-CS"/>
        </w:rPr>
      </w:pPr>
      <w:r w:rsidRPr="00F5596D">
        <w:rPr>
          <w:rFonts w:cstheme="minorHAnsi"/>
          <w:bCs/>
          <w:color w:val="0070C0"/>
          <w:szCs w:val="72"/>
          <w:lang w:val="sr-Cyrl-CS"/>
        </w:rPr>
        <w:t xml:space="preserve">Инфлација се вратила у границе циља 3±1,5% у мају 2024. године, при чему се почетком 2025. године стабилизовала око горње границе циља, а у априлу додатно успорила на 4,0% мг. Очекује се </w:t>
      </w:r>
      <w:r w:rsidRPr="00F5596D">
        <w:rPr>
          <w:rFonts w:cstheme="minorHAnsi"/>
          <w:bCs/>
          <w:color w:val="0070C0"/>
          <w:szCs w:val="72"/>
          <w:lang w:val="sr-Cyrl-CS"/>
        </w:rPr>
        <w:t>да ће се опадајућа путања инфлације наставити и у наредном периоду, тако да би крајем године инфлација требало да се приближи централној вредности циља.</w:t>
      </w:r>
      <w:r w:rsidRPr="00F5596D">
        <w:rPr>
          <w:lang w:val="sr-Cyrl-CS"/>
        </w:rPr>
        <w:t xml:space="preserve"> </w:t>
      </w:r>
      <w:r w:rsidRPr="00F5596D">
        <w:rPr>
          <w:rFonts w:cstheme="minorHAnsi"/>
          <w:bCs/>
          <w:color w:val="0070C0"/>
          <w:szCs w:val="72"/>
          <w:lang w:val="sr-Cyrl-CS"/>
        </w:rPr>
        <w:t>Успорав</w:t>
      </w:r>
      <w:r w:rsidR="003F6001" w:rsidRPr="00F5596D">
        <w:rPr>
          <w:rFonts w:cstheme="minorHAnsi"/>
          <w:bCs/>
          <w:color w:val="0070C0"/>
          <w:szCs w:val="72"/>
          <w:lang w:val="sr-Cyrl-CS"/>
        </w:rPr>
        <w:t xml:space="preserve">ању раста међугодишње инфлације </w:t>
      </w:r>
      <w:r w:rsidRPr="00F5596D">
        <w:rPr>
          <w:rFonts w:cstheme="minorHAnsi"/>
          <w:bCs/>
          <w:color w:val="0070C0"/>
          <w:szCs w:val="72"/>
          <w:lang w:val="sr-Cyrl-CS"/>
        </w:rPr>
        <w:t>допринеће и даље рестриктивни монетарни услови, очекивано ниже светске цене енергената и нижа увозна инфлација, као и долазак нове пољопривредне сезоне (под претпоставком да буде просечна). Буџет сектора државе бележи дефицит у износу од 62,6 милијарди динара у прва четири месеца 2025. године, што је повољнији резултат од планираног, пре свега као последица нижег извршења расхода, док су приходи реализовани у складу са очекивањима,али уз измењену структуру. Имајући у виду планирану динамику јавних инвестиција и других буџетских расхода у наставку године, процењује се да ће се реализација убрзати у наредним месецима, тако да очекивани фискални дефицит за целу годину остаје на нивоу од 3% БДП.</w:t>
      </w:r>
    </w:p>
    <w:p w14:paraId="49DC8392" w14:textId="4D89D9D8" w:rsidR="001A395C" w:rsidRPr="00F5596D" w:rsidRDefault="001A395C" w:rsidP="008527D6">
      <w:pPr>
        <w:rPr>
          <w:rFonts w:cstheme="minorHAnsi"/>
          <w:bCs/>
          <w:color w:val="0070C0"/>
          <w:szCs w:val="72"/>
          <w:lang w:val="sr-Cyrl-CS"/>
        </w:rPr>
        <w:sectPr w:rsidR="001A395C" w:rsidRPr="00F5596D" w:rsidSect="001A395C">
          <w:type w:val="continuous"/>
          <w:pgSz w:w="12240" w:h="15840" w:code="1"/>
          <w:pgMar w:top="1440" w:right="1440" w:bottom="1440" w:left="1440" w:header="720" w:footer="720" w:gutter="0"/>
          <w:cols w:num="2" w:space="720"/>
          <w:docGrid w:linePitch="360"/>
        </w:sectPr>
      </w:pPr>
      <w:r w:rsidRPr="00F5596D">
        <w:rPr>
          <w:rFonts w:cstheme="minorHAnsi"/>
          <w:bCs/>
          <w:color w:val="0070C0"/>
          <w:szCs w:val="72"/>
          <w:lang w:val="sr-Cyrl-CS"/>
        </w:rPr>
        <w:t>Неизвесност присутна код пројекција датих у овом документу и даље је знатно већа од уобичајене, пре свега због природе и обима потенцијалних глобалних шокова. Ге</w:t>
      </w:r>
      <w:r w:rsidR="00F5596D">
        <w:rPr>
          <w:rFonts w:cstheme="minorHAnsi"/>
          <w:bCs/>
          <w:color w:val="0070C0"/>
          <w:szCs w:val="72"/>
          <w:lang w:val="sr-Cyrl-CS"/>
        </w:rPr>
        <w:t>о</w:t>
      </w:r>
      <w:r w:rsidRPr="00F5596D">
        <w:rPr>
          <w:rFonts w:cstheme="minorHAnsi"/>
          <w:bCs/>
          <w:color w:val="0070C0"/>
          <w:szCs w:val="72"/>
          <w:lang w:val="sr-Cyrl-CS"/>
        </w:rPr>
        <w:t>политичка неизвесност и ескалација протекционизма, представљају најзначајније спољне ризике за привреде које се, попут Србије, ослањају на отвореност и интеграцију у глобалне ланце снабдевања. Потенцијално успоравање глобалне трговине и повећање трошкова увођењем нових баријера могло би негативно утицати на извоз, инвестиције и укупну економску активност. Имајући у виду наведене факторе, пројекције дате у овом документу, представљају само један од могућих сценарија, а економска кретања у наредном периоду могла би значајно да одступе од централне путање у зависности од глобалних дешавања. У таквом окружењу, Влада наставља са применом мера усмерених на очување макроекономске стабилности, јачање отпорности привреде и ублажавање утицаја спољних шокова, при чему задржавање опадајућег тренда јавног дуга у БДП остаје главно сидро фискалне политике.</w:t>
      </w:r>
    </w:p>
    <w:p w14:paraId="2BB0454B" w14:textId="77777777" w:rsidR="001A395C" w:rsidRPr="00F5596D" w:rsidRDefault="001A395C" w:rsidP="00B435B3">
      <w:pPr>
        <w:pStyle w:val="NoSpacing"/>
        <w:jc w:val="center"/>
        <w:rPr>
          <w:rFonts w:cstheme="minorHAnsi"/>
          <w:color w:val="002060"/>
          <w:spacing w:val="-6"/>
          <w:lang w:val="sr-Cyrl-CS"/>
        </w:rPr>
      </w:pPr>
      <w:r w:rsidRPr="00F5596D">
        <w:rPr>
          <w:rFonts w:cstheme="minorHAnsi"/>
          <w:color w:val="002060"/>
          <w:spacing w:val="-6"/>
          <w:lang w:val="sr-Cyrl-CS"/>
        </w:rPr>
        <w:lastRenderedPageBreak/>
        <w:t>Ревизија кретања основних макроекономских агрегата у односу на претходну Фискалну стратегију</w:t>
      </w:r>
    </w:p>
    <w:p w14:paraId="245F0C24" w14:textId="77777777" w:rsidR="001A395C" w:rsidRPr="00F5596D" w:rsidRDefault="001A395C" w:rsidP="00B435B3">
      <w:pPr>
        <w:spacing w:after="0"/>
        <w:rPr>
          <w:color w:val="002060"/>
          <w:sz w:val="10"/>
          <w:lang w:val="sr-Cyrl-CS"/>
        </w:rPr>
      </w:pPr>
    </w:p>
    <w:p w14:paraId="6D6175E6" w14:textId="77777777" w:rsidR="001A395C" w:rsidRPr="00F5596D" w:rsidRDefault="001A395C" w:rsidP="00B435B3">
      <w:pPr>
        <w:jc w:val="center"/>
        <w:rPr>
          <w:b/>
          <w:color w:val="002060"/>
          <w:szCs w:val="21"/>
          <w:lang w:val="sr-Cyrl-CS"/>
        </w:rPr>
      </w:pPr>
      <w:r w:rsidRPr="00F5596D">
        <w:rPr>
          <w:b/>
          <w:color w:val="002060"/>
          <w:szCs w:val="21"/>
          <w:lang w:val="sr-Cyrl-CS"/>
        </w:rPr>
        <w:t>Реални раст БДП, %</w:t>
      </w:r>
    </w:p>
    <w:p w14:paraId="4EF4FAEE" w14:textId="77777777" w:rsidR="001A395C" w:rsidRPr="00F5596D" w:rsidRDefault="001A395C" w:rsidP="00B435B3">
      <w:pPr>
        <w:spacing w:after="0"/>
        <w:rPr>
          <w:lang w:val="sr-Cyrl-CS"/>
        </w:rPr>
      </w:pPr>
      <w:r w:rsidRPr="00F5596D">
        <w:rPr>
          <w:lang w:val="sr-Cyrl-CS"/>
        </w:rPr>
        <w:t xml:space="preserve">  </w:t>
      </w:r>
      <w:r w:rsidRPr="00F5596D">
        <w:rPr>
          <w:noProof/>
        </w:rPr>
        <w:drawing>
          <wp:inline distT="0" distB="0" distL="0" distR="0" wp14:anchorId="54E252B3" wp14:editId="098B6FC0">
            <wp:extent cx="1335024" cy="1225296"/>
            <wp:effectExtent l="0" t="0" r="0" b="0"/>
            <wp:docPr id="29" name="Chart 29">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F5596D">
        <w:rPr>
          <w:noProof/>
        </w:rPr>
        <w:drawing>
          <wp:inline distT="0" distB="0" distL="0" distR="0" wp14:anchorId="454AE09B" wp14:editId="64977B90">
            <wp:extent cx="1335024" cy="1225296"/>
            <wp:effectExtent l="0" t="0" r="0" b="0"/>
            <wp:docPr id="30" name="Chart 30">
              <a:extLst xmlns:a="http://schemas.openxmlformats.org/drawingml/2006/main">
                <a:ext uri="{FF2B5EF4-FFF2-40B4-BE49-F238E27FC236}">
                  <a16:creationId xmlns:a16="http://schemas.microsoft.com/office/drawing/2014/main" id="{00000000-0008-0000-0A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74B5866" w14:textId="77777777" w:rsidR="001A395C" w:rsidRPr="00F5596D" w:rsidRDefault="001A395C" w:rsidP="00B435B3">
      <w:pPr>
        <w:spacing w:after="0"/>
        <w:rPr>
          <w:lang w:val="sr-Cyrl-CS"/>
        </w:rPr>
      </w:pPr>
    </w:p>
    <w:p w14:paraId="108B1607" w14:textId="77777777" w:rsidR="001A395C" w:rsidRPr="00F5596D" w:rsidRDefault="001A395C" w:rsidP="001A395C">
      <w:pPr>
        <w:jc w:val="center"/>
        <w:rPr>
          <w:b/>
          <w:color w:val="002060"/>
          <w:szCs w:val="21"/>
          <w:lang w:val="sr-Cyrl-CS"/>
        </w:rPr>
      </w:pPr>
      <w:r w:rsidRPr="00F5596D">
        <w:rPr>
          <w:b/>
          <w:color w:val="002060"/>
          <w:szCs w:val="21"/>
          <w:lang w:val="sr-Cyrl-CS"/>
        </w:rPr>
        <w:t>Салдо текућег рачуна, % БДП</w:t>
      </w:r>
    </w:p>
    <w:p w14:paraId="42D8BD45" w14:textId="77777777" w:rsidR="001A395C" w:rsidRPr="00F5596D" w:rsidRDefault="001A395C" w:rsidP="001A395C">
      <w:pPr>
        <w:spacing w:after="0"/>
        <w:jc w:val="center"/>
        <w:rPr>
          <w:b/>
          <w:color w:val="002060"/>
          <w:szCs w:val="21"/>
          <w:lang w:val="sr-Cyrl-CS"/>
        </w:rPr>
      </w:pPr>
      <w:r w:rsidRPr="00F5596D">
        <w:rPr>
          <w:noProof/>
        </w:rPr>
        <w:drawing>
          <wp:inline distT="0" distB="0" distL="0" distR="0" wp14:anchorId="226C3AAD" wp14:editId="2D13BFE3">
            <wp:extent cx="1395500" cy="1198600"/>
            <wp:effectExtent l="0" t="0" r="0" b="0"/>
            <wp:docPr id="21" name="Chart 21">
              <a:extLst xmlns:a="http://schemas.openxmlformats.org/drawingml/2006/main">
                <a:ext uri="{FF2B5EF4-FFF2-40B4-BE49-F238E27FC236}">
                  <a16:creationId xmlns:a16="http://schemas.microsoft.com/office/drawing/2014/main" id="{00000000-0008-0000-0A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F5596D">
        <w:rPr>
          <w:noProof/>
        </w:rPr>
        <w:drawing>
          <wp:inline distT="0" distB="0" distL="0" distR="0" wp14:anchorId="69B5346A" wp14:editId="67A8B540">
            <wp:extent cx="1315941" cy="1198245"/>
            <wp:effectExtent l="0" t="0" r="0" b="0"/>
            <wp:docPr id="22" name="Chart 22">
              <a:extLst xmlns:a="http://schemas.openxmlformats.org/drawingml/2006/main">
                <a:ext uri="{FF2B5EF4-FFF2-40B4-BE49-F238E27FC236}">
                  <a16:creationId xmlns:a16="http://schemas.microsoft.com/office/drawing/2014/main" id="{00000000-0008-0000-0A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F5596D">
        <w:rPr>
          <w:b/>
          <w:color w:val="002060"/>
          <w:szCs w:val="21"/>
          <w:lang w:val="sr-Cyrl-CS"/>
        </w:rPr>
        <w:t>Инфлација, просек периода, %</w:t>
      </w:r>
    </w:p>
    <w:p w14:paraId="0FE1D8C9" w14:textId="77777777" w:rsidR="001A395C" w:rsidRPr="00F5596D" w:rsidRDefault="001A395C" w:rsidP="00B435B3">
      <w:pPr>
        <w:spacing w:after="0"/>
        <w:rPr>
          <w:lang w:val="sr-Cyrl-CS"/>
        </w:rPr>
      </w:pPr>
      <w:r w:rsidRPr="00F5596D">
        <w:rPr>
          <w:lang w:val="sr-Cyrl-CS"/>
        </w:rPr>
        <w:t xml:space="preserve"> </w:t>
      </w:r>
      <w:r w:rsidRPr="00F5596D">
        <w:rPr>
          <w:noProof/>
          <w:color w:val="FFFFFF" w:themeColor="background1"/>
        </w:rPr>
        <w:drawing>
          <wp:inline distT="0" distB="0" distL="0" distR="0" wp14:anchorId="4E3E43EC" wp14:editId="45C08F3F">
            <wp:extent cx="1334770" cy="997889"/>
            <wp:effectExtent l="0" t="0" r="0" b="0"/>
            <wp:docPr id="49" name="Chart 49">
              <a:extLst xmlns:a="http://schemas.openxmlformats.org/drawingml/2006/main">
                <a:ext uri="{FF2B5EF4-FFF2-40B4-BE49-F238E27FC236}">
                  <a16:creationId xmlns:a16="http://schemas.microsoft.com/office/drawing/2014/main" id="{00000000-0008-0000-0A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F5596D">
        <w:rPr>
          <w:lang w:val="sr-Cyrl-CS"/>
        </w:rPr>
        <w:t xml:space="preserve"> </w:t>
      </w:r>
      <w:r w:rsidRPr="00F5596D">
        <w:rPr>
          <w:noProof/>
        </w:rPr>
        <w:drawing>
          <wp:inline distT="0" distB="0" distL="0" distR="0" wp14:anchorId="07444DEA" wp14:editId="626DBE4E">
            <wp:extent cx="1261110" cy="977627"/>
            <wp:effectExtent l="0" t="0" r="0" b="0"/>
            <wp:docPr id="31" name="Chart 31">
              <a:extLst xmlns:a="http://schemas.openxmlformats.org/drawingml/2006/main">
                <a:ext uri="{FF2B5EF4-FFF2-40B4-BE49-F238E27FC236}">
                  <a16:creationId xmlns:a16="http://schemas.microsoft.com/office/drawing/2014/main" id="{00000000-0008-0000-0A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6464CE4" w14:textId="77777777" w:rsidR="001A395C" w:rsidRPr="00F5596D" w:rsidRDefault="001A395C" w:rsidP="008527D6">
      <w:pPr>
        <w:spacing w:after="120"/>
        <w:rPr>
          <w:rFonts w:cstheme="minorHAnsi"/>
          <w:szCs w:val="72"/>
          <w:lang w:val="sr-Cyrl-CS"/>
        </w:rPr>
      </w:pPr>
    </w:p>
    <w:p w14:paraId="3200B7AC" w14:textId="77777777" w:rsidR="001A395C" w:rsidRPr="00F5596D" w:rsidRDefault="001A395C" w:rsidP="001A395C">
      <w:pPr>
        <w:spacing w:before="240" w:after="240"/>
        <w:jc w:val="center"/>
        <w:rPr>
          <w:b/>
          <w:color w:val="002060"/>
          <w:szCs w:val="21"/>
          <w:lang w:val="sr-Cyrl-CS"/>
        </w:rPr>
      </w:pPr>
      <w:r w:rsidRPr="00F5596D">
        <w:rPr>
          <w:b/>
          <w:color w:val="002060"/>
          <w:szCs w:val="21"/>
          <w:lang w:val="sr-Cyrl-CS"/>
        </w:rPr>
        <w:t>Фискални резултат, % БДП</w:t>
      </w:r>
    </w:p>
    <w:p w14:paraId="60930A17" w14:textId="77777777" w:rsidR="001A395C" w:rsidRPr="00F5596D" w:rsidRDefault="001A395C" w:rsidP="00B435B3">
      <w:pPr>
        <w:spacing w:after="0"/>
        <w:rPr>
          <w:lang w:val="sr-Cyrl-CS"/>
        </w:rPr>
      </w:pPr>
      <w:r w:rsidRPr="00F5596D">
        <w:rPr>
          <w:lang w:val="sr-Cyrl-CS" w:eastAsia="en-GB"/>
        </w:rPr>
        <w:t xml:space="preserve">  </w:t>
      </w:r>
      <w:r w:rsidRPr="00F5596D">
        <w:rPr>
          <w:noProof/>
        </w:rPr>
        <w:drawing>
          <wp:inline distT="0" distB="0" distL="0" distR="0" wp14:anchorId="272AAE4C" wp14:editId="2B6D6C08">
            <wp:extent cx="1335024" cy="1225296"/>
            <wp:effectExtent l="0" t="0" r="0" b="0"/>
            <wp:docPr id="43" name="Chart 43">
              <a:extLst xmlns:a="http://schemas.openxmlformats.org/drawingml/2006/main">
                <a:ext uri="{FF2B5EF4-FFF2-40B4-BE49-F238E27FC236}">
                  <a16:creationId xmlns:a16="http://schemas.microsoft.com/office/drawing/2014/main" id="{00000000-0008-0000-0A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F5596D">
        <w:rPr>
          <w:noProof/>
        </w:rPr>
        <w:drawing>
          <wp:inline distT="0" distB="0" distL="0" distR="0" wp14:anchorId="1FD64141" wp14:editId="799225FD">
            <wp:extent cx="1335024" cy="1225296"/>
            <wp:effectExtent l="0" t="0" r="0" b="0"/>
            <wp:docPr id="44" name="Chart 44">
              <a:extLst xmlns:a="http://schemas.openxmlformats.org/drawingml/2006/main">
                <a:ext uri="{FF2B5EF4-FFF2-40B4-BE49-F238E27FC236}">
                  <a16:creationId xmlns:a16="http://schemas.microsoft.com/office/drawing/2014/main" id="{00000000-0008-0000-0A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3F6EE93" w14:textId="77777777" w:rsidR="001A395C" w:rsidRPr="00F5596D" w:rsidRDefault="001A395C" w:rsidP="008527D6">
      <w:pPr>
        <w:spacing w:after="0"/>
        <w:jc w:val="center"/>
        <w:rPr>
          <w:b/>
          <w:color w:val="002060"/>
          <w:szCs w:val="21"/>
          <w:lang w:val="sr-Cyrl-CS"/>
        </w:rPr>
      </w:pPr>
      <w:r w:rsidRPr="00F5596D">
        <w:rPr>
          <w:b/>
          <w:color w:val="002060"/>
          <w:szCs w:val="21"/>
          <w:lang w:val="sr-Cyrl-CS"/>
        </w:rPr>
        <w:t>Јавни дуг сектора државе, % БДП</w:t>
      </w:r>
    </w:p>
    <w:p w14:paraId="332B2531" w14:textId="77777777" w:rsidR="001A395C" w:rsidRPr="00F5596D" w:rsidRDefault="001A395C" w:rsidP="008527D6">
      <w:pPr>
        <w:spacing w:after="0"/>
        <w:jc w:val="center"/>
        <w:rPr>
          <w:lang w:val="sr-Cyrl-CS"/>
        </w:rPr>
      </w:pPr>
      <w:r w:rsidRPr="00F5596D">
        <w:rPr>
          <w:noProof/>
        </w:rPr>
        <w:drawing>
          <wp:inline distT="0" distB="0" distL="0" distR="0" wp14:anchorId="76C850C5" wp14:editId="7DCF8B20">
            <wp:extent cx="1335024" cy="1225296"/>
            <wp:effectExtent l="0" t="0" r="0" b="0"/>
            <wp:docPr id="45" name="Chart 45">
              <a:extLst xmlns:a="http://schemas.openxmlformats.org/drawingml/2006/main">
                <a:ext uri="{FF2B5EF4-FFF2-40B4-BE49-F238E27FC236}">
                  <a16:creationId xmlns:a16="http://schemas.microsoft.com/office/drawing/2014/main" id="{00000000-0008-0000-0A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F5596D">
        <w:rPr>
          <w:lang w:val="sr-Cyrl-CS"/>
        </w:rPr>
        <w:t xml:space="preserve">  </w:t>
      </w:r>
      <w:r w:rsidRPr="00F5596D">
        <w:rPr>
          <w:noProof/>
        </w:rPr>
        <w:drawing>
          <wp:inline distT="0" distB="0" distL="0" distR="0" wp14:anchorId="1E194AAE" wp14:editId="4B52B905">
            <wp:extent cx="1335024" cy="1225296"/>
            <wp:effectExtent l="0" t="0" r="0" b="0"/>
            <wp:docPr id="47" name="Chart 47">
              <a:extLst xmlns:a="http://schemas.openxmlformats.org/drawingml/2006/main">
                <a:ext uri="{FF2B5EF4-FFF2-40B4-BE49-F238E27FC236}">
                  <a16:creationId xmlns:a16="http://schemas.microsoft.com/office/drawing/2014/main" id="{00000000-0008-0000-0A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93E8D96" w14:textId="77777777" w:rsidR="001A395C" w:rsidRPr="00F5596D" w:rsidRDefault="001A395C" w:rsidP="008527D6">
      <w:pPr>
        <w:spacing w:before="240"/>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Текућа кретања реалног сектора</w:t>
      </w:r>
    </w:p>
    <w:p w14:paraId="0FCA8398" w14:textId="77777777" w:rsidR="001A395C" w:rsidRPr="00F5596D" w:rsidRDefault="001A395C" w:rsidP="001A395C">
      <w:pPr>
        <w:spacing w:after="120"/>
        <w:rPr>
          <w:rFonts w:cstheme="minorHAnsi"/>
          <w:bCs/>
          <w:szCs w:val="72"/>
          <w:lang w:val="sr-Cyrl-CS"/>
        </w:rPr>
      </w:pPr>
      <w:r w:rsidRPr="00F5596D">
        <w:rPr>
          <w:rFonts w:cstheme="minorHAnsi"/>
          <w:bCs/>
          <w:szCs w:val="72"/>
          <w:lang w:val="sr-Cyrl-CS"/>
        </w:rPr>
        <w:t>Укупна економска активност је током 2024. године наставила узлазни тренд. Према подацима РЗС, раст БДП износио је 3,9%, што је у потпуности у складу са претходним очекивањима Министарства финансија. Најзначајнији допринос овом резултату потекао је од сектора услуга, који је остварио повећање од 5,1%. Унапређење у овом сектору било је широко распрострањено, са позитивним кретањима у свим услужним делатностима, а нарочито изражено у трговини, саобраћају и туризму. Додатни замах услужним делатностима дала је даља експанзија сектора информационо-комуникационих технологија, подстакнута интензивним улагањима у ову област у претходном периоду, солидном спољном тражњом за дигиталним услугама, као и све већом домаћом потребом за ИТ решењима. Поред услуга, и индустријска производња забележила је позитиван допринос расту БДП, остваривши повећање од 2,9%. Већи обим индустријске производње остварен је упркос слабој спољној тражњи, пре свега као резултат активирања нових производних капацитета. Умерен раст од 2,9% остварило је и грађевинарство, док је пољопривреда забележила пад од 8,1% услед суше током летњих месеци. Посматрано по агрегатима употребе раст економске активности у 2024. години био је у потпуности опредељен домаћом тражњом.</w:t>
      </w:r>
      <w:r w:rsidRPr="00F5596D">
        <w:rPr>
          <w:rFonts w:cstheme="minorHAnsi"/>
          <w:bCs/>
          <w:color w:val="FF0000"/>
          <w:szCs w:val="72"/>
          <w:lang w:val="sr-Cyrl-CS"/>
        </w:rPr>
        <w:t xml:space="preserve"> </w:t>
      </w:r>
      <w:r w:rsidRPr="00F5596D">
        <w:rPr>
          <w:rFonts w:cstheme="minorHAnsi"/>
          <w:bCs/>
          <w:szCs w:val="72"/>
          <w:lang w:val="sr-Cyrl-CS"/>
        </w:rPr>
        <w:t>Захваљујући повећању расположивог дохотка становништва, стабилном тржишту рада и одржаном нивоу потрошачког поверења, приватна потрошња је забележила повећање од 4,2%. Настављен је динамичан раст инвестиција које су биле веће за 6,5% уз повећање како државних тако и приватних инвестиција. Истовремено, допринос нето извоза је био негативан, услед бржег раста увоза од извоза као последица повећаних потреба привреде за репроматеријалом и инвестицијама, али и веће приватне потрошње и увоза потрошне робе.</w:t>
      </w:r>
    </w:p>
    <w:p w14:paraId="6727185C" w14:textId="5C6B7CAF" w:rsidR="001A395C" w:rsidRPr="00F5596D" w:rsidRDefault="001A395C" w:rsidP="001A395C">
      <w:pPr>
        <w:spacing w:after="120"/>
        <w:rPr>
          <w:rFonts w:cstheme="minorHAnsi"/>
          <w:bCs/>
          <w:szCs w:val="72"/>
          <w:lang w:val="sr-Cyrl-CS"/>
        </w:rPr>
      </w:pPr>
      <w:r w:rsidRPr="00F5596D">
        <w:rPr>
          <w:rFonts w:cstheme="minorHAnsi"/>
          <w:bCs/>
          <w:szCs w:val="72"/>
          <w:lang w:val="sr-Cyrl-CS"/>
        </w:rPr>
        <w:t>Међутим, у првом кварталу 2025. године дошло је до значајног успоравања економске активности. Реални раст привреде износио је 2,0% мг., што је за 2</w:t>
      </w:r>
      <w:r w:rsidR="0009111A" w:rsidRPr="00F5596D">
        <w:rPr>
          <w:rFonts w:cstheme="minorHAnsi"/>
          <w:bCs/>
          <w:szCs w:val="72"/>
          <w:lang w:val="sr-Cyrl-CS"/>
        </w:rPr>
        <w:t>,0</w:t>
      </w:r>
      <w:r w:rsidRPr="00F5596D">
        <w:rPr>
          <w:rFonts w:cstheme="minorHAnsi"/>
          <w:bCs/>
          <w:szCs w:val="72"/>
          <w:lang w:val="sr-Cyrl-CS"/>
        </w:rPr>
        <w:t xml:space="preserve"> п.п. мање од иницијалне пројекције Министарства финансија за овај период, а која је подразумевала путању раста БДП од 4,2% на нивоу целе 2025. године. Повећана неизвесност, као </w:t>
      </w:r>
      <w:r w:rsidRPr="00F5596D">
        <w:rPr>
          <w:rFonts w:cstheme="minorHAnsi"/>
          <w:bCs/>
          <w:szCs w:val="72"/>
          <w:lang w:val="sr-Cyrl-CS"/>
        </w:rPr>
        <w:lastRenderedPageBreak/>
        <w:t>последица изражене друштвено-политичке нестабилности, негативно се одразила на привреду, пре свега кроз изражено успоравање у сектору услуга и пад грађевинске активности. Спорија динамика услуга била је нарочито изражена у сектору трговине, саобраћаја и туризма, који је након просечног раста од 6,3% у претходној години, у првом кварталу 2025. године забележио пад од 1,1% мг.</w:t>
      </w:r>
      <w:r w:rsidRPr="00F5596D">
        <w:rPr>
          <w:rFonts w:cstheme="minorHAnsi"/>
          <w:bCs/>
          <w:color w:val="FF0000"/>
          <w:szCs w:val="72"/>
          <w:lang w:val="sr-Cyrl-CS"/>
        </w:rPr>
        <w:t xml:space="preserve"> </w:t>
      </w:r>
      <w:r w:rsidRPr="00F5596D">
        <w:rPr>
          <w:rFonts w:cstheme="minorHAnsi"/>
          <w:bCs/>
          <w:szCs w:val="72"/>
          <w:lang w:val="sr-Cyrl-CS"/>
        </w:rPr>
        <w:t xml:space="preserve">Истовремено, грађевинарство је забележило реални пад активности од 5,6% мг. као последица смањења обима изведених инфраструктурних радова. Иако је индустријска производња забележила раст од 2,1% међугодишње, тај резултат се може сматрати умерено повољним, с обзиром на то да је делимично последица базног ефекта, односно ниже производње у истом периоду претходне године услед ремонта рафинерије НИС започетог у марту 2024. године. </w:t>
      </w:r>
    </w:p>
    <w:p w14:paraId="61DE7FD3" w14:textId="77777777" w:rsidR="001A395C" w:rsidRPr="00F5596D" w:rsidRDefault="001A395C" w:rsidP="001A395C">
      <w:pPr>
        <w:spacing w:after="0"/>
        <w:jc w:val="center"/>
        <w:rPr>
          <w:b/>
          <w:color w:val="002060"/>
          <w:szCs w:val="21"/>
          <w:lang w:val="sr-Cyrl-CS"/>
        </w:rPr>
      </w:pPr>
      <w:r w:rsidRPr="00F5596D">
        <w:rPr>
          <w:b/>
          <w:color w:val="002060"/>
          <w:szCs w:val="21"/>
          <w:lang w:val="sr-Cyrl-CS"/>
        </w:rPr>
        <w:t>Доприноси стопи реалног раста БДП, производни приступ, п.п.</w:t>
      </w:r>
    </w:p>
    <w:p w14:paraId="2FDAABE7" w14:textId="77777777" w:rsidR="001A395C" w:rsidRPr="00F5596D" w:rsidRDefault="001A395C" w:rsidP="001A395C">
      <w:pPr>
        <w:spacing w:after="40"/>
        <w:rPr>
          <w:rFonts w:cstheme="minorHAnsi"/>
          <w:bCs/>
          <w:szCs w:val="72"/>
          <w:lang w:val="sr-Cyrl-CS"/>
        </w:rPr>
      </w:pPr>
      <w:r w:rsidRPr="00F5596D">
        <w:rPr>
          <w:noProof/>
        </w:rPr>
        <w:drawing>
          <wp:inline distT="0" distB="0" distL="0" distR="0" wp14:anchorId="3F90DD6B" wp14:editId="338B1B3A">
            <wp:extent cx="2743200" cy="2138901"/>
            <wp:effectExtent l="0" t="0" r="0" b="0"/>
            <wp:docPr id="33" name="Chart 33">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301861F" w14:textId="77777777" w:rsidR="001A395C" w:rsidRPr="00F5596D" w:rsidRDefault="001A395C" w:rsidP="001A395C">
      <w:pPr>
        <w:spacing w:after="0"/>
        <w:rPr>
          <w:rFonts w:cstheme="minorHAnsi"/>
          <w:bCs/>
          <w:sz w:val="14"/>
          <w:szCs w:val="16"/>
          <w:lang w:val="sr-Cyrl-CS"/>
        </w:rPr>
      </w:pPr>
      <w:r w:rsidRPr="00F5596D">
        <w:rPr>
          <w:rFonts w:cstheme="minorHAnsi"/>
          <w:bCs/>
          <w:sz w:val="14"/>
          <w:szCs w:val="16"/>
          <w:lang w:val="sr-Cyrl-CS"/>
        </w:rPr>
        <w:t>Извор: РЗС</w:t>
      </w:r>
    </w:p>
    <w:p w14:paraId="1C833EDC" w14:textId="77777777" w:rsidR="001A395C" w:rsidRPr="00F5596D" w:rsidRDefault="001A395C" w:rsidP="001A395C">
      <w:pPr>
        <w:spacing w:after="120"/>
        <w:rPr>
          <w:rFonts w:cstheme="minorHAnsi"/>
          <w:bCs/>
          <w:szCs w:val="72"/>
          <w:lang w:val="sr-Cyrl-CS"/>
        </w:rPr>
      </w:pPr>
    </w:p>
    <w:p w14:paraId="720F5177" w14:textId="77777777" w:rsidR="001A395C" w:rsidRPr="00F5596D" w:rsidRDefault="001A395C" w:rsidP="001A395C">
      <w:pPr>
        <w:spacing w:after="120"/>
        <w:rPr>
          <w:rFonts w:cstheme="minorHAnsi"/>
          <w:bCs/>
          <w:sz w:val="16"/>
          <w:szCs w:val="16"/>
          <w:lang w:val="sr-Cyrl-CS"/>
        </w:rPr>
      </w:pPr>
      <w:r w:rsidRPr="00F5596D">
        <w:rPr>
          <w:rFonts w:cstheme="minorHAnsi"/>
          <w:bCs/>
          <w:szCs w:val="72"/>
          <w:lang w:val="sr-Cyrl-CS"/>
        </w:rPr>
        <w:t>У првом кварталу 2025. године, посматрано са расходне стране, повећана неизвесност услед појачаних друштвених тензија негативно је утицала пре свега на компоненте домаће тражње. Иако је раст расположивог дохотка био релативно снажан, подстакнут повећањем реалних зарада и пензија</w:t>
      </w:r>
      <w:r w:rsidRPr="00F5596D">
        <w:rPr>
          <w:rFonts w:cstheme="minorHAnsi"/>
          <w:bCs/>
          <w:color w:val="FF0000"/>
          <w:szCs w:val="72"/>
          <w:lang w:val="sr-Cyrl-CS"/>
        </w:rPr>
        <w:t xml:space="preserve"> </w:t>
      </w:r>
      <w:r w:rsidRPr="00F5596D">
        <w:rPr>
          <w:rFonts w:cstheme="minorHAnsi"/>
          <w:bCs/>
          <w:szCs w:val="72"/>
          <w:lang w:val="sr-Cyrl-CS"/>
        </w:rPr>
        <w:t xml:space="preserve">од 6,4% односно 6,0%, респективно, то се није одразило на динамику приватне потрошње, чији је раст успорио на 1,8% међугодишње. Чињеница да раст потрошње није пратио динамику расположивог дохотка може се објаснити повећаном склоношћу домаћинстава ка </w:t>
      </w:r>
      <w:r w:rsidRPr="00F5596D">
        <w:rPr>
          <w:rFonts w:cstheme="minorHAnsi"/>
          <w:bCs/>
          <w:szCs w:val="72"/>
          <w:lang w:val="sr-Cyrl-CS"/>
        </w:rPr>
        <w:t>штедњи и већом опрезношћу у условима повишене неизвесности и забринутости у погледу будућих кретања. Инвестиције су у првом кварталу показале слабију динамику забележивши смањење од 1%, што се пре свега може приписати паду у грађевинарству. Нето извоз је имао негативан допринос расту БДП, услед бржег раста увоза него извоза. Снажнији раст увоза, пре свега је последица повећаних потреба привреде за сировинама, али је додатно подстакнут интензивним увозом добара уочи најављеног увођења тарифа и очекиваног раста цена по том основу, што је утицало и на значајно повећање залиха.</w:t>
      </w:r>
    </w:p>
    <w:p w14:paraId="50B53060" w14:textId="77777777" w:rsidR="001A395C" w:rsidRPr="00F5596D" w:rsidRDefault="001A395C" w:rsidP="001A395C">
      <w:pPr>
        <w:spacing w:after="0"/>
        <w:jc w:val="center"/>
        <w:rPr>
          <w:b/>
          <w:color w:val="002060"/>
          <w:szCs w:val="21"/>
          <w:lang w:val="sr-Cyrl-CS"/>
        </w:rPr>
      </w:pPr>
      <w:r w:rsidRPr="00F5596D">
        <w:rPr>
          <w:b/>
          <w:color w:val="002060"/>
          <w:szCs w:val="21"/>
          <w:lang w:val="sr-Cyrl-CS"/>
        </w:rPr>
        <w:t xml:space="preserve">Доприноси стопи реалног раста БДП, </w:t>
      </w:r>
      <w:r w:rsidRPr="00F5596D">
        <w:rPr>
          <w:b/>
          <w:color w:val="002060"/>
          <w:szCs w:val="21"/>
          <w:lang w:val="sr-Cyrl-CS"/>
        </w:rPr>
        <w:br w:type="textWrapping" w:clear="all"/>
        <w:t>расходни приступ, п.п.</w:t>
      </w:r>
    </w:p>
    <w:p w14:paraId="520DAD50" w14:textId="77777777" w:rsidR="001A395C" w:rsidRPr="00F5596D" w:rsidRDefault="001A395C" w:rsidP="001A395C">
      <w:pPr>
        <w:spacing w:after="40"/>
        <w:jc w:val="center"/>
        <w:rPr>
          <w:lang w:val="sr-Cyrl-CS"/>
        </w:rPr>
      </w:pPr>
      <w:r w:rsidRPr="00F5596D">
        <w:rPr>
          <w:noProof/>
        </w:rPr>
        <w:drawing>
          <wp:inline distT="0" distB="0" distL="0" distR="0" wp14:anchorId="7AA0533D" wp14:editId="73A63CD3">
            <wp:extent cx="2743200" cy="2026285"/>
            <wp:effectExtent l="0" t="0" r="0" b="0"/>
            <wp:docPr id="34" name="Chart 34">
              <a:extLst xmlns:a="http://schemas.openxmlformats.org/drawingml/2006/main">
                <a:ext uri="{FF2B5EF4-FFF2-40B4-BE49-F238E27FC236}">
                  <a16:creationId xmlns:a16="http://schemas.microsoft.com/office/drawing/2014/main" id="{00000000-0008-0000-0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1BEB91D" w14:textId="77777777" w:rsidR="001A395C" w:rsidRPr="00F5596D" w:rsidRDefault="001A395C" w:rsidP="001A395C">
      <w:pPr>
        <w:spacing w:after="120"/>
        <w:rPr>
          <w:rFonts w:cstheme="minorHAnsi"/>
          <w:bCs/>
          <w:sz w:val="14"/>
          <w:szCs w:val="16"/>
          <w:lang w:val="sr-Cyrl-CS"/>
        </w:rPr>
      </w:pPr>
      <w:r w:rsidRPr="00F5596D">
        <w:rPr>
          <w:rFonts w:cstheme="minorHAnsi"/>
          <w:bCs/>
          <w:sz w:val="14"/>
          <w:szCs w:val="16"/>
          <w:lang w:val="sr-Cyrl-CS"/>
        </w:rPr>
        <w:t>Извор: РЗС</w:t>
      </w:r>
    </w:p>
    <w:p w14:paraId="3CD092AF" w14:textId="7EC22024" w:rsidR="001A395C" w:rsidRPr="00F5596D" w:rsidRDefault="001A395C" w:rsidP="001A395C">
      <w:pPr>
        <w:spacing w:after="120"/>
        <w:rPr>
          <w:lang w:val="sr-Cyrl-CS"/>
        </w:rPr>
      </w:pPr>
      <w:r w:rsidRPr="00F5596D">
        <w:rPr>
          <w:rFonts w:cstheme="minorHAnsi"/>
          <w:bCs/>
          <w:szCs w:val="72"/>
          <w:lang w:val="sr-Cyrl-CS"/>
        </w:rPr>
        <w:t>Високофреквентни индикатори такође указују на значајно успорав</w:t>
      </w:r>
      <w:r w:rsidR="00704608" w:rsidRPr="00F5596D">
        <w:rPr>
          <w:rFonts w:cstheme="minorHAnsi"/>
          <w:bCs/>
          <w:szCs w:val="72"/>
          <w:lang w:val="sr-Cyrl-CS"/>
        </w:rPr>
        <w:t>а</w:t>
      </w:r>
      <w:r w:rsidRPr="00F5596D">
        <w:rPr>
          <w:rFonts w:cstheme="minorHAnsi"/>
          <w:bCs/>
          <w:szCs w:val="72"/>
          <w:lang w:val="sr-Cyrl-CS"/>
        </w:rPr>
        <w:t>ње економске активности почетком 2025. године, посебно у сектору услуга и грађевинарству.</w:t>
      </w:r>
    </w:p>
    <w:p w14:paraId="289814E0" w14:textId="77777777" w:rsidR="001A395C" w:rsidRPr="00F5596D" w:rsidRDefault="001A395C" w:rsidP="001A395C">
      <w:pPr>
        <w:spacing w:after="120"/>
        <w:rPr>
          <w:rFonts w:cstheme="minorHAnsi"/>
          <w:bCs/>
          <w:color w:val="FF0000"/>
          <w:szCs w:val="72"/>
          <w:lang w:val="sr-Cyrl-CS"/>
        </w:rPr>
      </w:pPr>
      <w:r w:rsidRPr="00F5596D">
        <w:rPr>
          <w:rFonts w:cstheme="minorHAnsi"/>
          <w:bCs/>
          <w:szCs w:val="72"/>
          <w:lang w:val="sr-Cyrl-CS"/>
        </w:rPr>
        <w:t xml:space="preserve">У прва четири месеца 2025. године, реални промет у трговини на мало остварио је благи раст од 0,8% мг. као резултат раста промета непрехрамбених и прехрамбених производа од 2,4% и 0,4% респективно, док је пад промета од 1,4% мг. забележен код моторних горива. Успорен раст промета у трговини на мало може се приписати повећаној неизвесности пре свега на домаћем тржишту, што је резултирало одлагањем потрошње од стране домаћинства за наредни период. Истовремено, број долазака и ноћења туриста је међугодишње смањен за 2,8% и 4,2%, респективно. Пад је пре свега последица смањене активности домаћих туриста, док је код страних </w:t>
      </w:r>
      <w:r w:rsidRPr="00F5596D">
        <w:rPr>
          <w:rFonts w:cstheme="minorHAnsi"/>
          <w:bCs/>
          <w:szCs w:val="72"/>
          <w:lang w:val="sr-Cyrl-CS"/>
        </w:rPr>
        <w:lastRenderedPageBreak/>
        <w:t>туриста евидентиран благи раст, али споријом динамиком у односу на претходне периоде.</w:t>
      </w:r>
      <w:r w:rsidRPr="00F5596D">
        <w:rPr>
          <w:rFonts w:cstheme="minorHAnsi"/>
          <w:bCs/>
          <w:color w:val="FF0000"/>
          <w:szCs w:val="72"/>
          <w:lang w:val="sr-Cyrl-CS"/>
        </w:rPr>
        <w:t xml:space="preserve"> </w:t>
      </w:r>
      <w:r w:rsidRPr="00F5596D">
        <w:rPr>
          <w:rFonts w:cstheme="minorHAnsi"/>
          <w:bCs/>
          <w:szCs w:val="72"/>
          <w:lang w:val="sr-Cyrl-CS"/>
        </w:rPr>
        <w:t xml:space="preserve">Поред тога, забележен је пад промета у угоститељству, при чему је у прва три месеца био реално мањи за око 7%. Истовремено, девизни прилив од туризма је међугодишње увећан за 9,9%. </w:t>
      </w:r>
    </w:p>
    <w:p w14:paraId="6D658BEC" w14:textId="7E69A22C" w:rsidR="001A395C" w:rsidRPr="00F5596D" w:rsidRDefault="001A395C" w:rsidP="001A395C">
      <w:pPr>
        <w:spacing w:after="120"/>
        <w:rPr>
          <w:rFonts w:cstheme="minorHAnsi"/>
          <w:bCs/>
          <w:szCs w:val="72"/>
          <w:lang w:val="sr-Cyrl-CS"/>
        </w:rPr>
      </w:pPr>
      <w:r w:rsidRPr="00F5596D">
        <w:rPr>
          <w:rFonts w:cstheme="minorHAnsi"/>
          <w:bCs/>
          <w:szCs w:val="72"/>
          <w:lang w:val="sr-Cyrl-CS"/>
        </w:rPr>
        <w:t xml:space="preserve">За разлику од трговине и туризма, ИКТ услуге настављају са стабилним растом, уз све израженији утицај на укупну економску активност. </w:t>
      </w:r>
      <w:r w:rsidRPr="00F5596D">
        <w:rPr>
          <w:rFonts w:cstheme="minorHAnsi"/>
          <w:bCs/>
          <w:szCs w:val="72"/>
          <w:lang w:val="sr-Cyrl-CS"/>
        </w:rPr>
        <w:t xml:space="preserve">У 2024. години, ИКТ услуге оствариле су реални раст БДВ од 8,0%, уз истовремено повећање извоза услуга за 20,3%, чиме је достигнут извоза од 4,1 милијарду евра. Позитивни трендови настављени су и у првом кварталу 2025. године – извоз је забележио међугодишњи раст од 19,3%, чиме је ИТ сектор достигao учешће од </w:t>
      </w:r>
      <w:r w:rsidR="00495704" w:rsidRPr="00F5596D">
        <w:rPr>
          <w:rFonts w:cstheme="minorHAnsi"/>
          <w:bCs/>
          <w:szCs w:val="72"/>
          <w:lang w:val="sr-Cyrl-CS"/>
        </w:rPr>
        <w:t>око 30%</w:t>
      </w:r>
      <w:r w:rsidR="00E86E2E" w:rsidRPr="00F5596D">
        <w:rPr>
          <w:rFonts w:cstheme="minorHAnsi"/>
          <w:bCs/>
          <w:szCs w:val="72"/>
          <w:lang w:val="sr-Cyrl-CS"/>
        </w:rPr>
        <w:t xml:space="preserve"> </w:t>
      </w:r>
      <w:r w:rsidRPr="00F5596D">
        <w:rPr>
          <w:rFonts w:cstheme="minorHAnsi"/>
          <w:bCs/>
          <w:szCs w:val="72"/>
          <w:lang w:val="sr-Cyrl-CS"/>
        </w:rPr>
        <w:t>ук</w:t>
      </w:r>
      <w:r w:rsidR="00495704" w:rsidRPr="00F5596D">
        <w:rPr>
          <w:rFonts w:cstheme="minorHAnsi"/>
          <w:bCs/>
          <w:szCs w:val="72"/>
          <w:lang w:val="sr-Cyrl-CS"/>
        </w:rPr>
        <w:t>упног извоза услуга</w:t>
      </w:r>
      <w:r w:rsidRPr="00F5596D">
        <w:rPr>
          <w:rFonts w:cstheme="minorHAnsi"/>
          <w:bCs/>
          <w:szCs w:val="72"/>
          <w:lang w:val="sr-Cyrl-CS"/>
        </w:rPr>
        <w:t>. Ови резултати указују на растућу конкурентност домаће ИТ индустрије и њену све важнију улогу у спољнотрговинској размени.</w:t>
      </w:r>
    </w:p>
    <w:p w14:paraId="6BB5BF90" w14:textId="77777777" w:rsidR="001A395C" w:rsidRPr="00F5596D" w:rsidRDefault="001A395C" w:rsidP="001A395C">
      <w:pPr>
        <w:spacing w:before="240" w:after="0"/>
        <w:rPr>
          <w:rFonts w:cstheme="minorHAnsi"/>
          <w:b/>
          <w:color w:val="FF0000"/>
          <w:sz w:val="6"/>
          <w:lang w:val="sr-Cyrl-CS"/>
        </w:rPr>
        <w:sectPr w:rsidR="001A395C" w:rsidRPr="00F5596D" w:rsidSect="001A395C">
          <w:type w:val="continuous"/>
          <w:pgSz w:w="12240" w:h="15840" w:code="1"/>
          <w:pgMar w:top="1440" w:right="1440" w:bottom="1440" w:left="1440" w:header="720" w:footer="720" w:gutter="0"/>
          <w:cols w:num="2" w:space="720"/>
          <w:docGrid w:linePitch="360"/>
        </w:sectPr>
      </w:pPr>
    </w:p>
    <w:p w14:paraId="3682E7A2" w14:textId="77777777" w:rsidR="001A395C" w:rsidRPr="00F5596D" w:rsidRDefault="001A395C" w:rsidP="001A395C">
      <w:pPr>
        <w:spacing w:after="80"/>
        <w:jc w:val="center"/>
        <w:rPr>
          <w:rFonts w:cstheme="minorHAnsi"/>
          <w:b/>
          <w:color w:val="FF0000"/>
          <w:lang w:val="sr-Cyrl-CS"/>
        </w:rPr>
      </w:pPr>
      <w:r w:rsidRPr="00F5596D">
        <w:rPr>
          <w:rFonts w:cstheme="minorHAnsi"/>
          <w:b/>
          <w:color w:val="002060"/>
          <w:lang w:val="sr-Cyrl-CS"/>
        </w:rPr>
        <w:t>Високофреквентни индикатори најзначајнијих услужних делатности, 2024=100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1A395C" w:rsidRPr="00F5596D" w14:paraId="54097969" w14:textId="77777777" w:rsidTr="001A395C">
        <w:tc>
          <w:tcPr>
            <w:tcW w:w="4680" w:type="dxa"/>
          </w:tcPr>
          <w:p w14:paraId="56FCF01E" w14:textId="77777777" w:rsidR="001A395C" w:rsidRPr="00F5596D" w:rsidRDefault="001A395C" w:rsidP="001A395C">
            <w:pPr>
              <w:spacing w:before="60"/>
              <w:jc w:val="center"/>
              <w:rPr>
                <w:lang w:val="sr-Cyrl-CS"/>
              </w:rPr>
            </w:pPr>
            <w:r w:rsidRPr="00F5596D">
              <w:rPr>
                <w:lang w:val="sr-Cyrl-CS"/>
              </w:rPr>
              <w:t>Промет у трговини на мало у сталним ценама</w:t>
            </w:r>
          </w:p>
          <w:p w14:paraId="40948691" w14:textId="77777777" w:rsidR="001A395C" w:rsidRPr="00F5596D" w:rsidRDefault="001A395C" w:rsidP="001A395C">
            <w:pPr>
              <w:spacing w:before="60"/>
              <w:jc w:val="center"/>
              <w:rPr>
                <w:lang w:val="sr-Cyrl-CS"/>
              </w:rPr>
            </w:pPr>
            <w:r w:rsidRPr="00F5596D">
              <w:rPr>
                <w:noProof/>
              </w:rPr>
              <w:drawing>
                <wp:inline distT="0" distB="0" distL="0" distR="0" wp14:anchorId="4B78599F" wp14:editId="1CCC9607">
                  <wp:extent cx="2880360" cy="1474967"/>
                  <wp:effectExtent l="0" t="0" r="0" b="0"/>
                  <wp:docPr id="35" name="Chart 35">
                    <a:extLst xmlns:a="http://schemas.openxmlformats.org/drawingml/2006/main">
                      <a:ext uri="{FF2B5EF4-FFF2-40B4-BE49-F238E27FC236}">
                        <a16:creationId xmlns:a16="http://schemas.microsoft.com/office/drawing/2014/main" id="{00000000-0008-0000-1D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c>
          <w:tcPr>
            <w:tcW w:w="4680" w:type="dxa"/>
          </w:tcPr>
          <w:p w14:paraId="1CFB3016" w14:textId="77777777" w:rsidR="001A395C" w:rsidRPr="00F5596D" w:rsidRDefault="001A395C" w:rsidP="001A395C">
            <w:pPr>
              <w:spacing w:before="60"/>
              <w:jc w:val="center"/>
              <w:rPr>
                <w:lang w:val="sr-Cyrl-CS"/>
              </w:rPr>
            </w:pPr>
            <w:r w:rsidRPr="00F5596D">
              <w:rPr>
                <w:lang w:val="sr-Cyrl-CS"/>
              </w:rPr>
              <w:t>Промет у угоститељству у сталним ценама</w:t>
            </w:r>
          </w:p>
          <w:p w14:paraId="6B707370" w14:textId="77777777" w:rsidR="001A395C" w:rsidRPr="00F5596D" w:rsidRDefault="001A395C" w:rsidP="001A395C">
            <w:pPr>
              <w:spacing w:before="60"/>
              <w:jc w:val="center"/>
              <w:rPr>
                <w:lang w:val="sr-Cyrl-CS"/>
              </w:rPr>
            </w:pPr>
            <w:r w:rsidRPr="00F5596D">
              <w:rPr>
                <w:noProof/>
              </w:rPr>
              <w:drawing>
                <wp:inline distT="0" distB="0" distL="0" distR="0" wp14:anchorId="6B68DED7" wp14:editId="289601A3">
                  <wp:extent cx="2880360" cy="1467016"/>
                  <wp:effectExtent l="0" t="0" r="0" b="0"/>
                  <wp:docPr id="36" name="Chart 36">
                    <a:extLst xmlns:a="http://schemas.openxmlformats.org/drawingml/2006/main">
                      <a:ext uri="{FF2B5EF4-FFF2-40B4-BE49-F238E27FC236}">
                        <a16:creationId xmlns:a16="http://schemas.microsoft.com/office/drawing/2014/main" id="{00000000-0008-0000-1D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1A395C" w:rsidRPr="00F5596D" w14:paraId="0FA6EA65" w14:textId="77777777" w:rsidTr="001A395C">
        <w:tc>
          <w:tcPr>
            <w:tcW w:w="4680" w:type="dxa"/>
          </w:tcPr>
          <w:p w14:paraId="0A839660" w14:textId="77777777" w:rsidR="001A395C" w:rsidRPr="00F5596D" w:rsidRDefault="001A395C" w:rsidP="001A395C">
            <w:pPr>
              <w:spacing w:before="60"/>
              <w:jc w:val="center"/>
              <w:rPr>
                <w:rFonts w:ascii="Times New Roman" w:hAnsi="Times New Roman"/>
                <w:lang w:val="sr-Cyrl-CS"/>
              </w:rPr>
            </w:pPr>
            <w:r w:rsidRPr="00F5596D">
              <w:rPr>
                <w:lang w:val="sr-Cyrl-CS"/>
              </w:rPr>
              <w:t>Ноћења домаћих туриста</w:t>
            </w:r>
          </w:p>
          <w:p w14:paraId="752CA38F" w14:textId="77777777" w:rsidR="001A395C" w:rsidRPr="00F5596D" w:rsidRDefault="001A395C" w:rsidP="001A395C">
            <w:pPr>
              <w:spacing w:before="60"/>
              <w:jc w:val="center"/>
              <w:rPr>
                <w:lang w:val="sr-Cyrl-CS"/>
              </w:rPr>
            </w:pPr>
            <w:r w:rsidRPr="00F5596D">
              <w:rPr>
                <w:noProof/>
              </w:rPr>
              <w:drawing>
                <wp:inline distT="0" distB="0" distL="0" distR="0" wp14:anchorId="104C79E7" wp14:editId="440748AA">
                  <wp:extent cx="2880360" cy="1443162"/>
                  <wp:effectExtent l="0" t="0" r="0" b="5080"/>
                  <wp:docPr id="37" name="Chart 37">
                    <a:extLst xmlns:a="http://schemas.openxmlformats.org/drawingml/2006/main">
                      <a:ext uri="{FF2B5EF4-FFF2-40B4-BE49-F238E27FC236}">
                        <a16:creationId xmlns:a16="http://schemas.microsoft.com/office/drawing/2014/main" id="{00000000-0008-0000-1D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4680" w:type="dxa"/>
          </w:tcPr>
          <w:p w14:paraId="4C8B981D" w14:textId="77777777" w:rsidR="001A395C" w:rsidRPr="00F5596D" w:rsidRDefault="001A395C" w:rsidP="001A395C">
            <w:pPr>
              <w:jc w:val="center"/>
              <w:rPr>
                <w:lang w:val="sr-Cyrl-CS"/>
              </w:rPr>
            </w:pPr>
            <w:r w:rsidRPr="00F5596D">
              <w:rPr>
                <w:lang w:val="sr-Cyrl-CS"/>
              </w:rPr>
              <w:t>Ноћења страних туриста</w:t>
            </w:r>
          </w:p>
          <w:p w14:paraId="2257716B" w14:textId="77777777" w:rsidR="001A395C" w:rsidRPr="00F5596D" w:rsidRDefault="001A395C" w:rsidP="001A395C">
            <w:pPr>
              <w:spacing w:before="60"/>
              <w:jc w:val="center"/>
              <w:rPr>
                <w:lang w:val="sr-Cyrl-CS"/>
              </w:rPr>
            </w:pPr>
            <w:r w:rsidRPr="00F5596D">
              <w:rPr>
                <w:noProof/>
              </w:rPr>
              <w:drawing>
                <wp:inline distT="0" distB="0" distL="0" distR="0" wp14:anchorId="0B3670E8" wp14:editId="0D0409B0">
                  <wp:extent cx="2880360" cy="1451113"/>
                  <wp:effectExtent l="0" t="0" r="0" b="0"/>
                  <wp:docPr id="38" name="Chart 38">
                    <a:extLst xmlns:a="http://schemas.openxmlformats.org/drawingml/2006/main">
                      <a:ext uri="{FF2B5EF4-FFF2-40B4-BE49-F238E27FC236}">
                        <a16:creationId xmlns:a16="http://schemas.microsoft.com/office/drawing/2014/main" id="{00000000-0008-0000-1D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1A395C" w:rsidRPr="00F5596D" w14:paraId="0248FA25" w14:textId="77777777" w:rsidTr="001A395C">
        <w:tc>
          <w:tcPr>
            <w:tcW w:w="4680" w:type="dxa"/>
          </w:tcPr>
          <w:p w14:paraId="117AD3F9" w14:textId="77777777" w:rsidR="001A395C" w:rsidRPr="00F5596D" w:rsidRDefault="001A395C" w:rsidP="001A395C">
            <w:pPr>
              <w:jc w:val="center"/>
              <w:rPr>
                <w:lang w:val="sr-Cyrl-CS"/>
              </w:rPr>
            </w:pPr>
            <w:r w:rsidRPr="00F5596D">
              <w:rPr>
                <w:lang w:val="sr-Cyrl-CS"/>
              </w:rPr>
              <w:t>Извоз услуга телекомуникација, компјутерских и информацијских услуга</w:t>
            </w:r>
          </w:p>
          <w:p w14:paraId="3022C289" w14:textId="77777777" w:rsidR="001A395C" w:rsidRPr="00F5596D" w:rsidRDefault="001A395C" w:rsidP="001A395C">
            <w:pPr>
              <w:jc w:val="center"/>
              <w:rPr>
                <w:lang w:val="sr-Cyrl-CS"/>
              </w:rPr>
            </w:pPr>
            <w:r w:rsidRPr="00F5596D">
              <w:rPr>
                <w:noProof/>
              </w:rPr>
              <w:drawing>
                <wp:inline distT="0" distB="0" distL="0" distR="0" wp14:anchorId="184BCEF3" wp14:editId="2F4EFCF8">
                  <wp:extent cx="2880360" cy="1550504"/>
                  <wp:effectExtent l="0" t="0" r="0" b="0"/>
                  <wp:docPr id="28" name="Chart 28">
                    <a:extLst xmlns:a="http://schemas.openxmlformats.org/drawingml/2006/main">
                      <a:ext uri="{FF2B5EF4-FFF2-40B4-BE49-F238E27FC236}">
                        <a16:creationId xmlns:a16="http://schemas.microsoft.com/office/drawing/2014/main" id="{00000000-0008-0000-1E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680" w:type="dxa"/>
          </w:tcPr>
          <w:p w14:paraId="408DDBC2" w14:textId="77777777" w:rsidR="001A395C" w:rsidRPr="00F5596D" w:rsidRDefault="001A395C" w:rsidP="001A395C">
            <w:pPr>
              <w:jc w:val="center"/>
              <w:rPr>
                <w:sz w:val="18"/>
                <w:lang w:val="sr-Cyrl-CS"/>
              </w:rPr>
            </w:pPr>
            <w:r w:rsidRPr="00F5596D">
              <w:rPr>
                <w:lang w:val="sr-Cyrl-CS"/>
              </w:rPr>
              <w:t>Извоз туристичких услуга</w:t>
            </w:r>
            <w:r w:rsidRPr="00F5596D">
              <w:rPr>
                <w:lang w:val="sr-Cyrl-CS"/>
              </w:rPr>
              <w:br w:type="textWrapping" w:clear="all"/>
            </w:r>
          </w:p>
          <w:p w14:paraId="1D348116" w14:textId="77777777" w:rsidR="001A395C" w:rsidRPr="00F5596D" w:rsidRDefault="001A395C" w:rsidP="001A395C">
            <w:pPr>
              <w:spacing w:before="60"/>
              <w:jc w:val="center"/>
              <w:rPr>
                <w:lang w:val="sr-Cyrl-CS"/>
              </w:rPr>
            </w:pPr>
            <w:r w:rsidRPr="00F5596D">
              <w:rPr>
                <w:noProof/>
              </w:rPr>
              <w:drawing>
                <wp:inline distT="0" distB="0" distL="0" distR="0" wp14:anchorId="044B94E2" wp14:editId="7359C0D7">
                  <wp:extent cx="2880360" cy="1482918"/>
                  <wp:effectExtent l="0" t="0" r="0" b="3175"/>
                  <wp:docPr id="32" name="Chart 32">
                    <a:extLst xmlns:a="http://schemas.openxmlformats.org/drawingml/2006/main">
                      <a:ext uri="{FF2B5EF4-FFF2-40B4-BE49-F238E27FC236}">
                        <a16:creationId xmlns:a16="http://schemas.microsoft.com/office/drawing/2014/main" id="{00000000-0008-0000-1E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44B1060D" w14:textId="77777777" w:rsidR="001A395C" w:rsidRPr="00F5596D" w:rsidRDefault="001A395C" w:rsidP="001A395C">
      <w:pPr>
        <w:spacing w:before="40" w:after="0" w:line="240" w:lineRule="auto"/>
        <w:jc w:val="center"/>
        <w:rPr>
          <w:rFonts w:cstheme="minorHAnsi"/>
          <w:b/>
          <w:sz w:val="18"/>
          <w:lang w:val="sr-Cyrl-CS"/>
        </w:rPr>
      </w:pPr>
      <w:r w:rsidRPr="00F5596D">
        <w:rPr>
          <w:noProof/>
        </w:rPr>
        <w:drawing>
          <wp:inline distT="0" distB="0" distL="0" distR="0" wp14:anchorId="7AE44F4F" wp14:editId="23C370A7">
            <wp:extent cx="4371429" cy="219048"/>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66"/>
                    <a:stretch>
                      <a:fillRect/>
                    </a:stretch>
                  </pic:blipFill>
                  <pic:spPr>
                    <a:xfrm>
                      <a:off x="0" y="0"/>
                      <a:ext cx="4371429" cy="219048"/>
                    </a:xfrm>
                    <a:prstGeom prst="rect">
                      <a:avLst/>
                    </a:prstGeom>
                  </pic:spPr>
                </pic:pic>
              </a:graphicData>
            </a:graphic>
          </wp:inline>
        </w:drawing>
      </w:r>
    </w:p>
    <w:p w14:paraId="56420BCC" w14:textId="77777777" w:rsidR="001A395C" w:rsidRPr="00F5596D" w:rsidRDefault="001A395C" w:rsidP="001A395C">
      <w:pPr>
        <w:spacing w:after="0"/>
        <w:jc w:val="left"/>
        <w:rPr>
          <w:rFonts w:cstheme="minorHAnsi"/>
          <w:bCs/>
          <w:sz w:val="14"/>
          <w:szCs w:val="72"/>
          <w:lang w:val="sr-Cyrl-CS"/>
        </w:rPr>
      </w:pPr>
      <w:r w:rsidRPr="00F5596D">
        <w:rPr>
          <w:rFonts w:cstheme="minorHAnsi"/>
          <w:bCs/>
          <w:sz w:val="14"/>
          <w:szCs w:val="72"/>
          <w:lang w:val="sr-Cyrl-CS"/>
        </w:rPr>
        <w:t>Извор: Министарство финансија</w:t>
      </w:r>
    </w:p>
    <w:p w14:paraId="3ECB713E" w14:textId="77777777" w:rsidR="001A395C" w:rsidRPr="00F5596D" w:rsidRDefault="001A395C">
      <w:pPr>
        <w:jc w:val="left"/>
        <w:rPr>
          <w:rFonts w:cstheme="minorHAnsi"/>
          <w:b/>
          <w:color w:val="002060"/>
          <w:lang w:val="sr-Cyrl-CS"/>
        </w:rPr>
      </w:pPr>
      <w:r w:rsidRPr="00F5596D">
        <w:rPr>
          <w:rFonts w:cstheme="minorHAnsi"/>
          <w:b/>
          <w:color w:val="002060"/>
          <w:lang w:val="sr-Cyrl-CS"/>
        </w:rPr>
        <w:br w:type="page"/>
      </w:r>
    </w:p>
    <w:p w14:paraId="1DC43317" w14:textId="77777777" w:rsidR="001A395C" w:rsidRPr="00F5596D" w:rsidRDefault="001A395C" w:rsidP="001A395C">
      <w:pPr>
        <w:tabs>
          <w:tab w:val="left" w:pos="720"/>
          <w:tab w:val="left" w:pos="1440"/>
        </w:tabs>
        <w:spacing w:after="0"/>
        <w:rPr>
          <w:rFonts w:cstheme="minorHAnsi"/>
          <w:bCs/>
          <w:sz w:val="10"/>
          <w:szCs w:val="12"/>
          <w:lang w:val="sr-Cyrl-CS"/>
        </w:rPr>
        <w:sectPr w:rsidR="001A395C" w:rsidRPr="00F5596D" w:rsidSect="001A395C">
          <w:type w:val="continuous"/>
          <w:pgSz w:w="12240" w:h="15840" w:code="1"/>
          <w:pgMar w:top="1440" w:right="1440" w:bottom="1440" w:left="1440" w:header="720" w:footer="720" w:gutter="0"/>
          <w:cols w:space="720"/>
          <w:docGrid w:linePitch="360"/>
        </w:sectPr>
      </w:pPr>
    </w:p>
    <w:p w14:paraId="0AE8AB7C" w14:textId="77777777" w:rsidR="001A395C" w:rsidRPr="00F5596D" w:rsidRDefault="001A395C" w:rsidP="001A395C">
      <w:pPr>
        <w:spacing w:after="80"/>
        <w:rPr>
          <w:rFonts w:cstheme="minorHAnsi"/>
          <w:bCs/>
          <w:spacing w:val="-4"/>
          <w:szCs w:val="72"/>
          <w:lang w:val="sr-Cyrl-CS"/>
        </w:rPr>
      </w:pPr>
      <w:r w:rsidRPr="00F5596D">
        <w:rPr>
          <w:rFonts w:cstheme="minorHAnsi"/>
          <w:bCs/>
          <w:spacing w:val="-4"/>
          <w:szCs w:val="72"/>
          <w:lang w:val="sr-Cyrl-CS"/>
        </w:rPr>
        <w:lastRenderedPageBreak/>
        <w:t xml:space="preserve">У првом кварталу 2025. године, грађевинска активност забележила је реалан пад, при чему је укупна вредност изведених радова смањена за 5,6% у односу на исти период претходне године. Главни негативан утицај потекао је од смањења активности у нискоградњи, где је вредност изведених радова опала за 10,2% међугодишње. Са друге стране, високоградња је делимично ублажила ова кретања, остваривши позитиван допринос кроз раст вредности радова од 4,8%. Негативни трендови у грађевинском сектору додатно су потврђени и кроз кретање у производњи грађевинских материјала. У периоду јануар–април 2025. године, производња цемента смањена је за 11,5% на годишњем нивоу, док је производња осталих грађевинских материјала опала за 3,1%. </w:t>
      </w:r>
    </w:p>
    <w:p w14:paraId="1B077B62" w14:textId="77777777" w:rsidR="001A395C" w:rsidRPr="00F5596D" w:rsidRDefault="001A395C" w:rsidP="001A395C">
      <w:pPr>
        <w:spacing w:after="0" w:line="240" w:lineRule="auto"/>
        <w:jc w:val="center"/>
        <w:rPr>
          <w:rFonts w:cstheme="minorHAnsi"/>
          <w:b/>
          <w:bCs/>
          <w:iCs/>
          <w:color w:val="FF0000"/>
          <w:szCs w:val="72"/>
          <w:lang w:val="sr-Cyrl-CS"/>
        </w:rPr>
      </w:pPr>
    </w:p>
    <w:p w14:paraId="09150F15" w14:textId="77777777" w:rsidR="001A395C" w:rsidRPr="00F5596D" w:rsidRDefault="001A395C" w:rsidP="001A395C">
      <w:pPr>
        <w:spacing w:after="0" w:line="240" w:lineRule="auto"/>
        <w:jc w:val="center"/>
        <w:rPr>
          <w:rFonts w:cstheme="minorHAnsi"/>
          <w:b/>
          <w:bCs/>
          <w:iCs/>
          <w:color w:val="002060"/>
          <w:szCs w:val="72"/>
          <w:lang w:val="sr-Cyrl-CS"/>
        </w:rPr>
      </w:pPr>
      <w:r w:rsidRPr="00F5596D">
        <w:rPr>
          <w:rFonts w:cstheme="minorHAnsi"/>
          <w:b/>
          <w:bCs/>
          <w:iCs/>
          <w:color w:val="002060"/>
          <w:szCs w:val="72"/>
          <w:lang w:val="sr-Cyrl-CS"/>
        </w:rPr>
        <w:t>Индекси вредности изведених грађевинских радова (2024=100)</w:t>
      </w:r>
    </w:p>
    <w:p w14:paraId="07F0601D" w14:textId="77777777" w:rsidR="001A395C" w:rsidRPr="00F5596D" w:rsidRDefault="001A395C" w:rsidP="001A395C">
      <w:pPr>
        <w:spacing w:after="0" w:line="240" w:lineRule="auto"/>
        <w:rPr>
          <w:rFonts w:cstheme="minorHAnsi"/>
          <w:bCs/>
          <w:szCs w:val="72"/>
          <w:lang w:val="sr-Cyrl-CS"/>
        </w:rPr>
      </w:pPr>
      <w:r w:rsidRPr="00F5596D">
        <w:rPr>
          <w:noProof/>
        </w:rPr>
        <w:drawing>
          <wp:inline distT="0" distB="0" distL="0" distR="0" wp14:anchorId="1BC58053" wp14:editId="02D8B8D6">
            <wp:extent cx="2743200" cy="1581912"/>
            <wp:effectExtent l="0" t="0" r="0" b="0"/>
            <wp:docPr id="39" name="Chart 39">
              <a:extLst xmlns:a="http://schemas.openxmlformats.org/drawingml/2006/main">
                <a:ext uri="{FF2B5EF4-FFF2-40B4-BE49-F238E27FC236}">
                  <a16:creationId xmlns:a16="http://schemas.microsoft.com/office/drawing/2014/main" id="{00000000-0008-0000-1F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BA3F6F4" w14:textId="77777777" w:rsidR="001A395C" w:rsidRPr="00F5596D" w:rsidRDefault="001A395C" w:rsidP="001A395C">
      <w:pPr>
        <w:spacing w:after="0"/>
        <w:rPr>
          <w:rFonts w:cstheme="minorHAnsi"/>
          <w:bCs/>
          <w:iCs/>
          <w:sz w:val="14"/>
          <w:szCs w:val="72"/>
          <w:lang w:val="sr-Cyrl-CS"/>
        </w:rPr>
      </w:pPr>
      <w:r w:rsidRPr="00F5596D">
        <w:rPr>
          <w:rFonts w:cstheme="minorHAnsi"/>
          <w:bCs/>
          <w:iCs/>
          <w:sz w:val="14"/>
          <w:szCs w:val="72"/>
          <w:lang w:val="sr-Cyrl-CS"/>
        </w:rPr>
        <w:t>Извор: РЗС</w:t>
      </w:r>
    </w:p>
    <w:p w14:paraId="4C45ADE1" w14:textId="77777777" w:rsidR="001A395C" w:rsidRPr="00F5596D" w:rsidRDefault="001A395C" w:rsidP="001A395C">
      <w:pPr>
        <w:spacing w:after="0"/>
        <w:rPr>
          <w:rFonts w:cstheme="minorHAnsi"/>
          <w:bCs/>
          <w:iCs/>
          <w:color w:val="FF0000"/>
          <w:sz w:val="14"/>
          <w:szCs w:val="72"/>
          <w:lang w:val="sr-Cyrl-CS"/>
        </w:rPr>
      </w:pPr>
    </w:p>
    <w:p w14:paraId="282C7645" w14:textId="77777777" w:rsidR="001A395C" w:rsidRPr="00F5596D" w:rsidRDefault="001A395C" w:rsidP="001A395C">
      <w:pPr>
        <w:rPr>
          <w:rFonts w:cstheme="minorHAnsi"/>
          <w:bCs/>
          <w:iCs/>
          <w:color w:val="FF0000"/>
          <w:szCs w:val="72"/>
          <w:lang w:val="sr-Cyrl-CS"/>
        </w:rPr>
      </w:pPr>
      <w:r w:rsidRPr="00F5596D">
        <w:rPr>
          <w:rFonts w:cstheme="minorHAnsi"/>
          <w:bCs/>
          <w:iCs/>
          <w:szCs w:val="72"/>
          <w:lang w:val="sr-Cyrl-CS"/>
        </w:rPr>
        <w:t xml:space="preserve">Након солидног раста од 3,2% у 2024. години, индустријска производња је наставила позитиван тренд и у првим месецима 2025. године, али уз нешто умеренију динамику. У периоду јануар–април 2025. године остварен је раст укупне индустријске производње од 2,1%, вођен растом прерађивачке индустрије која је забележила повећање физичког обима од 3,5%. Међутим, део тог раста може се приписати и израженом базном ефекту, посебно у делу производње нафтних деривата у оквиру НИС-а, која је у истом периоду прошле године била на изузетно ниском нивоу због ремонтних активности. Истовремено, сектор рударства је такође имао позитиван утицај, са растом обима производње од 3,6%, што је пре свега резултат појачане експлоатације угља (7,7%) и умереног раста експлоатације руда метала (1,8%). С друге стране, производња електричне енергије је забележила пад од 4,5% мг. у прва </w:t>
      </w:r>
      <w:r w:rsidRPr="00F5596D">
        <w:rPr>
          <w:rFonts w:cstheme="minorHAnsi"/>
          <w:bCs/>
          <w:iCs/>
          <w:szCs w:val="72"/>
          <w:lang w:val="sr-Cyrl-CS"/>
        </w:rPr>
        <w:t>четири месеца, чиме је негативно утицала на раст укупне индустријске производње.</w:t>
      </w:r>
      <w:r w:rsidRPr="00F5596D">
        <w:rPr>
          <w:lang w:val="sr-Cyrl-CS"/>
        </w:rPr>
        <w:t xml:space="preserve"> </w:t>
      </w:r>
      <w:r w:rsidRPr="00F5596D">
        <w:rPr>
          <w:rFonts w:cstheme="minorHAnsi"/>
          <w:bCs/>
          <w:iCs/>
          <w:szCs w:val="72"/>
          <w:lang w:val="sr-Cyrl-CS"/>
        </w:rPr>
        <w:t>Ипак, током априла, по први пут након вишемесечног силазног тренда, није забележен даљи међугодишњи пад у овом сектору (раст од 0,0%), што, уз покретање производње у новоизграђеном термо блоку „Б3“ термоелектране у Костолцу, указује на могућност да електроенергетски сектор у наредним месецима оствари позитиван допринос укупној индустријској производњи, нарочито у другој половини године.</w:t>
      </w:r>
    </w:p>
    <w:p w14:paraId="4CC1ED43" w14:textId="77777777" w:rsidR="001A395C" w:rsidRPr="00F5596D" w:rsidRDefault="001A395C" w:rsidP="001A395C">
      <w:pPr>
        <w:spacing w:after="0"/>
        <w:jc w:val="center"/>
        <w:rPr>
          <w:rFonts w:cstheme="minorHAnsi"/>
          <w:b/>
          <w:bCs/>
          <w:iCs/>
          <w:color w:val="002060"/>
          <w:szCs w:val="72"/>
          <w:lang w:val="sr-Cyrl-CS"/>
        </w:rPr>
      </w:pPr>
      <w:r w:rsidRPr="00F5596D">
        <w:rPr>
          <w:rFonts w:cstheme="minorHAnsi"/>
          <w:b/>
          <w:bCs/>
          <w:iCs/>
          <w:color w:val="002060"/>
          <w:szCs w:val="72"/>
          <w:lang w:val="sr-Cyrl-CS"/>
        </w:rPr>
        <w:t>Индекс физичког обима прерађивачке индустрије, 2024=100</w:t>
      </w:r>
    </w:p>
    <w:p w14:paraId="46B80605" w14:textId="77777777" w:rsidR="001A395C" w:rsidRPr="00F5596D" w:rsidRDefault="001A395C" w:rsidP="001A395C">
      <w:pPr>
        <w:rPr>
          <w:rFonts w:cstheme="minorHAnsi"/>
          <w:bCs/>
          <w:iCs/>
          <w:color w:val="FF0000"/>
          <w:szCs w:val="72"/>
          <w:lang w:val="sr-Cyrl-CS"/>
        </w:rPr>
      </w:pPr>
      <w:r w:rsidRPr="00F5596D">
        <w:rPr>
          <w:noProof/>
        </w:rPr>
        <w:drawing>
          <wp:inline distT="0" distB="0" distL="0" distR="0" wp14:anchorId="4F37A48F" wp14:editId="08833195">
            <wp:extent cx="2743200" cy="1609344"/>
            <wp:effectExtent l="0" t="0" r="0" b="0"/>
            <wp:docPr id="14" name="Chart 14">
              <a:extLst xmlns:a="http://schemas.openxmlformats.org/drawingml/2006/main">
                <a:ext uri="{FF2B5EF4-FFF2-40B4-BE49-F238E27FC236}">
                  <a16:creationId xmlns:a16="http://schemas.microsoft.com/office/drawing/2014/main" id="{00000000-0008-0000-1C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CCBD020" w14:textId="77777777" w:rsidR="001A395C" w:rsidRPr="00F5596D" w:rsidRDefault="001A395C" w:rsidP="001A395C">
      <w:pPr>
        <w:spacing w:after="0"/>
        <w:jc w:val="center"/>
        <w:rPr>
          <w:rFonts w:cstheme="minorHAnsi"/>
          <w:b/>
          <w:bCs/>
          <w:iCs/>
          <w:color w:val="002060"/>
          <w:szCs w:val="72"/>
          <w:lang w:val="sr-Cyrl-CS"/>
        </w:rPr>
      </w:pPr>
      <w:r w:rsidRPr="00F5596D">
        <w:rPr>
          <w:rFonts w:cstheme="minorHAnsi"/>
          <w:b/>
          <w:bCs/>
          <w:iCs/>
          <w:color w:val="002060"/>
          <w:szCs w:val="72"/>
          <w:lang w:val="sr-Cyrl-CS"/>
        </w:rPr>
        <w:t>Индекс физичког обима рударства, 2024=100</w:t>
      </w:r>
    </w:p>
    <w:p w14:paraId="51FC1B17" w14:textId="77777777" w:rsidR="001A395C" w:rsidRPr="00F5596D" w:rsidRDefault="001A395C" w:rsidP="001A395C">
      <w:pPr>
        <w:spacing w:after="60"/>
        <w:rPr>
          <w:rFonts w:cstheme="minorHAnsi"/>
          <w:bCs/>
          <w:iCs/>
          <w:color w:val="FF0000"/>
          <w:szCs w:val="72"/>
          <w:lang w:val="sr-Cyrl-CS"/>
        </w:rPr>
      </w:pPr>
      <w:r w:rsidRPr="00F5596D">
        <w:rPr>
          <w:noProof/>
        </w:rPr>
        <w:drawing>
          <wp:inline distT="0" distB="0" distL="0" distR="0" wp14:anchorId="334DF622" wp14:editId="50E839DC">
            <wp:extent cx="2743200" cy="1609344"/>
            <wp:effectExtent l="0" t="0" r="0" b="0"/>
            <wp:docPr id="40" name="Chart 40">
              <a:extLst xmlns:a="http://schemas.openxmlformats.org/drawingml/2006/main">
                <a:ext uri="{FF2B5EF4-FFF2-40B4-BE49-F238E27FC236}">
                  <a16:creationId xmlns:a16="http://schemas.microsoft.com/office/drawing/2014/main" id="{00000000-0008-0000-1C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FA8156D" w14:textId="77777777" w:rsidR="001A395C" w:rsidRPr="00F5596D" w:rsidRDefault="001A395C" w:rsidP="001A395C">
      <w:pPr>
        <w:spacing w:after="0"/>
        <w:jc w:val="center"/>
        <w:rPr>
          <w:rFonts w:cstheme="minorHAnsi"/>
          <w:b/>
          <w:bCs/>
          <w:iCs/>
          <w:color w:val="002060"/>
          <w:spacing w:val="-2"/>
          <w:szCs w:val="72"/>
          <w:lang w:val="sr-Cyrl-CS"/>
        </w:rPr>
      </w:pPr>
      <w:r w:rsidRPr="00F5596D">
        <w:rPr>
          <w:rFonts w:cstheme="minorHAnsi"/>
          <w:b/>
          <w:bCs/>
          <w:iCs/>
          <w:color w:val="002060"/>
          <w:spacing w:val="-2"/>
          <w:szCs w:val="72"/>
          <w:lang w:val="sr-Cyrl-CS"/>
        </w:rPr>
        <w:t>Индекс физичког обима снабдевања електричном енергијом, гасом и паром, 2024=100</w:t>
      </w:r>
    </w:p>
    <w:p w14:paraId="7E4AC8CA" w14:textId="77777777" w:rsidR="001A395C" w:rsidRPr="00F5596D" w:rsidRDefault="001A395C" w:rsidP="001A395C">
      <w:pPr>
        <w:spacing w:after="60"/>
        <w:jc w:val="left"/>
        <w:rPr>
          <w:rFonts w:cstheme="minorHAnsi"/>
          <w:bCs/>
          <w:iCs/>
          <w:color w:val="FF0000"/>
          <w:szCs w:val="72"/>
          <w:lang w:val="sr-Cyrl-CS"/>
        </w:rPr>
      </w:pPr>
      <w:r w:rsidRPr="00F5596D">
        <w:rPr>
          <w:noProof/>
        </w:rPr>
        <w:drawing>
          <wp:inline distT="0" distB="0" distL="0" distR="0" wp14:anchorId="7800A002" wp14:editId="5EF0C4A1">
            <wp:extent cx="2743200" cy="1609344"/>
            <wp:effectExtent l="0" t="0" r="0" b="0"/>
            <wp:docPr id="11" name="Chart 11">
              <a:extLst xmlns:a="http://schemas.openxmlformats.org/drawingml/2006/main">
                <a:ext uri="{FF2B5EF4-FFF2-40B4-BE49-F238E27FC236}">
                  <a16:creationId xmlns:a16="http://schemas.microsoft.com/office/drawing/2014/main" id="{00000000-0008-0000-1C00-00004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605F78E" w14:textId="77777777" w:rsidR="001A395C" w:rsidRPr="00F5596D" w:rsidRDefault="001A395C" w:rsidP="001A395C">
      <w:pPr>
        <w:spacing w:after="0" w:line="240" w:lineRule="auto"/>
        <w:rPr>
          <w:rFonts w:cstheme="minorHAnsi"/>
          <w:bCs/>
          <w:color w:val="FF0000"/>
          <w:sz w:val="16"/>
          <w:szCs w:val="72"/>
          <w:lang w:val="sr-Cyrl-CS"/>
        </w:rPr>
      </w:pPr>
      <w:r w:rsidRPr="00F5596D">
        <w:rPr>
          <w:noProof/>
          <w:color w:val="FF0000"/>
        </w:rPr>
        <w:drawing>
          <wp:inline distT="0" distB="0" distL="0" distR="0" wp14:anchorId="76EAB834" wp14:editId="25A9A99D">
            <wp:extent cx="2743200" cy="137080"/>
            <wp:effectExtent l="0" t="0" r="0" b="0"/>
            <wp:docPr id="2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66"/>
                    <a:stretch>
                      <a:fillRect/>
                    </a:stretch>
                  </pic:blipFill>
                  <pic:spPr>
                    <a:xfrm>
                      <a:off x="0" y="0"/>
                      <a:ext cx="2743200" cy="137080"/>
                    </a:xfrm>
                    <a:prstGeom prst="rect">
                      <a:avLst/>
                    </a:prstGeom>
                  </pic:spPr>
                </pic:pic>
              </a:graphicData>
            </a:graphic>
          </wp:inline>
        </w:drawing>
      </w:r>
    </w:p>
    <w:p w14:paraId="7DF6B3F6" w14:textId="77777777" w:rsidR="001A395C" w:rsidRPr="00F5596D" w:rsidRDefault="001A395C" w:rsidP="001A395C">
      <w:pPr>
        <w:spacing w:after="0" w:line="240" w:lineRule="auto"/>
        <w:rPr>
          <w:rFonts w:cstheme="minorHAnsi"/>
          <w:bCs/>
          <w:iCs/>
          <w:sz w:val="18"/>
          <w:szCs w:val="72"/>
          <w:lang w:val="sr-Cyrl-CS"/>
        </w:rPr>
      </w:pPr>
      <w:r w:rsidRPr="00F5596D">
        <w:rPr>
          <w:rFonts w:cstheme="minorHAnsi"/>
          <w:bCs/>
          <w:sz w:val="14"/>
          <w:szCs w:val="72"/>
          <w:lang w:val="sr-Cyrl-CS"/>
        </w:rPr>
        <w:t>Извор: Министарство финансија</w:t>
      </w:r>
    </w:p>
    <w:p w14:paraId="7C62D91A" w14:textId="6EF4FE1B" w:rsidR="001A395C" w:rsidRPr="00F5596D" w:rsidRDefault="001A395C" w:rsidP="001A395C">
      <w:pPr>
        <w:spacing w:after="0"/>
        <w:rPr>
          <w:rFonts w:cstheme="minorHAnsi"/>
          <w:bCs/>
          <w:iCs/>
          <w:color w:val="FF0000"/>
          <w:sz w:val="14"/>
          <w:szCs w:val="72"/>
          <w:lang w:val="sr-Cyrl-CS"/>
        </w:rPr>
      </w:pPr>
      <w:r w:rsidRPr="00F5596D">
        <w:rPr>
          <w:rFonts w:cstheme="minorHAnsi"/>
          <w:bCs/>
          <w:szCs w:val="72"/>
          <w:lang w:val="sr-Cyrl-CS"/>
        </w:rPr>
        <w:lastRenderedPageBreak/>
        <w:t>Посматрано по областима прерађивачке индустрије, у прва четири месеца</w:t>
      </w:r>
      <w:r w:rsidR="00916164" w:rsidRPr="00F5596D">
        <w:rPr>
          <w:rFonts w:cstheme="minorHAnsi"/>
          <w:bCs/>
          <w:szCs w:val="72"/>
          <w:lang w:val="sr-Cyrl-CS"/>
        </w:rPr>
        <w:t xml:space="preserve"> </w:t>
      </w:r>
      <w:r w:rsidRPr="00F5596D">
        <w:rPr>
          <w:rFonts w:cstheme="minorHAnsi"/>
          <w:bCs/>
          <w:szCs w:val="72"/>
          <w:lang w:val="sr-Cyrl-CS"/>
        </w:rPr>
        <w:t>забележен је раст у 11 од 24 делатности. Најзначајнији позитиван допринос расту прерађивачке индустрије у овом периоду потиче од нафтне индустрије, чија је динамика производње у значајној мери била под утицајем базног ефекта услед спровођења прошлогодишњег ремонта и извођењу инвестиционих радова н</w:t>
      </w:r>
      <w:r w:rsidR="00916164" w:rsidRPr="00F5596D">
        <w:rPr>
          <w:rFonts w:cstheme="minorHAnsi"/>
          <w:bCs/>
          <w:szCs w:val="72"/>
          <w:lang w:val="sr-Cyrl-CS"/>
        </w:rPr>
        <w:t xml:space="preserve">а већини процесних постројења у </w:t>
      </w:r>
      <w:r w:rsidRPr="00F5596D">
        <w:rPr>
          <w:rFonts w:cstheme="minorHAnsi"/>
          <w:bCs/>
          <w:szCs w:val="72"/>
          <w:lang w:val="sr-Cyrl-CS"/>
        </w:rPr>
        <w:t>прерађивачком комплексу НИС,</w:t>
      </w:r>
      <w:r w:rsidR="00916164" w:rsidRPr="00F5596D">
        <w:rPr>
          <w:rFonts w:cstheme="minorHAnsi"/>
          <w:bCs/>
          <w:szCs w:val="72"/>
          <w:lang w:val="sr-Cyrl-CS"/>
        </w:rPr>
        <w:t xml:space="preserve"> резултујући </w:t>
      </w:r>
      <w:r w:rsidRPr="00F5596D">
        <w:rPr>
          <w:rFonts w:cstheme="minorHAnsi"/>
          <w:bCs/>
          <w:szCs w:val="72"/>
          <w:lang w:val="sr-Cyrl-CS"/>
        </w:rPr>
        <w:t>растом од 51,8%</w:t>
      </w:r>
      <w:r w:rsidR="00916164" w:rsidRPr="00F5596D">
        <w:rPr>
          <w:rFonts w:cstheme="minorHAnsi"/>
          <w:bCs/>
          <w:szCs w:val="72"/>
          <w:lang w:val="sr-Cyrl-CS"/>
        </w:rPr>
        <w:t xml:space="preserve"> у прва четири</w:t>
      </w:r>
      <w:r w:rsidRPr="00F5596D">
        <w:rPr>
          <w:rFonts w:cstheme="minorHAnsi"/>
          <w:bCs/>
          <w:szCs w:val="72"/>
          <w:lang w:val="sr-Cyrl-CS"/>
        </w:rPr>
        <w:t xml:space="preserve"> месеца.</w:t>
      </w:r>
      <w:r w:rsidR="00916164" w:rsidRPr="00F5596D">
        <w:rPr>
          <w:rFonts w:cstheme="minorHAnsi"/>
          <w:bCs/>
          <w:color w:val="FF0000"/>
          <w:szCs w:val="72"/>
          <w:lang w:val="sr-Cyrl-CS"/>
        </w:rPr>
        <w:t xml:space="preserve"> </w:t>
      </w:r>
      <w:r w:rsidRPr="00F5596D">
        <w:rPr>
          <w:rFonts w:cstheme="minorHAnsi"/>
          <w:bCs/>
          <w:szCs w:val="72"/>
          <w:lang w:val="sr-Cyrl-CS"/>
        </w:rPr>
        <w:t>Истовремено, физички обим гумарске индустрије је виши за 17,4%, при чему ове две делатности опредељују скоро две трећине позитивног утицаја међу делатностима које су оствариле раст производње.</w:t>
      </w:r>
      <w:r w:rsidRPr="00F5596D">
        <w:rPr>
          <w:rFonts w:cstheme="minorHAnsi"/>
          <w:bCs/>
          <w:color w:val="FF0000"/>
          <w:szCs w:val="72"/>
          <w:lang w:val="sr-Cyrl-CS"/>
        </w:rPr>
        <w:t xml:space="preserve"> </w:t>
      </w:r>
      <w:r w:rsidRPr="00F5596D">
        <w:rPr>
          <w:rFonts w:cstheme="minorHAnsi"/>
          <w:bCs/>
          <w:szCs w:val="72"/>
          <w:lang w:val="sr-Cyrl-CS"/>
        </w:rPr>
        <w:t xml:space="preserve">Настављен је растући тренд производње рачунара, електронских и оптичких производа, при чему је у прва четири месеца обим активности ове делатности увећан за 30,6%, у односу на исти период претходне године. </w:t>
      </w:r>
      <w:r w:rsidRPr="00F5596D">
        <w:rPr>
          <w:rFonts w:cstheme="minorHAnsi"/>
          <w:bCs/>
          <w:szCs w:val="72"/>
          <w:lang w:val="sr-Cyrl-CS"/>
        </w:rPr>
        <w:t>Упркос смањеној спољној тражњи</w:t>
      </w:r>
      <w:r w:rsidR="00387A4A" w:rsidRPr="00F5596D">
        <w:rPr>
          <w:rFonts w:cstheme="minorHAnsi"/>
          <w:bCs/>
          <w:szCs w:val="72"/>
          <w:lang w:val="sr-Cyrl-CS"/>
        </w:rPr>
        <w:t>,</w:t>
      </w:r>
      <w:r w:rsidRPr="00F5596D">
        <w:rPr>
          <w:rFonts w:cstheme="minorHAnsi"/>
          <w:bCs/>
          <w:szCs w:val="72"/>
          <w:lang w:val="sr-Cyrl-CS"/>
        </w:rPr>
        <w:t xml:space="preserve"> аутомобилска индустрија забележила је раст производње од 10,7%, пре свега услед покретања производње новог електричног модела аутомобила у Крагујевцу. Истовремено, позитиван допринос потиче од производње основних метала, као и од производње металних производа к</w:t>
      </w:r>
      <w:r w:rsidR="00916164" w:rsidRPr="00F5596D">
        <w:rPr>
          <w:rFonts w:cstheme="minorHAnsi"/>
          <w:bCs/>
          <w:szCs w:val="72"/>
          <w:lang w:val="sr-Cyrl-CS"/>
        </w:rPr>
        <w:t xml:space="preserve">оје су забележиле раст од 9,6% </w:t>
      </w:r>
      <w:r w:rsidRPr="00F5596D">
        <w:rPr>
          <w:rFonts w:cstheme="minorHAnsi"/>
          <w:bCs/>
          <w:szCs w:val="72"/>
          <w:lang w:val="sr-Cyrl-CS"/>
        </w:rPr>
        <w:t>и 3,6% мг, респективно. С друге стране, најзначајнији негативан допринос кретању прерађивачке индустрије у прва четири месеца 2025. године потекао је од машинске индустрије см</w:t>
      </w:r>
      <w:r w:rsidR="00916164" w:rsidRPr="00F5596D">
        <w:rPr>
          <w:rFonts w:cstheme="minorHAnsi"/>
          <w:bCs/>
          <w:szCs w:val="72"/>
          <w:lang w:val="sr-Cyrl-CS"/>
        </w:rPr>
        <w:t xml:space="preserve">ањењем производње од 12,0% мг. </w:t>
      </w:r>
      <w:r w:rsidRPr="00F5596D">
        <w:rPr>
          <w:rFonts w:cstheme="minorHAnsi"/>
          <w:bCs/>
          <w:szCs w:val="72"/>
          <w:lang w:val="sr-Cyrl-CS"/>
        </w:rPr>
        <w:t>Производња одевни</w:t>
      </w:r>
      <w:r w:rsidR="00916164" w:rsidRPr="00F5596D">
        <w:rPr>
          <w:rFonts w:cstheme="minorHAnsi"/>
          <w:bCs/>
          <w:szCs w:val="72"/>
          <w:lang w:val="sr-Cyrl-CS"/>
        </w:rPr>
        <w:t>х предмета забележила је пад</w:t>
      </w:r>
      <w:r w:rsidRPr="00F5596D">
        <w:rPr>
          <w:rFonts w:cstheme="minorHAnsi"/>
          <w:bCs/>
          <w:szCs w:val="72"/>
          <w:lang w:val="sr-Cyrl-CS"/>
        </w:rPr>
        <w:t xml:space="preserve"> од 18,5%, док је физички обим производње електричне опреме и фармацеутске индустрије опао за 8,4% и 6,2%, респективно. Остале делатности које су оствариле мањи физички обим производње имале су благ негативан утицај на кретање прерађивачке индустрије.</w:t>
      </w:r>
    </w:p>
    <w:p w14:paraId="772FBAA5" w14:textId="77777777" w:rsidR="001A395C" w:rsidRPr="00F5596D" w:rsidRDefault="001A395C" w:rsidP="001A395C">
      <w:pPr>
        <w:spacing w:after="0"/>
        <w:rPr>
          <w:rFonts w:cstheme="minorHAnsi"/>
          <w:bCs/>
          <w:iCs/>
          <w:color w:val="FF0000"/>
          <w:sz w:val="14"/>
          <w:szCs w:val="72"/>
          <w:lang w:val="sr-Cyrl-CS"/>
        </w:rPr>
        <w:sectPr w:rsidR="001A395C" w:rsidRPr="00F5596D" w:rsidSect="001A395C">
          <w:type w:val="continuous"/>
          <w:pgSz w:w="12240" w:h="15840" w:code="1"/>
          <w:pgMar w:top="1440" w:right="1440" w:bottom="1440" w:left="1440" w:header="720" w:footer="720" w:gutter="0"/>
          <w:cols w:num="2" w:space="720"/>
          <w:docGrid w:linePitch="360"/>
        </w:sectPr>
      </w:pPr>
    </w:p>
    <w:p w14:paraId="11A0EDE0" w14:textId="77777777" w:rsidR="009D74FD" w:rsidRPr="00F5596D" w:rsidRDefault="009D74FD" w:rsidP="001A395C">
      <w:pPr>
        <w:spacing w:after="60" w:line="240" w:lineRule="auto"/>
        <w:jc w:val="center"/>
        <w:rPr>
          <w:rFonts w:cstheme="minorHAnsi"/>
          <w:b/>
          <w:color w:val="002060"/>
          <w:lang w:val="sr-Cyrl-CS"/>
        </w:rPr>
      </w:pPr>
    </w:p>
    <w:p w14:paraId="7D18440C" w14:textId="00DF4D30" w:rsidR="001A395C" w:rsidRPr="00F5596D" w:rsidRDefault="001A395C" w:rsidP="001A395C">
      <w:pPr>
        <w:spacing w:after="60" w:line="240" w:lineRule="auto"/>
        <w:jc w:val="center"/>
        <w:rPr>
          <w:rFonts w:cstheme="minorHAnsi"/>
          <w:b/>
          <w:color w:val="FF0000"/>
          <w:lang w:val="sr-Cyrl-CS"/>
        </w:rPr>
      </w:pPr>
      <w:r w:rsidRPr="00F5596D">
        <w:rPr>
          <w:rFonts w:cstheme="minorHAnsi"/>
          <w:b/>
          <w:color w:val="002060"/>
          <w:lang w:val="sr-Cyrl-CS"/>
        </w:rPr>
        <w:t>Индекси физичког обима водећих делатности прерађивачке индустрије, 2024=100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1A395C" w:rsidRPr="00F5596D" w14:paraId="29B49867" w14:textId="77777777" w:rsidTr="001A395C">
        <w:tc>
          <w:tcPr>
            <w:tcW w:w="4680" w:type="dxa"/>
          </w:tcPr>
          <w:p w14:paraId="26F78728" w14:textId="77777777" w:rsidR="001A395C" w:rsidRPr="00F5596D" w:rsidRDefault="001A395C" w:rsidP="001A395C">
            <w:pPr>
              <w:spacing w:before="40" w:after="20"/>
              <w:jc w:val="center"/>
              <w:rPr>
                <w:lang w:val="sr-Cyrl-CS"/>
              </w:rPr>
            </w:pPr>
            <w:r w:rsidRPr="00F5596D">
              <w:rPr>
                <w:lang w:val="sr-Cyrl-CS"/>
              </w:rPr>
              <w:t>Производња кокса и деривата нафте</w:t>
            </w:r>
          </w:p>
          <w:p w14:paraId="0108DAAF" w14:textId="77777777" w:rsidR="001A395C" w:rsidRPr="00F5596D" w:rsidRDefault="001A395C" w:rsidP="001A395C">
            <w:pPr>
              <w:spacing w:before="40" w:after="20"/>
              <w:jc w:val="center"/>
              <w:rPr>
                <w:lang w:val="sr-Cyrl-CS"/>
              </w:rPr>
            </w:pPr>
            <w:r w:rsidRPr="00F5596D">
              <w:rPr>
                <w:noProof/>
              </w:rPr>
              <w:drawing>
                <wp:inline distT="0" distB="0" distL="0" distR="0" wp14:anchorId="78DCB649" wp14:editId="7BFE8366">
                  <wp:extent cx="2880360" cy="1188720"/>
                  <wp:effectExtent l="0" t="0" r="0" b="0"/>
                  <wp:docPr id="42" name="Chart 42">
                    <a:extLst xmlns:a="http://schemas.openxmlformats.org/drawingml/2006/main">
                      <a:ext uri="{FF2B5EF4-FFF2-40B4-BE49-F238E27FC236}">
                        <a16:creationId xmlns:a16="http://schemas.microsoft.com/office/drawing/2014/main" id="{00000000-0008-0000-1C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c>
          <w:tcPr>
            <w:tcW w:w="4680" w:type="dxa"/>
          </w:tcPr>
          <w:p w14:paraId="4BBA142F" w14:textId="77777777" w:rsidR="001A395C" w:rsidRPr="00F5596D" w:rsidRDefault="001A395C" w:rsidP="001A395C">
            <w:pPr>
              <w:spacing w:before="40" w:after="20"/>
              <w:jc w:val="center"/>
              <w:rPr>
                <w:lang w:val="sr-Cyrl-CS"/>
              </w:rPr>
            </w:pPr>
            <w:r w:rsidRPr="00F5596D">
              <w:rPr>
                <w:lang w:val="sr-Cyrl-CS"/>
              </w:rPr>
              <w:t>Производња моторних возила и приколица</w:t>
            </w:r>
          </w:p>
          <w:p w14:paraId="3CA53A26" w14:textId="77777777" w:rsidR="001A395C" w:rsidRPr="00F5596D" w:rsidRDefault="001A395C" w:rsidP="001A395C">
            <w:pPr>
              <w:spacing w:before="40" w:after="20"/>
              <w:jc w:val="center"/>
              <w:rPr>
                <w:lang w:val="sr-Cyrl-CS"/>
              </w:rPr>
            </w:pPr>
            <w:r w:rsidRPr="00F5596D">
              <w:rPr>
                <w:noProof/>
              </w:rPr>
              <w:drawing>
                <wp:inline distT="0" distB="0" distL="0" distR="0" wp14:anchorId="222C40A5" wp14:editId="139FD91C">
                  <wp:extent cx="2880360" cy="1188720"/>
                  <wp:effectExtent l="0" t="0" r="0" b="0"/>
                  <wp:docPr id="23" name="Chart 23">
                    <a:extLst xmlns:a="http://schemas.openxmlformats.org/drawingml/2006/main">
                      <a:ext uri="{FF2B5EF4-FFF2-40B4-BE49-F238E27FC236}">
                        <a16:creationId xmlns:a16="http://schemas.microsoft.com/office/drawing/2014/main" id="{00000000-0008-0000-1C00-00002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1A395C" w:rsidRPr="00F5596D" w14:paraId="5C86C74E" w14:textId="77777777" w:rsidTr="001A395C">
        <w:tc>
          <w:tcPr>
            <w:tcW w:w="4680" w:type="dxa"/>
          </w:tcPr>
          <w:p w14:paraId="10475DAB" w14:textId="77777777" w:rsidR="001A395C" w:rsidRPr="00F5596D" w:rsidRDefault="001A395C" w:rsidP="001A395C">
            <w:pPr>
              <w:spacing w:before="40" w:after="20"/>
              <w:jc w:val="center"/>
              <w:rPr>
                <w:lang w:val="sr-Cyrl-CS"/>
              </w:rPr>
            </w:pPr>
            <w:r w:rsidRPr="00F5596D">
              <w:rPr>
                <w:lang w:val="sr-Cyrl-CS"/>
              </w:rPr>
              <w:t>Производња производа од гуме и пластике</w:t>
            </w:r>
          </w:p>
          <w:p w14:paraId="1CE13015" w14:textId="77777777" w:rsidR="001A395C" w:rsidRPr="00F5596D" w:rsidRDefault="001A395C" w:rsidP="001A395C">
            <w:pPr>
              <w:spacing w:before="40" w:after="20"/>
              <w:jc w:val="center"/>
              <w:rPr>
                <w:lang w:val="sr-Cyrl-CS"/>
              </w:rPr>
            </w:pPr>
            <w:r w:rsidRPr="00F5596D">
              <w:rPr>
                <w:noProof/>
              </w:rPr>
              <w:drawing>
                <wp:inline distT="0" distB="0" distL="0" distR="0" wp14:anchorId="460CD19A" wp14:editId="43377ADB">
                  <wp:extent cx="2880360" cy="1188720"/>
                  <wp:effectExtent l="0" t="0" r="0" b="0"/>
                  <wp:docPr id="24" name="Chart 24">
                    <a:extLst xmlns:a="http://schemas.openxmlformats.org/drawingml/2006/main">
                      <a:ext uri="{FF2B5EF4-FFF2-40B4-BE49-F238E27FC236}">
                        <a16:creationId xmlns:a16="http://schemas.microsoft.com/office/drawing/2014/main" id="{00000000-0008-0000-1C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c>
          <w:tcPr>
            <w:tcW w:w="4680" w:type="dxa"/>
          </w:tcPr>
          <w:p w14:paraId="05FE49A2" w14:textId="77777777" w:rsidR="001A395C" w:rsidRPr="00F5596D" w:rsidRDefault="001A395C" w:rsidP="001A395C">
            <w:pPr>
              <w:spacing w:before="40" w:after="20"/>
              <w:jc w:val="center"/>
              <w:rPr>
                <w:lang w:val="sr-Cyrl-CS"/>
              </w:rPr>
            </w:pPr>
            <w:r w:rsidRPr="00F5596D">
              <w:rPr>
                <w:lang w:val="sr-Cyrl-CS"/>
              </w:rPr>
              <w:t>Производња рачунара, електронских и оптичких произв.</w:t>
            </w:r>
          </w:p>
          <w:p w14:paraId="075B8194" w14:textId="77777777" w:rsidR="001A395C" w:rsidRPr="00F5596D" w:rsidRDefault="001A395C" w:rsidP="001A395C">
            <w:pPr>
              <w:spacing w:before="40" w:after="20"/>
              <w:jc w:val="center"/>
              <w:rPr>
                <w:lang w:val="sr-Cyrl-CS"/>
              </w:rPr>
            </w:pPr>
            <w:r w:rsidRPr="00F5596D">
              <w:rPr>
                <w:noProof/>
              </w:rPr>
              <w:drawing>
                <wp:inline distT="0" distB="0" distL="0" distR="0" wp14:anchorId="33EDE9BC" wp14:editId="28007429">
                  <wp:extent cx="2880360" cy="1188720"/>
                  <wp:effectExtent l="0" t="0" r="0" b="0"/>
                  <wp:docPr id="27" name="Chart 27">
                    <a:extLst xmlns:a="http://schemas.openxmlformats.org/drawingml/2006/main">
                      <a:ext uri="{FF2B5EF4-FFF2-40B4-BE49-F238E27FC236}">
                        <a16:creationId xmlns:a16="http://schemas.microsoft.com/office/drawing/2014/main" id="{00000000-0008-0000-1C00-00004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1A395C" w:rsidRPr="00F5596D" w14:paraId="3E493C15" w14:textId="77777777" w:rsidTr="001A395C">
        <w:tc>
          <w:tcPr>
            <w:tcW w:w="4680" w:type="dxa"/>
          </w:tcPr>
          <w:p w14:paraId="3998F28C" w14:textId="77777777" w:rsidR="001A395C" w:rsidRPr="00F5596D" w:rsidRDefault="001A395C" w:rsidP="001A395C">
            <w:pPr>
              <w:spacing w:before="40" w:after="20"/>
              <w:jc w:val="center"/>
              <w:rPr>
                <w:lang w:val="sr-Cyrl-CS"/>
              </w:rPr>
            </w:pPr>
            <w:r w:rsidRPr="00F5596D">
              <w:rPr>
                <w:lang w:val="sr-Cyrl-CS"/>
              </w:rPr>
              <w:t>Производња основних метала</w:t>
            </w:r>
          </w:p>
          <w:p w14:paraId="3B9DBE53" w14:textId="77777777" w:rsidR="001A395C" w:rsidRPr="00F5596D" w:rsidRDefault="001A395C" w:rsidP="001A395C">
            <w:pPr>
              <w:spacing w:before="40" w:after="20"/>
              <w:jc w:val="center"/>
              <w:rPr>
                <w:lang w:val="sr-Cyrl-CS"/>
              </w:rPr>
            </w:pPr>
            <w:r w:rsidRPr="00F5596D">
              <w:rPr>
                <w:noProof/>
              </w:rPr>
              <w:drawing>
                <wp:inline distT="0" distB="0" distL="0" distR="0" wp14:anchorId="4D69E088" wp14:editId="487888BB">
                  <wp:extent cx="2756780" cy="1188720"/>
                  <wp:effectExtent l="0" t="0" r="5715" b="0"/>
                  <wp:docPr id="48" name="Chart 48">
                    <a:extLst xmlns:a="http://schemas.openxmlformats.org/drawingml/2006/main">
                      <a:ext uri="{FF2B5EF4-FFF2-40B4-BE49-F238E27FC236}">
                        <a16:creationId xmlns:a16="http://schemas.microsoft.com/office/drawing/2014/main" id="{00000000-0008-0000-1C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c>
          <w:tcPr>
            <w:tcW w:w="4680" w:type="dxa"/>
          </w:tcPr>
          <w:p w14:paraId="2D9B4B59" w14:textId="77777777" w:rsidR="001A395C" w:rsidRPr="00F5596D" w:rsidRDefault="001A395C" w:rsidP="001A395C">
            <w:pPr>
              <w:spacing w:before="40" w:after="20"/>
              <w:jc w:val="center"/>
              <w:rPr>
                <w:lang w:val="sr-Cyrl-CS"/>
              </w:rPr>
            </w:pPr>
            <w:r w:rsidRPr="00F5596D">
              <w:rPr>
                <w:lang w:val="sr-Cyrl-CS"/>
              </w:rPr>
              <w:t>Производња металних производа, осим машина</w:t>
            </w:r>
          </w:p>
          <w:p w14:paraId="39A65CF7" w14:textId="77777777" w:rsidR="001A395C" w:rsidRPr="00F5596D" w:rsidRDefault="001A395C" w:rsidP="001A395C">
            <w:pPr>
              <w:spacing w:before="40" w:after="20"/>
              <w:jc w:val="center"/>
              <w:rPr>
                <w:lang w:val="sr-Cyrl-CS"/>
              </w:rPr>
            </w:pPr>
            <w:r w:rsidRPr="00F5596D">
              <w:rPr>
                <w:noProof/>
              </w:rPr>
              <w:drawing>
                <wp:inline distT="0" distB="0" distL="0" distR="0" wp14:anchorId="7651DE3B" wp14:editId="058C3A37">
                  <wp:extent cx="2880360" cy="1188720"/>
                  <wp:effectExtent l="0" t="0" r="0" b="0"/>
                  <wp:docPr id="50" name="Chart 50">
                    <a:extLst xmlns:a="http://schemas.openxmlformats.org/drawingml/2006/main">
                      <a:ext uri="{FF2B5EF4-FFF2-40B4-BE49-F238E27FC236}">
                        <a16:creationId xmlns:a16="http://schemas.microsoft.com/office/drawing/2014/main" id="{00000000-0008-0000-1C00-00003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r w:rsidR="001A395C" w:rsidRPr="00F5596D" w14:paraId="04913E17" w14:textId="77777777" w:rsidTr="001A395C">
        <w:tc>
          <w:tcPr>
            <w:tcW w:w="4680" w:type="dxa"/>
          </w:tcPr>
          <w:p w14:paraId="1A92CEFE" w14:textId="77777777" w:rsidR="001A395C" w:rsidRPr="00F5596D" w:rsidRDefault="001A395C" w:rsidP="001A395C">
            <w:pPr>
              <w:spacing w:before="40" w:after="20"/>
              <w:jc w:val="center"/>
              <w:rPr>
                <w:spacing w:val="-6"/>
                <w:lang w:val="sr-Cyrl-CS"/>
              </w:rPr>
            </w:pPr>
            <w:r w:rsidRPr="00F5596D">
              <w:rPr>
                <w:spacing w:val="-6"/>
                <w:lang w:val="sr-Cyrl-CS"/>
              </w:rPr>
              <w:lastRenderedPageBreak/>
              <w:t>Производња машина и опреме на другом месту непоменуте</w:t>
            </w:r>
          </w:p>
          <w:p w14:paraId="0D1BA631" w14:textId="77777777" w:rsidR="001A395C" w:rsidRPr="00F5596D" w:rsidRDefault="001A395C" w:rsidP="001A395C">
            <w:pPr>
              <w:spacing w:before="40" w:after="20"/>
              <w:jc w:val="center"/>
              <w:rPr>
                <w:lang w:val="sr-Cyrl-CS"/>
              </w:rPr>
            </w:pPr>
            <w:r w:rsidRPr="00F5596D">
              <w:rPr>
                <w:noProof/>
              </w:rPr>
              <w:drawing>
                <wp:inline distT="0" distB="0" distL="0" distR="0" wp14:anchorId="2662C809" wp14:editId="4812419E">
                  <wp:extent cx="2880360" cy="1188720"/>
                  <wp:effectExtent l="0" t="0" r="0" b="0"/>
                  <wp:docPr id="55" name="Chart 55">
                    <a:extLst xmlns:a="http://schemas.openxmlformats.org/drawingml/2006/main">
                      <a:ext uri="{FF2B5EF4-FFF2-40B4-BE49-F238E27FC236}">
                        <a16:creationId xmlns:a16="http://schemas.microsoft.com/office/drawing/2014/main" id="{00000000-0008-0000-1C00-00003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c>
          <w:tcPr>
            <w:tcW w:w="4680" w:type="dxa"/>
          </w:tcPr>
          <w:p w14:paraId="78C356F3" w14:textId="77777777" w:rsidR="001A395C" w:rsidRPr="00F5596D" w:rsidRDefault="001A395C" w:rsidP="001A395C">
            <w:pPr>
              <w:spacing w:before="40" w:after="20"/>
              <w:jc w:val="center"/>
              <w:rPr>
                <w:lang w:val="sr-Cyrl-CS"/>
              </w:rPr>
            </w:pPr>
            <w:r w:rsidRPr="00F5596D">
              <w:rPr>
                <w:lang w:val="sr-Cyrl-CS"/>
              </w:rPr>
              <w:t>Производња производа од неметалних минерала</w:t>
            </w:r>
          </w:p>
          <w:p w14:paraId="78EBAE79" w14:textId="77777777" w:rsidR="001A395C" w:rsidRPr="00F5596D" w:rsidRDefault="001A395C" w:rsidP="001A395C">
            <w:pPr>
              <w:spacing w:before="40" w:after="20"/>
              <w:jc w:val="center"/>
              <w:rPr>
                <w:lang w:val="sr-Cyrl-CS"/>
              </w:rPr>
            </w:pPr>
            <w:r w:rsidRPr="00F5596D">
              <w:rPr>
                <w:noProof/>
              </w:rPr>
              <w:drawing>
                <wp:inline distT="0" distB="0" distL="0" distR="0" wp14:anchorId="52EBBF63" wp14:editId="051222AF">
                  <wp:extent cx="2880360" cy="1188720"/>
                  <wp:effectExtent l="0" t="0" r="0" b="0"/>
                  <wp:docPr id="56" name="Chart 56">
                    <a:extLst xmlns:a="http://schemas.openxmlformats.org/drawingml/2006/main">
                      <a:ext uri="{FF2B5EF4-FFF2-40B4-BE49-F238E27FC236}">
                        <a16:creationId xmlns:a16="http://schemas.microsoft.com/office/drawing/2014/main" id="{00000000-0008-0000-1C00-00003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1A395C" w:rsidRPr="00F5596D" w14:paraId="47BD52F6" w14:textId="77777777" w:rsidTr="001A395C">
        <w:tc>
          <w:tcPr>
            <w:tcW w:w="4680" w:type="dxa"/>
          </w:tcPr>
          <w:p w14:paraId="53079BA5" w14:textId="77777777" w:rsidR="001A395C" w:rsidRPr="00F5596D" w:rsidRDefault="001A395C" w:rsidP="001A395C">
            <w:pPr>
              <w:spacing w:before="40" w:after="20"/>
              <w:jc w:val="center"/>
              <w:rPr>
                <w:lang w:val="sr-Cyrl-CS"/>
              </w:rPr>
            </w:pPr>
            <w:r w:rsidRPr="00F5596D">
              <w:rPr>
                <w:lang w:val="sr-Cyrl-CS"/>
              </w:rPr>
              <w:t>Производња електричне опреме</w:t>
            </w:r>
          </w:p>
          <w:p w14:paraId="65EAF7FC" w14:textId="77777777" w:rsidR="001A395C" w:rsidRPr="00F5596D" w:rsidRDefault="001A395C" w:rsidP="001A395C">
            <w:pPr>
              <w:spacing w:before="40" w:after="20"/>
              <w:jc w:val="center"/>
              <w:rPr>
                <w:lang w:val="sr-Cyrl-CS"/>
              </w:rPr>
            </w:pPr>
            <w:r w:rsidRPr="00F5596D">
              <w:rPr>
                <w:noProof/>
              </w:rPr>
              <w:drawing>
                <wp:inline distT="0" distB="0" distL="0" distR="0" wp14:anchorId="3AA8FF7B" wp14:editId="479D0C40">
                  <wp:extent cx="2880360" cy="1188720"/>
                  <wp:effectExtent l="0" t="0" r="0" b="0"/>
                  <wp:docPr id="57" name="Chart 57">
                    <a:extLst xmlns:a="http://schemas.openxmlformats.org/drawingml/2006/main">
                      <a:ext uri="{FF2B5EF4-FFF2-40B4-BE49-F238E27FC236}">
                        <a16:creationId xmlns:a16="http://schemas.microsoft.com/office/drawing/2014/main" id="{00000000-0008-0000-1C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c>
          <w:tcPr>
            <w:tcW w:w="4680" w:type="dxa"/>
          </w:tcPr>
          <w:p w14:paraId="02385FBC" w14:textId="77777777" w:rsidR="001A395C" w:rsidRPr="00F5596D" w:rsidRDefault="001A395C" w:rsidP="001A395C">
            <w:pPr>
              <w:spacing w:before="40" w:after="20"/>
              <w:jc w:val="center"/>
              <w:rPr>
                <w:lang w:val="sr-Cyrl-CS"/>
              </w:rPr>
            </w:pPr>
            <w:r w:rsidRPr="00F5596D">
              <w:rPr>
                <w:lang w:val="sr-Cyrl-CS"/>
              </w:rPr>
              <w:t xml:space="preserve">Производња основних фармацеут. производа и препарата </w:t>
            </w:r>
            <w:r w:rsidRPr="00F5596D">
              <w:rPr>
                <w:noProof/>
              </w:rPr>
              <w:drawing>
                <wp:inline distT="0" distB="0" distL="0" distR="0" wp14:anchorId="2B780401" wp14:editId="5D4A0F7A">
                  <wp:extent cx="2880360" cy="1188720"/>
                  <wp:effectExtent l="0" t="0" r="0" b="0"/>
                  <wp:docPr id="58" name="Chart 58">
                    <a:extLst xmlns:a="http://schemas.openxmlformats.org/drawingml/2006/main">
                      <a:ext uri="{FF2B5EF4-FFF2-40B4-BE49-F238E27FC236}">
                        <a16:creationId xmlns:a16="http://schemas.microsoft.com/office/drawing/2014/main" id="{00000000-0008-0000-1C00-00001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452492E4" w14:textId="77777777" w:rsidR="001A395C" w:rsidRPr="00F5596D" w:rsidRDefault="001A395C" w:rsidP="001A395C">
      <w:pPr>
        <w:spacing w:after="0" w:line="240" w:lineRule="auto"/>
        <w:jc w:val="center"/>
        <w:rPr>
          <w:rFonts w:cstheme="minorHAnsi"/>
          <w:b/>
          <w:bCs/>
          <w:sz w:val="18"/>
          <w:szCs w:val="72"/>
          <w:lang w:val="sr-Cyrl-CS"/>
        </w:rPr>
      </w:pPr>
      <w:r w:rsidRPr="00F5596D">
        <w:rPr>
          <w:noProof/>
          <w:color w:val="FF0000"/>
        </w:rPr>
        <w:drawing>
          <wp:inline distT="0" distB="0" distL="0" distR="0" wp14:anchorId="11CF538D" wp14:editId="59C505D0">
            <wp:extent cx="4359295" cy="170953"/>
            <wp:effectExtent l="0" t="0" r="3175" b="635"/>
            <wp:docPr id="5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66"/>
                    <a:stretch>
                      <a:fillRect/>
                    </a:stretch>
                  </pic:blipFill>
                  <pic:spPr>
                    <a:xfrm>
                      <a:off x="0" y="0"/>
                      <a:ext cx="4409188" cy="172910"/>
                    </a:xfrm>
                    <a:prstGeom prst="rect">
                      <a:avLst/>
                    </a:prstGeom>
                  </pic:spPr>
                </pic:pic>
              </a:graphicData>
            </a:graphic>
          </wp:inline>
        </w:drawing>
      </w:r>
    </w:p>
    <w:p w14:paraId="27241869" w14:textId="77777777" w:rsidR="001A395C" w:rsidRPr="00F5596D" w:rsidRDefault="001A395C" w:rsidP="001A395C">
      <w:pPr>
        <w:spacing w:after="0" w:line="240" w:lineRule="auto"/>
        <w:jc w:val="left"/>
        <w:rPr>
          <w:rFonts w:cstheme="minorHAnsi"/>
          <w:b/>
          <w:bCs/>
          <w:sz w:val="12"/>
          <w:szCs w:val="72"/>
          <w:lang w:val="sr-Cyrl-CS"/>
        </w:rPr>
      </w:pPr>
      <w:r w:rsidRPr="00F5596D">
        <w:rPr>
          <w:rFonts w:cstheme="minorHAnsi"/>
          <w:bCs/>
          <w:sz w:val="14"/>
          <w:szCs w:val="72"/>
          <w:lang w:val="sr-Cyrl-CS"/>
        </w:rPr>
        <w:t>Извор: Министарство финансија</w:t>
      </w:r>
    </w:p>
    <w:p w14:paraId="2EC936FB" w14:textId="77777777" w:rsidR="001A395C" w:rsidRPr="00F5596D" w:rsidRDefault="001A395C" w:rsidP="001A395C">
      <w:pPr>
        <w:spacing w:after="0"/>
        <w:rPr>
          <w:rFonts w:cstheme="minorHAnsi"/>
          <w:bCs/>
          <w:szCs w:val="72"/>
          <w:lang w:val="sr-Cyrl-CS"/>
        </w:rPr>
        <w:sectPr w:rsidR="001A395C" w:rsidRPr="00F5596D" w:rsidSect="001A395C">
          <w:type w:val="continuous"/>
          <w:pgSz w:w="12240" w:h="15840" w:code="1"/>
          <w:pgMar w:top="1440" w:right="1440" w:bottom="1440" w:left="1440" w:header="720" w:footer="720" w:gutter="0"/>
          <w:cols w:space="720"/>
          <w:docGrid w:linePitch="360"/>
        </w:sectPr>
      </w:pPr>
    </w:p>
    <w:p w14:paraId="784F15EB" w14:textId="77777777" w:rsidR="001A395C" w:rsidRPr="00F5596D" w:rsidRDefault="001A395C" w:rsidP="001A395C">
      <w:pPr>
        <w:spacing w:before="120" w:after="120"/>
        <w:rPr>
          <w:rFonts w:cstheme="minorHAnsi"/>
          <w:bCs/>
          <w:spacing w:val="-4"/>
          <w:szCs w:val="72"/>
          <w:lang w:val="sr-Cyrl-CS"/>
        </w:rPr>
      </w:pPr>
      <w:r w:rsidRPr="00F5596D">
        <w:rPr>
          <w:rFonts w:cstheme="minorHAnsi"/>
          <w:bCs/>
          <w:szCs w:val="72"/>
          <w:lang w:val="sr-Cyrl-CS"/>
        </w:rPr>
        <w:t>Спорија динамика економске активности почетком 2025. године, уз додатну глобалну неизвесност која је створена увођењем тарифа и чији се индиректни ефекти на домаћу економију очекују у наредном периоду, главни су разлози ревизије привредног раста наниже у 2025. години, за који Министарство финансија процењује да ће износити 3,0%. Матрицу ризика у овом тренутку оцењујемо као симетричну, што значи да су изгледи за одступања привредног раста у позитивном и негативном смеру приближно подједнако вероватни.</w:t>
      </w:r>
    </w:p>
    <w:p w14:paraId="0D08D74E" w14:textId="77777777" w:rsidR="001A395C" w:rsidRPr="00F5596D" w:rsidRDefault="001A395C" w:rsidP="001A395C">
      <w:pPr>
        <w:tabs>
          <w:tab w:val="left" w:pos="720"/>
          <w:tab w:val="left" w:pos="1440"/>
        </w:tabs>
        <w:spacing w:after="0"/>
        <w:jc w:val="center"/>
        <w:rPr>
          <w:rFonts w:cstheme="minorHAnsi"/>
          <w:b/>
          <w:color w:val="002060"/>
          <w:spacing w:val="-4"/>
          <w:lang w:val="sr-Cyrl-CS"/>
        </w:rPr>
      </w:pPr>
      <w:r w:rsidRPr="00F5596D">
        <w:rPr>
          <w:rFonts w:cstheme="minorHAnsi"/>
          <w:b/>
          <w:color w:val="002060"/>
          <w:spacing w:val="-4"/>
          <w:lang w:val="sr-Cyrl-CS"/>
        </w:rPr>
        <w:t>Пројекција динамике кварталног БДП (%, мг) потребна за достизање годишње процене привредног раста</w:t>
      </w:r>
      <w:r w:rsidRPr="00F5596D">
        <w:rPr>
          <w:rFonts w:cstheme="minorHAnsi"/>
          <w:b/>
          <w:color w:val="FF0000"/>
          <w:spacing w:val="-4"/>
          <w:lang w:val="sr-Cyrl-CS"/>
        </w:rPr>
        <w:t xml:space="preserve"> </w:t>
      </w:r>
      <w:r w:rsidRPr="00F5596D">
        <w:rPr>
          <w:rFonts w:cstheme="minorHAnsi"/>
          <w:b/>
          <w:color w:val="002060"/>
          <w:spacing w:val="-4"/>
          <w:lang w:val="sr-Cyrl-CS"/>
        </w:rPr>
        <w:t>од 3,0% у 2025. години</w:t>
      </w:r>
    </w:p>
    <w:p w14:paraId="2738736D" w14:textId="77777777" w:rsidR="001A395C" w:rsidRPr="00F5596D" w:rsidRDefault="001A395C" w:rsidP="001A395C">
      <w:pPr>
        <w:tabs>
          <w:tab w:val="left" w:pos="720"/>
          <w:tab w:val="left" w:pos="1440"/>
        </w:tabs>
        <w:spacing w:after="0"/>
        <w:rPr>
          <w:rFonts w:cstheme="minorHAnsi"/>
          <w:bCs/>
          <w:szCs w:val="72"/>
          <w:lang w:val="sr-Cyrl-CS"/>
        </w:rPr>
      </w:pPr>
      <w:r w:rsidRPr="00F5596D">
        <w:rPr>
          <w:noProof/>
        </w:rPr>
        <w:drawing>
          <wp:inline distT="0" distB="0" distL="0" distR="0" wp14:anchorId="767CE23D" wp14:editId="30002AA8">
            <wp:extent cx="2743200" cy="1975899"/>
            <wp:effectExtent l="0" t="0" r="0" b="5715"/>
            <wp:docPr id="26" name="Chart 26">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BB0D6E4" w14:textId="77777777" w:rsidR="001A395C" w:rsidRPr="00F5596D" w:rsidRDefault="001A395C" w:rsidP="001A395C">
      <w:pPr>
        <w:tabs>
          <w:tab w:val="left" w:pos="720"/>
          <w:tab w:val="left" w:pos="1440"/>
        </w:tabs>
        <w:spacing w:after="0"/>
        <w:rPr>
          <w:rFonts w:cstheme="minorHAnsi"/>
          <w:bCs/>
          <w:sz w:val="14"/>
          <w:szCs w:val="16"/>
          <w:lang w:val="sr-Cyrl-CS"/>
        </w:rPr>
      </w:pPr>
      <w:r w:rsidRPr="00F5596D">
        <w:rPr>
          <w:rFonts w:cstheme="minorHAnsi"/>
          <w:bCs/>
          <w:sz w:val="14"/>
          <w:szCs w:val="16"/>
          <w:lang w:val="sr-Cyrl-CS"/>
        </w:rPr>
        <w:t>Извор: Министарство финансија</w:t>
      </w:r>
    </w:p>
    <w:p w14:paraId="0A30CECF" w14:textId="77777777" w:rsidR="001A395C" w:rsidRPr="00F5596D" w:rsidRDefault="001A395C" w:rsidP="001A395C">
      <w:pPr>
        <w:tabs>
          <w:tab w:val="left" w:pos="720"/>
          <w:tab w:val="left" w:pos="1440"/>
        </w:tabs>
        <w:spacing w:after="0"/>
        <w:rPr>
          <w:rFonts w:cstheme="minorHAnsi"/>
          <w:bCs/>
          <w:sz w:val="16"/>
          <w:szCs w:val="16"/>
          <w:lang w:val="sr-Cyrl-CS"/>
        </w:rPr>
      </w:pPr>
    </w:p>
    <w:p w14:paraId="0D7A96D8" w14:textId="77777777" w:rsidR="001A395C" w:rsidRPr="00F5596D" w:rsidRDefault="001A395C" w:rsidP="001A395C">
      <w:pPr>
        <w:tabs>
          <w:tab w:val="left" w:pos="720"/>
          <w:tab w:val="left" w:pos="1440"/>
        </w:tabs>
        <w:rPr>
          <w:rFonts w:cstheme="minorHAnsi"/>
          <w:bCs/>
          <w:szCs w:val="72"/>
          <w:lang w:val="sr-Cyrl-CS"/>
        </w:rPr>
      </w:pPr>
      <w:r w:rsidRPr="00F5596D">
        <w:rPr>
          <w:rFonts w:cstheme="minorHAnsi"/>
          <w:bCs/>
          <w:szCs w:val="72"/>
          <w:lang w:val="sr-Cyrl-CS"/>
        </w:rPr>
        <w:t>Посматрано по агрегатима употребе раст БДП у 2025. години биће и даље у потпуности опредељен домаћом тражњом али у мањој мери него што је претходно очекивано.</w:t>
      </w:r>
      <w:r w:rsidRPr="00F5596D">
        <w:rPr>
          <w:rFonts w:cstheme="minorHAnsi"/>
          <w:bCs/>
          <w:color w:val="FF0000"/>
          <w:szCs w:val="72"/>
          <w:lang w:val="sr-Cyrl-CS"/>
        </w:rPr>
        <w:t xml:space="preserve"> </w:t>
      </w:r>
      <w:r w:rsidRPr="00F5596D">
        <w:rPr>
          <w:rFonts w:cstheme="minorHAnsi"/>
          <w:bCs/>
          <w:szCs w:val="72"/>
          <w:lang w:val="sr-Cyrl-CS"/>
        </w:rPr>
        <w:t>Повећање расположивог дохотка становништва, пре свега као резултат раста зарада и пензија резултираће растом приватне потрошње од 3,1%. Ипак, то је за 1,0 п.п мање од претходних очекивања као последица споријег раста током првог квартала и нарушеног потрошачког поверења. Инвестициона активност ће такође забележити спорију динамику у односу на претходна очекивања. Почетком године остварени су слабији резултати, а повећана глобална неизвесност додатно је подстакла опрез инвеститора. У складу с тим, очекује се раст инвестиција од 4,2%.</w:t>
      </w:r>
      <w:r w:rsidRPr="00F5596D">
        <w:rPr>
          <w:rFonts w:cstheme="minorHAnsi"/>
          <w:bCs/>
          <w:color w:val="FF0000"/>
          <w:szCs w:val="72"/>
          <w:lang w:val="sr-Cyrl-CS"/>
        </w:rPr>
        <w:t xml:space="preserve"> </w:t>
      </w:r>
      <w:r w:rsidRPr="00F5596D">
        <w:rPr>
          <w:rFonts w:cstheme="minorHAnsi"/>
          <w:bCs/>
          <w:szCs w:val="72"/>
          <w:lang w:val="sr-Cyrl-CS"/>
        </w:rPr>
        <w:t>У условима појачаног трговинског протекционизма, могућих прекида у глобалним ланцима снабдевања и успорене динамике раста економија кључних спољнотрговинских партнера, очекује се да ће извоз и увоз расти умеренијим темпом, по стопи од 4,5% односно 5,4%, респективно.</w:t>
      </w:r>
    </w:p>
    <w:p w14:paraId="32F9A66D" w14:textId="77777777" w:rsidR="001A395C" w:rsidRPr="00F5596D" w:rsidRDefault="001A395C" w:rsidP="001A395C">
      <w:pPr>
        <w:tabs>
          <w:tab w:val="left" w:pos="720"/>
          <w:tab w:val="left" w:pos="1440"/>
        </w:tabs>
        <w:spacing w:after="360"/>
        <w:rPr>
          <w:rFonts w:cstheme="minorHAnsi"/>
          <w:bCs/>
          <w:szCs w:val="72"/>
          <w:lang w:val="sr-Cyrl-CS"/>
        </w:rPr>
      </w:pPr>
      <w:r w:rsidRPr="00F5596D">
        <w:rPr>
          <w:rFonts w:cstheme="minorHAnsi"/>
          <w:bCs/>
          <w:szCs w:val="72"/>
          <w:lang w:val="sr-Cyrl-CS"/>
        </w:rPr>
        <w:t xml:space="preserve">Посматрано са производне стране у 2025. години очекује се повећање креиране БДВ у свим привредним секторима. Услужни сектор ће и даље задржати улогу доминантног носиоца привредног раста са повећањем од 3,1%. Међутим допринос </w:t>
      </w:r>
      <w:r w:rsidRPr="00F5596D">
        <w:rPr>
          <w:rFonts w:cstheme="minorHAnsi"/>
          <w:bCs/>
          <w:szCs w:val="72"/>
          <w:lang w:val="sr-Cyrl-CS"/>
        </w:rPr>
        <w:lastRenderedPageBreak/>
        <w:t>расту БДП ће бити мањи у односу на претходна очекивања, што је пре свега последица спорије динамике у трговини, саобраћају и туризму. Индустријска производња наставиће са позитивним трендом и током 2025. године, упркос и даље слабој спољној тражњи. Највећи допринос расту индустрије очекује се од активирања нових производних капацитета, пре свега у аутомобилској и гумарској индустрији што ће делимично компензовати ефекте слабе екстерне тражње. Упркос паду од 5,6% у првом кварталу, очекује се да грађевински сектор оствари умерен раст на нивоу целе 2025. године, захваљујући постепеном убрзању реализације нових грађевинских пројеката у оквиру програма „Скок у будућност - Србија 2027”. За пољопривреду, под претпоставком просечне пољопривредне сезоне, очекује се раст од 6,3% у односу на претходну, сушну, годину.</w:t>
      </w:r>
    </w:p>
    <w:p w14:paraId="2E7261CA" w14:textId="139F6B91" w:rsidR="001A395C" w:rsidRPr="00F5596D" w:rsidRDefault="001A395C" w:rsidP="001A395C">
      <w:pPr>
        <w:tabs>
          <w:tab w:val="left" w:pos="720"/>
          <w:tab w:val="left" w:pos="1440"/>
        </w:tabs>
        <w:spacing w:after="360"/>
        <w:rPr>
          <w:rFonts w:cstheme="minorHAnsi"/>
          <w:bCs/>
          <w:szCs w:val="72"/>
          <w:lang w:val="sr-Cyrl-CS"/>
        </w:rPr>
        <w:sectPr w:rsidR="001A395C" w:rsidRPr="00F5596D" w:rsidSect="001A395C">
          <w:type w:val="continuous"/>
          <w:pgSz w:w="12240" w:h="15840" w:code="1"/>
          <w:pgMar w:top="1440" w:right="1440" w:bottom="1440" w:left="1440" w:header="720" w:footer="720" w:gutter="0"/>
          <w:cols w:num="2" w:space="720"/>
          <w:docGrid w:linePitch="360"/>
        </w:sectPr>
      </w:pPr>
      <w:r w:rsidRPr="00F5596D">
        <w:rPr>
          <w:rFonts w:cstheme="minorHAnsi"/>
          <w:bCs/>
          <w:szCs w:val="72"/>
          <w:lang w:val="sr-Cyrl-CS"/>
        </w:rPr>
        <w:t>Процена дефлатора БДП заснована је на пројекцији индекса потрошачких цена, која служи као почетна основа за процену дефлатора. За појединачне компоненте агрегата употребе БДП примењене су специфичне претпоставке о кретању цена које одражавају релевантне ценовне индексе. Узимајући у обзир актуелне податке, пројекција дефлатора за 2025. годину ревидирана је навише са 3,2% на 4,1%. Ова ревизија резултат је узимања у обзир оствареног раста дефлатора БДП у првом кварталу, који је износио 4,9%, као и чињенице да су у почетној верзији пројекције били претпостављени негативни односи размене. Међутим, актуелни подаци указују на то да су односи размене у првом кварталу били позитивни, што се у највећој мери може приписати значајном паду цена нафте и других сировина на светском тржишту, те последично нижим увозним ценама у односу на иницијална очекивања, при чему најновије пројекције кретања светских цена указују на наставак сличних кретања и у наредном периоду.</w:t>
      </w:r>
    </w:p>
    <w:p w14:paraId="751E5314" w14:textId="77777777" w:rsidR="001A395C" w:rsidRPr="00F5596D" w:rsidRDefault="001A395C" w:rsidP="001A395C">
      <w:pPr>
        <w:spacing w:after="40"/>
        <w:rPr>
          <w:rFonts w:ascii="Calibri" w:eastAsia="Calibri" w:hAnsi="Calibri" w:cs="Calibri"/>
          <w:b/>
          <w:color w:val="002060"/>
          <w:lang w:val="sr-Cyrl-CS"/>
        </w:rPr>
      </w:pPr>
    </w:p>
    <w:p w14:paraId="27661829" w14:textId="77777777" w:rsidR="001A395C" w:rsidRPr="00F5596D" w:rsidRDefault="001A395C" w:rsidP="00254447">
      <w:pPr>
        <w:spacing w:after="40"/>
        <w:jc w:val="center"/>
        <w:rPr>
          <w:rFonts w:ascii="Calibri" w:eastAsia="Calibri" w:hAnsi="Calibri" w:cs="Calibri"/>
          <w:b/>
          <w:color w:val="002060"/>
          <w:lang w:val="sr-Cyrl-CS"/>
        </w:rPr>
      </w:pPr>
    </w:p>
    <w:p w14:paraId="12B993F8" w14:textId="77777777" w:rsidR="001A395C" w:rsidRPr="00F5596D" w:rsidRDefault="001A395C" w:rsidP="00254447">
      <w:pPr>
        <w:spacing w:after="40"/>
        <w:jc w:val="center"/>
        <w:rPr>
          <w:rFonts w:ascii="Calibri" w:eastAsia="Calibri" w:hAnsi="Calibri" w:cs="Calibri"/>
          <w:b/>
          <w:color w:val="002060"/>
          <w:lang w:val="sr-Cyrl-CS"/>
        </w:rPr>
      </w:pPr>
      <w:r w:rsidRPr="00F5596D">
        <w:rPr>
          <w:rFonts w:ascii="Calibri" w:eastAsia="Calibri" w:hAnsi="Calibri" w:cs="Calibri"/>
          <w:b/>
          <w:color w:val="002060"/>
          <w:lang w:val="sr-Cyrl-CS"/>
        </w:rPr>
        <w:t>Табела 3. БДП, стопе реалног раста, %</w:t>
      </w:r>
    </w:p>
    <w:tbl>
      <w:tblPr>
        <w:tblStyle w:val="TableGrid"/>
        <w:tblW w:w="430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7"/>
        <w:gridCol w:w="1302"/>
        <w:gridCol w:w="1301"/>
        <w:gridCol w:w="1301"/>
        <w:gridCol w:w="1301"/>
      </w:tblGrid>
      <w:tr w:rsidR="001A395C" w:rsidRPr="00F5596D" w14:paraId="11CAA938" w14:textId="77777777" w:rsidTr="001A395C">
        <w:trPr>
          <w:jc w:val="center"/>
        </w:trPr>
        <w:tc>
          <w:tcPr>
            <w:tcW w:w="1766" w:type="pct"/>
            <w:tcBorders>
              <w:top w:val="single" w:sz="4" w:space="0" w:color="002060"/>
              <w:left w:val="single" w:sz="2" w:space="0" w:color="FFFFFF"/>
              <w:bottom w:val="single" w:sz="2" w:space="0" w:color="FFFFFF"/>
              <w:right w:val="single" w:sz="2" w:space="0" w:color="FFFFFF"/>
            </w:tcBorders>
          </w:tcPr>
          <w:p w14:paraId="746E57F9" w14:textId="77777777" w:rsidR="001A395C" w:rsidRPr="00F5596D" w:rsidRDefault="001A395C" w:rsidP="001A395C">
            <w:pPr>
              <w:rPr>
                <w:rFonts w:ascii="Calibri" w:eastAsia="Calibri" w:hAnsi="Calibri" w:cs="Calibri"/>
                <w:color w:val="002060"/>
                <w:sz w:val="18"/>
                <w:lang w:val="sr-Cyrl-CS"/>
              </w:rPr>
            </w:pPr>
          </w:p>
        </w:tc>
        <w:tc>
          <w:tcPr>
            <w:tcW w:w="808" w:type="pct"/>
            <w:tcBorders>
              <w:top w:val="single" w:sz="4" w:space="0" w:color="002060"/>
              <w:left w:val="single" w:sz="2" w:space="0" w:color="FFFFFF"/>
              <w:bottom w:val="single" w:sz="4" w:space="0" w:color="auto"/>
              <w:right w:val="single" w:sz="2" w:space="0" w:color="FFFFFF"/>
            </w:tcBorders>
            <w:vAlign w:val="center"/>
          </w:tcPr>
          <w:p w14:paraId="4831E537"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2024</w:t>
            </w:r>
          </w:p>
        </w:tc>
        <w:tc>
          <w:tcPr>
            <w:tcW w:w="808" w:type="pct"/>
            <w:tcBorders>
              <w:top w:val="single" w:sz="4" w:space="0" w:color="002060"/>
              <w:left w:val="single" w:sz="2" w:space="0" w:color="FFFFFF"/>
              <w:bottom w:val="single" w:sz="4" w:space="0" w:color="auto"/>
              <w:right w:val="single" w:sz="2" w:space="0" w:color="FFFFFF"/>
            </w:tcBorders>
            <w:vAlign w:val="center"/>
          </w:tcPr>
          <w:p w14:paraId="3D334F44"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Q1 2025</w:t>
            </w:r>
          </w:p>
        </w:tc>
        <w:tc>
          <w:tcPr>
            <w:tcW w:w="808" w:type="pct"/>
            <w:tcBorders>
              <w:top w:val="single" w:sz="4" w:space="0" w:color="002060"/>
              <w:left w:val="single" w:sz="2" w:space="0" w:color="FFFFFF"/>
              <w:bottom w:val="single" w:sz="4" w:space="0" w:color="auto"/>
              <w:right w:val="single" w:sz="2" w:space="0" w:color="FFFFFF"/>
            </w:tcBorders>
            <w:vAlign w:val="center"/>
          </w:tcPr>
          <w:p w14:paraId="7474A6D6"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2025* (иницијална процена)</w:t>
            </w:r>
          </w:p>
        </w:tc>
        <w:tc>
          <w:tcPr>
            <w:tcW w:w="808" w:type="pct"/>
            <w:tcBorders>
              <w:top w:val="single" w:sz="4" w:space="0" w:color="002060"/>
              <w:left w:val="single" w:sz="2" w:space="0" w:color="FFFFFF"/>
              <w:bottom w:val="single" w:sz="4" w:space="0" w:color="auto"/>
              <w:right w:val="single" w:sz="2" w:space="0" w:color="FFFFFF"/>
            </w:tcBorders>
            <w:vAlign w:val="center"/>
          </w:tcPr>
          <w:p w14:paraId="3A31565B" w14:textId="77777777" w:rsidR="001A395C" w:rsidRPr="00F5596D" w:rsidRDefault="001A395C" w:rsidP="001A395C">
            <w:pPr>
              <w:jc w:val="center"/>
              <w:rPr>
                <w:rFonts w:ascii="Calibri" w:eastAsia="Calibri" w:hAnsi="Calibri" w:cs="Calibri"/>
                <w:color w:val="002060"/>
                <w:sz w:val="18"/>
                <w:lang w:val="sr-Cyrl-CS"/>
              </w:rPr>
            </w:pPr>
            <w:r w:rsidRPr="00F5596D">
              <w:rPr>
                <w:rFonts w:ascii="Calibri" w:eastAsia="Calibri" w:hAnsi="Calibri" w:cs="Calibri"/>
                <w:color w:val="002060"/>
                <w:sz w:val="18"/>
                <w:lang w:val="sr-Cyrl-CS"/>
              </w:rPr>
              <w:t>2025*</w:t>
            </w:r>
            <w:r w:rsidRPr="00F5596D">
              <w:rPr>
                <w:rFonts w:ascii="Calibri" w:eastAsia="Calibri" w:hAnsi="Calibri" w:cs="Calibri"/>
                <w:color w:val="002060"/>
                <w:sz w:val="18"/>
                <w:lang w:val="sr-Cyrl-CS"/>
              </w:rPr>
              <w:br w:type="textWrapping" w:clear="all"/>
              <w:t>(ревидирана процена)</w:t>
            </w:r>
          </w:p>
        </w:tc>
      </w:tr>
      <w:tr w:rsidR="001A395C" w:rsidRPr="00F5596D" w14:paraId="0AD70468" w14:textId="77777777" w:rsidTr="001A395C">
        <w:trPr>
          <w:jc w:val="center"/>
        </w:trPr>
        <w:tc>
          <w:tcPr>
            <w:tcW w:w="1766" w:type="pct"/>
            <w:tcBorders>
              <w:top w:val="single" w:sz="2" w:space="0" w:color="FFFFFF"/>
            </w:tcBorders>
          </w:tcPr>
          <w:p w14:paraId="26CA79C0"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БДП</w:t>
            </w:r>
          </w:p>
        </w:tc>
        <w:tc>
          <w:tcPr>
            <w:tcW w:w="808" w:type="pct"/>
            <w:tcBorders>
              <w:top w:val="single" w:sz="4" w:space="0" w:color="auto"/>
            </w:tcBorders>
          </w:tcPr>
          <w:p w14:paraId="40AD7B43"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3,9</w:t>
            </w:r>
          </w:p>
        </w:tc>
        <w:tc>
          <w:tcPr>
            <w:tcW w:w="808" w:type="pct"/>
            <w:tcBorders>
              <w:top w:val="single" w:sz="4" w:space="0" w:color="auto"/>
              <w:left w:val="nil"/>
              <w:right w:val="nil"/>
            </w:tcBorders>
            <w:shd w:val="clear" w:color="auto" w:fill="auto"/>
            <w:vAlign w:val="center"/>
          </w:tcPr>
          <w:p w14:paraId="5A5EA23D"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2,0</w:t>
            </w:r>
          </w:p>
        </w:tc>
        <w:tc>
          <w:tcPr>
            <w:tcW w:w="808" w:type="pct"/>
            <w:tcBorders>
              <w:top w:val="single" w:sz="4" w:space="0" w:color="auto"/>
            </w:tcBorders>
          </w:tcPr>
          <w:p w14:paraId="7B82E363"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4,2</w:t>
            </w:r>
          </w:p>
        </w:tc>
        <w:tc>
          <w:tcPr>
            <w:tcW w:w="808" w:type="pct"/>
            <w:tcBorders>
              <w:top w:val="single" w:sz="4" w:space="0" w:color="auto"/>
              <w:left w:val="nil"/>
              <w:right w:val="nil"/>
            </w:tcBorders>
            <w:shd w:val="clear" w:color="auto" w:fill="auto"/>
            <w:vAlign w:val="center"/>
          </w:tcPr>
          <w:p w14:paraId="675A3603"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3,0</w:t>
            </w:r>
          </w:p>
        </w:tc>
      </w:tr>
      <w:tr w:rsidR="001A395C" w:rsidRPr="00F5596D" w14:paraId="0A32DE36" w14:textId="77777777" w:rsidTr="001A395C">
        <w:trPr>
          <w:jc w:val="center"/>
        </w:trPr>
        <w:tc>
          <w:tcPr>
            <w:tcW w:w="1766" w:type="pct"/>
            <w:tcBorders>
              <w:top w:val="single" w:sz="2" w:space="0" w:color="FFFFFF"/>
            </w:tcBorders>
          </w:tcPr>
          <w:p w14:paraId="75D0D229" w14:textId="77777777" w:rsidR="001A395C" w:rsidRPr="00F5596D" w:rsidRDefault="001A395C" w:rsidP="001A395C">
            <w:pPr>
              <w:ind w:left="-15"/>
              <w:rPr>
                <w:rFonts w:ascii="Calibri" w:eastAsia="Calibri" w:hAnsi="Calibri" w:cs="Calibri"/>
                <w:color w:val="FF0000"/>
                <w:sz w:val="18"/>
                <w:lang w:val="sr-Cyrl-CS"/>
              </w:rPr>
            </w:pPr>
            <w:r w:rsidRPr="00F5596D">
              <w:rPr>
                <w:rFonts w:ascii="Calibri" w:eastAsia="Calibri" w:hAnsi="Calibri" w:cs="Calibri"/>
                <w:color w:val="002060"/>
                <w:sz w:val="18"/>
                <w:lang w:val="sr-Cyrl-CS"/>
              </w:rPr>
              <w:t>Дефлатор БДП, %</w:t>
            </w:r>
          </w:p>
        </w:tc>
        <w:tc>
          <w:tcPr>
            <w:tcW w:w="808" w:type="pct"/>
          </w:tcPr>
          <w:p w14:paraId="671B5A90"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5,2</w:t>
            </w:r>
          </w:p>
        </w:tc>
        <w:tc>
          <w:tcPr>
            <w:tcW w:w="808" w:type="pct"/>
            <w:tcBorders>
              <w:left w:val="nil"/>
              <w:bottom w:val="nil"/>
              <w:right w:val="nil"/>
            </w:tcBorders>
            <w:shd w:val="clear" w:color="auto" w:fill="auto"/>
            <w:vAlign w:val="center"/>
          </w:tcPr>
          <w:p w14:paraId="1F6E4744"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4,9</w:t>
            </w:r>
          </w:p>
        </w:tc>
        <w:tc>
          <w:tcPr>
            <w:tcW w:w="808" w:type="pct"/>
          </w:tcPr>
          <w:p w14:paraId="64B0C654"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3,2</w:t>
            </w:r>
          </w:p>
        </w:tc>
        <w:tc>
          <w:tcPr>
            <w:tcW w:w="808" w:type="pct"/>
            <w:tcBorders>
              <w:left w:val="nil"/>
              <w:bottom w:val="nil"/>
              <w:right w:val="nil"/>
            </w:tcBorders>
            <w:shd w:val="clear" w:color="auto" w:fill="auto"/>
            <w:vAlign w:val="center"/>
          </w:tcPr>
          <w:p w14:paraId="6CB5816B"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4,1</w:t>
            </w:r>
          </w:p>
        </w:tc>
      </w:tr>
      <w:tr w:rsidR="001A395C" w:rsidRPr="00F5596D" w14:paraId="46E3A5B2" w14:textId="77777777" w:rsidTr="001A395C">
        <w:trPr>
          <w:jc w:val="center"/>
        </w:trPr>
        <w:tc>
          <w:tcPr>
            <w:tcW w:w="1766" w:type="pct"/>
            <w:tcBorders>
              <w:top w:val="single" w:sz="2" w:space="0" w:color="FFFFFF"/>
            </w:tcBorders>
            <w:shd w:val="clear" w:color="auto" w:fill="E7E6E6"/>
          </w:tcPr>
          <w:p w14:paraId="5C83664D" w14:textId="77777777" w:rsidR="001A395C" w:rsidRPr="00F5596D" w:rsidRDefault="001A395C" w:rsidP="001A395C">
            <w:pPr>
              <w:jc w:val="right"/>
              <w:rPr>
                <w:rFonts w:ascii="Calibri" w:eastAsia="Calibri" w:hAnsi="Calibri" w:cs="Calibri"/>
                <w:color w:val="002060"/>
                <w:sz w:val="18"/>
                <w:lang w:val="sr-Cyrl-CS"/>
              </w:rPr>
            </w:pPr>
          </w:p>
        </w:tc>
        <w:tc>
          <w:tcPr>
            <w:tcW w:w="808" w:type="pct"/>
            <w:tcBorders>
              <w:top w:val="single" w:sz="2" w:space="0" w:color="FFFFFF"/>
            </w:tcBorders>
            <w:shd w:val="clear" w:color="auto" w:fill="E7E6E6"/>
          </w:tcPr>
          <w:p w14:paraId="37F88A04" w14:textId="77777777" w:rsidR="001A395C" w:rsidRPr="00F5596D" w:rsidRDefault="001A395C" w:rsidP="001A395C">
            <w:pPr>
              <w:ind w:right="397"/>
              <w:jc w:val="right"/>
              <w:rPr>
                <w:rFonts w:ascii="Calibri" w:eastAsia="Calibri" w:hAnsi="Calibri" w:cs="Calibri"/>
                <w:color w:val="002060"/>
                <w:sz w:val="18"/>
                <w:lang w:val="sr-Cyrl-CS"/>
              </w:rPr>
            </w:pPr>
          </w:p>
        </w:tc>
        <w:tc>
          <w:tcPr>
            <w:tcW w:w="808" w:type="pct"/>
            <w:tcBorders>
              <w:top w:val="single" w:sz="8" w:space="0" w:color="FFFFFF"/>
              <w:left w:val="nil"/>
              <w:bottom w:val="nil"/>
              <w:right w:val="nil"/>
            </w:tcBorders>
            <w:shd w:val="clear" w:color="000000" w:fill="E7E6E6"/>
            <w:vAlign w:val="center"/>
          </w:tcPr>
          <w:p w14:paraId="54D38076" w14:textId="77777777" w:rsidR="001A395C" w:rsidRPr="00F5596D" w:rsidRDefault="001A395C" w:rsidP="001A395C">
            <w:pPr>
              <w:ind w:right="397"/>
              <w:jc w:val="right"/>
              <w:rPr>
                <w:rFonts w:ascii="Calibri" w:eastAsia="Calibri" w:hAnsi="Calibri" w:cs="Calibri"/>
                <w:color w:val="002060"/>
                <w:sz w:val="18"/>
                <w:lang w:val="sr-Cyrl-CS"/>
              </w:rPr>
            </w:pPr>
          </w:p>
        </w:tc>
        <w:tc>
          <w:tcPr>
            <w:tcW w:w="808" w:type="pct"/>
            <w:tcBorders>
              <w:top w:val="single" w:sz="2" w:space="0" w:color="FFFFFF"/>
            </w:tcBorders>
            <w:shd w:val="clear" w:color="auto" w:fill="E7E6E6"/>
          </w:tcPr>
          <w:p w14:paraId="50F413DF" w14:textId="77777777" w:rsidR="001A395C" w:rsidRPr="00F5596D" w:rsidRDefault="001A395C" w:rsidP="001A395C">
            <w:pPr>
              <w:ind w:right="397"/>
              <w:jc w:val="right"/>
              <w:rPr>
                <w:rFonts w:ascii="Calibri" w:eastAsia="Calibri" w:hAnsi="Calibri" w:cs="Calibri"/>
                <w:color w:val="002060"/>
                <w:sz w:val="18"/>
                <w:lang w:val="sr-Cyrl-CS"/>
              </w:rPr>
            </w:pPr>
          </w:p>
        </w:tc>
        <w:tc>
          <w:tcPr>
            <w:tcW w:w="808" w:type="pct"/>
            <w:tcBorders>
              <w:top w:val="single" w:sz="8" w:space="0" w:color="FFFFFF"/>
              <w:left w:val="nil"/>
              <w:bottom w:val="nil"/>
              <w:right w:val="nil"/>
            </w:tcBorders>
            <w:shd w:val="clear" w:color="000000" w:fill="E7E6E6"/>
            <w:vAlign w:val="center"/>
          </w:tcPr>
          <w:p w14:paraId="3EAB2628" w14:textId="77777777" w:rsidR="001A395C" w:rsidRPr="00F5596D" w:rsidRDefault="001A395C" w:rsidP="001A395C">
            <w:pPr>
              <w:ind w:right="397"/>
              <w:jc w:val="right"/>
              <w:rPr>
                <w:rFonts w:ascii="Calibri" w:eastAsia="Calibri" w:hAnsi="Calibri" w:cs="Calibri"/>
                <w:color w:val="002060"/>
                <w:sz w:val="18"/>
                <w:lang w:val="sr-Cyrl-CS"/>
              </w:rPr>
            </w:pPr>
          </w:p>
        </w:tc>
      </w:tr>
      <w:tr w:rsidR="001A395C" w:rsidRPr="00F5596D" w14:paraId="5EDBB622" w14:textId="77777777" w:rsidTr="001A395C">
        <w:trPr>
          <w:jc w:val="center"/>
        </w:trPr>
        <w:tc>
          <w:tcPr>
            <w:tcW w:w="1766" w:type="pct"/>
          </w:tcPr>
          <w:p w14:paraId="26587D59"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Приватна потрошња</w:t>
            </w:r>
          </w:p>
        </w:tc>
        <w:tc>
          <w:tcPr>
            <w:tcW w:w="808" w:type="pct"/>
          </w:tcPr>
          <w:p w14:paraId="2BCD9773"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4,2</w:t>
            </w:r>
          </w:p>
        </w:tc>
        <w:tc>
          <w:tcPr>
            <w:tcW w:w="808" w:type="pct"/>
            <w:tcBorders>
              <w:top w:val="nil"/>
              <w:left w:val="nil"/>
              <w:bottom w:val="nil"/>
              <w:right w:val="nil"/>
            </w:tcBorders>
            <w:shd w:val="clear" w:color="auto" w:fill="auto"/>
            <w:vAlign w:val="center"/>
          </w:tcPr>
          <w:p w14:paraId="0937E1A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1,8</w:t>
            </w:r>
          </w:p>
        </w:tc>
        <w:tc>
          <w:tcPr>
            <w:tcW w:w="808" w:type="pct"/>
          </w:tcPr>
          <w:p w14:paraId="3FD7C8F0"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4,1</w:t>
            </w:r>
          </w:p>
        </w:tc>
        <w:tc>
          <w:tcPr>
            <w:tcW w:w="808" w:type="pct"/>
            <w:tcBorders>
              <w:top w:val="nil"/>
              <w:left w:val="nil"/>
              <w:bottom w:val="nil"/>
              <w:right w:val="nil"/>
            </w:tcBorders>
            <w:shd w:val="clear" w:color="auto" w:fill="auto"/>
            <w:vAlign w:val="center"/>
          </w:tcPr>
          <w:p w14:paraId="544464CC"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3,1</w:t>
            </w:r>
          </w:p>
        </w:tc>
      </w:tr>
      <w:tr w:rsidR="001A395C" w:rsidRPr="00F5596D" w14:paraId="5CDEE2BE" w14:textId="77777777" w:rsidTr="001A395C">
        <w:trPr>
          <w:jc w:val="center"/>
        </w:trPr>
        <w:tc>
          <w:tcPr>
            <w:tcW w:w="1766" w:type="pct"/>
          </w:tcPr>
          <w:p w14:paraId="2DE70FE4"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Државна потрошња</w:t>
            </w:r>
          </w:p>
        </w:tc>
        <w:tc>
          <w:tcPr>
            <w:tcW w:w="808" w:type="pct"/>
          </w:tcPr>
          <w:p w14:paraId="145979FE"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2,5</w:t>
            </w:r>
          </w:p>
        </w:tc>
        <w:tc>
          <w:tcPr>
            <w:tcW w:w="808" w:type="pct"/>
            <w:tcBorders>
              <w:top w:val="nil"/>
              <w:left w:val="nil"/>
              <w:bottom w:val="nil"/>
              <w:right w:val="nil"/>
            </w:tcBorders>
            <w:shd w:val="clear" w:color="auto" w:fill="auto"/>
            <w:vAlign w:val="center"/>
          </w:tcPr>
          <w:p w14:paraId="47A9C8C9"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0,5</w:t>
            </w:r>
          </w:p>
        </w:tc>
        <w:tc>
          <w:tcPr>
            <w:tcW w:w="808" w:type="pct"/>
          </w:tcPr>
          <w:p w14:paraId="578893BF"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2,2</w:t>
            </w:r>
          </w:p>
        </w:tc>
        <w:tc>
          <w:tcPr>
            <w:tcW w:w="808" w:type="pct"/>
            <w:tcBorders>
              <w:top w:val="nil"/>
              <w:left w:val="nil"/>
              <w:bottom w:val="nil"/>
              <w:right w:val="nil"/>
            </w:tcBorders>
            <w:shd w:val="clear" w:color="auto" w:fill="auto"/>
            <w:vAlign w:val="center"/>
          </w:tcPr>
          <w:p w14:paraId="2D98E03A"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3,7</w:t>
            </w:r>
          </w:p>
        </w:tc>
      </w:tr>
      <w:tr w:rsidR="001A395C" w:rsidRPr="00F5596D" w14:paraId="2BB237FB" w14:textId="77777777" w:rsidTr="001A395C">
        <w:trPr>
          <w:jc w:val="center"/>
        </w:trPr>
        <w:tc>
          <w:tcPr>
            <w:tcW w:w="1766" w:type="pct"/>
          </w:tcPr>
          <w:p w14:paraId="6DAD6C69"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Инвестиције у основна средства</w:t>
            </w:r>
          </w:p>
        </w:tc>
        <w:tc>
          <w:tcPr>
            <w:tcW w:w="808" w:type="pct"/>
          </w:tcPr>
          <w:p w14:paraId="3124ECBC"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6,5</w:t>
            </w:r>
          </w:p>
        </w:tc>
        <w:tc>
          <w:tcPr>
            <w:tcW w:w="808" w:type="pct"/>
            <w:tcBorders>
              <w:top w:val="nil"/>
              <w:left w:val="nil"/>
              <w:bottom w:val="nil"/>
              <w:right w:val="nil"/>
            </w:tcBorders>
            <w:shd w:val="clear" w:color="auto" w:fill="auto"/>
            <w:vAlign w:val="center"/>
          </w:tcPr>
          <w:p w14:paraId="709AB40C"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-1,0</w:t>
            </w:r>
          </w:p>
        </w:tc>
        <w:tc>
          <w:tcPr>
            <w:tcW w:w="808" w:type="pct"/>
          </w:tcPr>
          <w:p w14:paraId="79FA22B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7,7</w:t>
            </w:r>
          </w:p>
        </w:tc>
        <w:tc>
          <w:tcPr>
            <w:tcW w:w="808" w:type="pct"/>
            <w:tcBorders>
              <w:top w:val="nil"/>
              <w:left w:val="nil"/>
              <w:bottom w:val="nil"/>
              <w:right w:val="nil"/>
            </w:tcBorders>
            <w:shd w:val="clear" w:color="auto" w:fill="auto"/>
            <w:vAlign w:val="center"/>
          </w:tcPr>
          <w:p w14:paraId="0C120E10"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4,2</w:t>
            </w:r>
          </w:p>
        </w:tc>
      </w:tr>
      <w:tr w:rsidR="001A395C" w:rsidRPr="00F5596D" w14:paraId="08CB28AC" w14:textId="77777777" w:rsidTr="001A395C">
        <w:trPr>
          <w:jc w:val="center"/>
        </w:trPr>
        <w:tc>
          <w:tcPr>
            <w:tcW w:w="1766" w:type="pct"/>
          </w:tcPr>
          <w:p w14:paraId="6F1A6C8D"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Извоз робе и услуга</w:t>
            </w:r>
          </w:p>
        </w:tc>
        <w:tc>
          <w:tcPr>
            <w:tcW w:w="808" w:type="pct"/>
          </w:tcPr>
          <w:p w14:paraId="63C34B4A"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6,2</w:t>
            </w:r>
          </w:p>
        </w:tc>
        <w:tc>
          <w:tcPr>
            <w:tcW w:w="808" w:type="pct"/>
            <w:tcBorders>
              <w:top w:val="nil"/>
              <w:left w:val="nil"/>
              <w:bottom w:val="nil"/>
              <w:right w:val="nil"/>
            </w:tcBorders>
            <w:shd w:val="clear" w:color="auto" w:fill="auto"/>
            <w:vAlign w:val="center"/>
          </w:tcPr>
          <w:p w14:paraId="562C4FA4"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7,5</w:t>
            </w:r>
          </w:p>
        </w:tc>
        <w:tc>
          <w:tcPr>
            <w:tcW w:w="808" w:type="pct"/>
          </w:tcPr>
          <w:p w14:paraId="7CF826C8"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5,9</w:t>
            </w:r>
          </w:p>
        </w:tc>
        <w:tc>
          <w:tcPr>
            <w:tcW w:w="808" w:type="pct"/>
            <w:tcBorders>
              <w:top w:val="nil"/>
              <w:left w:val="nil"/>
              <w:bottom w:val="nil"/>
              <w:right w:val="nil"/>
            </w:tcBorders>
            <w:shd w:val="clear" w:color="auto" w:fill="auto"/>
            <w:vAlign w:val="center"/>
          </w:tcPr>
          <w:p w14:paraId="56F4CF8D"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4,5</w:t>
            </w:r>
          </w:p>
        </w:tc>
      </w:tr>
      <w:tr w:rsidR="001A395C" w:rsidRPr="00F5596D" w14:paraId="30DDCCF7" w14:textId="77777777" w:rsidTr="001A395C">
        <w:trPr>
          <w:jc w:val="center"/>
        </w:trPr>
        <w:tc>
          <w:tcPr>
            <w:tcW w:w="1766" w:type="pct"/>
          </w:tcPr>
          <w:p w14:paraId="74E3F6CB"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Увоз робе и услуга</w:t>
            </w:r>
          </w:p>
        </w:tc>
        <w:tc>
          <w:tcPr>
            <w:tcW w:w="808" w:type="pct"/>
          </w:tcPr>
          <w:p w14:paraId="687FBF4E"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8,3</w:t>
            </w:r>
          </w:p>
        </w:tc>
        <w:tc>
          <w:tcPr>
            <w:tcW w:w="808" w:type="pct"/>
            <w:tcBorders>
              <w:top w:val="nil"/>
              <w:left w:val="nil"/>
              <w:bottom w:val="nil"/>
              <w:right w:val="nil"/>
            </w:tcBorders>
            <w:shd w:val="clear" w:color="auto" w:fill="auto"/>
            <w:vAlign w:val="center"/>
          </w:tcPr>
          <w:p w14:paraId="07DB1364"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11,5</w:t>
            </w:r>
          </w:p>
        </w:tc>
        <w:tc>
          <w:tcPr>
            <w:tcW w:w="808" w:type="pct"/>
          </w:tcPr>
          <w:p w14:paraId="7A83A70F"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6,5</w:t>
            </w:r>
          </w:p>
        </w:tc>
        <w:tc>
          <w:tcPr>
            <w:tcW w:w="808" w:type="pct"/>
            <w:tcBorders>
              <w:top w:val="nil"/>
              <w:left w:val="nil"/>
              <w:bottom w:val="nil"/>
              <w:right w:val="nil"/>
            </w:tcBorders>
            <w:shd w:val="clear" w:color="auto" w:fill="auto"/>
            <w:vAlign w:val="center"/>
          </w:tcPr>
          <w:p w14:paraId="27ACF27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5,4</w:t>
            </w:r>
          </w:p>
        </w:tc>
      </w:tr>
      <w:tr w:rsidR="001A395C" w:rsidRPr="00F5596D" w14:paraId="037BF644" w14:textId="77777777" w:rsidTr="001A395C">
        <w:trPr>
          <w:trHeight w:val="144"/>
          <w:jc w:val="center"/>
        </w:trPr>
        <w:tc>
          <w:tcPr>
            <w:tcW w:w="1766" w:type="pct"/>
            <w:shd w:val="clear" w:color="auto" w:fill="E7E6E6"/>
          </w:tcPr>
          <w:p w14:paraId="480CF97F" w14:textId="77777777" w:rsidR="001A395C" w:rsidRPr="00F5596D" w:rsidRDefault="001A395C" w:rsidP="001A395C">
            <w:pPr>
              <w:ind w:left="-15"/>
              <w:jc w:val="right"/>
              <w:rPr>
                <w:rFonts w:ascii="Calibri" w:eastAsia="Calibri" w:hAnsi="Calibri" w:cs="Calibri"/>
                <w:color w:val="002060"/>
                <w:sz w:val="18"/>
                <w:lang w:val="sr-Cyrl-CS"/>
              </w:rPr>
            </w:pPr>
          </w:p>
        </w:tc>
        <w:tc>
          <w:tcPr>
            <w:tcW w:w="808" w:type="pct"/>
            <w:shd w:val="clear" w:color="auto" w:fill="E7E6E6"/>
          </w:tcPr>
          <w:p w14:paraId="34CC47D7" w14:textId="77777777" w:rsidR="001A395C" w:rsidRPr="00F5596D" w:rsidRDefault="001A395C" w:rsidP="001A395C">
            <w:pPr>
              <w:ind w:left="-15" w:right="397"/>
              <w:jc w:val="right"/>
              <w:rPr>
                <w:rFonts w:ascii="Calibri" w:eastAsia="Calibri" w:hAnsi="Calibri" w:cs="Calibri"/>
                <w:color w:val="002060"/>
                <w:sz w:val="18"/>
                <w:lang w:val="sr-Cyrl-CS"/>
              </w:rPr>
            </w:pPr>
          </w:p>
        </w:tc>
        <w:tc>
          <w:tcPr>
            <w:tcW w:w="808" w:type="pct"/>
            <w:tcBorders>
              <w:top w:val="nil"/>
              <w:left w:val="nil"/>
              <w:bottom w:val="nil"/>
              <w:right w:val="nil"/>
            </w:tcBorders>
            <w:shd w:val="clear" w:color="000000" w:fill="E7E6E6"/>
            <w:vAlign w:val="center"/>
          </w:tcPr>
          <w:p w14:paraId="1BECE09E" w14:textId="77777777" w:rsidR="001A395C" w:rsidRPr="00F5596D" w:rsidRDefault="001A395C" w:rsidP="001A395C">
            <w:pPr>
              <w:ind w:left="-15" w:right="397"/>
              <w:jc w:val="right"/>
              <w:rPr>
                <w:rFonts w:ascii="Calibri" w:eastAsia="Calibri" w:hAnsi="Calibri" w:cs="Calibri"/>
                <w:color w:val="002060"/>
                <w:sz w:val="18"/>
                <w:lang w:val="sr-Cyrl-CS"/>
              </w:rPr>
            </w:pPr>
          </w:p>
        </w:tc>
        <w:tc>
          <w:tcPr>
            <w:tcW w:w="808" w:type="pct"/>
            <w:shd w:val="clear" w:color="auto" w:fill="E7E6E6"/>
          </w:tcPr>
          <w:p w14:paraId="6971DB3F" w14:textId="77777777" w:rsidR="001A395C" w:rsidRPr="00F5596D" w:rsidRDefault="001A395C" w:rsidP="001A395C">
            <w:pPr>
              <w:ind w:left="-15" w:right="397"/>
              <w:jc w:val="right"/>
              <w:rPr>
                <w:rFonts w:ascii="Calibri" w:eastAsia="Calibri" w:hAnsi="Calibri" w:cs="Calibri"/>
                <w:color w:val="002060"/>
                <w:sz w:val="18"/>
                <w:lang w:val="sr-Cyrl-CS"/>
              </w:rPr>
            </w:pPr>
          </w:p>
        </w:tc>
        <w:tc>
          <w:tcPr>
            <w:tcW w:w="808" w:type="pct"/>
            <w:tcBorders>
              <w:top w:val="nil"/>
              <w:left w:val="nil"/>
              <w:bottom w:val="nil"/>
              <w:right w:val="nil"/>
            </w:tcBorders>
            <w:shd w:val="clear" w:color="000000" w:fill="E7E6E6"/>
            <w:vAlign w:val="center"/>
          </w:tcPr>
          <w:p w14:paraId="4FF4F586" w14:textId="77777777" w:rsidR="001A395C" w:rsidRPr="00F5596D" w:rsidRDefault="001A395C" w:rsidP="001A395C">
            <w:pPr>
              <w:ind w:left="-15" w:right="397"/>
              <w:jc w:val="right"/>
              <w:rPr>
                <w:rFonts w:ascii="Calibri" w:eastAsia="Calibri" w:hAnsi="Calibri" w:cs="Calibri"/>
                <w:color w:val="FF0000"/>
                <w:sz w:val="18"/>
                <w:lang w:val="sr-Cyrl-CS"/>
              </w:rPr>
            </w:pPr>
          </w:p>
        </w:tc>
      </w:tr>
      <w:tr w:rsidR="001A395C" w:rsidRPr="00F5596D" w14:paraId="66EE0A22" w14:textId="77777777" w:rsidTr="001A395C">
        <w:trPr>
          <w:jc w:val="center"/>
        </w:trPr>
        <w:tc>
          <w:tcPr>
            <w:tcW w:w="1766" w:type="pct"/>
          </w:tcPr>
          <w:p w14:paraId="45A34759"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Пољопривреда</w:t>
            </w:r>
          </w:p>
        </w:tc>
        <w:tc>
          <w:tcPr>
            <w:tcW w:w="808" w:type="pct"/>
          </w:tcPr>
          <w:p w14:paraId="23F50776"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-8,1</w:t>
            </w:r>
          </w:p>
        </w:tc>
        <w:tc>
          <w:tcPr>
            <w:tcW w:w="808" w:type="pct"/>
            <w:tcBorders>
              <w:top w:val="nil"/>
              <w:left w:val="nil"/>
              <w:bottom w:val="nil"/>
              <w:right w:val="nil"/>
            </w:tcBorders>
            <w:shd w:val="clear" w:color="auto" w:fill="auto"/>
            <w:vAlign w:val="center"/>
          </w:tcPr>
          <w:p w14:paraId="0A2C0373"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6,5</w:t>
            </w:r>
          </w:p>
        </w:tc>
        <w:tc>
          <w:tcPr>
            <w:tcW w:w="808" w:type="pct"/>
          </w:tcPr>
          <w:p w14:paraId="558D147D"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4,2</w:t>
            </w:r>
          </w:p>
        </w:tc>
        <w:tc>
          <w:tcPr>
            <w:tcW w:w="808" w:type="pct"/>
            <w:tcBorders>
              <w:top w:val="nil"/>
              <w:left w:val="nil"/>
              <w:bottom w:val="nil"/>
              <w:right w:val="nil"/>
            </w:tcBorders>
            <w:shd w:val="clear" w:color="auto" w:fill="auto"/>
            <w:vAlign w:val="center"/>
          </w:tcPr>
          <w:p w14:paraId="2057E4B7"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6,3</w:t>
            </w:r>
          </w:p>
        </w:tc>
      </w:tr>
      <w:tr w:rsidR="001A395C" w:rsidRPr="00F5596D" w14:paraId="598E18E4" w14:textId="77777777" w:rsidTr="001A395C">
        <w:trPr>
          <w:jc w:val="center"/>
        </w:trPr>
        <w:tc>
          <w:tcPr>
            <w:tcW w:w="1766" w:type="pct"/>
          </w:tcPr>
          <w:p w14:paraId="5507A965"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Индустрија</w:t>
            </w:r>
          </w:p>
        </w:tc>
        <w:tc>
          <w:tcPr>
            <w:tcW w:w="808" w:type="pct"/>
          </w:tcPr>
          <w:p w14:paraId="21FA68E0"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2,9</w:t>
            </w:r>
          </w:p>
        </w:tc>
        <w:tc>
          <w:tcPr>
            <w:tcW w:w="808" w:type="pct"/>
            <w:tcBorders>
              <w:top w:val="nil"/>
              <w:left w:val="nil"/>
              <w:bottom w:val="nil"/>
              <w:right w:val="nil"/>
            </w:tcBorders>
            <w:shd w:val="clear" w:color="auto" w:fill="auto"/>
            <w:vAlign w:val="center"/>
          </w:tcPr>
          <w:p w14:paraId="1E962368"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2,1</w:t>
            </w:r>
          </w:p>
        </w:tc>
        <w:tc>
          <w:tcPr>
            <w:tcW w:w="808" w:type="pct"/>
          </w:tcPr>
          <w:p w14:paraId="00D911F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4,0</w:t>
            </w:r>
          </w:p>
        </w:tc>
        <w:tc>
          <w:tcPr>
            <w:tcW w:w="808" w:type="pct"/>
            <w:tcBorders>
              <w:top w:val="nil"/>
              <w:left w:val="nil"/>
              <w:bottom w:val="nil"/>
              <w:right w:val="nil"/>
            </w:tcBorders>
            <w:shd w:val="clear" w:color="auto" w:fill="auto"/>
            <w:vAlign w:val="center"/>
          </w:tcPr>
          <w:p w14:paraId="22921721"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2,9</w:t>
            </w:r>
          </w:p>
        </w:tc>
      </w:tr>
      <w:tr w:rsidR="001A395C" w:rsidRPr="00F5596D" w14:paraId="7F5228AC" w14:textId="77777777" w:rsidTr="001A395C">
        <w:trPr>
          <w:jc w:val="center"/>
        </w:trPr>
        <w:tc>
          <w:tcPr>
            <w:tcW w:w="1766" w:type="pct"/>
          </w:tcPr>
          <w:p w14:paraId="3B5DC83F"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Грађевинарство</w:t>
            </w:r>
          </w:p>
        </w:tc>
        <w:tc>
          <w:tcPr>
            <w:tcW w:w="808" w:type="pct"/>
          </w:tcPr>
          <w:p w14:paraId="17D7D9C7"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2,9</w:t>
            </w:r>
          </w:p>
        </w:tc>
        <w:tc>
          <w:tcPr>
            <w:tcW w:w="808" w:type="pct"/>
            <w:tcBorders>
              <w:top w:val="nil"/>
              <w:left w:val="nil"/>
              <w:bottom w:val="nil"/>
              <w:right w:val="nil"/>
            </w:tcBorders>
            <w:shd w:val="clear" w:color="auto" w:fill="auto"/>
            <w:vAlign w:val="center"/>
          </w:tcPr>
          <w:p w14:paraId="4ECA664F"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-5,6</w:t>
            </w:r>
          </w:p>
        </w:tc>
        <w:tc>
          <w:tcPr>
            <w:tcW w:w="808" w:type="pct"/>
          </w:tcPr>
          <w:p w14:paraId="45C3B55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8,4</w:t>
            </w:r>
          </w:p>
        </w:tc>
        <w:tc>
          <w:tcPr>
            <w:tcW w:w="808" w:type="pct"/>
            <w:tcBorders>
              <w:top w:val="nil"/>
              <w:left w:val="nil"/>
              <w:bottom w:val="nil"/>
              <w:right w:val="nil"/>
            </w:tcBorders>
            <w:shd w:val="clear" w:color="auto" w:fill="auto"/>
            <w:vAlign w:val="center"/>
          </w:tcPr>
          <w:p w14:paraId="000FF5B7"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1,9</w:t>
            </w:r>
          </w:p>
        </w:tc>
      </w:tr>
      <w:tr w:rsidR="001A395C" w:rsidRPr="00F5596D" w14:paraId="733E7479" w14:textId="77777777" w:rsidTr="001A395C">
        <w:trPr>
          <w:trHeight w:val="163"/>
          <w:jc w:val="center"/>
        </w:trPr>
        <w:tc>
          <w:tcPr>
            <w:tcW w:w="1766" w:type="pct"/>
          </w:tcPr>
          <w:p w14:paraId="0DEF3B5C"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Услуге</w:t>
            </w:r>
          </w:p>
        </w:tc>
        <w:tc>
          <w:tcPr>
            <w:tcW w:w="808" w:type="pct"/>
          </w:tcPr>
          <w:p w14:paraId="2DC4F6B0" w14:textId="77777777" w:rsidR="001A395C" w:rsidRPr="00F5596D" w:rsidRDefault="001A395C" w:rsidP="001A395C">
            <w:pPr>
              <w:tabs>
                <w:tab w:val="left" w:pos="420"/>
                <w:tab w:val="center" w:pos="586"/>
              </w:tabs>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5,1</w:t>
            </w:r>
          </w:p>
        </w:tc>
        <w:tc>
          <w:tcPr>
            <w:tcW w:w="808" w:type="pct"/>
            <w:tcBorders>
              <w:top w:val="nil"/>
              <w:left w:val="nil"/>
              <w:right w:val="nil"/>
            </w:tcBorders>
            <w:shd w:val="clear" w:color="auto" w:fill="auto"/>
            <w:vAlign w:val="center"/>
          </w:tcPr>
          <w:p w14:paraId="7838959A" w14:textId="748A97A4" w:rsidR="001A395C" w:rsidRPr="00F5596D" w:rsidRDefault="007937AB"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2,2</w:t>
            </w:r>
          </w:p>
        </w:tc>
        <w:tc>
          <w:tcPr>
            <w:tcW w:w="808" w:type="pct"/>
          </w:tcPr>
          <w:p w14:paraId="2DD022B7"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4,0</w:t>
            </w:r>
          </w:p>
        </w:tc>
        <w:tc>
          <w:tcPr>
            <w:tcW w:w="808" w:type="pct"/>
            <w:tcBorders>
              <w:top w:val="nil"/>
              <w:left w:val="nil"/>
              <w:right w:val="nil"/>
            </w:tcBorders>
            <w:shd w:val="clear" w:color="auto" w:fill="auto"/>
            <w:vAlign w:val="center"/>
          </w:tcPr>
          <w:p w14:paraId="24D0A45E"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3,1</w:t>
            </w:r>
          </w:p>
        </w:tc>
      </w:tr>
      <w:tr w:rsidR="001A395C" w:rsidRPr="00F5596D" w14:paraId="6775F359" w14:textId="77777777" w:rsidTr="001A395C">
        <w:trPr>
          <w:trHeight w:val="163"/>
          <w:jc w:val="center"/>
        </w:trPr>
        <w:tc>
          <w:tcPr>
            <w:tcW w:w="1766" w:type="pct"/>
            <w:tcBorders>
              <w:bottom w:val="single" w:sz="4" w:space="0" w:color="002060"/>
            </w:tcBorders>
          </w:tcPr>
          <w:p w14:paraId="3E074D5A" w14:textId="77777777" w:rsidR="001A395C" w:rsidRPr="00F5596D" w:rsidRDefault="001A395C" w:rsidP="001A395C">
            <w:pPr>
              <w:ind w:left="-15"/>
              <w:rPr>
                <w:rFonts w:ascii="Calibri" w:eastAsia="Calibri" w:hAnsi="Calibri" w:cs="Calibri"/>
                <w:color w:val="002060"/>
                <w:sz w:val="18"/>
                <w:lang w:val="sr-Cyrl-CS"/>
              </w:rPr>
            </w:pPr>
            <w:r w:rsidRPr="00F5596D">
              <w:rPr>
                <w:rFonts w:ascii="Calibri" w:eastAsia="Calibri" w:hAnsi="Calibri" w:cs="Calibri"/>
                <w:color w:val="002060"/>
                <w:sz w:val="18"/>
                <w:lang w:val="sr-Cyrl-CS"/>
              </w:rPr>
              <w:t>Нето порези</w:t>
            </w:r>
          </w:p>
        </w:tc>
        <w:tc>
          <w:tcPr>
            <w:tcW w:w="808" w:type="pct"/>
            <w:tcBorders>
              <w:bottom w:val="single" w:sz="4" w:space="0" w:color="002060"/>
            </w:tcBorders>
          </w:tcPr>
          <w:p w14:paraId="392F583A" w14:textId="77777777" w:rsidR="001A395C" w:rsidRPr="00F5596D" w:rsidRDefault="001A395C" w:rsidP="001A395C">
            <w:pPr>
              <w:tabs>
                <w:tab w:val="left" w:pos="420"/>
                <w:tab w:val="center" w:pos="586"/>
              </w:tabs>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3,9</w:t>
            </w:r>
          </w:p>
        </w:tc>
        <w:tc>
          <w:tcPr>
            <w:tcW w:w="808" w:type="pct"/>
            <w:tcBorders>
              <w:top w:val="nil"/>
              <w:left w:val="nil"/>
              <w:bottom w:val="single" w:sz="4" w:space="0" w:color="002060"/>
              <w:right w:val="nil"/>
            </w:tcBorders>
            <w:shd w:val="clear" w:color="auto" w:fill="auto"/>
            <w:vAlign w:val="center"/>
          </w:tcPr>
          <w:p w14:paraId="68587D70"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2,3</w:t>
            </w:r>
          </w:p>
        </w:tc>
        <w:tc>
          <w:tcPr>
            <w:tcW w:w="808" w:type="pct"/>
            <w:tcBorders>
              <w:bottom w:val="single" w:sz="4" w:space="0" w:color="002060"/>
            </w:tcBorders>
          </w:tcPr>
          <w:p w14:paraId="25D11FC2"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3,9</w:t>
            </w:r>
          </w:p>
        </w:tc>
        <w:tc>
          <w:tcPr>
            <w:tcW w:w="808" w:type="pct"/>
            <w:tcBorders>
              <w:top w:val="nil"/>
              <w:left w:val="nil"/>
              <w:bottom w:val="single" w:sz="4" w:space="0" w:color="002060"/>
              <w:right w:val="nil"/>
            </w:tcBorders>
            <w:shd w:val="clear" w:color="auto" w:fill="auto"/>
            <w:vAlign w:val="center"/>
          </w:tcPr>
          <w:p w14:paraId="62BC28CC" w14:textId="77777777" w:rsidR="001A395C" w:rsidRPr="00F5596D" w:rsidRDefault="001A395C" w:rsidP="001A395C">
            <w:pPr>
              <w:ind w:right="397"/>
              <w:jc w:val="right"/>
              <w:rPr>
                <w:rFonts w:ascii="Calibri" w:eastAsia="Calibri" w:hAnsi="Calibri" w:cs="Calibri"/>
                <w:color w:val="002060"/>
                <w:sz w:val="18"/>
                <w:lang w:val="sr-Cyrl-CS"/>
              </w:rPr>
            </w:pPr>
            <w:r w:rsidRPr="00F5596D">
              <w:rPr>
                <w:rFonts w:ascii="Calibri" w:eastAsia="Calibri" w:hAnsi="Calibri" w:cs="Calibri"/>
                <w:color w:val="002060"/>
                <w:sz w:val="18"/>
                <w:lang w:val="sr-Cyrl-CS"/>
              </w:rPr>
              <w:t>2,6</w:t>
            </w:r>
          </w:p>
        </w:tc>
      </w:tr>
    </w:tbl>
    <w:p w14:paraId="330583FC" w14:textId="77777777" w:rsidR="001A395C" w:rsidRPr="00F5596D" w:rsidRDefault="001A395C" w:rsidP="001A395C">
      <w:pPr>
        <w:spacing w:before="40" w:after="0"/>
        <w:ind w:left="737"/>
        <w:rPr>
          <w:rFonts w:ascii="Calibri" w:eastAsia="Calibri" w:hAnsi="Calibri" w:cs="Calibri"/>
          <w:bCs/>
          <w:sz w:val="14"/>
          <w:szCs w:val="72"/>
          <w:lang w:val="sr-Cyrl-CS"/>
        </w:rPr>
      </w:pPr>
      <w:r w:rsidRPr="00F5596D">
        <w:rPr>
          <w:rFonts w:ascii="Calibri" w:eastAsia="Calibri" w:hAnsi="Calibri" w:cs="Calibri"/>
          <w:bCs/>
          <w:sz w:val="14"/>
          <w:szCs w:val="72"/>
          <w:lang w:val="sr-Cyrl-CS"/>
        </w:rPr>
        <w:t>Извор: РЗС</w:t>
      </w:r>
    </w:p>
    <w:p w14:paraId="75A52E8A" w14:textId="77777777" w:rsidR="001A395C" w:rsidRPr="00F5596D" w:rsidRDefault="001A395C" w:rsidP="001A395C">
      <w:pPr>
        <w:spacing w:before="40" w:after="40"/>
        <w:ind w:left="737"/>
        <w:rPr>
          <w:rFonts w:ascii="Calibri" w:eastAsia="Calibri" w:hAnsi="Calibri" w:cs="Calibri"/>
          <w:bCs/>
          <w:sz w:val="14"/>
          <w:szCs w:val="72"/>
          <w:lang w:val="sr-Cyrl-CS"/>
        </w:rPr>
      </w:pPr>
      <w:r w:rsidRPr="00F5596D">
        <w:rPr>
          <w:rFonts w:ascii="Calibri" w:eastAsia="Calibri" w:hAnsi="Calibri" w:cs="Calibri"/>
          <w:bCs/>
          <w:sz w:val="14"/>
          <w:szCs w:val="72"/>
          <w:lang w:val="sr-Cyrl-CS"/>
        </w:rPr>
        <w:t>* Министарство финансија</w:t>
      </w:r>
    </w:p>
    <w:p w14:paraId="5CF755B9" w14:textId="77777777" w:rsidR="001A395C" w:rsidRPr="00F5596D" w:rsidRDefault="001A395C" w:rsidP="001A395C">
      <w:pPr>
        <w:spacing w:after="120"/>
        <w:jc w:val="left"/>
        <w:rPr>
          <w:rFonts w:cstheme="minorHAnsi"/>
          <w:b/>
          <w:color w:val="2F5496" w:themeColor="accent1" w:themeShade="BF"/>
          <w:sz w:val="22"/>
          <w:lang w:val="sr-Cyrl-CS"/>
        </w:rPr>
        <w:sectPr w:rsidR="001A395C" w:rsidRPr="00F5596D" w:rsidSect="001A395C">
          <w:type w:val="continuous"/>
          <w:pgSz w:w="12240" w:h="15840" w:code="1"/>
          <w:pgMar w:top="1440" w:right="1440" w:bottom="1440" w:left="1440" w:header="720" w:footer="720" w:gutter="0"/>
          <w:cols w:space="720"/>
          <w:docGrid w:linePitch="360"/>
        </w:sectPr>
      </w:pPr>
    </w:p>
    <w:p w14:paraId="17A08223" w14:textId="77777777" w:rsidR="001A395C" w:rsidRPr="00F5596D" w:rsidRDefault="001A395C" w:rsidP="001A395C">
      <w:pPr>
        <w:jc w:val="left"/>
        <w:rPr>
          <w:rFonts w:cstheme="minorHAnsi"/>
          <w:b/>
          <w:color w:val="2F5496" w:themeColor="accent1" w:themeShade="BF"/>
          <w:sz w:val="22"/>
          <w:lang w:val="sr-Cyrl-CS"/>
        </w:rPr>
      </w:pPr>
    </w:p>
    <w:p w14:paraId="03AD29B9" w14:textId="77777777" w:rsidR="001A395C" w:rsidRPr="00F5596D" w:rsidRDefault="001A395C" w:rsidP="001A395C">
      <w:pPr>
        <w:jc w:val="left"/>
        <w:rPr>
          <w:rFonts w:cstheme="minorHAnsi"/>
          <w:b/>
          <w:color w:val="2F5496" w:themeColor="accent1" w:themeShade="BF"/>
          <w:sz w:val="22"/>
          <w:lang w:val="sr-Cyrl-CS"/>
        </w:rPr>
      </w:pPr>
    </w:p>
    <w:p w14:paraId="252649BE" w14:textId="77777777" w:rsidR="001A395C" w:rsidRPr="00F5596D" w:rsidRDefault="001A395C" w:rsidP="001A395C">
      <w:pPr>
        <w:jc w:val="left"/>
        <w:rPr>
          <w:rFonts w:cstheme="minorHAnsi"/>
          <w:b/>
          <w:color w:val="2F5496" w:themeColor="accent1" w:themeShade="BF"/>
          <w:sz w:val="22"/>
          <w:lang w:val="sr-Cyrl-CS"/>
        </w:rPr>
      </w:pPr>
    </w:p>
    <w:p w14:paraId="48E7C5F4" w14:textId="77777777" w:rsidR="001A395C" w:rsidRPr="00F5596D" w:rsidRDefault="001A395C" w:rsidP="001A395C">
      <w:pPr>
        <w:jc w:val="left"/>
        <w:rPr>
          <w:rFonts w:cstheme="minorHAnsi"/>
          <w:b/>
          <w:color w:val="2F5496" w:themeColor="accent1" w:themeShade="BF"/>
          <w:sz w:val="22"/>
          <w:lang w:val="sr-Cyrl-CS"/>
        </w:rPr>
      </w:pPr>
    </w:p>
    <w:p w14:paraId="7EA209DD" w14:textId="77777777" w:rsidR="001A395C" w:rsidRPr="00F5596D" w:rsidRDefault="001A395C" w:rsidP="001A395C">
      <w:pPr>
        <w:jc w:val="left"/>
        <w:rPr>
          <w:rFonts w:cstheme="minorHAnsi"/>
          <w:b/>
          <w:color w:val="2F5496" w:themeColor="accent1" w:themeShade="BF"/>
          <w:sz w:val="22"/>
          <w:lang w:val="sr-Cyrl-CS"/>
        </w:rPr>
      </w:pPr>
    </w:p>
    <w:p w14:paraId="29615687" w14:textId="77777777" w:rsidR="001A395C" w:rsidRPr="00F5596D" w:rsidRDefault="001A395C" w:rsidP="001A395C">
      <w:pPr>
        <w:jc w:val="left"/>
        <w:rPr>
          <w:rFonts w:cstheme="minorHAnsi"/>
          <w:b/>
          <w:color w:val="2F5496" w:themeColor="accent1" w:themeShade="BF"/>
          <w:sz w:val="22"/>
          <w:lang w:val="sr-Cyrl-CS"/>
        </w:rPr>
      </w:pPr>
    </w:p>
    <w:p w14:paraId="16413A9C" w14:textId="77777777" w:rsidR="001A395C" w:rsidRPr="00F5596D" w:rsidRDefault="001A395C" w:rsidP="001A395C">
      <w:pPr>
        <w:jc w:val="left"/>
        <w:rPr>
          <w:color w:val="2F5496" w:themeColor="accent1" w:themeShade="BF"/>
          <w:lang w:val="sr-Cyrl-CS"/>
        </w:rPr>
      </w:pPr>
      <w:r w:rsidRPr="00F5596D">
        <w:rPr>
          <w:rFonts w:cstheme="minorHAnsi"/>
          <w:b/>
          <w:color w:val="2F5496" w:themeColor="accent1" w:themeShade="BF"/>
          <w:sz w:val="22"/>
          <w:lang w:val="sr-Cyrl-CS"/>
        </w:rPr>
        <w:lastRenderedPageBreak/>
        <w:t>Пројекције кретања реалног сектора у периоду 2026–2028. године</w:t>
      </w:r>
    </w:p>
    <w:p w14:paraId="242550BB" w14:textId="77777777" w:rsidR="000A55EE" w:rsidRPr="00F5596D" w:rsidRDefault="001A395C" w:rsidP="001A395C">
      <w:pPr>
        <w:spacing w:after="120"/>
        <w:rPr>
          <w:rFonts w:cstheme="minorHAnsi"/>
          <w:bCs/>
          <w:spacing w:val="-2"/>
          <w:szCs w:val="72"/>
          <w:lang w:val="sr-Cyrl-CS"/>
        </w:rPr>
      </w:pPr>
      <w:r w:rsidRPr="00F5596D">
        <w:rPr>
          <w:rFonts w:cstheme="minorHAnsi"/>
          <w:bCs/>
          <w:spacing w:val="-2"/>
          <w:szCs w:val="72"/>
          <w:lang w:val="sr-Cyrl-CS"/>
        </w:rPr>
        <w:t xml:space="preserve">У динамичном глобалном окружењу, Србија наставља да гради одржив и конкурентан привредни модел ослањајући се на стратешке инвестиције, </w:t>
      </w:r>
    </w:p>
    <w:p w14:paraId="5F7223AC" w14:textId="37D5E7AB" w:rsidR="001A395C" w:rsidRPr="00F5596D" w:rsidRDefault="001A395C" w:rsidP="001A395C">
      <w:pPr>
        <w:spacing w:after="120"/>
        <w:rPr>
          <w:rFonts w:cstheme="minorHAnsi"/>
          <w:bCs/>
          <w:spacing w:val="-2"/>
          <w:szCs w:val="72"/>
          <w:lang w:val="sr-Cyrl-CS"/>
        </w:rPr>
      </w:pPr>
      <w:r w:rsidRPr="00F5596D">
        <w:rPr>
          <w:rFonts w:cstheme="minorHAnsi"/>
          <w:bCs/>
          <w:spacing w:val="-2"/>
          <w:szCs w:val="72"/>
          <w:lang w:val="sr-Cyrl-CS"/>
        </w:rPr>
        <w:t xml:space="preserve">макроекономску стабилност и иновације као главне стубове дугорочног развоја. Отвореност према страним инвестицијама остаје важан ослонац развоја, нарочито због преноса знања и технологија, али све већу пажњу држава усмерава на оснаживање домаћих инвеститора. Кроз пореска растерећења, унапређен приступ изворима финансирања и поједностављење административних процедура, отварају се нове могућности за раст. Паралелно са тим, нови стратешки циклус индустријске политике фокусира се на јачање сектора са високом додатом вредношћу, подстицање трансфера технологија и развој иновационог екосистема. Инструменти политике укључују субвенције за набавку опреме, пореске олакшице за истраживање и развој, као и проширење мреже научно-технолошких паркова у свим већим градовима Србије. Тимe се креира институционални оквир за убрзану структурну трансформацију домаће привреде. Посебно је значајан напредак остварен добијањем инвестиционог рејтинга, који не само да смањује трошкове задуживања државе, већ и отвара додатни простор за приступ приватног сектора међународним тржиштима капитала. </w:t>
      </w:r>
    </w:p>
    <w:p w14:paraId="38CF75BF" w14:textId="77777777" w:rsidR="001A395C" w:rsidRPr="00F5596D" w:rsidRDefault="001A395C" w:rsidP="001A395C">
      <w:pPr>
        <w:spacing w:after="120"/>
        <w:rPr>
          <w:rFonts w:cstheme="minorHAnsi"/>
          <w:bCs/>
          <w:spacing w:val="-2"/>
          <w:szCs w:val="72"/>
          <w:lang w:val="sr-Cyrl-CS"/>
        </w:rPr>
      </w:pPr>
      <w:r w:rsidRPr="00F5596D">
        <w:rPr>
          <w:rFonts w:cstheme="minorHAnsi"/>
          <w:bCs/>
          <w:spacing w:val="-2"/>
          <w:szCs w:val="72"/>
          <w:lang w:val="sr-Cyrl-CS"/>
        </w:rPr>
        <w:t xml:space="preserve">Јавна улагања у транспортну, енергетску и комуналну инфраструктуру имају вишеструке ефекте, будући да не само да директно доприносе расту БДП, већ стварају и стимулативан амбијент за ширење приватног сектора. Модернизација инфраструктуре омогућава ефикаснију интеграцију домаћих компанија у европске ланце вредности, истовремено унапређујући квалитет живота грађана. Програм „Скок у будућност – EXPO Србија 2027“ представља интегрисани стратешки оквир који обједињује инфраструктуру, иновације и међународну промоцију Србије. Планиране инвестиције обухватају изградњу саобраћајне и енергетске мреже, метро система, културних и спортских објеката, као и образовних и иновационих центара. Инфраструктурне </w:t>
      </w:r>
      <w:r w:rsidRPr="00F5596D">
        <w:rPr>
          <w:rFonts w:cstheme="minorHAnsi"/>
          <w:bCs/>
          <w:spacing w:val="-2"/>
          <w:szCs w:val="72"/>
          <w:lang w:val="sr-Cyrl-CS"/>
        </w:rPr>
        <w:t xml:space="preserve">инвестиције у дигиталне магистрале, образовне хабове и одрживе урбане системе већ данас стварају синергију између државе и приватног сектора, чиме се убрзава конвергенција Србије ка развијеним европским економијама. Наставиће се са модернизацијом и дигитализацијом која ће се огледати у даљем развоју и примени вештачке интелигенције и ширењу система суперкомпјутера, као и ширењу капацитета Државног дата центра. Истовремено, наставља се са активностима које имају за циљ убрзани развој иновационог екосистема кроз проширење постојећих научно-технолошких паркова и изградњу нових, као и унапређење услова за отварање истраживачко-развојних центара познатих светских ИТ и других компанија. Обезбеђивање енергетске безбедности и одрживих извора енергије ће бити примарни циљ енергетске стратегије и процеса декарбонизације. Србија се обавезала на постепено увођење одрживих извора енергије, повећање енергетске ефикасности и смањење емисије угљен-диоксида, што је суштински предуслов за економску и еколошку отпорност у дугом року. Посебан акценат стављен је на унапређење људског капитала кроз програме за запошљавање младих, дуално образовање и подршку рањивим друштвеним групама, чиме се обезбеђује инклузиван развој. Агенда раста, усклађена са стратешким смерницама Европске уније, јасно поставља приоритете развоја, од улагања у енергетику, дигитализацију и развој 5G мреже, преко реформе образовног система, па све до јачања владавине права, чиме се гради стабилна основа за дугорочну отпорност и одрживост економије. </w:t>
      </w:r>
    </w:p>
    <w:p w14:paraId="09E4E852" w14:textId="77777777" w:rsidR="001A395C" w:rsidRPr="00F5596D" w:rsidRDefault="001A395C" w:rsidP="001A395C">
      <w:pPr>
        <w:spacing w:after="120"/>
        <w:rPr>
          <w:rFonts w:cstheme="minorHAnsi"/>
          <w:bCs/>
          <w:spacing w:val="-2"/>
          <w:szCs w:val="72"/>
          <w:lang w:val="sr-Cyrl-CS"/>
        </w:rPr>
      </w:pPr>
      <w:r w:rsidRPr="00F5596D">
        <w:rPr>
          <w:rFonts w:cstheme="minorHAnsi"/>
          <w:bCs/>
          <w:spacing w:val="-2"/>
          <w:szCs w:val="72"/>
          <w:lang w:val="sr-Cyrl-CS"/>
        </w:rPr>
        <w:t>Очекивана средњорочна кретања реалног сектора заснивају се на актуелним економским трендовима и изгледима за Србију и међународно окружење, али су оптерећена израженим степеном неизвесности, имајући у виду нагли пораст глобалних тензија услед недавно уведених мера трговинског протекционизма, укључујући нове тарифе које тренутно спроводе водеће светске економије.</w:t>
      </w:r>
    </w:p>
    <w:p w14:paraId="2DB153A7" w14:textId="77777777" w:rsidR="001A395C" w:rsidRPr="00F5596D" w:rsidRDefault="001A395C" w:rsidP="001A395C">
      <w:pPr>
        <w:spacing w:after="120"/>
        <w:rPr>
          <w:rFonts w:cstheme="minorHAnsi"/>
          <w:bCs/>
          <w:spacing w:val="-2"/>
          <w:szCs w:val="72"/>
          <w:lang w:val="sr-Cyrl-CS"/>
        </w:rPr>
      </w:pPr>
    </w:p>
    <w:p w14:paraId="06E2FA8C" w14:textId="77777777" w:rsidR="001A395C" w:rsidRPr="00F5596D" w:rsidRDefault="001A395C" w:rsidP="001A395C">
      <w:pPr>
        <w:spacing w:after="120"/>
        <w:rPr>
          <w:rFonts w:cstheme="minorHAnsi"/>
          <w:bCs/>
          <w:spacing w:val="-2"/>
          <w:szCs w:val="72"/>
          <w:lang w:val="sr-Cyrl-CS"/>
        </w:rPr>
      </w:pPr>
    </w:p>
    <w:p w14:paraId="4CB28E45" w14:textId="77777777" w:rsidR="001A395C" w:rsidRPr="00F5596D" w:rsidRDefault="001A395C" w:rsidP="001A395C">
      <w:pPr>
        <w:spacing w:after="120"/>
        <w:rPr>
          <w:rFonts w:cstheme="minorHAnsi"/>
          <w:bCs/>
          <w:spacing w:val="-2"/>
          <w:szCs w:val="72"/>
          <w:lang w:val="sr-Cyrl-CS"/>
        </w:rPr>
      </w:pPr>
    </w:p>
    <w:p w14:paraId="7908DCDB" w14:textId="77777777" w:rsidR="001A395C" w:rsidRPr="00F5596D" w:rsidRDefault="001A395C" w:rsidP="001A395C">
      <w:pPr>
        <w:spacing w:after="120"/>
        <w:rPr>
          <w:rFonts w:cstheme="minorHAnsi"/>
          <w:bCs/>
          <w:szCs w:val="72"/>
          <w:lang w:val="sr-Cyrl-CS"/>
        </w:rPr>
        <w:sectPr w:rsidR="001A395C" w:rsidRPr="00F5596D" w:rsidSect="001A395C">
          <w:footerReference w:type="default" r:id="rId82"/>
          <w:headerReference w:type="first" r:id="rId83"/>
          <w:type w:val="continuous"/>
          <w:pgSz w:w="12240" w:h="15840" w:code="1"/>
          <w:pgMar w:top="1440" w:right="1440" w:bottom="1440" w:left="1440" w:header="720" w:footer="720" w:gutter="0"/>
          <w:cols w:num="2" w:space="720"/>
          <w:docGrid w:linePitch="360"/>
        </w:sectPr>
      </w:pPr>
    </w:p>
    <w:tbl>
      <w:tblPr>
        <w:tblStyle w:val="TableGrid"/>
        <w:tblW w:w="4954"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3"/>
        <w:gridCol w:w="923"/>
        <w:gridCol w:w="924"/>
        <w:gridCol w:w="939"/>
        <w:gridCol w:w="939"/>
        <w:gridCol w:w="946"/>
      </w:tblGrid>
      <w:tr w:rsidR="001A395C" w:rsidRPr="00F5596D" w14:paraId="7E413311" w14:textId="77777777" w:rsidTr="001A395C">
        <w:trPr>
          <w:trHeight w:val="349"/>
        </w:trPr>
        <w:tc>
          <w:tcPr>
            <w:tcW w:w="5000" w:type="pct"/>
            <w:gridSpan w:val="6"/>
            <w:tcBorders>
              <w:bottom w:val="single" w:sz="4" w:space="0" w:color="002060"/>
            </w:tcBorders>
            <w:shd w:val="clear" w:color="auto" w:fill="auto"/>
            <w:vAlign w:val="center"/>
          </w:tcPr>
          <w:p w14:paraId="640DBE0F" w14:textId="77777777" w:rsidR="001A395C" w:rsidRPr="00F5596D" w:rsidRDefault="001A395C" w:rsidP="00FA6BD0">
            <w:pPr>
              <w:jc w:val="center"/>
              <w:rPr>
                <w:rFonts w:cstheme="minorHAnsi"/>
                <w:b/>
                <w:color w:val="002060"/>
                <w:sz w:val="16"/>
                <w:lang w:val="sr-Cyrl-CS"/>
              </w:rPr>
            </w:pPr>
            <w:r w:rsidRPr="00F5596D">
              <w:rPr>
                <w:rFonts w:cstheme="minorHAnsi"/>
                <w:b/>
                <w:color w:val="002060"/>
                <w:lang w:val="sr-Cyrl-CS"/>
              </w:rPr>
              <w:lastRenderedPageBreak/>
              <w:t>Табела 4. Пројекција основних макроекономских показатеља Републике Србије</w:t>
            </w:r>
          </w:p>
        </w:tc>
      </w:tr>
      <w:tr w:rsidR="001A395C" w:rsidRPr="00F5596D" w14:paraId="50F9E438" w14:textId="77777777" w:rsidTr="001A395C">
        <w:tc>
          <w:tcPr>
            <w:tcW w:w="2482" w:type="pct"/>
            <w:tcBorders>
              <w:top w:val="single" w:sz="4" w:space="0" w:color="002060"/>
              <w:bottom w:val="single" w:sz="2" w:space="0" w:color="FFFFFF" w:themeColor="background1"/>
            </w:tcBorders>
            <w:shd w:val="clear" w:color="auto" w:fill="auto"/>
          </w:tcPr>
          <w:p w14:paraId="2651096A" w14:textId="77777777" w:rsidR="001A395C" w:rsidRPr="00F5596D" w:rsidRDefault="001A395C" w:rsidP="00C130D2">
            <w:pPr>
              <w:rPr>
                <w:rFonts w:cstheme="minorHAnsi"/>
                <w:color w:val="002060"/>
                <w:sz w:val="18"/>
                <w:lang w:val="sr-Cyrl-CS"/>
              </w:rPr>
            </w:pPr>
          </w:p>
        </w:tc>
        <w:tc>
          <w:tcPr>
            <w:tcW w:w="498" w:type="pct"/>
            <w:tcBorders>
              <w:top w:val="single" w:sz="4" w:space="0" w:color="002060"/>
              <w:bottom w:val="single" w:sz="4" w:space="0" w:color="FFFFFF" w:themeColor="background1"/>
            </w:tcBorders>
            <w:shd w:val="clear" w:color="auto" w:fill="auto"/>
          </w:tcPr>
          <w:p w14:paraId="0DE2F344" w14:textId="77777777" w:rsidR="001A395C" w:rsidRPr="00F5596D" w:rsidRDefault="001A395C" w:rsidP="00C130D2">
            <w:pPr>
              <w:jc w:val="center"/>
              <w:rPr>
                <w:rFonts w:cstheme="minorHAnsi"/>
                <w:color w:val="002060"/>
                <w:sz w:val="18"/>
                <w:lang w:val="sr-Cyrl-CS"/>
              </w:rPr>
            </w:pPr>
            <w:r w:rsidRPr="00F5596D">
              <w:rPr>
                <w:rFonts w:cstheme="minorHAnsi"/>
                <w:color w:val="002060"/>
                <w:sz w:val="18"/>
                <w:lang w:val="sr-Cyrl-CS"/>
              </w:rPr>
              <w:t>Процена</w:t>
            </w:r>
          </w:p>
        </w:tc>
        <w:tc>
          <w:tcPr>
            <w:tcW w:w="498" w:type="pct"/>
            <w:tcBorders>
              <w:top w:val="single" w:sz="4" w:space="0" w:color="002060"/>
              <w:bottom w:val="single" w:sz="2" w:space="0" w:color="FFFFFF" w:themeColor="background1"/>
            </w:tcBorders>
            <w:shd w:val="clear" w:color="auto" w:fill="auto"/>
          </w:tcPr>
          <w:p w14:paraId="569B1D51" w14:textId="77777777" w:rsidR="001A395C" w:rsidRPr="00F5596D" w:rsidRDefault="001A395C" w:rsidP="00C130D2">
            <w:pPr>
              <w:jc w:val="center"/>
              <w:rPr>
                <w:rFonts w:cstheme="minorHAnsi"/>
                <w:color w:val="002060"/>
                <w:sz w:val="18"/>
                <w:lang w:val="sr-Cyrl-CS"/>
              </w:rPr>
            </w:pPr>
          </w:p>
        </w:tc>
        <w:tc>
          <w:tcPr>
            <w:tcW w:w="1523" w:type="pct"/>
            <w:gridSpan w:val="3"/>
            <w:tcBorders>
              <w:top w:val="single" w:sz="4" w:space="0" w:color="002060"/>
              <w:bottom w:val="single" w:sz="4" w:space="0" w:color="FFFFFF" w:themeColor="background1"/>
            </w:tcBorders>
            <w:shd w:val="clear" w:color="auto" w:fill="auto"/>
          </w:tcPr>
          <w:p w14:paraId="17C08D50" w14:textId="77777777" w:rsidR="001A395C" w:rsidRPr="00F5596D" w:rsidRDefault="001A395C" w:rsidP="00C130D2">
            <w:pPr>
              <w:jc w:val="center"/>
              <w:rPr>
                <w:rFonts w:cstheme="minorHAnsi"/>
                <w:color w:val="002060"/>
                <w:sz w:val="18"/>
                <w:lang w:val="sr-Cyrl-CS"/>
              </w:rPr>
            </w:pPr>
            <w:r w:rsidRPr="00F5596D">
              <w:rPr>
                <w:rFonts w:cstheme="minorHAnsi"/>
                <w:color w:val="002060"/>
                <w:sz w:val="18"/>
                <w:lang w:val="sr-Cyrl-CS"/>
              </w:rPr>
              <w:t>Пројекције</w:t>
            </w:r>
          </w:p>
        </w:tc>
      </w:tr>
      <w:tr w:rsidR="001A395C" w:rsidRPr="00F5596D" w14:paraId="2B28F630" w14:textId="77777777" w:rsidTr="001A395C">
        <w:tc>
          <w:tcPr>
            <w:tcW w:w="2482" w:type="pct"/>
            <w:tcBorders>
              <w:top w:val="single" w:sz="2" w:space="0" w:color="FFFFFF" w:themeColor="background1"/>
            </w:tcBorders>
            <w:shd w:val="clear" w:color="auto" w:fill="auto"/>
          </w:tcPr>
          <w:p w14:paraId="1DB50DFD" w14:textId="77777777" w:rsidR="001A395C" w:rsidRPr="00F5596D" w:rsidRDefault="001A395C" w:rsidP="00C130D2">
            <w:pPr>
              <w:ind w:left="-15"/>
              <w:rPr>
                <w:rFonts w:cstheme="minorHAnsi"/>
                <w:color w:val="002060"/>
                <w:sz w:val="18"/>
                <w:szCs w:val="18"/>
                <w:lang w:val="sr-Cyrl-CS"/>
              </w:rPr>
            </w:pPr>
          </w:p>
        </w:tc>
        <w:tc>
          <w:tcPr>
            <w:tcW w:w="498" w:type="pct"/>
            <w:tcBorders>
              <w:top w:val="single" w:sz="4" w:space="0" w:color="FFFFFF" w:themeColor="background1"/>
              <w:bottom w:val="single" w:sz="4" w:space="0" w:color="auto"/>
            </w:tcBorders>
            <w:shd w:val="clear" w:color="auto" w:fill="auto"/>
          </w:tcPr>
          <w:p w14:paraId="45E66DFD" w14:textId="77777777" w:rsidR="001A395C" w:rsidRPr="00F5596D" w:rsidRDefault="001A395C" w:rsidP="00C130D2">
            <w:pPr>
              <w:jc w:val="center"/>
              <w:rPr>
                <w:rFonts w:cstheme="minorHAnsi"/>
                <w:color w:val="002060"/>
                <w:sz w:val="18"/>
                <w:szCs w:val="18"/>
                <w:lang w:val="sr-Cyrl-CS"/>
              </w:rPr>
            </w:pPr>
            <w:r w:rsidRPr="00F5596D">
              <w:rPr>
                <w:rFonts w:cstheme="minorHAnsi"/>
                <w:color w:val="002060"/>
                <w:sz w:val="18"/>
                <w:lang w:val="sr-Cyrl-CS"/>
              </w:rPr>
              <w:t>2025</w:t>
            </w:r>
          </w:p>
        </w:tc>
        <w:tc>
          <w:tcPr>
            <w:tcW w:w="498" w:type="pct"/>
            <w:tcBorders>
              <w:top w:val="single" w:sz="2" w:space="0" w:color="FFFFFF" w:themeColor="background1"/>
            </w:tcBorders>
            <w:shd w:val="clear" w:color="auto" w:fill="auto"/>
          </w:tcPr>
          <w:p w14:paraId="34165CE6" w14:textId="77777777" w:rsidR="001A395C" w:rsidRPr="00F5596D" w:rsidRDefault="001A395C" w:rsidP="00C130D2">
            <w:pPr>
              <w:jc w:val="center"/>
              <w:rPr>
                <w:rFonts w:cstheme="minorHAnsi"/>
                <w:color w:val="002060"/>
                <w:sz w:val="18"/>
                <w:szCs w:val="18"/>
                <w:lang w:val="sr-Cyrl-CS"/>
              </w:rPr>
            </w:pPr>
          </w:p>
        </w:tc>
        <w:tc>
          <w:tcPr>
            <w:tcW w:w="506" w:type="pct"/>
            <w:tcBorders>
              <w:top w:val="single" w:sz="4" w:space="0" w:color="FFFFFF" w:themeColor="background1"/>
              <w:bottom w:val="single" w:sz="4" w:space="0" w:color="auto"/>
            </w:tcBorders>
            <w:shd w:val="clear" w:color="auto" w:fill="auto"/>
          </w:tcPr>
          <w:p w14:paraId="58F6C329" w14:textId="77777777" w:rsidR="001A395C" w:rsidRPr="00F5596D" w:rsidRDefault="001A395C" w:rsidP="00C130D2">
            <w:pPr>
              <w:jc w:val="center"/>
              <w:rPr>
                <w:rFonts w:cstheme="minorHAnsi"/>
                <w:color w:val="002060"/>
                <w:sz w:val="18"/>
                <w:szCs w:val="18"/>
                <w:lang w:val="sr-Cyrl-CS"/>
              </w:rPr>
            </w:pPr>
            <w:r w:rsidRPr="00F5596D">
              <w:rPr>
                <w:rFonts w:cstheme="minorHAnsi"/>
                <w:color w:val="002060"/>
                <w:sz w:val="18"/>
                <w:lang w:val="sr-Cyrl-CS"/>
              </w:rPr>
              <w:t>2026</w:t>
            </w:r>
          </w:p>
        </w:tc>
        <w:tc>
          <w:tcPr>
            <w:tcW w:w="506" w:type="pct"/>
            <w:tcBorders>
              <w:top w:val="single" w:sz="4" w:space="0" w:color="FFFFFF" w:themeColor="background1"/>
              <w:bottom w:val="single" w:sz="4" w:space="0" w:color="auto"/>
            </w:tcBorders>
            <w:shd w:val="clear" w:color="auto" w:fill="auto"/>
          </w:tcPr>
          <w:p w14:paraId="0DA9F369" w14:textId="77777777" w:rsidR="001A395C" w:rsidRPr="00F5596D" w:rsidRDefault="001A395C" w:rsidP="00C130D2">
            <w:pPr>
              <w:jc w:val="center"/>
              <w:rPr>
                <w:rFonts w:cstheme="minorHAnsi"/>
                <w:color w:val="002060"/>
                <w:sz w:val="18"/>
                <w:szCs w:val="18"/>
                <w:lang w:val="sr-Cyrl-CS"/>
              </w:rPr>
            </w:pPr>
            <w:r w:rsidRPr="00F5596D">
              <w:rPr>
                <w:rFonts w:cstheme="minorHAnsi"/>
                <w:color w:val="002060"/>
                <w:sz w:val="18"/>
                <w:lang w:val="sr-Cyrl-CS"/>
              </w:rPr>
              <w:t>2027</w:t>
            </w:r>
          </w:p>
        </w:tc>
        <w:tc>
          <w:tcPr>
            <w:tcW w:w="510" w:type="pct"/>
            <w:tcBorders>
              <w:top w:val="single" w:sz="4" w:space="0" w:color="FFFFFF" w:themeColor="background1"/>
              <w:bottom w:val="single" w:sz="4" w:space="0" w:color="auto"/>
            </w:tcBorders>
            <w:shd w:val="clear" w:color="auto" w:fill="auto"/>
          </w:tcPr>
          <w:p w14:paraId="4BEBABC1" w14:textId="77777777" w:rsidR="001A395C" w:rsidRPr="00F5596D" w:rsidRDefault="001A395C" w:rsidP="00C130D2">
            <w:pPr>
              <w:jc w:val="center"/>
              <w:rPr>
                <w:rFonts w:cstheme="minorHAnsi"/>
                <w:color w:val="002060"/>
                <w:sz w:val="18"/>
                <w:szCs w:val="18"/>
                <w:lang w:val="sr-Cyrl-CS"/>
              </w:rPr>
            </w:pPr>
            <w:r w:rsidRPr="00F5596D">
              <w:rPr>
                <w:rFonts w:cstheme="minorHAnsi"/>
                <w:color w:val="002060"/>
                <w:sz w:val="18"/>
                <w:lang w:val="sr-Cyrl-CS"/>
              </w:rPr>
              <w:t>2028</w:t>
            </w:r>
          </w:p>
        </w:tc>
      </w:tr>
      <w:tr w:rsidR="001A395C" w:rsidRPr="00F5596D" w14:paraId="01079DD0" w14:textId="77777777" w:rsidTr="001A395C">
        <w:tc>
          <w:tcPr>
            <w:tcW w:w="2482" w:type="pct"/>
            <w:tcBorders>
              <w:top w:val="single" w:sz="2" w:space="0" w:color="FFFFFF" w:themeColor="background1"/>
            </w:tcBorders>
            <w:shd w:val="clear" w:color="auto" w:fill="auto"/>
          </w:tcPr>
          <w:p w14:paraId="5D795891" w14:textId="77777777" w:rsidR="001A395C" w:rsidRPr="00F5596D" w:rsidRDefault="001A395C" w:rsidP="001A395C">
            <w:pPr>
              <w:ind w:left="-15"/>
              <w:rPr>
                <w:rFonts w:cstheme="minorHAnsi"/>
                <w:color w:val="002060"/>
                <w:sz w:val="18"/>
                <w:szCs w:val="18"/>
                <w:lang w:val="sr-Cyrl-CS"/>
              </w:rPr>
            </w:pPr>
            <w:r w:rsidRPr="00F5596D">
              <w:rPr>
                <w:rFonts w:cstheme="minorHAnsi"/>
                <w:color w:val="002060"/>
                <w:sz w:val="18"/>
                <w:szCs w:val="18"/>
                <w:lang w:val="sr-Cyrl-CS"/>
              </w:rPr>
              <w:t>БДП, млрд динара (текуће цене)</w:t>
            </w:r>
          </w:p>
        </w:tc>
        <w:tc>
          <w:tcPr>
            <w:tcW w:w="498" w:type="pct"/>
            <w:tcBorders>
              <w:top w:val="single" w:sz="4" w:space="0" w:color="auto"/>
            </w:tcBorders>
            <w:shd w:val="clear" w:color="auto" w:fill="auto"/>
          </w:tcPr>
          <w:p w14:paraId="1347974F" w14:textId="7B6454C1" w:rsidR="001A395C" w:rsidRPr="00F5596D" w:rsidRDefault="0081295E" w:rsidP="001A395C">
            <w:pPr>
              <w:jc w:val="center"/>
              <w:rPr>
                <w:rFonts w:cstheme="minorHAnsi"/>
                <w:color w:val="002060"/>
                <w:sz w:val="18"/>
                <w:szCs w:val="18"/>
                <w:lang w:val="sr-Cyrl-CS"/>
              </w:rPr>
            </w:pPr>
            <w:r w:rsidRPr="00F5596D">
              <w:rPr>
                <w:rFonts w:cstheme="minorHAnsi"/>
                <w:color w:val="002060"/>
                <w:sz w:val="18"/>
                <w:szCs w:val="18"/>
                <w:lang w:val="sr-Cyrl-CS"/>
              </w:rPr>
              <w:t>10.329,2</w:t>
            </w:r>
          </w:p>
        </w:tc>
        <w:tc>
          <w:tcPr>
            <w:tcW w:w="498" w:type="pct"/>
            <w:tcBorders>
              <w:top w:val="single" w:sz="2" w:space="0" w:color="FFFFFF" w:themeColor="background1"/>
            </w:tcBorders>
            <w:shd w:val="clear" w:color="auto" w:fill="auto"/>
          </w:tcPr>
          <w:p w14:paraId="3C846301"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center"/>
          </w:tcPr>
          <w:p w14:paraId="3DD6E4C5" w14:textId="6D85738C" w:rsidR="001A395C" w:rsidRPr="00F5596D" w:rsidRDefault="0081295E" w:rsidP="001A395C">
            <w:pPr>
              <w:jc w:val="center"/>
              <w:rPr>
                <w:rFonts w:cstheme="minorHAnsi"/>
                <w:color w:val="002060"/>
                <w:sz w:val="18"/>
                <w:szCs w:val="18"/>
                <w:lang w:val="sr-Cyrl-CS"/>
              </w:rPr>
            </w:pPr>
            <w:r w:rsidRPr="00F5596D">
              <w:rPr>
                <w:rFonts w:cstheme="minorHAnsi"/>
                <w:color w:val="002060"/>
                <w:sz w:val="18"/>
                <w:szCs w:val="18"/>
                <w:lang w:val="sr-Cyrl-CS"/>
              </w:rPr>
              <w:t>11.096,4</w:t>
            </w:r>
          </w:p>
        </w:tc>
        <w:tc>
          <w:tcPr>
            <w:tcW w:w="506" w:type="pct"/>
            <w:tcBorders>
              <w:top w:val="nil"/>
              <w:left w:val="nil"/>
              <w:bottom w:val="nil"/>
              <w:right w:val="nil"/>
            </w:tcBorders>
            <w:shd w:val="clear" w:color="auto" w:fill="auto"/>
            <w:vAlign w:val="center"/>
          </w:tcPr>
          <w:p w14:paraId="78133760" w14:textId="0B1AF4CD" w:rsidR="001A395C" w:rsidRPr="00F5596D" w:rsidRDefault="0081295E" w:rsidP="001A395C">
            <w:pPr>
              <w:jc w:val="center"/>
              <w:rPr>
                <w:rFonts w:cstheme="minorHAnsi"/>
                <w:color w:val="002060"/>
                <w:sz w:val="18"/>
                <w:szCs w:val="18"/>
                <w:lang w:val="sr-Cyrl-CS"/>
              </w:rPr>
            </w:pPr>
            <w:r w:rsidRPr="00F5596D">
              <w:rPr>
                <w:rFonts w:cstheme="minorHAnsi"/>
                <w:color w:val="002060"/>
                <w:sz w:val="18"/>
                <w:szCs w:val="18"/>
                <w:lang w:val="sr-Cyrl-CS"/>
              </w:rPr>
              <w:t>11.995,1</w:t>
            </w:r>
          </w:p>
        </w:tc>
        <w:tc>
          <w:tcPr>
            <w:tcW w:w="510" w:type="pct"/>
            <w:tcBorders>
              <w:top w:val="nil"/>
              <w:left w:val="nil"/>
              <w:bottom w:val="nil"/>
              <w:right w:val="nil"/>
            </w:tcBorders>
            <w:shd w:val="clear" w:color="auto" w:fill="auto"/>
            <w:vAlign w:val="center"/>
          </w:tcPr>
          <w:p w14:paraId="1440479A" w14:textId="3B9B83CC" w:rsidR="001A395C" w:rsidRPr="00F5596D" w:rsidRDefault="0081295E" w:rsidP="001A395C">
            <w:pPr>
              <w:jc w:val="center"/>
              <w:rPr>
                <w:rFonts w:cstheme="minorHAnsi"/>
                <w:color w:val="002060"/>
                <w:sz w:val="18"/>
                <w:szCs w:val="18"/>
                <w:lang w:val="sr-Cyrl-CS"/>
              </w:rPr>
            </w:pPr>
            <w:r w:rsidRPr="00F5596D">
              <w:rPr>
                <w:rFonts w:cstheme="minorHAnsi"/>
                <w:color w:val="002060"/>
                <w:sz w:val="18"/>
                <w:szCs w:val="18"/>
                <w:lang w:val="sr-Cyrl-CS"/>
              </w:rPr>
              <w:t>12.761,6</w:t>
            </w:r>
          </w:p>
        </w:tc>
      </w:tr>
      <w:tr w:rsidR="001A395C" w:rsidRPr="00F5596D" w14:paraId="77E7F28D" w14:textId="77777777" w:rsidTr="001A395C">
        <w:tc>
          <w:tcPr>
            <w:tcW w:w="2482" w:type="pct"/>
            <w:shd w:val="clear" w:color="auto" w:fill="auto"/>
          </w:tcPr>
          <w:p w14:paraId="1C3DF740" w14:textId="77777777" w:rsidR="001A395C" w:rsidRPr="00F5596D" w:rsidRDefault="001A395C" w:rsidP="001A395C">
            <w:pPr>
              <w:ind w:left="-15"/>
              <w:rPr>
                <w:rFonts w:cstheme="minorHAnsi"/>
                <w:color w:val="002060"/>
                <w:sz w:val="18"/>
                <w:szCs w:val="18"/>
                <w:lang w:val="sr-Cyrl-CS"/>
              </w:rPr>
            </w:pPr>
            <w:r w:rsidRPr="00F5596D">
              <w:rPr>
                <w:rFonts w:cstheme="minorHAnsi"/>
                <w:color w:val="002060"/>
                <w:sz w:val="18"/>
                <w:szCs w:val="18"/>
                <w:lang w:val="sr-Cyrl-CS"/>
              </w:rPr>
              <w:t>Реални раст БДП, %</w:t>
            </w:r>
          </w:p>
        </w:tc>
        <w:tc>
          <w:tcPr>
            <w:tcW w:w="498" w:type="pct"/>
            <w:shd w:val="clear" w:color="auto" w:fill="auto"/>
          </w:tcPr>
          <w:p w14:paraId="10431F0E"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3,0</w:t>
            </w:r>
          </w:p>
        </w:tc>
        <w:tc>
          <w:tcPr>
            <w:tcW w:w="498" w:type="pct"/>
            <w:shd w:val="clear" w:color="auto" w:fill="auto"/>
          </w:tcPr>
          <w:p w14:paraId="7A0B2207" w14:textId="77777777" w:rsidR="001A395C" w:rsidRPr="00F5596D" w:rsidRDefault="001A395C" w:rsidP="001A395C">
            <w:pPr>
              <w:jc w:val="center"/>
              <w:rPr>
                <w:rFonts w:cstheme="minorHAnsi"/>
                <w:color w:val="002060"/>
                <w:sz w:val="18"/>
                <w:szCs w:val="18"/>
                <w:lang w:val="sr-Cyrl-CS"/>
              </w:rPr>
            </w:pPr>
          </w:p>
        </w:tc>
        <w:tc>
          <w:tcPr>
            <w:tcW w:w="506" w:type="pct"/>
            <w:shd w:val="clear" w:color="auto" w:fill="auto"/>
            <w:vAlign w:val="center"/>
          </w:tcPr>
          <w:p w14:paraId="1825691C"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4,2</w:t>
            </w:r>
          </w:p>
        </w:tc>
        <w:tc>
          <w:tcPr>
            <w:tcW w:w="506" w:type="pct"/>
            <w:shd w:val="clear" w:color="auto" w:fill="auto"/>
            <w:vAlign w:val="center"/>
          </w:tcPr>
          <w:p w14:paraId="6E3E0B18"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5,0</w:t>
            </w:r>
          </w:p>
        </w:tc>
        <w:tc>
          <w:tcPr>
            <w:tcW w:w="510" w:type="pct"/>
            <w:shd w:val="clear" w:color="auto" w:fill="auto"/>
            <w:vAlign w:val="center"/>
          </w:tcPr>
          <w:p w14:paraId="5D3C9333"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3,5</w:t>
            </w:r>
          </w:p>
        </w:tc>
      </w:tr>
      <w:tr w:rsidR="001A395C" w:rsidRPr="00F5596D" w14:paraId="2EEA08CE" w14:textId="77777777" w:rsidTr="001A395C">
        <w:tc>
          <w:tcPr>
            <w:tcW w:w="2482" w:type="pct"/>
            <w:shd w:val="clear" w:color="auto" w:fill="auto"/>
          </w:tcPr>
          <w:p w14:paraId="18510210" w14:textId="77777777" w:rsidR="001A395C" w:rsidRPr="00F5596D" w:rsidRDefault="001A395C" w:rsidP="001A395C">
            <w:pPr>
              <w:ind w:left="-15"/>
              <w:rPr>
                <w:rFonts w:cstheme="minorHAnsi"/>
                <w:color w:val="002060"/>
                <w:sz w:val="18"/>
                <w:szCs w:val="18"/>
                <w:lang w:val="sr-Cyrl-CS"/>
              </w:rPr>
            </w:pPr>
            <w:r w:rsidRPr="00F5596D">
              <w:rPr>
                <w:rFonts w:cstheme="minorHAnsi"/>
                <w:color w:val="002060"/>
                <w:sz w:val="18"/>
                <w:szCs w:val="18"/>
                <w:lang w:val="sr-Cyrl-CS"/>
              </w:rPr>
              <w:t>Дефлатор БДП, %</w:t>
            </w:r>
          </w:p>
        </w:tc>
        <w:tc>
          <w:tcPr>
            <w:tcW w:w="498" w:type="pct"/>
            <w:shd w:val="clear" w:color="auto" w:fill="auto"/>
          </w:tcPr>
          <w:p w14:paraId="76C8D695"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4,1</w:t>
            </w:r>
          </w:p>
        </w:tc>
        <w:tc>
          <w:tcPr>
            <w:tcW w:w="498" w:type="pct"/>
            <w:shd w:val="clear" w:color="auto" w:fill="auto"/>
          </w:tcPr>
          <w:p w14:paraId="11DD09DE"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67D04750"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3,1</w:t>
            </w:r>
          </w:p>
        </w:tc>
        <w:tc>
          <w:tcPr>
            <w:tcW w:w="506" w:type="pct"/>
            <w:tcBorders>
              <w:top w:val="nil"/>
              <w:left w:val="nil"/>
              <w:bottom w:val="nil"/>
              <w:right w:val="nil"/>
            </w:tcBorders>
            <w:shd w:val="clear" w:color="auto" w:fill="auto"/>
            <w:vAlign w:val="bottom"/>
          </w:tcPr>
          <w:p w14:paraId="3C4CB4B6"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3,0</w:t>
            </w:r>
          </w:p>
        </w:tc>
        <w:tc>
          <w:tcPr>
            <w:tcW w:w="510" w:type="pct"/>
            <w:tcBorders>
              <w:top w:val="nil"/>
              <w:left w:val="nil"/>
              <w:bottom w:val="nil"/>
              <w:right w:val="nil"/>
            </w:tcBorders>
            <w:shd w:val="clear" w:color="auto" w:fill="auto"/>
            <w:vAlign w:val="bottom"/>
          </w:tcPr>
          <w:p w14:paraId="65BD6C21"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2,8</w:t>
            </w:r>
          </w:p>
        </w:tc>
      </w:tr>
      <w:tr w:rsidR="001A395C" w:rsidRPr="00F5596D" w14:paraId="195905F3" w14:textId="77777777" w:rsidTr="001A395C">
        <w:tc>
          <w:tcPr>
            <w:tcW w:w="2482" w:type="pct"/>
            <w:shd w:val="clear" w:color="auto" w:fill="E7E6E6" w:themeFill="background2"/>
          </w:tcPr>
          <w:p w14:paraId="63608001" w14:textId="77777777" w:rsidR="001A395C" w:rsidRPr="00F5596D" w:rsidRDefault="001A395C" w:rsidP="001A395C">
            <w:pPr>
              <w:jc w:val="center"/>
              <w:rPr>
                <w:rFonts w:cstheme="minorHAnsi"/>
                <w:color w:val="002060"/>
                <w:sz w:val="18"/>
                <w:szCs w:val="18"/>
                <w:lang w:val="sr-Cyrl-CS"/>
              </w:rPr>
            </w:pPr>
          </w:p>
        </w:tc>
        <w:tc>
          <w:tcPr>
            <w:tcW w:w="498" w:type="pct"/>
            <w:shd w:val="clear" w:color="auto" w:fill="E7E6E6" w:themeFill="background2"/>
          </w:tcPr>
          <w:p w14:paraId="081B96E9" w14:textId="77777777" w:rsidR="001A395C" w:rsidRPr="00F5596D" w:rsidRDefault="001A395C" w:rsidP="001A395C">
            <w:pPr>
              <w:jc w:val="center"/>
              <w:rPr>
                <w:rFonts w:cstheme="minorHAnsi"/>
                <w:color w:val="002060"/>
                <w:sz w:val="18"/>
                <w:szCs w:val="18"/>
                <w:lang w:val="sr-Cyrl-CS"/>
              </w:rPr>
            </w:pPr>
          </w:p>
        </w:tc>
        <w:tc>
          <w:tcPr>
            <w:tcW w:w="498" w:type="pct"/>
            <w:shd w:val="clear" w:color="auto" w:fill="E7E6E6" w:themeFill="background2"/>
          </w:tcPr>
          <w:p w14:paraId="25791561" w14:textId="77777777" w:rsidR="001A395C" w:rsidRPr="00F5596D" w:rsidRDefault="001A395C" w:rsidP="001A395C">
            <w:pPr>
              <w:jc w:val="center"/>
              <w:rPr>
                <w:rFonts w:cstheme="minorHAnsi"/>
                <w:color w:val="002060"/>
                <w:sz w:val="18"/>
                <w:szCs w:val="18"/>
                <w:lang w:val="sr-Cyrl-CS"/>
              </w:rPr>
            </w:pPr>
          </w:p>
        </w:tc>
        <w:tc>
          <w:tcPr>
            <w:tcW w:w="506" w:type="pct"/>
            <w:shd w:val="clear" w:color="auto" w:fill="E7E6E6" w:themeFill="background2"/>
          </w:tcPr>
          <w:p w14:paraId="3135EE93" w14:textId="77777777" w:rsidR="001A395C" w:rsidRPr="00F5596D" w:rsidRDefault="001A395C" w:rsidP="001A395C">
            <w:pPr>
              <w:jc w:val="center"/>
              <w:rPr>
                <w:rFonts w:cstheme="minorHAnsi"/>
                <w:color w:val="002060"/>
                <w:sz w:val="18"/>
                <w:szCs w:val="18"/>
                <w:lang w:val="sr-Cyrl-CS"/>
              </w:rPr>
            </w:pPr>
          </w:p>
        </w:tc>
        <w:tc>
          <w:tcPr>
            <w:tcW w:w="506" w:type="pct"/>
            <w:shd w:val="clear" w:color="auto" w:fill="E7E6E6" w:themeFill="background2"/>
          </w:tcPr>
          <w:p w14:paraId="7D0E4A0D" w14:textId="77777777" w:rsidR="001A395C" w:rsidRPr="00F5596D" w:rsidRDefault="001A395C" w:rsidP="001A395C">
            <w:pPr>
              <w:jc w:val="center"/>
              <w:rPr>
                <w:rFonts w:cstheme="minorHAnsi"/>
                <w:color w:val="002060"/>
                <w:sz w:val="18"/>
                <w:szCs w:val="18"/>
                <w:lang w:val="sr-Cyrl-CS"/>
              </w:rPr>
            </w:pPr>
          </w:p>
        </w:tc>
        <w:tc>
          <w:tcPr>
            <w:tcW w:w="510" w:type="pct"/>
            <w:shd w:val="clear" w:color="auto" w:fill="E7E6E6" w:themeFill="background2"/>
          </w:tcPr>
          <w:p w14:paraId="283BCDF5" w14:textId="77777777" w:rsidR="001A395C" w:rsidRPr="00F5596D" w:rsidRDefault="001A395C" w:rsidP="001A395C">
            <w:pPr>
              <w:jc w:val="center"/>
              <w:rPr>
                <w:rFonts w:cstheme="minorHAnsi"/>
                <w:color w:val="002060"/>
                <w:sz w:val="18"/>
                <w:szCs w:val="18"/>
                <w:lang w:val="sr-Cyrl-CS"/>
              </w:rPr>
            </w:pPr>
          </w:p>
        </w:tc>
      </w:tr>
      <w:tr w:rsidR="001A395C" w:rsidRPr="00F5596D" w14:paraId="1B5EEE04" w14:textId="77777777" w:rsidTr="001A395C">
        <w:tc>
          <w:tcPr>
            <w:tcW w:w="2482" w:type="pct"/>
            <w:shd w:val="clear" w:color="auto" w:fill="auto"/>
          </w:tcPr>
          <w:p w14:paraId="0745FBDF" w14:textId="77777777" w:rsidR="001A395C" w:rsidRPr="00F5596D" w:rsidRDefault="001A395C" w:rsidP="001A395C">
            <w:pPr>
              <w:ind w:left="256"/>
              <w:rPr>
                <w:rFonts w:cstheme="minorHAnsi"/>
                <w:color w:val="002060"/>
                <w:sz w:val="18"/>
                <w:szCs w:val="18"/>
                <w:lang w:val="sr-Cyrl-CS"/>
              </w:rPr>
            </w:pPr>
            <w:r w:rsidRPr="00F5596D">
              <w:rPr>
                <w:rFonts w:cstheme="minorHAnsi"/>
                <w:color w:val="002060"/>
                <w:sz w:val="18"/>
                <w:szCs w:val="18"/>
                <w:lang w:val="sr-Cyrl-CS"/>
              </w:rPr>
              <w:t>Лична потрошња</w:t>
            </w:r>
          </w:p>
        </w:tc>
        <w:tc>
          <w:tcPr>
            <w:tcW w:w="498" w:type="pct"/>
            <w:shd w:val="clear" w:color="auto" w:fill="auto"/>
          </w:tcPr>
          <w:p w14:paraId="22DC3D28"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3,1</w:t>
            </w:r>
          </w:p>
        </w:tc>
        <w:tc>
          <w:tcPr>
            <w:tcW w:w="498" w:type="pct"/>
            <w:shd w:val="clear" w:color="auto" w:fill="auto"/>
          </w:tcPr>
          <w:p w14:paraId="7622E246"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334F80DB"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3,9</w:t>
            </w:r>
          </w:p>
        </w:tc>
        <w:tc>
          <w:tcPr>
            <w:tcW w:w="506" w:type="pct"/>
            <w:tcBorders>
              <w:top w:val="nil"/>
              <w:left w:val="nil"/>
              <w:bottom w:val="nil"/>
              <w:right w:val="nil"/>
            </w:tcBorders>
            <w:shd w:val="clear" w:color="auto" w:fill="auto"/>
            <w:vAlign w:val="bottom"/>
          </w:tcPr>
          <w:p w14:paraId="0C0F1AEB"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3,4</w:t>
            </w:r>
          </w:p>
        </w:tc>
        <w:tc>
          <w:tcPr>
            <w:tcW w:w="510" w:type="pct"/>
            <w:tcBorders>
              <w:top w:val="nil"/>
              <w:left w:val="nil"/>
              <w:bottom w:val="nil"/>
              <w:right w:val="nil"/>
            </w:tcBorders>
            <w:shd w:val="clear" w:color="auto" w:fill="auto"/>
            <w:vAlign w:val="bottom"/>
          </w:tcPr>
          <w:p w14:paraId="3A88562E"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3,4</w:t>
            </w:r>
          </w:p>
        </w:tc>
      </w:tr>
      <w:tr w:rsidR="001A395C" w:rsidRPr="00F5596D" w14:paraId="62495CE3" w14:textId="77777777" w:rsidTr="001A395C">
        <w:tc>
          <w:tcPr>
            <w:tcW w:w="2482" w:type="pct"/>
            <w:shd w:val="clear" w:color="auto" w:fill="auto"/>
          </w:tcPr>
          <w:p w14:paraId="23DDD7FC" w14:textId="77777777" w:rsidR="001A395C" w:rsidRPr="00F5596D" w:rsidRDefault="001A395C" w:rsidP="001A395C">
            <w:pPr>
              <w:ind w:left="256"/>
              <w:rPr>
                <w:rFonts w:cstheme="minorHAnsi"/>
                <w:color w:val="002060"/>
                <w:sz w:val="18"/>
                <w:szCs w:val="18"/>
                <w:lang w:val="sr-Cyrl-CS"/>
              </w:rPr>
            </w:pPr>
            <w:r w:rsidRPr="00F5596D">
              <w:rPr>
                <w:rFonts w:cstheme="minorHAnsi"/>
                <w:color w:val="002060"/>
                <w:sz w:val="18"/>
                <w:szCs w:val="18"/>
                <w:lang w:val="sr-Cyrl-CS"/>
              </w:rPr>
              <w:t>Државна потрошња</w:t>
            </w:r>
          </w:p>
        </w:tc>
        <w:tc>
          <w:tcPr>
            <w:tcW w:w="498" w:type="pct"/>
            <w:shd w:val="clear" w:color="auto" w:fill="auto"/>
          </w:tcPr>
          <w:p w14:paraId="10B3B1CC"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3,7</w:t>
            </w:r>
          </w:p>
        </w:tc>
        <w:tc>
          <w:tcPr>
            <w:tcW w:w="498" w:type="pct"/>
            <w:shd w:val="clear" w:color="auto" w:fill="auto"/>
          </w:tcPr>
          <w:p w14:paraId="58B88B04"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3ABA033A"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3,3</w:t>
            </w:r>
          </w:p>
        </w:tc>
        <w:tc>
          <w:tcPr>
            <w:tcW w:w="506" w:type="pct"/>
            <w:tcBorders>
              <w:top w:val="nil"/>
              <w:left w:val="nil"/>
              <w:bottom w:val="nil"/>
              <w:right w:val="nil"/>
            </w:tcBorders>
            <w:shd w:val="clear" w:color="auto" w:fill="auto"/>
            <w:vAlign w:val="bottom"/>
          </w:tcPr>
          <w:p w14:paraId="0D1A9BB2"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2,1</w:t>
            </w:r>
          </w:p>
        </w:tc>
        <w:tc>
          <w:tcPr>
            <w:tcW w:w="510" w:type="pct"/>
            <w:tcBorders>
              <w:top w:val="nil"/>
              <w:left w:val="nil"/>
              <w:bottom w:val="nil"/>
              <w:right w:val="nil"/>
            </w:tcBorders>
            <w:shd w:val="clear" w:color="auto" w:fill="auto"/>
            <w:vAlign w:val="bottom"/>
          </w:tcPr>
          <w:p w14:paraId="50D3A40D"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2,4</w:t>
            </w:r>
          </w:p>
        </w:tc>
      </w:tr>
      <w:tr w:rsidR="001A395C" w:rsidRPr="00F5596D" w14:paraId="0C137FEF" w14:textId="77777777" w:rsidTr="001A395C">
        <w:tc>
          <w:tcPr>
            <w:tcW w:w="2482" w:type="pct"/>
            <w:shd w:val="clear" w:color="auto" w:fill="auto"/>
          </w:tcPr>
          <w:p w14:paraId="337D6C53" w14:textId="77777777" w:rsidR="001A395C" w:rsidRPr="00F5596D" w:rsidRDefault="001A395C" w:rsidP="001A395C">
            <w:pPr>
              <w:ind w:left="256"/>
              <w:rPr>
                <w:rFonts w:cstheme="minorHAnsi"/>
                <w:color w:val="002060"/>
                <w:sz w:val="18"/>
                <w:szCs w:val="18"/>
                <w:lang w:val="sr-Cyrl-CS"/>
              </w:rPr>
            </w:pPr>
            <w:r w:rsidRPr="00F5596D">
              <w:rPr>
                <w:rFonts w:cstheme="minorHAnsi"/>
                <w:color w:val="002060"/>
                <w:sz w:val="18"/>
                <w:szCs w:val="18"/>
                <w:lang w:val="sr-Cyrl-CS"/>
              </w:rPr>
              <w:t>Бруто инвестиције у основна средства</w:t>
            </w:r>
          </w:p>
        </w:tc>
        <w:tc>
          <w:tcPr>
            <w:tcW w:w="498" w:type="pct"/>
            <w:shd w:val="clear" w:color="auto" w:fill="auto"/>
          </w:tcPr>
          <w:p w14:paraId="6DB1694B"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4,2</w:t>
            </w:r>
          </w:p>
        </w:tc>
        <w:tc>
          <w:tcPr>
            <w:tcW w:w="498" w:type="pct"/>
            <w:shd w:val="clear" w:color="auto" w:fill="auto"/>
          </w:tcPr>
          <w:p w14:paraId="4A21447A"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794CDB40"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8,8</w:t>
            </w:r>
          </w:p>
        </w:tc>
        <w:tc>
          <w:tcPr>
            <w:tcW w:w="506" w:type="pct"/>
            <w:tcBorders>
              <w:top w:val="nil"/>
              <w:left w:val="nil"/>
              <w:bottom w:val="nil"/>
              <w:right w:val="nil"/>
            </w:tcBorders>
            <w:shd w:val="clear" w:color="auto" w:fill="auto"/>
            <w:vAlign w:val="bottom"/>
          </w:tcPr>
          <w:p w14:paraId="14842BC6"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6,4</w:t>
            </w:r>
          </w:p>
        </w:tc>
        <w:tc>
          <w:tcPr>
            <w:tcW w:w="510" w:type="pct"/>
            <w:tcBorders>
              <w:top w:val="nil"/>
              <w:left w:val="nil"/>
              <w:bottom w:val="nil"/>
              <w:right w:val="nil"/>
            </w:tcBorders>
            <w:shd w:val="clear" w:color="auto" w:fill="auto"/>
            <w:vAlign w:val="bottom"/>
          </w:tcPr>
          <w:p w14:paraId="2D9018C8"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4,5</w:t>
            </w:r>
          </w:p>
        </w:tc>
      </w:tr>
      <w:tr w:rsidR="001A395C" w:rsidRPr="00F5596D" w14:paraId="1E257CAB" w14:textId="77777777" w:rsidTr="001A395C">
        <w:tc>
          <w:tcPr>
            <w:tcW w:w="2482" w:type="pct"/>
            <w:shd w:val="clear" w:color="auto" w:fill="auto"/>
          </w:tcPr>
          <w:p w14:paraId="631FAE0B" w14:textId="77777777" w:rsidR="001A395C" w:rsidRPr="00F5596D" w:rsidRDefault="001A395C" w:rsidP="001A395C">
            <w:pPr>
              <w:ind w:left="256"/>
              <w:rPr>
                <w:rFonts w:cstheme="minorHAnsi"/>
                <w:color w:val="002060"/>
                <w:sz w:val="18"/>
                <w:szCs w:val="18"/>
                <w:lang w:val="sr-Cyrl-CS"/>
              </w:rPr>
            </w:pPr>
            <w:r w:rsidRPr="00F5596D">
              <w:rPr>
                <w:rFonts w:cstheme="minorHAnsi"/>
                <w:color w:val="002060"/>
                <w:sz w:val="18"/>
                <w:szCs w:val="18"/>
                <w:lang w:val="sr-Cyrl-CS"/>
              </w:rPr>
              <w:t>Извоз робе и услуга</w:t>
            </w:r>
          </w:p>
        </w:tc>
        <w:tc>
          <w:tcPr>
            <w:tcW w:w="498" w:type="pct"/>
            <w:shd w:val="clear" w:color="auto" w:fill="auto"/>
          </w:tcPr>
          <w:p w14:paraId="5164BB01"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4,5</w:t>
            </w:r>
          </w:p>
        </w:tc>
        <w:tc>
          <w:tcPr>
            <w:tcW w:w="498" w:type="pct"/>
            <w:shd w:val="clear" w:color="auto" w:fill="auto"/>
          </w:tcPr>
          <w:p w14:paraId="2066FB7E"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29CADA5B"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6,0</w:t>
            </w:r>
          </w:p>
        </w:tc>
        <w:tc>
          <w:tcPr>
            <w:tcW w:w="506" w:type="pct"/>
            <w:tcBorders>
              <w:top w:val="nil"/>
              <w:left w:val="nil"/>
              <w:bottom w:val="nil"/>
              <w:right w:val="nil"/>
            </w:tcBorders>
            <w:shd w:val="clear" w:color="auto" w:fill="auto"/>
            <w:vAlign w:val="bottom"/>
          </w:tcPr>
          <w:p w14:paraId="662796C5"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8,3</w:t>
            </w:r>
          </w:p>
        </w:tc>
        <w:tc>
          <w:tcPr>
            <w:tcW w:w="510" w:type="pct"/>
            <w:tcBorders>
              <w:top w:val="nil"/>
              <w:left w:val="nil"/>
              <w:bottom w:val="nil"/>
              <w:right w:val="nil"/>
            </w:tcBorders>
            <w:shd w:val="clear" w:color="auto" w:fill="auto"/>
            <w:vAlign w:val="bottom"/>
          </w:tcPr>
          <w:p w14:paraId="17CFE8DF"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5,6</w:t>
            </w:r>
          </w:p>
        </w:tc>
      </w:tr>
      <w:tr w:rsidR="001A395C" w:rsidRPr="00F5596D" w14:paraId="6B4219E5" w14:textId="77777777" w:rsidTr="001A395C">
        <w:tc>
          <w:tcPr>
            <w:tcW w:w="2482" w:type="pct"/>
            <w:shd w:val="clear" w:color="auto" w:fill="auto"/>
          </w:tcPr>
          <w:p w14:paraId="1F2C74CE" w14:textId="77777777" w:rsidR="001A395C" w:rsidRPr="00F5596D" w:rsidRDefault="001A395C" w:rsidP="001A395C">
            <w:pPr>
              <w:ind w:left="256"/>
              <w:rPr>
                <w:rFonts w:cstheme="minorHAnsi"/>
                <w:color w:val="002060"/>
                <w:sz w:val="18"/>
                <w:szCs w:val="18"/>
                <w:lang w:val="sr-Cyrl-CS"/>
              </w:rPr>
            </w:pPr>
            <w:r w:rsidRPr="00F5596D">
              <w:rPr>
                <w:rFonts w:cstheme="minorHAnsi"/>
                <w:color w:val="002060"/>
                <w:sz w:val="18"/>
                <w:szCs w:val="18"/>
                <w:lang w:val="sr-Cyrl-CS"/>
              </w:rPr>
              <w:t>Увоз робе и услуга</w:t>
            </w:r>
          </w:p>
        </w:tc>
        <w:tc>
          <w:tcPr>
            <w:tcW w:w="498" w:type="pct"/>
            <w:shd w:val="clear" w:color="auto" w:fill="auto"/>
          </w:tcPr>
          <w:p w14:paraId="0789BDA9"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5,4</w:t>
            </w:r>
          </w:p>
        </w:tc>
        <w:tc>
          <w:tcPr>
            <w:tcW w:w="498" w:type="pct"/>
            <w:shd w:val="clear" w:color="auto" w:fill="auto"/>
          </w:tcPr>
          <w:p w14:paraId="4A3DA00F"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39324AF9"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7,0</w:t>
            </w:r>
          </w:p>
        </w:tc>
        <w:tc>
          <w:tcPr>
            <w:tcW w:w="506" w:type="pct"/>
            <w:tcBorders>
              <w:top w:val="nil"/>
              <w:left w:val="nil"/>
              <w:bottom w:val="nil"/>
              <w:right w:val="nil"/>
            </w:tcBorders>
            <w:shd w:val="clear" w:color="auto" w:fill="auto"/>
            <w:vAlign w:val="bottom"/>
          </w:tcPr>
          <w:p w14:paraId="5972FF08"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6,3</w:t>
            </w:r>
          </w:p>
        </w:tc>
        <w:tc>
          <w:tcPr>
            <w:tcW w:w="510" w:type="pct"/>
            <w:tcBorders>
              <w:top w:val="nil"/>
              <w:left w:val="nil"/>
              <w:bottom w:val="nil"/>
              <w:right w:val="nil"/>
            </w:tcBorders>
            <w:shd w:val="clear" w:color="auto" w:fill="auto"/>
            <w:vAlign w:val="bottom"/>
          </w:tcPr>
          <w:p w14:paraId="2BAEC82C"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5,4</w:t>
            </w:r>
          </w:p>
        </w:tc>
      </w:tr>
      <w:tr w:rsidR="001A395C" w:rsidRPr="00F5596D" w14:paraId="544A588B" w14:textId="77777777" w:rsidTr="001A395C">
        <w:tc>
          <w:tcPr>
            <w:tcW w:w="2482" w:type="pct"/>
            <w:shd w:val="clear" w:color="auto" w:fill="auto"/>
          </w:tcPr>
          <w:p w14:paraId="61E86531" w14:textId="77777777" w:rsidR="001A395C" w:rsidRPr="00F5596D" w:rsidRDefault="001A395C" w:rsidP="001A395C">
            <w:pPr>
              <w:ind w:left="-15"/>
              <w:rPr>
                <w:rFonts w:cstheme="minorHAnsi"/>
                <w:color w:val="002060"/>
                <w:sz w:val="18"/>
                <w:szCs w:val="18"/>
                <w:lang w:val="sr-Cyrl-CS"/>
              </w:rPr>
            </w:pPr>
            <w:r w:rsidRPr="00F5596D">
              <w:rPr>
                <w:rFonts w:cstheme="minorHAnsi"/>
                <w:color w:val="002060"/>
                <w:sz w:val="18"/>
                <w:szCs w:val="18"/>
                <w:lang w:val="sr-Cyrl-CS"/>
              </w:rPr>
              <w:t>Салдо текућег рачуна, у ЕУР, % БДП</w:t>
            </w:r>
          </w:p>
        </w:tc>
        <w:tc>
          <w:tcPr>
            <w:tcW w:w="498" w:type="pct"/>
            <w:shd w:val="clear" w:color="auto" w:fill="auto"/>
          </w:tcPr>
          <w:p w14:paraId="2B7F0482"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-5,0</w:t>
            </w:r>
          </w:p>
        </w:tc>
        <w:tc>
          <w:tcPr>
            <w:tcW w:w="498" w:type="pct"/>
            <w:shd w:val="clear" w:color="auto" w:fill="auto"/>
          </w:tcPr>
          <w:p w14:paraId="42DCC4CB"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vAlign w:val="bottom"/>
          </w:tcPr>
          <w:p w14:paraId="2A768A39"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-5,4</w:t>
            </w:r>
          </w:p>
        </w:tc>
        <w:tc>
          <w:tcPr>
            <w:tcW w:w="506" w:type="pct"/>
            <w:tcBorders>
              <w:top w:val="nil"/>
              <w:left w:val="nil"/>
              <w:bottom w:val="nil"/>
              <w:right w:val="nil"/>
            </w:tcBorders>
            <w:shd w:val="clear" w:color="auto" w:fill="auto"/>
            <w:vAlign w:val="bottom"/>
          </w:tcPr>
          <w:p w14:paraId="20A16475"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-4,1</w:t>
            </w:r>
          </w:p>
        </w:tc>
        <w:tc>
          <w:tcPr>
            <w:tcW w:w="510" w:type="pct"/>
            <w:tcBorders>
              <w:top w:val="nil"/>
              <w:left w:val="nil"/>
              <w:bottom w:val="nil"/>
              <w:right w:val="nil"/>
            </w:tcBorders>
            <w:shd w:val="clear" w:color="auto" w:fill="auto"/>
            <w:vAlign w:val="bottom"/>
          </w:tcPr>
          <w:p w14:paraId="6A97955F"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-4,3</w:t>
            </w:r>
          </w:p>
        </w:tc>
      </w:tr>
      <w:tr w:rsidR="001A395C" w:rsidRPr="00F5596D" w14:paraId="29AE3306" w14:textId="77777777" w:rsidTr="001A395C">
        <w:trPr>
          <w:trHeight w:val="193"/>
        </w:trPr>
        <w:tc>
          <w:tcPr>
            <w:tcW w:w="2482" w:type="pct"/>
            <w:tcBorders>
              <w:bottom w:val="single" w:sz="4" w:space="0" w:color="002060"/>
            </w:tcBorders>
            <w:shd w:val="clear" w:color="auto" w:fill="auto"/>
          </w:tcPr>
          <w:p w14:paraId="4333B013" w14:textId="77777777" w:rsidR="001A395C" w:rsidRPr="00F5596D" w:rsidRDefault="001A395C" w:rsidP="001A395C">
            <w:pPr>
              <w:rPr>
                <w:rFonts w:cstheme="minorHAnsi"/>
                <w:color w:val="002060"/>
                <w:sz w:val="18"/>
                <w:szCs w:val="18"/>
                <w:lang w:val="sr-Cyrl-CS"/>
              </w:rPr>
            </w:pPr>
            <w:r w:rsidRPr="00F5596D">
              <w:rPr>
                <w:rFonts w:cstheme="minorHAnsi"/>
                <w:color w:val="002060"/>
                <w:sz w:val="18"/>
                <w:szCs w:val="18"/>
                <w:lang w:val="sr-Cyrl-CS"/>
              </w:rPr>
              <w:t>Инфлација, просек периода, %</w:t>
            </w:r>
          </w:p>
        </w:tc>
        <w:tc>
          <w:tcPr>
            <w:tcW w:w="498" w:type="pct"/>
            <w:tcBorders>
              <w:bottom w:val="single" w:sz="4" w:space="0" w:color="002060"/>
            </w:tcBorders>
            <w:shd w:val="clear" w:color="auto" w:fill="auto"/>
          </w:tcPr>
          <w:p w14:paraId="30F6B21A" w14:textId="77777777" w:rsidR="001A395C" w:rsidRPr="00F5596D" w:rsidRDefault="001A395C" w:rsidP="001A395C">
            <w:pPr>
              <w:jc w:val="center"/>
              <w:rPr>
                <w:rFonts w:cstheme="minorHAnsi"/>
                <w:color w:val="002060"/>
                <w:sz w:val="18"/>
                <w:szCs w:val="18"/>
                <w:lang w:val="sr-Cyrl-CS"/>
              </w:rPr>
            </w:pPr>
            <w:r w:rsidRPr="00F5596D">
              <w:rPr>
                <w:rFonts w:cstheme="minorHAnsi"/>
                <w:color w:val="002060"/>
                <w:sz w:val="18"/>
                <w:szCs w:val="18"/>
                <w:lang w:val="sr-Cyrl-CS"/>
              </w:rPr>
              <w:t>4,0</w:t>
            </w:r>
          </w:p>
        </w:tc>
        <w:tc>
          <w:tcPr>
            <w:tcW w:w="498" w:type="pct"/>
            <w:tcBorders>
              <w:top w:val="nil"/>
              <w:left w:val="nil"/>
              <w:bottom w:val="nil"/>
              <w:right w:val="nil"/>
            </w:tcBorders>
            <w:shd w:val="clear" w:color="auto" w:fill="auto"/>
          </w:tcPr>
          <w:p w14:paraId="031B6A30" w14:textId="77777777" w:rsidR="001A395C" w:rsidRPr="00F5596D" w:rsidRDefault="001A395C" w:rsidP="001A395C">
            <w:pPr>
              <w:jc w:val="center"/>
              <w:rPr>
                <w:rFonts w:cstheme="minorHAnsi"/>
                <w:color w:val="002060"/>
                <w:sz w:val="18"/>
                <w:szCs w:val="18"/>
                <w:lang w:val="sr-Cyrl-CS"/>
              </w:rPr>
            </w:pPr>
          </w:p>
        </w:tc>
        <w:tc>
          <w:tcPr>
            <w:tcW w:w="506" w:type="pct"/>
            <w:tcBorders>
              <w:top w:val="nil"/>
              <w:left w:val="nil"/>
              <w:bottom w:val="nil"/>
              <w:right w:val="nil"/>
            </w:tcBorders>
            <w:shd w:val="clear" w:color="auto" w:fill="auto"/>
          </w:tcPr>
          <w:p w14:paraId="4DC565A4" w14:textId="77777777" w:rsidR="001A395C" w:rsidRPr="00F5596D" w:rsidRDefault="001A395C" w:rsidP="001A395C">
            <w:pPr>
              <w:jc w:val="center"/>
              <w:rPr>
                <w:color w:val="002060"/>
                <w:sz w:val="18"/>
                <w:lang w:val="sr-Cyrl-CS"/>
              </w:rPr>
            </w:pPr>
            <w:r w:rsidRPr="00F5596D">
              <w:rPr>
                <w:color w:val="002060"/>
                <w:sz w:val="18"/>
                <w:lang w:val="sr-Cyrl-CS"/>
              </w:rPr>
              <w:t>3,5</w:t>
            </w:r>
          </w:p>
        </w:tc>
        <w:tc>
          <w:tcPr>
            <w:tcW w:w="506" w:type="pct"/>
            <w:tcBorders>
              <w:top w:val="nil"/>
              <w:left w:val="nil"/>
              <w:bottom w:val="nil"/>
              <w:right w:val="nil"/>
            </w:tcBorders>
            <w:shd w:val="clear" w:color="auto" w:fill="auto"/>
          </w:tcPr>
          <w:p w14:paraId="28D912E2" w14:textId="77777777" w:rsidR="001A395C" w:rsidRPr="00F5596D" w:rsidRDefault="001A395C" w:rsidP="001A395C">
            <w:pPr>
              <w:jc w:val="center"/>
              <w:rPr>
                <w:color w:val="002060"/>
                <w:sz w:val="18"/>
                <w:lang w:val="sr-Cyrl-CS"/>
              </w:rPr>
            </w:pPr>
            <w:r w:rsidRPr="00F5596D">
              <w:rPr>
                <w:color w:val="002060"/>
                <w:sz w:val="18"/>
                <w:lang w:val="sr-Cyrl-CS"/>
              </w:rPr>
              <w:t>3,3</w:t>
            </w:r>
          </w:p>
        </w:tc>
        <w:tc>
          <w:tcPr>
            <w:tcW w:w="510" w:type="pct"/>
            <w:tcBorders>
              <w:top w:val="nil"/>
              <w:left w:val="nil"/>
              <w:bottom w:val="nil"/>
              <w:right w:val="nil"/>
            </w:tcBorders>
            <w:shd w:val="clear" w:color="auto" w:fill="auto"/>
          </w:tcPr>
          <w:p w14:paraId="2AB62B77" w14:textId="77777777" w:rsidR="001A395C" w:rsidRPr="00F5596D" w:rsidRDefault="001A395C" w:rsidP="001A395C">
            <w:pPr>
              <w:jc w:val="center"/>
              <w:rPr>
                <w:color w:val="002060"/>
                <w:sz w:val="18"/>
                <w:lang w:val="sr-Cyrl-CS"/>
              </w:rPr>
            </w:pPr>
            <w:r w:rsidRPr="00F5596D">
              <w:rPr>
                <w:color w:val="002060"/>
                <w:sz w:val="18"/>
                <w:lang w:val="sr-Cyrl-CS"/>
              </w:rPr>
              <w:t>3,0</w:t>
            </w:r>
          </w:p>
        </w:tc>
      </w:tr>
      <w:tr w:rsidR="001A395C" w:rsidRPr="00F5596D" w14:paraId="213C2997" w14:textId="77777777" w:rsidTr="001A395C">
        <w:trPr>
          <w:trHeight w:val="60"/>
        </w:trPr>
        <w:tc>
          <w:tcPr>
            <w:tcW w:w="2482" w:type="pct"/>
            <w:tcBorders>
              <w:top w:val="single" w:sz="4" w:space="0" w:color="002060"/>
            </w:tcBorders>
            <w:shd w:val="clear" w:color="auto" w:fill="auto"/>
          </w:tcPr>
          <w:p w14:paraId="1AE828E6" w14:textId="77777777" w:rsidR="001A395C" w:rsidRPr="00F5596D" w:rsidRDefault="001A395C" w:rsidP="001A395C">
            <w:pPr>
              <w:rPr>
                <w:rFonts w:cstheme="minorHAnsi"/>
                <w:sz w:val="14"/>
                <w:lang w:val="sr-Cyrl-CS"/>
              </w:rPr>
            </w:pPr>
            <w:r w:rsidRPr="00F5596D">
              <w:rPr>
                <w:rFonts w:cstheme="minorHAnsi"/>
                <w:sz w:val="14"/>
                <w:lang w:val="sr-Cyrl-CS"/>
              </w:rPr>
              <w:t>Извор: Министарство финансија</w:t>
            </w:r>
          </w:p>
        </w:tc>
        <w:tc>
          <w:tcPr>
            <w:tcW w:w="498" w:type="pct"/>
            <w:tcBorders>
              <w:top w:val="single" w:sz="4" w:space="0" w:color="002060"/>
            </w:tcBorders>
            <w:shd w:val="clear" w:color="auto" w:fill="auto"/>
          </w:tcPr>
          <w:p w14:paraId="5775D07A" w14:textId="77777777" w:rsidR="001A395C" w:rsidRPr="00F5596D" w:rsidRDefault="001A395C" w:rsidP="001A395C">
            <w:pPr>
              <w:jc w:val="center"/>
              <w:rPr>
                <w:rFonts w:cstheme="minorHAnsi"/>
                <w:sz w:val="16"/>
                <w:lang w:val="sr-Cyrl-CS"/>
              </w:rPr>
            </w:pPr>
          </w:p>
        </w:tc>
        <w:tc>
          <w:tcPr>
            <w:tcW w:w="498" w:type="pct"/>
            <w:tcBorders>
              <w:top w:val="single" w:sz="4" w:space="0" w:color="002060"/>
            </w:tcBorders>
            <w:shd w:val="clear" w:color="auto" w:fill="auto"/>
          </w:tcPr>
          <w:p w14:paraId="5DCBB8C0" w14:textId="77777777" w:rsidR="001A395C" w:rsidRPr="00F5596D" w:rsidRDefault="001A395C" w:rsidP="001A395C">
            <w:pPr>
              <w:jc w:val="center"/>
              <w:rPr>
                <w:rFonts w:cstheme="minorHAnsi"/>
                <w:sz w:val="16"/>
                <w:lang w:val="sr-Cyrl-CS"/>
              </w:rPr>
            </w:pPr>
          </w:p>
        </w:tc>
        <w:tc>
          <w:tcPr>
            <w:tcW w:w="506" w:type="pct"/>
            <w:tcBorders>
              <w:top w:val="single" w:sz="4" w:space="0" w:color="002060"/>
            </w:tcBorders>
            <w:shd w:val="clear" w:color="auto" w:fill="auto"/>
          </w:tcPr>
          <w:p w14:paraId="6B7B952F" w14:textId="77777777" w:rsidR="001A395C" w:rsidRPr="00F5596D" w:rsidRDefault="001A395C" w:rsidP="001A395C">
            <w:pPr>
              <w:jc w:val="center"/>
              <w:rPr>
                <w:rFonts w:cstheme="minorHAnsi"/>
                <w:sz w:val="16"/>
                <w:lang w:val="sr-Cyrl-CS"/>
              </w:rPr>
            </w:pPr>
          </w:p>
        </w:tc>
        <w:tc>
          <w:tcPr>
            <w:tcW w:w="506" w:type="pct"/>
            <w:tcBorders>
              <w:top w:val="single" w:sz="4" w:space="0" w:color="002060"/>
            </w:tcBorders>
            <w:shd w:val="clear" w:color="auto" w:fill="auto"/>
          </w:tcPr>
          <w:p w14:paraId="7F171A71" w14:textId="77777777" w:rsidR="001A395C" w:rsidRPr="00F5596D" w:rsidRDefault="001A395C" w:rsidP="001A395C">
            <w:pPr>
              <w:jc w:val="center"/>
              <w:rPr>
                <w:rFonts w:cstheme="minorHAnsi"/>
                <w:sz w:val="16"/>
                <w:lang w:val="sr-Cyrl-CS"/>
              </w:rPr>
            </w:pPr>
          </w:p>
        </w:tc>
        <w:tc>
          <w:tcPr>
            <w:tcW w:w="510" w:type="pct"/>
            <w:tcBorders>
              <w:top w:val="single" w:sz="4" w:space="0" w:color="002060"/>
            </w:tcBorders>
            <w:shd w:val="clear" w:color="auto" w:fill="auto"/>
          </w:tcPr>
          <w:p w14:paraId="345E5052" w14:textId="77777777" w:rsidR="001A395C" w:rsidRPr="00F5596D" w:rsidRDefault="001A395C" w:rsidP="001A395C">
            <w:pPr>
              <w:jc w:val="center"/>
              <w:rPr>
                <w:rFonts w:cstheme="minorHAnsi"/>
                <w:sz w:val="16"/>
                <w:lang w:val="sr-Cyrl-CS"/>
              </w:rPr>
            </w:pPr>
          </w:p>
        </w:tc>
      </w:tr>
    </w:tbl>
    <w:p w14:paraId="1C144A7E" w14:textId="77777777" w:rsidR="001A395C" w:rsidRPr="00F5596D" w:rsidRDefault="001A395C" w:rsidP="001A395C">
      <w:pPr>
        <w:spacing w:after="0"/>
        <w:rPr>
          <w:rFonts w:cstheme="minorHAnsi"/>
          <w:bCs/>
          <w:sz w:val="16"/>
          <w:szCs w:val="72"/>
          <w:lang w:val="sr-Cyrl-CS"/>
        </w:rPr>
        <w:sectPr w:rsidR="001A395C" w:rsidRPr="00F5596D" w:rsidSect="001A395C">
          <w:type w:val="continuous"/>
          <w:pgSz w:w="12240" w:h="15840" w:code="1"/>
          <w:pgMar w:top="1440" w:right="1440" w:bottom="1440" w:left="1440" w:header="720" w:footer="720" w:gutter="0"/>
          <w:cols w:space="720"/>
          <w:docGrid w:linePitch="360"/>
        </w:sectPr>
      </w:pPr>
    </w:p>
    <w:p w14:paraId="517A85EF" w14:textId="208204F6" w:rsidR="001A395C" w:rsidRPr="00F5596D" w:rsidRDefault="001A395C" w:rsidP="001A395C">
      <w:pPr>
        <w:rPr>
          <w:rFonts w:cstheme="minorHAnsi"/>
          <w:bCs/>
          <w:szCs w:val="72"/>
          <w:lang w:val="sr-Cyrl-CS"/>
        </w:rPr>
      </w:pPr>
      <w:r w:rsidRPr="00F5596D">
        <w:rPr>
          <w:rFonts w:cstheme="minorHAnsi"/>
          <w:bCs/>
          <w:szCs w:val="72"/>
          <w:lang w:val="sr-Cyrl-CS"/>
        </w:rPr>
        <w:t>У 2026. години очекује се убрзање раста БДП на 4,2%. Посматрано по агрегатима употребе, раст ће наставити да буде опредељен домаћом тражњом која ће дати позитиван допринос расту БДП од 5,3 п.п. Опоравак потрошачког поверења, уз повећање реалног расположивог дохотка становништва, пре свега захваљујући вишим зарадама и пензијама, довешће до убрзања раста приватне потрошње, који би требао да износи 3,9%. Благи позитиван допринос расту БДП у 2026. години доћи ће и од државне потрошње за коју се очекује повећање од 3,3%. Убрзање реализације капиталних инфраструктурних пројеката планираних програмом „Скок у будућност – Србија 2027”, уз очекивану динамику прилива</w:t>
      </w:r>
      <w:r w:rsidR="002C0B86" w:rsidRPr="00F5596D">
        <w:rPr>
          <w:rFonts w:cstheme="minorHAnsi"/>
          <w:bCs/>
          <w:szCs w:val="72"/>
          <w:lang w:val="sr-Cyrl-CS"/>
        </w:rPr>
        <w:t xml:space="preserve"> страних директних инвестиција (у даљем тексту:</w:t>
      </w:r>
      <w:r w:rsidR="006554A2" w:rsidRPr="00F5596D">
        <w:rPr>
          <w:rFonts w:cstheme="minorHAnsi"/>
          <w:bCs/>
          <w:szCs w:val="72"/>
          <w:lang w:val="sr-Cyrl-CS"/>
        </w:rPr>
        <w:t xml:space="preserve"> </w:t>
      </w:r>
      <w:r w:rsidRPr="00F5596D">
        <w:rPr>
          <w:rFonts w:cstheme="minorHAnsi"/>
          <w:bCs/>
          <w:szCs w:val="72"/>
          <w:lang w:val="sr-Cyrl-CS"/>
        </w:rPr>
        <w:t>СДИ</w:t>
      </w:r>
      <w:r w:rsidR="006554A2" w:rsidRPr="00F5596D">
        <w:rPr>
          <w:rFonts w:cstheme="minorHAnsi"/>
          <w:bCs/>
          <w:szCs w:val="72"/>
          <w:lang w:val="sr-Cyrl-CS"/>
        </w:rPr>
        <w:t>)</w:t>
      </w:r>
      <w:r w:rsidRPr="00F5596D">
        <w:rPr>
          <w:rFonts w:cstheme="minorHAnsi"/>
          <w:bCs/>
          <w:szCs w:val="72"/>
          <w:lang w:val="sr-Cyrl-CS"/>
        </w:rPr>
        <w:t xml:space="preserve"> и високу профитабилност домаће привреде из претходног периода резултираће растом инвестиција од 8,8% у 2026. години. Постепени опоравак спољне тражње уз активирање нових извозних капацитета, обезбедиће стабилан раст реалног извоза од 6,0%, што је нешто спорије од очекиваног раста увоза (7,0%), тако да ће допринос нето извоза остати негативан (-1,1 п.п.).</w:t>
      </w:r>
    </w:p>
    <w:p w14:paraId="64710A92" w14:textId="77777777" w:rsidR="001A395C" w:rsidRPr="00F5596D" w:rsidRDefault="001A395C" w:rsidP="001A395C">
      <w:pPr>
        <w:spacing w:after="120"/>
        <w:rPr>
          <w:rFonts w:cstheme="minorHAnsi"/>
          <w:bCs/>
          <w:szCs w:val="72"/>
          <w:lang w:val="sr-Cyrl-CS"/>
        </w:rPr>
      </w:pPr>
      <w:r w:rsidRPr="00F5596D">
        <w:rPr>
          <w:rFonts w:cstheme="minorHAnsi"/>
          <w:bCs/>
          <w:szCs w:val="72"/>
          <w:lang w:val="sr-Cyrl-CS"/>
        </w:rPr>
        <w:t xml:space="preserve">Посматрано са производне стране, у 2026. години очекује се повећање креиране БДВ код свих привредних сектора. Услужни сектор ће и у 2026. години имати улогу доминантног носиоца раста економске активности. Раст би требало да буде диверсификован и остварен у свим услужним делатностима, а посебно снажан у трговини и саобраћају, туризму и угоститељству, уз наставак добрих резултата у ИКТ сектору и стручно техничким услугама. Индустрија ће наставити са </w:t>
      </w:r>
      <w:r w:rsidRPr="00F5596D">
        <w:rPr>
          <w:rFonts w:cstheme="minorHAnsi"/>
          <w:bCs/>
          <w:szCs w:val="72"/>
          <w:lang w:val="sr-Cyrl-CS"/>
        </w:rPr>
        <w:t>растом и током 2026. године уз повећање од 3,8%, пре свега услед активирања нових производних капацитета и очекиваног опоравка спољне тражње, уз очувану стабилност производње у електро-енергетском сектору. Процењује се да ће грађевинарство забележити раст од 8,3%, пре свега услед убрзања реализације инфраструктурних пројеката, али и наставка стабилног раста стамбене изградње. За сектор пољопривреде, под претпоставком просечних агрометеоролошких услова, пројектован је благи раст од 0,2%.</w:t>
      </w:r>
    </w:p>
    <w:p w14:paraId="5FAF80B1" w14:textId="77777777" w:rsidR="001A395C" w:rsidRPr="00F5596D" w:rsidRDefault="001A395C" w:rsidP="001A395C">
      <w:pPr>
        <w:spacing w:after="120"/>
        <w:jc w:val="center"/>
        <w:rPr>
          <w:rFonts w:cstheme="minorHAnsi"/>
          <w:b/>
          <w:bCs/>
          <w:szCs w:val="72"/>
          <w:lang w:val="sr-Cyrl-CS"/>
        </w:rPr>
      </w:pPr>
      <w:r w:rsidRPr="00F5596D">
        <w:rPr>
          <w:rFonts w:cstheme="minorHAnsi"/>
          <w:b/>
          <w:bCs/>
          <w:szCs w:val="72"/>
          <w:lang w:val="sr-Cyrl-CS"/>
        </w:rPr>
        <w:t xml:space="preserve">Доприноси стопи реалног раста БДП, </w:t>
      </w:r>
      <w:r w:rsidRPr="00F5596D">
        <w:rPr>
          <w:rFonts w:cstheme="minorHAnsi"/>
          <w:b/>
          <w:bCs/>
          <w:szCs w:val="72"/>
          <w:lang w:val="sr-Cyrl-CS"/>
        </w:rPr>
        <w:br/>
        <w:t>расходни и производни приступ, п.п.</w:t>
      </w:r>
    </w:p>
    <w:p w14:paraId="6AE8F797" w14:textId="77777777" w:rsidR="001A395C" w:rsidRPr="00F5596D" w:rsidRDefault="001A395C" w:rsidP="001A395C">
      <w:pPr>
        <w:spacing w:after="120"/>
        <w:rPr>
          <w:rFonts w:cstheme="minorHAnsi"/>
          <w:b/>
          <w:bCs/>
          <w:szCs w:val="72"/>
          <w:lang w:val="sr-Cyrl-CS"/>
        </w:rPr>
      </w:pPr>
      <w:r w:rsidRPr="00F5596D">
        <w:rPr>
          <w:rFonts w:cstheme="minorHAnsi"/>
          <w:b/>
          <w:bCs/>
          <w:noProof/>
          <w:szCs w:val="72"/>
        </w:rPr>
        <w:drawing>
          <wp:inline distT="0" distB="0" distL="0" distR="0" wp14:anchorId="11714979" wp14:editId="0BC9C7A6">
            <wp:extent cx="2743200" cy="1685459"/>
            <wp:effectExtent l="0" t="0" r="0" b="0"/>
            <wp:docPr id="41" name="Chart 41">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066F4E46" w14:textId="77777777" w:rsidR="001A395C" w:rsidRPr="00F5596D" w:rsidRDefault="001A395C" w:rsidP="001A395C">
      <w:pPr>
        <w:spacing w:after="0"/>
        <w:rPr>
          <w:rFonts w:cstheme="minorHAnsi"/>
          <w:bCs/>
          <w:szCs w:val="72"/>
          <w:lang w:val="sr-Cyrl-CS"/>
        </w:rPr>
      </w:pPr>
      <w:r w:rsidRPr="00F5596D">
        <w:rPr>
          <w:rFonts w:cstheme="minorHAnsi"/>
          <w:bCs/>
          <w:noProof/>
          <w:szCs w:val="72"/>
        </w:rPr>
        <w:drawing>
          <wp:inline distT="0" distB="0" distL="0" distR="0" wp14:anchorId="5627B617" wp14:editId="6C8BB554">
            <wp:extent cx="2743200" cy="1474378"/>
            <wp:effectExtent l="0" t="0" r="0" b="0"/>
            <wp:docPr id="46" name="Chart 46">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771A94FD" w14:textId="77777777" w:rsidR="001A395C" w:rsidRPr="00F5596D" w:rsidRDefault="001A395C" w:rsidP="001A395C">
      <w:pPr>
        <w:spacing w:after="0" w:line="240" w:lineRule="auto"/>
        <w:rPr>
          <w:rFonts w:cstheme="minorHAnsi"/>
          <w:sz w:val="14"/>
          <w:lang w:val="sr-Cyrl-CS"/>
        </w:rPr>
      </w:pPr>
      <w:r w:rsidRPr="00F5596D">
        <w:rPr>
          <w:rFonts w:cstheme="minorHAnsi"/>
          <w:sz w:val="14"/>
          <w:lang w:val="sr-Cyrl-CS"/>
        </w:rPr>
        <w:t>Извор: Министарство финансија</w:t>
      </w:r>
    </w:p>
    <w:p w14:paraId="51D2ABA4" w14:textId="78B2D2B9" w:rsidR="001A395C" w:rsidRPr="00F5596D" w:rsidRDefault="001A395C" w:rsidP="001A395C">
      <w:pPr>
        <w:rPr>
          <w:rFonts w:cstheme="minorHAnsi"/>
          <w:bCs/>
          <w:szCs w:val="72"/>
          <w:lang w:val="sr-Cyrl-CS"/>
        </w:rPr>
      </w:pPr>
      <w:r w:rsidRPr="00F5596D">
        <w:rPr>
          <w:rFonts w:cstheme="minorHAnsi"/>
          <w:bCs/>
          <w:szCs w:val="72"/>
          <w:lang w:val="sr-Cyrl-CS"/>
        </w:rPr>
        <w:lastRenderedPageBreak/>
        <w:t>Према средњорочној макроекономској пројекцији кумулативна стопа раста у периоду од 2026. до 2028. године износиће 13,1%</w:t>
      </w:r>
      <w:r w:rsidRPr="00F5596D">
        <w:rPr>
          <w:rFonts w:cstheme="minorHAnsi"/>
          <w:bCs/>
          <w:color w:val="FF0000"/>
          <w:szCs w:val="72"/>
          <w:lang w:val="sr-Cyrl-CS"/>
        </w:rPr>
        <w:t xml:space="preserve"> </w:t>
      </w:r>
      <w:r w:rsidRPr="00F5596D">
        <w:rPr>
          <w:rFonts w:cstheme="minorHAnsi"/>
          <w:bCs/>
          <w:szCs w:val="72"/>
          <w:lang w:val="sr-Cyrl-CS"/>
        </w:rPr>
        <w:t xml:space="preserve">и биће опредељена растом домаће тражње, уз благо негативан допринос нето извоза. Овај извор раста детерминисан је како снажним наставком инвестиционог циклуса и растом инвестиционе активности, тако и повећањем приватне потрошње домаћинстава услед раста реалног расположивог дохотка. Уз очекивани опоравак спољне тражње, убрзање раста БДП на 4,2% у 2026. години, а потом и на 5,0% у 2027. години биће пре свега резултат реализације активности у оквиру пројекта </w:t>
      </w:r>
      <w:r w:rsidR="009F4767">
        <w:rPr>
          <w:rFonts w:cstheme="minorHAnsi"/>
          <w:bCs/>
          <w:szCs w:val="72"/>
          <w:lang w:val="sr-Cyrl-CS"/>
        </w:rPr>
        <w:t>EXPO</w:t>
      </w:r>
      <w:r w:rsidRPr="00F5596D">
        <w:rPr>
          <w:rFonts w:cstheme="minorHAnsi"/>
          <w:bCs/>
          <w:szCs w:val="72"/>
          <w:lang w:val="sr-Cyrl-CS"/>
        </w:rPr>
        <w:t xml:space="preserve">, чија ће организација генерисати снажне инфраструктурне, грађевинске и логистичке активности током 2026. године, а свој пуни ефекат оствариће управо током 2027. године. Одржавање самог догађаја довешће до значајног повећања страних долазака, потрошње и инвестиција, посебно у секторима туризма, угоститељства и услуга. Истовремено, </w:t>
      </w:r>
      <w:r w:rsidR="009F4767">
        <w:rPr>
          <w:rFonts w:cstheme="minorHAnsi"/>
          <w:bCs/>
          <w:szCs w:val="72"/>
          <w:lang w:val="sr-Cyrl-CS"/>
        </w:rPr>
        <w:t>EXPO</w:t>
      </w:r>
      <w:r w:rsidRPr="00F5596D">
        <w:rPr>
          <w:rFonts w:cstheme="minorHAnsi"/>
          <w:bCs/>
          <w:szCs w:val="72"/>
          <w:lang w:val="sr-Cyrl-CS"/>
        </w:rPr>
        <w:t xml:space="preserve"> ће додатно подстаћи промоцију домаће привреде, довешће до јачање извозног потенцијала и привлачење директних страних инвестиција, чиме ће бити обезбеђен снажан допринос укупном расту БДП у 2027. години. Успоравање привредног раста у 2028. години на 3,5% у великој мери ће бити последица израженог базног ефекта, будући да ће реализација међународне изложбе </w:t>
      </w:r>
      <w:r w:rsidR="009F4767">
        <w:rPr>
          <w:rFonts w:cstheme="minorHAnsi"/>
          <w:bCs/>
          <w:szCs w:val="72"/>
          <w:lang w:val="sr-Cyrl-CS"/>
        </w:rPr>
        <w:t>EXPO</w:t>
      </w:r>
      <w:r w:rsidRPr="00F5596D">
        <w:rPr>
          <w:rFonts w:cstheme="minorHAnsi"/>
          <w:bCs/>
          <w:szCs w:val="72"/>
          <w:lang w:val="sr-Cyrl-CS"/>
        </w:rPr>
        <w:t xml:space="preserve"> у 2027. години довести до привременог, али изузетно снажног раста у појединим сегментима економије. С обзиром на то да ће ти ефекти бити временски ограничени и доминантно концентрисани у години одржавања догађаја, њихов утицај ће у 2028. години постепено изостати, што ће довести до враћања стопе раста БДП на умеренију путању. Овакво успоравање не представља сигнал слабљења економских фундаментa, већ пре свега одраз поређења са годином у којој су били присутни једнократни и изузетно интензивн</w:t>
      </w:r>
      <w:r w:rsidR="00704608" w:rsidRPr="00F5596D">
        <w:rPr>
          <w:rFonts w:cstheme="minorHAnsi"/>
          <w:bCs/>
          <w:szCs w:val="72"/>
          <w:lang w:val="sr-Cyrl-CS"/>
        </w:rPr>
        <w:t>и</w:t>
      </w:r>
      <w:r w:rsidRPr="00F5596D">
        <w:rPr>
          <w:rFonts w:cstheme="minorHAnsi"/>
          <w:bCs/>
          <w:szCs w:val="72"/>
          <w:lang w:val="sr-Cyrl-CS"/>
        </w:rPr>
        <w:t xml:space="preserve"> подстицаји економској активности.</w:t>
      </w:r>
    </w:p>
    <w:p w14:paraId="1A0F84A1" w14:textId="77777777" w:rsidR="001A395C" w:rsidRPr="00F5596D" w:rsidRDefault="001A395C" w:rsidP="001A395C">
      <w:pPr>
        <w:rPr>
          <w:rFonts w:cstheme="minorHAnsi"/>
          <w:bCs/>
          <w:szCs w:val="72"/>
          <w:lang w:val="sr-Cyrl-CS"/>
        </w:rPr>
      </w:pPr>
      <w:r w:rsidRPr="00F5596D">
        <w:rPr>
          <w:rFonts w:cstheme="minorHAnsi"/>
          <w:bCs/>
          <w:szCs w:val="72"/>
          <w:lang w:val="sr-Cyrl-CS"/>
        </w:rPr>
        <w:t xml:space="preserve">Просечно годишње, српска привреда ће у периоду од 2026 до 2028. године расти по стопи од 4,2%. Повећање реалне потрошње становништва ће пратити раст економске активности и у просеку ће износити 3,6%. Очекује се стабилан раст фиксних инвестиција који ће у просеку износити 6,6% </w:t>
      </w:r>
      <w:r w:rsidRPr="00F5596D">
        <w:rPr>
          <w:rFonts w:cstheme="minorHAnsi"/>
          <w:bCs/>
          <w:szCs w:val="72"/>
          <w:lang w:val="sr-Cyrl-CS"/>
        </w:rPr>
        <w:t>годишње. Висок ниво јавних инвестиција биће праћен и растом приватних инвестиција тако да се на крају пројекцијског периода очекује учешће фиксних инвестиција у БДП од око 25%. Са активирањем нових производних капацитета и опоравком спољне тражње повећаваће се и обим спољнотрговинске размене. Поред тога, ефектуирање СДИ из претходног периода допринеће повећању конкуренције и утицати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6,6% што је брже од очекиваног годишњег раста увоза који ће у просеку износити 6,2%, али ће због већег учешћа увоза, допринос нето извоза расту БДП бити благо негативан. Посматрано на страни понуде, услужни сектор и индустрија ће следствено највећем учешћу у БДП задржати улогу доминантних извора раста и повећавати креирану БДВ са просечним годишњим растом од 4,5% и 4,3%, респективно. Значајан позитиван допринос имаће и грађевинарство које ће у просеку забележити раст од 5,4% као резултат убрзања реализације инфраструктурних пројеката, али и убрзања приватних инвестиција. Достизање европских стандарда и подизање конкурентности у пољопривреди, смањиће варијабилност производње овог сектора изазвану агрометеоролошким условима, али је и у овом макроекономском оквиру задржана претпоставка просечне пољопривредне сезоне.</w:t>
      </w:r>
    </w:p>
    <w:p w14:paraId="605FC3FE" w14:textId="77777777" w:rsidR="001A395C" w:rsidRPr="00F5596D" w:rsidRDefault="001A395C" w:rsidP="001A395C">
      <w:pPr>
        <w:spacing w:before="120" w:after="120"/>
        <w:rPr>
          <w:rFonts w:cstheme="minorHAnsi"/>
          <w:bCs/>
          <w:szCs w:val="72"/>
          <w:lang w:val="sr-Cyrl-CS"/>
        </w:rPr>
      </w:pPr>
      <w:r w:rsidRPr="00F5596D">
        <w:rPr>
          <w:rFonts w:cstheme="minorHAnsi"/>
          <w:bCs/>
          <w:szCs w:val="72"/>
          <w:lang w:val="sr-Cyrl-CS"/>
        </w:rPr>
        <w:t xml:space="preserve">Средњорочни сценарио кретања привредне активности Републике Србије и даље је под утицајем бројних и комплексних ризика, пре свега из међународног окружења, чији интензитет и интеракције значајно утичу на степен неизвесности у пројекцијама. </w:t>
      </w:r>
    </w:p>
    <w:p w14:paraId="54EEC741" w14:textId="77777777" w:rsidR="001A395C" w:rsidRPr="00F5596D" w:rsidRDefault="001A395C" w:rsidP="001A395C">
      <w:pPr>
        <w:spacing w:after="0"/>
        <w:rPr>
          <w:rFonts w:cstheme="minorHAnsi"/>
          <w:bCs/>
          <w:szCs w:val="72"/>
          <w:lang w:val="sr-Cyrl-CS"/>
        </w:rPr>
      </w:pPr>
      <w:r w:rsidRPr="00F5596D">
        <w:rPr>
          <w:rFonts w:cstheme="minorHAnsi"/>
          <w:bCs/>
          <w:szCs w:val="72"/>
          <w:lang w:val="sr-Cyrl-CS"/>
        </w:rPr>
        <w:t xml:space="preserve">Најизраженији ризици по макроекономски оквир потичу од све нестабилнијих глобалних економских и политичких односа. Геоекономска фрагментација и све чешће рестриктивне трговинске мере, укључујући увођење нових тарифа, квота, контратарифа и субвенција усмерених на стратешке индустрије, прете да наруше постојеће глобалне ланце снабдевања и доведу до слабљења међународне трговине и улагања. Додатну неизвесност представља и </w:t>
      </w:r>
      <w:r w:rsidRPr="00F5596D">
        <w:rPr>
          <w:rFonts w:cstheme="minorHAnsi"/>
          <w:bCs/>
          <w:szCs w:val="72"/>
          <w:lang w:val="sr-Cyrl-CS"/>
        </w:rPr>
        <w:lastRenderedPageBreak/>
        <w:t xml:space="preserve">непознаница у погледу тога како ће се актуелне тарифне тензије развијати, у ком правцу, у ком обиму и у ком временском оквиру. Непостојање јасне координације међу водећим економијама света по питању трговинске политике, као и све учесталији примери селективног протекционизма, чине неизвесним да ли ће се ситуација разрешити деескалацијом и нормализацијом трговинских односа или ће уследити нови талас ограничења и сегментације глобалног тржишта. Ово отежава прогнозирање и планирање како за националне институције, тако и за приватни сектор и стране инвеститоре. Такве мере, посебно када долазе од стране водећих глобалних економија, имају потенцијал да преусмере токове капитала и робе, смање доступност кључних сировина и компоненти, и негативно утичу на привреде извозно оријентисаних земаља попут Србије. Ескалација сукоба у Украјини и на Блиском истоку додатно појачава глобалну неизвесност. Могући скокови цена енергената и хране, као и потенцијални поремећаји у логистичким токовима и тржишту рада, могли би довести до појачаних инфлаторних притисака, смањења реалне куповне моћи становништва и негативног утицаја на инвеститорску сигурност. Услед повезаности глобалних финансијских и робних тржишта, ти ефекти би се врло брзо прелили на земље попут Србије, преко канала извоза, цена увоза, страних директних инвестиција и финансијских токова. </w:t>
      </w:r>
    </w:p>
    <w:p w14:paraId="675EFC9A" w14:textId="77777777" w:rsidR="001A395C" w:rsidRPr="00F5596D" w:rsidRDefault="001A395C" w:rsidP="001A395C">
      <w:pPr>
        <w:spacing w:before="120" w:after="120"/>
        <w:rPr>
          <w:lang w:val="sr-Cyrl-CS"/>
        </w:rPr>
      </w:pPr>
      <w:r w:rsidRPr="00F5596D">
        <w:rPr>
          <w:rFonts w:cstheme="minorHAnsi"/>
          <w:bCs/>
          <w:szCs w:val="72"/>
          <w:lang w:val="sr-Cyrl-CS"/>
        </w:rPr>
        <w:t>С друге стране, потенцијална деескалација глобалних напетости и ублажавање трговинских баријера могла би имати снажан позитиван ефекат на међународне економске токове, што би се синергетски прелило и на домаћу економију кроз раст извоза, инвестиција и повољнији приступ технологијама и капиталу. Укупан ефекат ових фактора указује на потребу да се сви сценарији и прогнозе за наредни период анализирају уз изражен опрез, укључујући редовно ажурирање ризика и развој алтернативних политика које могу ублажити ефекте евентуалних спољних шокова.</w:t>
      </w:r>
      <w:r w:rsidRPr="00F5596D">
        <w:rPr>
          <w:lang w:val="sr-Cyrl-CS"/>
        </w:rPr>
        <w:t xml:space="preserve"> </w:t>
      </w:r>
    </w:p>
    <w:p w14:paraId="420D80AE" w14:textId="77777777" w:rsidR="001A395C" w:rsidRPr="00F5596D" w:rsidRDefault="001A395C" w:rsidP="001A395C">
      <w:pPr>
        <w:spacing w:after="0"/>
        <w:jc w:val="center"/>
        <w:rPr>
          <w:b/>
          <w:lang w:val="sr-Cyrl-CS"/>
        </w:rPr>
      </w:pPr>
    </w:p>
    <w:p w14:paraId="1B0E59CC" w14:textId="77777777" w:rsidR="001A395C" w:rsidRPr="00F5596D" w:rsidRDefault="001A395C" w:rsidP="001A395C">
      <w:pPr>
        <w:spacing w:after="0"/>
        <w:jc w:val="center"/>
        <w:rPr>
          <w:b/>
          <w:lang w:val="sr-Cyrl-CS"/>
        </w:rPr>
      </w:pPr>
    </w:p>
    <w:p w14:paraId="10979EA2" w14:textId="77777777" w:rsidR="001A395C" w:rsidRPr="00F5596D" w:rsidRDefault="001A395C" w:rsidP="001A395C">
      <w:pPr>
        <w:spacing w:after="0"/>
        <w:jc w:val="center"/>
        <w:rPr>
          <w:b/>
          <w:lang w:val="sr-Cyrl-CS"/>
        </w:rPr>
      </w:pPr>
    </w:p>
    <w:p w14:paraId="23AD772F" w14:textId="77777777" w:rsidR="001A395C" w:rsidRPr="00F5596D" w:rsidRDefault="001A395C" w:rsidP="001A395C">
      <w:pPr>
        <w:spacing w:after="0"/>
        <w:jc w:val="center"/>
        <w:rPr>
          <w:b/>
          <w:lang w:val="sr-Cyrl-CS"/>
        </w:rPr>
      </w:pPr>
    </w:p>
    <w:p w14:paraId="50C200BE" w14:textId="77777777" w:rsidR="001A395C" w:rsidRPr="00F5596D" w:rsidRDefault="001A395C" w:rsidP="001A395C">
      <w:pPr>
        <w:spacing w:after="0"/>
        <w:jc w:val="center"/>
        <w:rPr>
          <w:b/>
          <w:lang w:val="sr-Cyrl-CS"/>
        </w:rPr>
      </w:pPr>
    </w:p>
    <w:p w14:paraId="3DA35B7B" w14:textId="77777777" w:rsidR="001A395C" w:rsidRPr="00F5596D" w:rsidRDefault="001A395C" w:rsidP="001A395C">
      <w:pPr>
        <w:spacing w:after="0"/>
        <w:jc w:val="center"/>
        <w:rPr>
          <w:b/>
          <w:lang w:val="sr-Cyrl-CS"/>
        </w:rPr>
      </w:pPr>
    </w:p>
    <w:p w14:paraId="3EF94B16" w14:textId="77777777" w:rsidR="001A395C" w:rsidRPr="00F5596D" w:rsidRDefault="001A395C" w:rsidP="001A395C">
      <w:pPr>
        <w:spacing w:after="0"/>
        <w:jc w:val="center"/>
        <w:rPr>
          <w:b/>
          <w:lang w:val="sr-Cyrl-CS"/>
        </w:rPr>
      </w:pPr>
      <w:r w:rsidRPr="00F5596D">
        <w:rPr>
          <w:b/>
          <w:lang w:val="sr-Cyrl-CS"/>
        </w:rPr>
        <w:t>Пројекција кретања БДП са матрицом ризика, стопе раста, %</w:t>
      </w:r>
    </w:p>
    <w:p w14:paraId="7CC256D1" w14:textId="1C5DFAF1" w:rsidR="001A395C" w:rsidRPr="00F5596D" w:rsidRDefault="001A395C" w:rsidP="001A395C">
      <w:pPr>
        <w:spacing w:after="0"/>
        <w:rPr>
          <w:b/>
          <w:lang w:val="sr-Cyrl-CS"/>
        </w:rPr>
      </w:pPr>
      <w:r w:rsidRPr="00F5596D">
        <w:rPr>
          <w:noProof/>
        </w:rPr>
        <w:drawing>
          <wp:inline distT="0" distB="0" distL="0" distR="0" wp14:anchorId="1A8940B6" wp14:editId="1E8446B5">
            <wp:extent cx="2743200" cy="2166730"/>
            <wp:effectExtent l="0" t="0" r="0" b="508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C70AB1E" w14:textId="382AEEB2" w:rsidR="0005651C" w:rsidRPr="00F5596D" w:rsidRDefault="0005651C" w:rsidP="001A395C">
      <w:pPr>
        <w:spacing w:after="0"/>
        <w:rPr>
          <w:sz w:val="14"/>
          <w:szCs w:val="14"/>
          <w:lang w:val="sr-Cyrl-CS"/>
        </w:rPr>
      </w:pPr>
      <w:r w:rsidRPr="00F5596D">
        <w:rPr>
          <w:sz w:val="14"/>
          <w:szCs w:val="14"/>
          <w:lang w:val="sr-Cyrl-CS"/>
        </w:rPr>
        <w:t>Извор: Министарство финансија</w:t>
      </w:r>
    </w:p>
    <w:p w14:paraId="4689893C" w14:textId="77777777" w:rsidR="001A395C" w:rsidRPr="00F5596D" w:rsidRDefault="001A395C" w:rsidP="001A395C">
      <w:pPr>
        <w:spacing w:before="120" w:after="120"/>
        <w:rPr>
          <w:rFonts w:cstheme="minorHAnsi"/>
          <w:bCs/>
          <w:szCs w:val="72"/>
          <w:lang w:val="sr-Cyrl-CS"/>
        </w:rPr>
      </w:pPr>
      <w:r w:rsidRPr="00F5596D">
        <w:rPr>
          <w:rFonts w:cstheme="minorHAnsi"/>
          <w:bCs/>
          <w:szCs w:val="72"/>
          <w:lang w:val="sr-Cyrl-CS"/>
        </w:rPr>
        <w:t>У том контексту, развијена су два додатна сценарија, песимистични и оптимистични, који илуструју амплитуду потенцијалних одступања од основне прогнозе. Песимистични сценарио заснива се на претпоставци материјализације негативних спољних ризика, као што су имплементација тарифа у обиму већим од тренутног, продужени војни конфликти и смањење тражње у ЕУ. У том случају, дошло би до слабијег извоза, већих инфлаторних притисака, смањења реалног расположивог дохотка и успореног темпа приватних инвестиција. Као последица, средњорочна стопа раста БДП у периоду 2026–2028. године била би за 1,5 п.п. нижа у односу на основни сценарио и износила би 2,7% просечно годишње. Оптимистични сценарио, насупрот томе, полази од претпоставке стабилизације глобалних односа, смањења трговинских баријера и раста поверења инвеститора. У том оквиру би дошло до снажнијег раста извоза и инвестиција, као и приватнe потрошњe. Средњорочна стопа раста БДП у овом сценарију износила би 5,7% просечно годишње, односно за 1,5 п.п. више од основног сценарија.</w:t>
      </w:r>
    </w:p>
    <w:p w14:paraId="25629FA3" w14:textId="77777777" w:rsidR="001A395C" w:rsidRPr="00F5596D" w:rsidRDefault="001A395C" w:rsidP="001A395C">
      <w:pPr>
        <w:spacing w:before="120" w:after="120"/>
        <w:rPr>
          <w:rFonts w:cstheme="minorHAnsi"/>
          <w:bCs/>
          <w:szCs w:val="72"/>
          <w:lang w:val="sr-Cyrl-CS"/>
        </w:rPr>
      </w:pPr>
    </w:p>
    <w:p w14:paraId="5392E5B6" w14:textId="77777777" w:rsidR="001A395C" w:rsidRPr="00F5596D" w:rsidRDefault="001A395C" w:rsidP="001A395C">
      <w:pPr>
        <w:spacing w:before="120" w:after="120"/>
        <w:rPr>
          <w:rFonts w:cstheme="minorHAnsi"/>
          <w:bCs/>
          <w:szCs w:val="72"/>
          <w:lang w:val="sr-Cyrl-CS"/>
        </w:rPr>
      </w:pPr>
    </w:p>
    <w:p w14:paraId="45836B7B" w14:textId="77777777" w:rsidR="001A395C" w:rsidRPr="00F5596D" w:rsidRDefault="001A395C" w:rsidP="001A395C">
      <w:pPr>
        <w:spacing w:before="120" w:after="120"/>
        <w:rPr>
          <w:rFonts w:cstheme="minorHAnsi"/>
          <w:bCs/>
          <w:szCs w:val="72"/>
          <w:lang w:val="sr-Cyrl-CS"/>
        </w:rPr>
      </w:pPr>
    </w:p>
    <w:p w14:paraId="5DBF2AE5" w14:textId="77777777" w:rsidR="001A395C" w:rsidRPr="00F5596D" w:rsidRDefault="001A395C" w:rsidP="001A395C">
      <w:pPr>
        <w:spacing w:before="120" w:after="120"/>
        <w:rPr>
          <w:rFonts w:cstheme="minorHAnsi"/>
          <w:bCs/>
          <w:szCs w:val="72"/>
          <w:lang w:val="sr-Cyrl-CS"/>
        </w:rPr>
      </w:pPr>
    </w:p>
    <w:p w14:paraId="09DD6B89" w14:textId="77777777" w:rsidR="001A395C" w:rsidRPr="00F5596D" w:rsidRDefault="001A395C" w:rsidP="001A395C">
      <w:pPr>
        <w:spacing w:before="120" w:after="120"/>
        <w:rPr>
          <w:rFonts w:cstheme="minorHAnsi"/>
          <w:bCs/>
          <w:szCs w:val="72"/>
          <w:lang w:val="sr-Cyrl-CS"/>
        </w:rPr>
      </w:pPr>
    </w:p>
    <w:p w14:paraId="0E73202B" w14:textId="77777777" w:rsidR="001A395C" w:rsidRPr="00F5596D" w:rsidRDefault="001A395C" w:rsidP="001A395C">
      <w:pPr>
        <w:spacing w:before="120" w:after="120"/>
        <w:rPr>
          <w:rFonts w:cstheme="minorHAnsi"/>
          <w:bCs/>
          <w:szCs w:val="72"/>
          <w:lang w:val="sr-Cyrl-CS"/>
        </w:rPr>
      </w:pPr>
    </w:p>
    <w:p w14:paraId="71A5CA57" w14:textId="77777777" w:rsidR="001A395C" w:rsidRPr="00F5596D" w:rsidRDefault="001A395C" w:rsidP="001A395C">
      <w:pPr>
        <w:spacing w:after="60"/>
        <w:jc w:val="center"/>
        <w:rPr>
          <w:rFonts w:cstheme="minorHAnsi"/>
          <w:b/>
          <w:color w:val="002060"/>
          <w:lang w:val="sr-Cyrl-CS"/>
        </w:rPr>
      </w:pPr>
      <w:r w:rsidRPr="00F5596D">
        <w:rPr>
          <w:rFonts w:cstheme="minorHAnsi"/>
          <w:b/>
          <w:color w:val="002060"/>
          <w:lang w:val="sr-Cyrl-CS"/>
        </w:rPr>
        <w:lastRenderedPageBreak/>
        <w:t>Табела 5. Просечне стопе раста (%) у периоду 2026–2028 у зависности од сценарија</w:t>
      </w:r>
    </w:p>
    <w:tbl>
      <w:tblPr>
        <w:tblW w:w="4395" w:type="dxa"/>
        <w:tblCellMar>
          <w:left w:w="0" w:type="dxa"/>
          <w:right w:w="0" w:type="dxa"/>
        </w:tblCellMar>
        <w:tblLook w:val="04A0" w:firstRow="1" w:lastRow="0" w:firstColumn="1" w:lastColumn="0" w:noHBand="0" w:noVBand="1"/>
      </w:tblPr>
      <w:tblGrid>
        <w:gridCol w:w="1380"/>
        <w:gridCol w:w="888"/>
        <w:gridCol w:w="1060"/>
        <w:gridCol w:w="1067"/>
      </w:tblGrid>
      <w:tr w:rsidR="001A395C" w:rsidRPr="00F5596D" w14:paraId="16DE8B49" w14:textId="77777777" w:rsidTr="001A395C">
        <w:trPr>
          <w:trHeight w:val="227"/>
        </w:trPr>
        <w:tc>
          <w:tcPr>
            <w:tcW w:w="1380" w:type="dxa"/>
            <w:tcBorders>
              <w:top w:val="single" w:sz="4" w:space="0" w:color="002060"/>
              <w:left w:val="nil"/>
              <w:bottom w:val="single" w:sz="8" w:space="0" w:color="FFFFFF"/>
              <w:right w:val="nil"/>
            </w:tcBorders>
            <w:shd w:val="clear" w:color="auto" w:fill="auto"/>
            <w:vAlign w:val="center"/>
            <w:hideMark/>
          </w:tcPr>
          <w:p w14:paraId="005058B5"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p>
        </w:tc>
        <w:tc>
          <w:tcPr>
            <w:tcW w:w="3015" w:type="dxa"/>
            <w:gridSpan w:val="3"/>
            <w:tcBorders>
              <w:top w:val="single" w:sz="4" w:space="0" w:color="002060"/>
              <w:left w:val="nil"/>
              <w:bottom w:val="single" w:sz="4" w:space="0" w:color="002060"/>
              <w:right w:val="nil"/>
            </w:tcBorders>
            <w:shd w:val="clear" w:color="auto" w:fill="auto"/>
            <w:vAlign w:val="center"/>
            <w:hideMark/>
          </w:tcPr>
          <w:p w14:paraId="2567B6DA"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Сценарио</w:t>
            </w:r>
          </w:p>
        </w:tc>
      </w:tr>
      <w:tr w:rsidR="001A395C" w:rsidRPr="00F5596D" w14:paraId="74550DB6" w14:textId="77777777" w:rsidTr="001A395C">
        <w:trPr>
          <w:trHeight w:val="227"/>
        </w:trPr>
        <w:tc>
          <w:tcPr>
            <w:tcW w:w="1380" w:type="dxa"/>
            <w:tcBorders>
              <w:top w:val="nil"/>
              <w:left w:val="nil"/>
              <w:bottom w:val="nil"/>
              <w:right w:val="nil"/>
            </w:tcBorders>
            <w:shd w:val="clear" w:color="auto" w:fill="auto"/>
            <w:vAlign w:val="center"/>
            <w:hideMark/>
          </w:tcPr>
          <w:p w14:paraId="72923952"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p>
        </w:tc>
        <w:tc>
          <w:tcPr>
            <w:tcW w:w="888" w:type="dxa"/>
            <w:tcBorders>
              <w:top w:val="nil"/>
              <w:left w:val="nil"/>
              <w:bottom w:val="single" w:sz="4" w:space="0" w:color="002060"/>
              <w:right w:val="nil"/>
            </w:tcBorders>
            <w:shd w:val="clear" w:color="auto" w:fill="auto"/>
            <w:vAlign w:val="center"/>
            <w:hideMark/>
          </w:tcPr>
          <w:p w14:paraId="6EADFBC4"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Централни</w:t>
            </w:r>
          </w:p>
        </w:tc>
        <w:tc>
          <w:tcPr>
            <w:tcW w:w="1060" w:type="dxa"/>
            <w:tcBorders>
              <w:top w:val="nil"/>
              <w:left w:val="nil"/>
              <w:bottom w:val="single" w:sz="4" w:space="0" w:color="002060"/>
              <w:right w:val="nil"/>
            </w:tcBorders>
            <w:shd w:val="clear" w:color="auto" w:fill="auto"/>
            <w:vAlign w:val="center"/>
            <w:hideMark/>
          </w:tcPr>
          <w:p w14:paraId="23A08D82"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Оптимистични</w:t>
            </w:r>
          </w:p>
        </w:tc>
        <w:tc>
          <w:tcPr>
            <w:tcW w:w="1067" w:type="dxa"/>
            <w:tcBorders>
              <w:top w:val="nil"/>
              <w:left w:val="nil"/>
              <w:bottom w:val="single" w:sz="4" w:space="0" w:color="002060"/>
              <w:right w:val="nil"/>
            </w:tcBorders>
            <w:shd w:val="clear" w:color="auto" w:fill="auto"/>
            <w:vAlign w:val="center"/>
            <w:hideMark/>
          </w:tcPr>
          <w:p w14:paraId="61617F14"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Песимистични</w:t>
            </w:r>
          </w:p>
        </w:tc>
      </w:tr>
      <w:tr w:rsidR="001A395C" w:rsidRPr="00F5596D" w14:paraId="15F9531C" w14:textId="77777777" w:rsidTr="001A395C">
        <w:trPr>
          <w:trHeight w:val="293"/>
        </w:trPr>
        <w:tc>
          <w:tcPr>
            <w:tcW w:w="1380" w:type="dxa"/>
            <w:tcBorders>
              <w:top w:val="nil"/>
              <w:left w:val="nil"/>
              <w:bottom w:val="nil"/>
              <w:right w:val="nil"/>
            </w:tcBorders>
            <w:shd w:val="clear" w:color="auto" w:fill="auto"/>
            <w:vAlign w:val="center"/>
            <w:hideMark/>
          </w:tcPr>
          <w:p w14:paraId="7DFBEB16" w14:textId="77777777" w:rsidR="001A395C" w:rsidRPr="00F5596D" w:rsidRDefault="001A395C" w:rsidP="001A395C">
            <w:pPr>
              <w:spacing w:after="0" w:line="240" w:lineRule="auto"/>
              <w:jc w:val="left"/>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Реални раст БДП</w:t>
            </w:r>
          </w:p>
        </w:tc>
        <w:tc>
          <w:tcPr>
            <w:tcW w:w="888" w:type="dxa"/>
            <w:tcBorders>
              <w:top w:val="nil"/>
              <w:left w:val="nil"/>
              <w:bottom w:val="nil"/>
              <w:right w:val="nil"/>
            </w:tcBorders>
            <w:shd w:val="clear" w:color="auto" w:fill="auto"/>
            <w:vAlign w:val="center"/>
            <w:hideMark/>
          </w:tcPr>
          <w:p w14:paraId="4476A174" w14:textId="77777777" w:rsidR="001A395C" w:rsidRPr="00F5596D" w:rsidRDefault="001A395C" w:rsidP="001A395C">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4,2</w:t>
            </w:r>
          </w:p>
        </w:tc>
        <w:tc>
          <w:tcPr>
            <w:tcW w:w="1060" w:type="dxa"/>
            <w:tcBorders>
              <w:top w:val="nil"/>
              <w:left w:val="nil"/>
              <w:bottom w:val="nil"/>
              <w:right w:val="nil"/>
            </w:tcBorders>
            <w:shd w:val="clear" w:color="auto" w:fill="auto"/>
            <w:vAlign w:val="center"/>
            <w:hideMark/>
          </w:tcPr>
          <w:p w14:paraId="161CBFBA" w14:textId="77777777" w:rsidR="001A395C" w:rsidRPr="00F5596D" w:rsidRDefault="001A395C" w:rsidP="001A395C">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5,7</w:t>
            </w:r>
          </w:p>
        </w:tc>
        <w:tc>
          <w:tcPr>
            <w:tcW w:w="1067" w:type="dxa"/>
            <w:tcBorders>
              <w:top w:val="nil"/>
              <w:left w:val="nil"/>
              <w:bottom w:val="nil"/>
              <w:right w:val="nil"/>
            </w:tcBorders>
            <w:shd w:val="clear" w:color="auto" w:fill="auto"/>
            <w:vAlign w:val="center"/>
            <w:hideMark/>
          </w:tcPr>
          <w:p w14:paraId="67F3FB37" w14:textId="77777777" w:rsidR="001A395C" w:rsidRPr="00F5596D" w:rsidRDefault="001A395C" w:rsidP="001A395C">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2,7</w:t>
            </w:r>
          </w:p>
        </w:tc>
      </w:tr>
      <w:tr w:rsidR="001A395C" w:rsidRPr="00F5596D" w14:paraId="1B639A14" w14:textId="77777777" w:rsidTr="001A395C">
        <w:trPr>
          <w:trHeight w:val="293"/>
        </w:trPr>
        <w:tc>
          <w:tcPr>
            <w:tcW w:w="1380" w:type="dxa"/>
            <w:tcBorders>
              <w:top w:val="nil"/>
              <w:left w:val="nil"/>
              <w:bottom w:val="nil"/>
              <w:right w:val="nil"/>
            </w:tcBorders>
            <w:shd w:val="clear" w:color="auto" w:fill="auto"/>
            <w:vAlign w:val="center"/>
            <w:hideMark/>
          </w:tcPr>
          <w:p w14:paraId="18F622C1" w14:textId="77777777" w:rsidR="001A395C" w:rsidRPr="00F5596D" w:rsidRDefault="001A395C" w:rsidP="001A395C">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Лична потрошња</w:t>
            </w:r>
          </w:p>
        </w:tc>
        <w:tc>
          <w:tcPr>
            <w:tcW w:w="888" w:type="dxa"/>
            <w:tcBorders>
              <w:top w:val="nil"/>
              <w:left w:val="nil"/>
              <w:bottom w:val="nil"/>
              <w:right w:val="nil"/>
            </w:tcBorders>
            <w:shd w:val="clear" w:color="auto" w:fill="auto"/>
            <w:vAlign w:val="center"/>
            <w:hideMark/>
          </w:tcPr>
          <w:p w14:paraId="35A007D4"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3,6</w:t>
            </w:r>
          </w:p>
        </w:tc>
        <w:tc>
          <w:tcPr>
            <w:tcW w:w="1060" w:type="dxa"/>
            <w:tcBorders>
              <w:top w:val="nil"/>
              <w:left w:val="nil"/>
              <w:bottom w:val="nil"/>
              <w:right w:val="nil"/>
            </w:tcBorders>
            <w:shd w:val="clear" w:color="auto" w:fill="auto"/>
            <w:vAlign w:val="center"/>
            <w:hideMark/>
          </w:tcPr>
          <w:p w14:paraId="57590EF4"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4,2</w:t>
            </w:r>
          </w:p>
        </w:tc>
        <w:tc>
          <w:tcPr>
            <w:tcW w:w="1067" w:type="dxa"/>
            <w:tcBorders>
              <w:top w:val="nil"/>
              <w:left w:val="nil"/>
              <w:bottom w:val="nil"/>
              <w:right w:val="nil"/>
            </w:tcBorders>
            <w:shd w:val="clear" w:color="auto" w:fill="auto"/>
            <w:vAlign w:val="center"/>
            <w:hideMark/>
          </w:tcPr>
          <w:p w14:paraId="0E9F96A9"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2,4</w:t>
            </w:r>
          </w:p>
        </w:tc>
      </w:tr>
      <w:tr w:rsidR="001A395C" w:rsidRPr="00F5596D" w14:paraId="45AFB1FA" w14:textId="77777777" w:rsidTr="001A395C">
        <w:trPr>
          <w:trHeight w:val="293"/>
        </w:trPr>
        <w:tc>
          <w:tcPr>
            <w:tcW w:w="1380" w:type="dxa"/>
            <w:tcBorders>
              <w:top w:val="nil"/>
              <w:left w:val="nil"/>
              <w:bottom w:val="nil"/>
              <w:right w:val="nil"/>
            </w:tcBorders>
            <w:shd w:val="clear" w:color="auto" w:fill="auto"/>
            <w:vAlign w:val="center"/>
            <w:hideMark/>
          </w:tcPr>
          <w:p w14:paraId="571AAC15" w14:textId="77777777" w:rsidR="001A395C" w:rsidRPr="00F5596D" w:rsidRDefault="001A395C" w:rsidP="001A395C">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Државна потрошња</w:t>
            </w:r>
          </w:p>
        </w:tc>
        <w:tc>
          <w:tcPr>
            <w:tcW w:w="888" w:type="dxa"/>
            <w:tcBorders>
              <w:top w:val="nil"/>
              <w:left w:val="nil"/>
              <w:bottom w:val="nil"/>
              <w:right w:val="nil"/>
            </w:tcBorders>
            <w:shd w:val="clear" w:color="auto" w:fill="auto"/>
            <w:vAlign w:val="center"/>
            <w:hideMark/>
          </w:tcPr>
          <w:p w14:paraId="35489206"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2,6</w:t>
            </w:r>
          </w:p>
        </w:tc>
        <w:tc>
          <w:tcPr>
            <w:tcW w:w="1060" w:type="dxa"/>
            <w:tcBorders>
              <w:top w:val="nil"/>
              <w:left w:val="nil"/>
              <w:bottom w:val="nil"/>
              <w:right w:val="nil"/>
            </w:tcBorders>
            <w:shd w:val="clear" w:color="auto" w:fill="auto"/>
            <w:vAlign w:val="center"/>
            <w:hideMark/>
          </w:tcPr>
          <w:p w14:paraId="3C16B557"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3,3</w:t>
            </w:r>
          </w:p>
        </w:tc>
        <w:tc>
          <w:tcPr>
            <w:tcW w:w="1067" w:type="dxa"/>
            <w:tcBorders>
              <w:top w:val="nil"/>
              <w:left w:val="nil"/>
              <w:bottom w:val="nil"/>
              <w:right w:val="nil"/>
            </w:tcBorders>
            <w:shd w:val="clear" w:color="auto" w:fill="auto"/>
            <w:vAlign w:val="center"/>
            <w:hideMark/>
          </w:tcPr>
          <w:p w14:paraId="4E37972F"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2,1</w:t>
            </w:r>
          </w:p>
        </w:tc>
      </w:tr>
      <w:tr w:rsidR="001A395C" w:rsidRPr="00F5596D" w14:paraId="34E7C336" w14:textId="77777777" w:rsidTr="001A395C">
        <w:trPr>
          <w:trHeight w:val="293"/>
        </w:trPr>
        <w:tc>
          <w:tcPr>
            <w:tcW w:w="1380" w:type="dxa"/>
            <w:tcBorders>
              <w:top w:val="nil"/>
              <w:left w:val="nil"/>
              <w:bottom w:val="nil"/>
              <w:right w:val="nil"/>
            </w:tcBorders>
            <w:shd w:val="clear" w:color="auto" w:fill="auto"/>
            <w:vAlign w:val="center"/>
            <w:hideMark/>
          </w:tcPr>
          <w:p w14:paraId="004B9DBD" w14:textId="77777777" w:rsidR="001A395C" w:rsidRPr="00F5596D" w:rsidRDefault="001A395C" w:rsidP="001A395C">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Бруто инвестиције у основна средства</w:t>
            </w:r>
          </w:p>
        </w:tc>
        <w:tc>
          <w:tcPr>
            <w:tcW w:w="888" w:type="dxa"/>
            <w:tcBorders>
              <w:top w:val="nil"/>
              <w:left w:val="nil"/>
              <w:bottom w:val="nil"/>
              <w:right w:val="nil"/>
            </w:tcBorders>
            <w:shd w:val="clear" w:color="auto" w:fill="auto"/>
            <w:vAlign w:val="center"/>
            <w:hideMark/>
          </w:tcPr>
          <w:p w14:paraId="6FEF0DEF"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6,6</w:t>
            </w:r>
          </w:p>
        </w:tc>
        <w:tc>
          <w:tcPr>
            <w:tcW w:w="1060" w:type="dxa"/>
            <w:tcBorders>
              <w:top w:val="nil"/>
              <w:left w:val="nil"/>
              <w:bottom w:val="nil"/>
              <w:right w:val="nil"/>
            </w:tcBorders>
            <w:shd w:val="clear" w:color="auto" w:fill="auto"/>
            <w:vAlign w:val="center"/>
            <w:hideMark/>
          </w:tcPr>
          <w:p w14:paraId="40F68575"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8,4</w:t>
            </w:r>
          </w:p>
        </w:tc>
        <w:tc>
          <w:tcPr>
            <w:tcW w:w="1067" w:type="dxa"/>
            <w:tcBorders>
              <w:top w:val="nil"/>
              <w:left w:val="nil"/>
              <w:bottom w:val="nil"/>
              <w:right w:val="nil"/>
            </w:tcBorders>
            <w:shd w:val="clear" w:color="auto" w:fill="auto"/>
            <w:vAlign w:val="center"/>
            <w:hideMark/>
          </w:tcPr>
          <w:p w14:paraId="4C6AB67D"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4,8</w:t>
            </w:r>
          </w:p>
        </w:tc>
      </w:tr>
      <w:tr w:rsidR="001A395C" w:rsidRPr="00F5596D" w14:paraId="52159253" w14:textId="77777777" w:rsidTr="001A395C">
        <w:trPr>
          <w:trHeight w:val="293"/>
        </w:trPr>
        <w:tc>
          <w:tcPr>
            <w:tcW w:w="1380" w:type="dxa"/>
            <w:tcBorders>
              <w:top w:val="nil"/>
              <w:left w:val="nil"/>
              <w:right w:val="nil"/>
            </w:tcBorders>
            <w:shd w:val="clear" w:color="auto" w:fill="auto"/>
            <w:vAlign w:val="center"/>
            <w:hideMark/>
          </w:tcPr>
          <w:p w14:paraId="3A38B460" w14:textId="77777777" w:rsidR="001A395C" w:rsidRPr="00F5596D" w:rsidRDefault="001A395C" w:rsidP="001A395C">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Извоз робе и услуга</w:t>
            </w:r>
          </w:p>
        </w:tc>
        <w:tc>
          <w:tcPr>
            <w:tcW w:w="888" w:type="dxa"/>
            <w:tcBorders>
              <w:top w:val="nil"/>
              <w:left w:val="nil"/>
              <w:right w:val="nil"/>
            </w:tcBorders>
            <w:shd w:val="clear" w:color="auto" w:fill="auto"/>
            <w:vAlign w:val="center"/>
            <w:hideMark/>
          </w:tcPr>
          <w:p w14:paraId="2C6CA4D6"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6,6</w:t>
            </w:r>
          </w:p>
        </w:tc>
        <w:tc>
          <w:tcPr>
            <w:tcW w:w="1060" w:type="dxa"/>
            <w:tcBorders>
              <w:top w:val="nil"/>
              <w:left w:val="nil"/>
              <w:right w:val="nil"/>
            </w:tcBorders>
            <w:shd w:val="clear" w:color="auto" w:fill="auto"/>
            <w:vAlign w:val="center"/>
            <w:hideMark/>
          </w:tcPr>
          <w:p w14:paraId="5EFC770A"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8,8</w:t>
            </w:r>
          </w:p>
        </w:tc>
        <w:tc>
          <w:tcPr>
            <w:tcW w:w="1067" w:type="dxa"/>
            <w:tcBorders>
              <w:top w:val="nil"/>
              <w:left w:val="nil"/>
              <w:right w:val="nil"/>
            </w:tcBorders>
            <w:shd w:val="clear" w:color="auto" w:fill="auto"/>
            <w:vAlign w:val="center"/>
            <w:hideMark/>
          </w:tcPr>
          <w:p w14:paraId="166F978C"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4,9</w:t>
            </w:r>
          </w:p>
        </w:tc>
      </w:tr>
      <w:tr w:rsidR="001A395C" w:rsidRPr="00F5596D" w14:paraId="4A8A9E65" w14:textId="77777777" w:rsidTr="001A395C">
        <w:trPr>
          <w:trHeight w:val="293"/>
        </w:trPr>
        <w:tc>
          <w:tcPr>
            <w:tcW w:w="1380" w:type="dxa"/>
            <w:tcBorders>
              <w:top w:val="nil"/>
              <w:left w:val="nil"/>
              <w:bottom w:val="single" w:sz="4" w:space="0" w:color="002060"/>
              <w:right w:val="nil"/>
            </w:tcBorders>
            <w:shd w:val="clear" w:color="auto" w:fill="auto"/>
            <w:vAlign w:val="center"/>
            <w:hideMark/>
          </w:tcPr>
          <w:p w14:paraId="209B6A66" w14:textId="77777777" w:rsidR="001A395C" w:rsidRPr="00F5596D" w:rsidRDefault="001A395C" w:rsidP="001A395C">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Увоз робе и услуга</w:t>
            </w:r>
          </w:p>
        </w:tc>
        <w:tc>
          <w:tcPr>
            <w:tcW w:w="888" w:type="dxa"/>
            <w:tcBorders>
              <w:top w:val="nil"/>
              <w:left w:val="nil"/>
              <w:bottom w:val="single" w:sz="4" w:space="0" w:color="002060"/>
              <w:right w:val="nil"/>
            </w:tcBorders>
            <w:shd w:val="clear" w:color="auto" w:fill="auto"/>
            <w:vAlign w:val="center"/>
            <w:hideMark/>
          </w:tcPr>
          <w:p w14:paraId="054D8248"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6,2</w:t>
            </w:r>
          </w:p>
        </w:tc>
        <w:tc>
          <w:tcPr>
            <w:tcW w:w="1060" w:type="dxa"/>
            <w:tcBorders>
              <w:top w:val="nil"/>
              <w:left w:val="nil"/>
              <w:bottom w:val="single" w:sz="4" w:space="0" w:color="002060"/>
              <w:right w:val="nil"/>
            </w:tcBorders>
            <w:shd w:val="clear" w:color="auto" w:fill="auto"/>
            <w:vAlign w:val="center"/>
            <w:hideMark/>
          </w:tcPr>
          <w:p w14:paraId="098BB29E"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7,3</w:t>
            </w:r>
          </w:p>
        </w:tc>
        <w:tc>
          <w:tcPr>
            <w:tcW w:w="1067" w:type="dxa"/>
            <w:tcBorders>
              <w:top w:val="nil"/>
              <w:left w:val="nil"/>
              <w:bottom w:val="single" w:sz="4" w:space="0" w:color="002060"/>
              <w:right w:val="nil"/>
            </w:tcBorders>
            <w:shd w:val="clear" w:color="auto" w:fill="auto"/>
            <w:vAlign w:val="center"/>
            <w:hideMark/>
          </w:tcPr>
          <w:p w14:paraId="4F4FFC30" w14:textId="77777777" w:rsidR="001A395C" w:rsidRPr="00F5596D" w:rsidRDefault="001A395C" w:rsidP="001A395C">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5,0</w:t>
            </w:r>
          </w:p>
        </w:tc>
      </w:tr>
    </w:tbl>
    <w:p w14:paraId="42EB642E" w14:textId="77777777" w:rsidR="001A395C" w:rsidRPr="00F5596D" w:rsidRDefault="001A395C" w:rsidP="001A395C">
      <w:pPr>
        <w:spacing w:before="40"/>
        <w:rPr>
          <w:rFonts w:cstheme="minorHAnsi"/>
          <w:sz w:val="14"/>
          <w:lang w:val="sr-Cyrl-CS"/>
        </w:rPr>
      </w:pPr>
      <w:r w:rsidRPr="00F5596D">
        <w:rPr>
          <w:rFonts w:cstheme="minorHAnsi"/>
          <w:sz w:val="14"/>
          <w:lang w:val="sr-Cyrl-CS"/>
        </w:rPr>
        <w:t>Извор: Министарство финансија</w:t>
      </w:r>
    </w:p>
    <w:p w14:paraId="5B6F0A3B" w14:textId="77777777" w:rsidR="001A395C" w:rsidRPr="00F5596D" w:rsidRDefault="001A395C" w:rsidP="001A395C">
      <w:pPr>
        <w:spacing w:after="0"/>
        <w:rPr>
          <w:rFonts w:cstheme="minorHAnsi"/>
          <w:bCs/>
          <w:szCs w:val="72"/>
          <w:lang w:val="sr-Cyrl-CS"/>
        </w:rPr>
      </w:pPr>
      <w:r w:rsidRPr="00F5596D">
        <w:rPr>
          <w:rFonts w:cstheme="minorHAnsi"/>
          <w:bCs/>
          <w:szCs w:val="72"/>
          <w:lang w:val="sr-Cyrl-CS"/>
        </w:rPr>
        <w:t xml:space="preserve">Према централном сценарију, у средњорочном периоду очекује се наставак стабилног раста потенцијалног БДП, по стопи од око 4,0%. Главни носиоци овог раста биће акумулација капитала и укупна факторска продуктивност (TFP), под утицајем континуираних улагања у инфраструктуру, енергетски сектор, дигитализацију и нове технологије. Ови процеси биће додатно подржани приливом страних директних инвестиција, као и улагањима у истраживање, развој и иновације, што ће утицати на боље искоришћавање расположивих ресурса и подизање ефикасности. Дигитална трансформација привреде и даље се препознаје као кључни покретач раста продуктивности, диверсификације извоза и привлачења квалитетних инвестиција, нарочито у сектору информационих технологија. Наставак раста ИТ сектора може дати снажан подстицај целокупној економији кроз убрзано ширење знања и примену напредних технолошких решења. Значајна планирана улагања у енергетску инфраструктуру, посебно у области обновљивих извора и енергетске ефикасности, представљају важан део зелене транзиције и имају потенцијал да унапреде енергетску безбедност земље и створе предуслове за дугорочно одржив раст. Велики инфраструктурни пројекти, посебно они који унапређују регионалну повезаност и логистички капацитет, могу знатно смањити трошкове трговине и подстаћи приватна улагања. С друге стране, кретања на тржишту рада такође ће дати </w:t>
      </w:r>
      <w:r w:rsidRPr="00F5596D">
        <w:rPr>
          <w:rFonts w:cstheme="minorHAnsi"/>
          <w:bCs/>
          <w:szCs w:val="72"/>
          <w:lang w:val="sr-Cyrl-CS"/>
        </w:rPr>
        <w:t>позитиван, иако умеренији допринос расту потенцијалног БДП, углавном услед постепеног повећања стопе учешћа радне снаге и умереног раста запослености. Међутим, допринос фактора рада у наредним годинама вероватно ће бити мањи него у претходном периоду, због демографских кретања и структурних ограничења тржишта рада.</w:t>
      </w:r>
    </w:p>
    <w:p w14:paraId="4DE86B40" w14:textId="77777777" w:rsidR="001A395C" w:rsidRPr="00F5596D" w:rsidRDefault="001A395C" w:rsidP="001A395C">
      <w:pPr>
        <w:spacing w:after="0"/>
        <w:rPr>
          <w:rFonts w:cstheme="minorHAnsi"/>
          <w:bCs/>
          <w:szCs w:val="72"/>
          <w:lang w:val="sr-Cyrl-CS"/>
        </w:rPr>
      </w:pPr>
      <w:r w:rsidRPr="00F5596D">
        <w:rPr>
          <w:rFonts w:cstheme="minorHAnsi"/>
          <w:bCs/>
          <w:szCs w:val="72"/>
          <w:lang w:val="sr-Cyrl-CS"/>
        </w:rPr>
        <w:t>За убрзање потенцијалног раста кључни су и структурни реформски процеси. Приоритетне области обухватају реформу правног оквира, јачање владавине права, смањење административних баријера и унапређење ефикасности јавне управе. Такве мере су неопходне за откључавање пуних потенцијала приватних инвестиција и подизање конкурентности. Истовремено, монетарна политика уз даља унапређења финансијског система и повољнији регулаторни амбијент додатно ће подржати инвестициони циклус и пренос технологија из развијених земаља. Ипак, остају изазови у погледу институционалних капацитета, ефикасности реализације пројеката и осигурања да инвестиције буду праћене комплементарним реформама. Њихово решавање биће од суштинског значаја за дугорочну одрживост раста и отпорност економије на спољне шокове.</w:t>
      </w:r>
    </w:p>
    <w:p w14:paraId="68674CB7" w14:textId="77777777" w:rsidR="001A395C" w:rsidRPr="00F5596D" w:rsidRDefault="001A395C" w:rsidP="001A395C">
      <w:pPr>
        <w:spacing w:after="0"/>
        <w:rPr>
          <w:rFonts w:cstheme="minorHAnsi"/>
          <w:bCs/>
          <w:szCs w:val="72"/>
          <w:lang w:val="sr-Cyrl-CS"/>
        </w:rPr>
      </w:pPr>
    </w:p>
    <w:p w14:paraId="5DF6F9D8" w14:textId="77777777" w:rsidR="001A395C" w:rsidRPr="00F5596D" w:rsidRDefault="001A395C" w:rsidP="001A395C">
      <w:pPr>
        <w:spacing w:after="0"/>
        <w:jc w:val="center"/>
        <w:rPr>
          <w:rFonts w:cstheme="minorHAnsi"/>
          <w:b/>
          <w:color w:val="002060"/>
          <w:lang w:val="sr-Cyrl-CS"/>
        </w:rPr>
      </w:pPr>
      <w:r w:rsidRPr="00F5596D">
        <w:rPr>
          <w:rFonts w:cstheme="minorHAnsi"/>
          <w:b/>
          <w:color w:val="002060"/>
          <w:lang w:val="sr-Cyrl-CS"/>
        </w:rPr>
        <w:t>Доприноси фактора производње</w:t>
      </w:r>
      <w:r w:rsidRPr="00F5596D">
        <w:rPr>
          <w:rFonts w:cstheme="minorHAnsi"/>
          <w:b/>
          <w:color w:val="FF0000"/>
          <w:lang w:val="sr-Cyrl-CS"/>
        </w:rPr>
        <w:t xml:space="preserve"> </w:t>
      </w:r>
      <w:r w:rsidRPr="00F5596D">
        <w:rPr>
          <w:rFonts w:cstheme="minorHAnsi"/>
          <w:b/>
          <w:color w:val="002060"/>
          <w:lang w:val="sr-Cyrl-CS"/>
        </w:rPr>
        <w:t>потенцијалној стопи раста БДП, п.п.</w:t>
      </w:r>
    </w:p>
    <w:p w14:paraId="66DBCCDA" w14:textId="77777777" w:rsidR="001A395C" w:rsidRPr="00F5596D" w:rsidRDefault="001A395C" w:rsidP="001A395C">
      <w:pPr>
        <w:spacing w:after="0"/>
        <w:rPr>
          <w:rFonts w:cstheme="minorHAnsi"/>
          <w:sz w:val="16"/>
          <w:lang w:val="sr-Cyrl-CS"/>
        </w:rPr>
      </w:pPr>
      <w:r w:rsidRPr="00F5596D">
        <w:rPr>
          <w:noProof/>
        </w:rPr>
        <w:drawing>
          <wp:inline distT="0" distB="0" distL="0" distR="0" wp14:anchorId="53995742" wp14:editId="3CB56016">
            <wp:extent cx="2743200" cy="2135505"/>
            <wp:effectExtent l="0" t="0" r="0" b="0"/>
            <wp:docPr id="53" name="Chart 53">
              <a:extLst xmlns:a="http://schemas.openxmlformats.org/drawingml/2006/main">
                <a:ext uri="{FF2B5EF4-FFF2-40B4-BE49-F238E27FC236}">
                  <a16:creationId xmlns:a16="http://schemas.microsoft.com/office/drawing/2014/main" id="{00000000-0008-0000-0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194EAAED" w14:textId="77777777" w:rsidR="001A395C" w:rsidRPr="00F5596D" w:rsidRDefault="001A395C" w:rsidP="001A395C">
      <w:pPr>
        <w:spacing w:after="240"/>
        <w:rPr>
          <w:rFonts w:cstheme="minorHAnsi"/>
          <w:sz w:val="14"/>
          <w:lang w:val="sr-Cyrl-CS"/>
        </w:rPr>
        <w:sectPr w:rsidR="001A395C" w:rsidRPr="00F5596D" w:rsidSect="001A395C">
          <w:headerReference w:type="even" r:id="rId88"/>
          <w:footerReference w:type="even" r:id="rId89"/>
          <w:footerReference w:type="default" r:id="rId90"/>
          <w:headerReference w:type="first" r:id="rId91"/>
          <w:footerReference w:type="first" r:id="rId92"/>
          <w:type w:val="continuous"/>
          <w:pgSz w:w="12240" w:h="15840" w:code="1"/>
          <w:pgMar w:top="1440" w:right="1440" w:bottom="1440" w:left="1440" w:header="720" w:footer="720" w:gutter="0"/>
          <w:cols w:num="2" w:space="720"/>
          <w:titlePg/>
          <w:docGrid w:linePitch="360"/>
        </w:sectPr>
      </w:pPr>
      <w:r w:rsidRPr="00F5596D">
        <w:rPr>
          <w:rFonts w:cstheme="minorHAnsi"/>
          <w:sz w:val="14"/>
          <w:lang w:val="sr-Cyrl-CS"/>
        </w:rPr>
        <w:t>Извор: Министарство финансија</w:t>
      </w:r>
    </w:p>
    <w:p w14:paraId="7A0016DE" w14:textId="77777777" w:rsidR="001A395C" w:rsidRPr="00F5596D" w:rsidRDefault="001A395C" w:rsidP="001A395C">
      <w:pPr>
        <w:pStyle w:val="NoSpacing"/>
        <w:spacing w:after="40"/>
        <w:rPr>
          <w:rFonts w:cstheme="minorHAnsi"/>
          <w:sz w:val="16"/>
          <w:lang w:val="sr-Cyrl-CS"/>
        </w:rPr>
      </w:pPr>
    </w:p>
    <w:p w14:paraId="2807F2A5" w14:textId="77777777" w:rsidR="001A395C" w:rsidRPr="00F5596D" w:rsidRDefault="001A395C" w:rsidP="001A395C">
      <w:pPr>
        <w:rPr>
          <w:lang w:val="sr-Cyrl-CS"/>
        </w:rPr>
      </w:pPr>
    </w:p>
    <w:p w14:paraId="2D35233F" w14:textId="3DA223C3" w:rsidR="00181BDB" w:rsidRPr="00F5596D" w:rsidRDefault="00181BDB" w:rsidP="00730D89">
      <w:pPr>
        <w:rPr>
          <w:lang w:val="sr-Cyrl-CS"/>
        </w:rPr>
      </w:pPr>
    </w:p>
    <w:p w14:paraId="1042D11A" w14:textId="4A98E6B2" w:rsidR="00336BC5" w:rsidRPr="00F5596D" w:rsidRDefault="00336BC5" w:rsidP="00730D89">
      <w:pPr>
        <w:rPr>
          <w:lang w:val="sr-Cyrl-CS"/>
        </w:rPr>
      </w:pPr>
    </w:p>
    <w:p w14:paraId="66D70B82" w14:textId="3D9C9A8D" w:rsidR="00336BC5" w:rsidRPr="00F5596D" w:rsidRDefault="00336BC5" w:rsidP="00730D89">
      <w:pPr>
        <w:rPr>
          <w:lang w:val="sr-Cyrl-CS"/>
        </w:rPr>
      </w:pPr>
    </w:p>
    <w:p w14:paraId="5973474A" w14:textId="77777777" w:rsidR="00336BC5" w:rsidRPr="00F5596D" w:rsidRDefault="00336BC5" w:rsidP="00E61F75">
      <w:pPr>
        <w:spacing w:before="40"/>
        <w:rPr>
          <w:rFonts w:cstheme="minorHAnsi"/>
          <w:bCs/>
          <w:color w:val="2F5496" w:themeColor="accent1" w:themeShade="BF"/>
          <w:szCs w:val="72"/>
          <w:lang w:val="sr-Cyrl-CS"/>
        </w:rPr>
      </w:pPr>
      <w:r w:rsidRPr="00F5596D">
        <w:rPr>
          <w:b/>
          <w:bCs/>
          <w:color w:val="2F5496" w:themeColor="accent1" w:themeShade="BF"/>
          <w:sz w:val="22"/>
          <w:lang w:val="sr-Cyrl-CS"/>
        </w:rPr>
        <w:lastRenderedPageBreak/>
        <w:t>Тржиште рада</w:t>
      </w:r>
    </w:p>
    <w:p w14:paraId="3682D606" w14:textId="61F13C34" w:rsidR="00336BC5" w:rsidRPr="00F5596D" w:rsidRDefault="00336BC5" w:rsidP="00E61F75">
      <w:pPr>
        <w:spacing w:after="120"/>
        <w:rPr>
          <w:lang w:val="sr-Cyrl-CS"/>
        </w:rPr>
      </w:pPr>
      <w:r w:rsidRPr="00F5596D">
        <w:rPr>
          <w:lang w:val="sr-Cyrl-CS"/>
        </w:rPr>
        <w:t>Упркос повећаним неизвесностима у погледу будућих економских кретања, тржиште рада остаје отпорно и стабилно и током 2025. године. Основни показатељи, као што су стопа запослености, стопа незапослености и раст реалних зарада указују на очување позитивних трендова. Истовремено, смањен је број лица ван радне снаге, забележен је раст формалне запослености, а положај младих и жена на тржишту рада наставља да се унапређује. Раст реалних зарада, подстакнут мерама економске политике, допринео је бољем животном стандарду. Ова позитивна кретања резултат су системског приступа економске политике, унапређења услова рада, јачања институција тржишта рада и стимулативних мера које подстичу запошљавање теже запошљивих група, што је допринело већој инклузији. Уз то, регионалне и локалне политике запошљавања одиграле су кључну улогу у одржавању високог нивоа запослености широм земље.</w:t>
      </w:r>
    </w:p>
    <w:p w14:paraId="54596C7C" w14:textId="77777777" w:rsidR="00336BC5" w:rsidRPr="00F5596D" w:rsidRDefault="00336BC5" w:rsidP="00E61F75">
      <w:pPr>
        <w:spacing w:after="120"/>
        <w:rPr>
          <w:lang w:val="sr-Cyrl-CS"/>
        </w:rPr>
      </w:pPr>
      <w:r w:rsidRPr="00F5596D">
        <w:rPr>
          <w:lang w:val="sr-Cyrl-CS"/>
        </w:rPr>
        <w:t>Према подацима Централног регистра обавезног социјалног осигурања (ЦРОСО), у периоду јануар–април 2025. године просечан број запослених био је већи за 0,2% у поређењу са истим периодом претходне године. Међутим, темпо раста запослености је успорен, пре свега услед смањења броја запослених у прерађивачкој индустрији, која је забележила пад од 2,1%, пре свега као последица мањег броја запослених у одевној и кожној индустрији, као и производњи електричне опреме. Са друге стране, поједини сектори, попут административних делатности и ИКТ, наставили су да позитивно доприносе запослености, ублажавајући делимично негативне ефекте смањења запослености у прерађивачкој индустрији. У приватном сектору забележен је раст од 0,4% (око седам хиљада лица), док је у јавном сектору број запослених смањен за 0,3% (1,9 хиљада лица). Према подацима Националне службе за запошљавање, у истом периоду, број лица која активно траже запослење смањен је за 8,1%.</w:t>
      </w:r>
    </w:p>
    <w:p w14:paraId="05A3B5C1" w14:textId="77777777" w:rsidR="00336BC5" w:rsidRPr="00F5596D" w:rsidRDefault="00336BC5" w:rsidP="00E61F75">
      <w:pPr>
        <w:spacing w:after="120"/>
        <w:rPr>
          <w:lang w:val="sr-Cyrl-CS"/>
        </w:rPr>
      </w:pPr>
    </w:p>
    <w:p w14:paraId="74806562" w14:textId="77777777" w:rsidR="00336BC5" w:rsidRPr="00F5596D" w:rsidRDefault="00336BC5" w:rsidP="00E61F75">
      <w:pPr>
        <w:spacing w:after="120"/>
        <w:rPr>
          <w:lang w:val="sr-Cyrl-CS"/>
        </w:rPr>
      </w:pPr>
    </w:p>
    <w:p w14:paraId="49BA6C20" w14:textId="77777777" w:rsidR="000A55EE" w:rsidRPr="00F5596D" w:rsidRDefault="000A55EE" w:rsidP="00E61F75">
      <w:pPr>
        <w:spacing w:after="0"/>
        <w:jc w:val="center"/>
        <w:rPr>
          <w:rFonts w:cstheme="minorHAnsi"/>
          <w:b/>
          <w:color w:val="002060"/>
          <w:lang w:val="sr-Cyrl-CS"/>
        </w:rPr>
      </w:pPr>
    </w:p>
    <w:p w14:paraId="2E9EEFD3" w14:textId="77777777" w:rsidR="000A55EE" w:rsidRPr="00F5596D" w:rsidRDefault="000A55EE" w:rsidP="00E61F75">
      <w:pPr>
        <w:spacing w:after="0"/>
        <w:jc w:val="center"/>
        <w:rPr>
          <w:rFonts w:cstheme="minorHAnsi"/>
          <w:b/>
          <w:color w:val="002060"/>
          <w:lang w:val="sr-Cyrl-CS"/>
        </w:rPr>
      </w:pPr>
    </w:p>
    <w:p w14:paraId="7CBE4A3F" w14:textId="5FFE01FB" w:rsidR="00336BC5" w:rsidRPr="00F5596D" w:rsidRDefault="00336BC5" w:rsidP="00E61F75">
      <w:pPr>
        <w:spacing w:after="0"/>
        <w:jc w:val="center"/>
        <w:rPr>
          <w:rFonts w:cstheme="minorHAnsi"/>
          <w:b/>
          <w:color w:val="002060"/>
          <w:lang w:val="sr-Cyrl-CS"/>
        </w:rPr>
      </w:pPr>
      <w:r w:rsidRPr="00F5596D">
        <w:rPr>
          <w:rFonts w:cstheme="minorHAnsi"/>
          <w:b/>
          <w:color w:val="002060"/>
          <w:lang w:val="sr-Cyrl-CS"/>
        </w:rPr>
        <w:t>Кретање формалне запослености</w:t>
      </w:r>
    </w:p>
    <w:p w14:paraId="2B335796" w14:textId="77777777" w:rsidR="00336BC5" w:rsidRPr="00F5596D" w:rsidRDefault="00336BC5" w:rsidP="00E61F75">
      <w:pPr>
        <w:spacing w:after="0"/>
        <w:rPr>
          <w:rFonts w:cstheme="minorHAnsi"/>
          <w:bCs/>
          <w:szCs w:val="72"/>
          <w:lang w:val="sr-Cyrl-CS"/>
        </w:rPr>
      </w:pPr>
      <w:r w:rsidRPr="00F5596D">
        <w:rPr>
          <w:noProof/>
        </w:rPr>
        <w:drawing>
          <wp:inline distT="0" distB="0" distL="0" distR="0" wp14:anchorId="35BBCE6C" wp14:editId="00EAE4D9">
            <wp:extent cx="2743200" cy="2087880"/>
            <wp:effectExtent l="0" t="0" r="0" b="7620"/>
            <wp:docPr id="54" name="Chart 54">
              <a:extLst xmlns:a="http://schemas.openxmlformats.org/drawingml/2006/main">
                <a:ext uri="{FF2B5EF4-FFF2-40B4-BE49-F238E27FC236}">
                  <a16:creationId xmlns:a16="http://schemas.microsoft.com/office/drawing/2014/main" id="{00000000-0008-0000-1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BB3E357" w14:textId="77777777" w:rsidR="00336BC5" w:rsidRPr="00F5596D" w:rsidRDefault="00336BC5" w:rsidP="00E61F75">
      <w:pPr>
        <w:spacing w:after="0" w:line="240" w:lineRule="auto"/>
        <w:rPr>
          <w:rFonts w:cstheme="minorHAnsi"/>
          <w:bCs/>
          <w:sz w:val="14"/>
          <w:szCs w:val="16"/>
          <w:lang w:val="sr-Cyrl-CS"/>
        </w:rPr>
      </w:pPr>
      <w:r w:rsidRPr="00F5596D">
        <w:rPr>
          <w:rFonts w:cstheme="minorHAnsi"/>
          <w:bCs/>
          <w:sz w:val="14"/>
          <w:szCs w:val="16"/>
          <w:lang w:val="sr-Cyrl-CS"/>
        </w:rPr>
        <w:t>Извор: ЦРОСО</w:t>
      </w:r>
    </w:p>
    <w:p w14:paraId="6F25763E" w14:textId="77777777" w:rsidR="00336BC5" w:rsidRPr="00F5596D" w:rsidRDefault="00336BC5" w:rsidP="00E61F75">
      <w:pPr>
        <w:spacing w:before="120"/>
        <w:rPr>
          <w:rFonts w:cstheme="minorHAnsi"/>
          <w:bCs/>
          <w:spacing w:val="-2"/>
          <w:szCs w:val="72"/>
          <w:lang w:val="sr-Cyrl-CS"/>
        </w:rPr>
      </w:pPr>
      <w:r w:rsidRPr="00F5596D">
        <w:rPr>
          <w:rFonts w:cstheme="minorHAnsi"/>
          <w:bCs/>
          <w:spacing w:val="-2"/>
          <w:szCs w:val="72"/>
          <w:lang w:val="sr-Cyrl-CS"/>
        </w:rPr>
        <w:t>У првом кварталу просечна нето зарада је износила 106.337 динара и била је реално већа за 6,4% у поређењу са истим периодом претходне године. Раст зарада био је већим делом опредељен реалним растом зарада у приватном сектору, који је износио 6,7% и био је вођен, пре свега повећањем зарада у прерађивачкој индустрији и трговини. Истовремено, забележено је и реално повећање зарада у јавном сектору од 5,6%. Повољној динамици зарада д</w:t>
      </w:r>
      <w:r w:rsidRPr="00F5596D">
        <w:rPr>
          <w:lang w:val="sr-Cyrl-CS"/>
        </w:rPr>
        <w:t xml:space="preserve">опринело је и ефектуирање политике пореског растерећења зарада из претходног периоду, које је праћено повећањем минималне цене рада </w:t>
      </w:r>
      <w:r w:rsidRPr="00F5596D">
        <w:rPr>
          <w:rFonts w:cstheme="minorHAnsi"/>
          <w:bCs/>
          <w:spacing w:val="-2"/>
          <w:szCs w:val="72"/>
          <w:lang w:val="sr-Cyrl-CS"/>
        </w:rPr>
        <w:t xml:space="preserve">која је од 2025. године увећана за 13,7% и износи 308,00 динара по радном часу, а </w:t>
      </w:r>
      <w:r w:rsidRPr="00F5596D">
        <w:rPr>
          <w:lang w:val="sr-Cyrl-CS"/>
        </w:rPr>
        <w:t xml:space="preserve">са циљем унапређења животног стандарда лица са најнижим примањима. </w:t>
      </w:r>
      <w:r w:rsidRPr="00F5596D">
        <w:rPr>
          <w:rFonts w:cstheme="minorHAnsi"/>
          <w:bCs/>
          <w:spacing w:val="-2"/>
          <w:szCs w:val="72"/>
          <w:lang w:val="sr-Cyrl-CS"/>
        </w:rPr>
        <w:t>Овакво кретање зарада утицало је позитивно и на однос просечне зараде и просечне потрошачке корпе, па је тако повећан са 92,9% колико је износио у периоду јануар-фебруар 2024. године на 99,1% у истом периоду 2025. године.</w:t>
      </w:r>
    </w:p>
    <w:p w14:paraId="0B360942" w14:textId="77777777" w:rsidR="00336BC5" w:rsidRPr="00F5596D" w:rsidRDefault="00336BC5" w:rsidP="00E61F75">
      <w:pPr>
        <w:rPr>
          <w:rFonts w:cstheme="minorHAnsi"/>
          <w:bCs/>
          <w:szCs w:val="72"/>
          <w:lang w:val="sr-Cyrl-CS"/>
        </w:rPr>
      </w:pPr>
      <w:r w:rsidRPr="00F5596D">
        <w:rPr>
          <w:rFonts w:cstheme="minorHAnsi"/>
          <w:bCs/>
          <w:szCs w:val="72"/>
          <w:lang w:val="sr-Cyrl-CS"/>
        </w:rPr>
        <w:t xml:space="preserve">Према подацима АРС, у првом кварталу 2025. године настављају се позитивна кретања на тржишту рада, па је тако у односу на исти квартал претходне године забележен раст стопе запослености са 50,9% на 51,4%, као и смањење стопа незапослености са 9,4% на 9,1% и становништва ван радне снаге са 43,8% на 43,4%. У овом периоду забележено је смањење стопе неформалне запослености са 12,1% на 11,5%. Стопа неформалне запослености ван </w:t>
      </w:r>
      <w:r w:rsidRPr="00F5596D">
        <w:rPr>
          <w:rFonts w:cstheme="minorHAnsi"/>
          <w:bCs/>
          <w:szCs w:val="72"/>
          <w:lang w:val="sr-Cyrl-CS"/>
        </w:rPr>
        <w:lastRenderedPageBreak/>
        <w:t>пољопривреде износила је 6,0%, и у односу на први квартал 2024. године нижа је за 0,5 п.п., док је у пољопривреди износила 48,1 %, и нижа је за 2,4 п.п. Структурна побољшања на тржишту рада у овом периоду огледају се пре свега у смањењу стопе незапослености младог становништва за 0,4 п.п., на 24,1%, стопе незапослености жена за 0,4 п.п. на 9,3%.</w:t>
      </w:r>
    </w:p>
    <w:p w14:paraId="330DEFA3" w14:textId="77777777" w:rsidR="00336BC5" w:rsidRPr="00F5596D" w:rsidRDefault="00336BC5" w:rsidP="00E61F75">
      <w:pPr>
        <w:pStyle w:val="Caption"/>
        <w:keepNext/>
        <w:spacing w:after="40"/>
        <w:rPr>
          <w:rFonts w:cstheme="minorHAnsi"/>
          <w:b w:val="0"/>
          <w:iCs w:val="0"/>
          <w:szCs w:val="22"/>
          <w:lang w:val="sr-Cyrl-CS"/>
        </w:rPr>
      </w:pPr>
      <w:r w:rsidRPr="00F5596D">
        <w:rPr>
          <w:rFonts w:cstheme="minorHAnsi"/>
          <w:iCs w:val="0"/>
          <w:szCs w:val="22"/>
          <w:lang w:val="sr-Cyrl-CS"/>
        </w:rPr>
        <w:t>Кретање основних показатеља тржишта рада</w:t>
      </w:r>
    </w:p>
    <w:p w14:paraId="38AEFEB5" w14:textId="77777777" w:rsidR="00336BC5" w:rsidRPr="00F5596D" w:rsidRDefault="00336BC5" w:rsidP="00E61F75">
      <w:pPr>
        <w:spacing w:after="0"/>
        <w:rPr>
          <w:rFonts w:cstheme="minorHAnsi"/>
          <w:bCs/>
          <w:szCs w:val="72"/>
          <w:lang w:val="sr-Cyrl-CS"/>
        </w:rPr>
      </w:pPr>
      <w:r w:rsidRPr="00F5596D">
        <w:rPr>
          <w:noProof/>
        </w:rPr>
        <w:drawing>
          <wp:inline distT="0" distB="0" distL="0" distR="0" wp14:anchorId="4E5A039E" wp14:editId="6E49935F">
            <wp:extent cx="2743200" cy="1832610"/>
            <wp:effectExtent l="0" t="0" r="0" b="0"/>
            <wp:docPr id="59" name="Chart 59">
              <a:extLst xmlns:a="http://schemas.openxmlformats.org/drawingml/2006/main">
                <a:ext uri="{FF2B5EF4-FFF2-40B4-BE49-F238E27FC236}">
                  <a16:creationId xmlns:a16="http://schemas.microsoft.com/office/drawing/2014/main" id="{00000000-0008-0000-1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C6E2BF7" w14:textId="77777777" w:rsidR="00336BC5" w:rsidRPr="00F5596D" w:rsidRDefault="00336BC5" w:rsidP="00E61F75">
      <w:pPr>
        <w:spacing w:before="40" w:after="120"/>
        <w:rPr>
          <w:rFonts w:cstheme="minorHAnsi"/>
          <w:bCs/>
          <w:sz w:val="18"/>
          <w:szCs w:val="72"/>
          <w:lang w:val="sr-Cyrl-CS"/>
        </w:rPr>
      </w:pPr>
      <w:r w:rsidRPr="00F5596D">
        <w:rPr>
          <w:rFonts w:cstheme="minorHAnsi"/>
          <w:bCs/>
          <w:sz w:val="14"/>
          <w:szCs w:val="72"/>
          <w:lang w:val="sr-Cyrl-CS"/>
        </w:rPr>
        <w:t>Извор: РЗС</w:t>
      </w:r>
    </w:p>
    <w:p w14:paraId="19995DC7" w14:textId="77777777" w:rsidR="00336BC5" w:rsidRPr="00F5596D" w:rsidRDefault="00336BC5" w:rsidP="00E61F75">
      <w:pPr>
        <w:rPr>
          <w:lang w:val="sr-Cyrl-CS"/>
        </w:rPr>
      </w:pPr>
      <w:r w:rsidRPr="00F5596D">
        <w:rPr>
          <w:lang w:val="sr-Cyrl-CS"/>
        </w:rPr>
        <w:t>У наредном периоду очекује се да ће тржиште рада задржати позитивно кретање, у складу са добрим трендовима основних макроекономских показатеља. Креатори јавних политика континуирано доносе мере усмерене на унапређивање радне снаге у погледу квалитета, као и на улагање у људски капитал, све у циљу лакшег општег запошљавања, а нарочито у оном делу привреде који има већу додату вредност.</w:t>
      </w:r>
      <w:r w:rsidRPr="00F5596D">
        <w:rPr>
          <w:rFonts w:cstheme="minorHAnsi"/>
          <w:bCs/>
          <w:szCs w:val="72"/>
          <w:highlight w:val="lightGray"/>
          <w:lang w:val="sr-Cyrl-CS"/>
        </w:rPr>
        <w:t xml:space="preserve"> </w:t>
      </w:r>
      <w:r w:rsidRPr="00F5596D">
        <w:rPr>
          <w:rFonts w:cstheme="minorHAnsi"/>
          <w:bCs/>
          <w:szCs w:val="72"/>
          <w:lang w:val="sr-Cyrl-CS"/>
        </w:rPr>
        <w:t xml:space="preserve">Досадашњу успешност ових мера потврђују подаци о порасту броја запослених у периоду од 2014. до закључно са периодом јануар–април 2025. године у сектору ИКТ за 62.633 и научно-техничким делатностима за 47.753 лица. </w:t>
      </w:r>
      <w:r w:rsidRPr="00F5596D">
        <w:rPr>
          <w:lang w:val="sr-Cyrl-CS"/>
        </w:rPr>
        <w:t xml:space="preserve">Наставиће се досадашње политике усмерене на смањивање броја запослених у сивој зони и њихов прелазак у контингент формално запослених, чиме би се побољшали њихови услови рада, а што би имало и позитиван ефекат на приходе буџета. У средњорочном периоду очекују се позитивни ефекти мера активне политике запошљавања, преквалификација и подршке социјалном предузетништву, чиме ће се олакшати доступност радних места социјално рањивим категоријама друштва и тиме додатно обезбедити инклузивност привредног раста. У складу с тим у средњем року пројектује се смањивање стопе незапослености и </w:t>
      </w:r>
      <w:r w:rsidRPr="00F5596D">
        <w:rPr>
          <w:lang w:val="sr-Cyrl-CS"/>
        </w:rPr>
        <w:t>наставак реалног раста зарада. У приватном сектору очекује се наставак стабилног раста зарада, док ће зараде у јавном сектору расти у складу са фискалним правилима.</w:t>
      </w:r>
    </w:p>
    <w:p w14:paraId="2BAF53DE" w14:textId="77777777" w:rsidR="00336BC5" w:rsidRPr="00F5596D" w:rsidRDefault="00336BC5" w:rsidP="00E61F75">
      <w:pPr>
        <w:rPr>
          <w:rFonts w:cstheme="minorHAnsi"/>
          <w:b/>
          <w:color w:val="2F5496" w:themeColor="accent1" w:themeShade="BF"/>
          <w:sz w:val="22"/>
          <w:lang w:val="sr-Cyrl-CS"/>
        </w:rPr>
      </w:pPr>
      <w:r w:rsidRPr="00F5596D">
        <w:rPr>
          <w:rFonts w:cstheme="minorHAnsi"/>
          <w:b/>
          <w:color w:val="2F5496" w:themeColor="accent1" w:themeShade="BF"/>
          <w:sz w:val="22"/>
          <w:lang w:val="sr-Cyrl-CS"/>
        </w:rPr>
        <w:t>Монетарна кретања</w:t>
      </w:r>
    </w:p>
    <w:p w14:paraId="00312473" w14:textId="7A24D435" w:rsidR="00336BC5" w:rsidRPr="00F5596D" w:rsidRDefault="00336BC5" w:rsidP="00E61F75">
      <w:pPr>
        <w:spacing w:after="120"/>
        <w:rPr>
          <w:lang w:val="sr-Cyrl-CS"/>
        </w:rPr>
      </w:pPr>
      <w:r w:rsidRPr="00F5596D">
        <w:rPr>
          <w:lang w:val="sr-Cyrl-CS"/>
        </w:rPr>
        <w:t>У протеклом периоду, монетарна кретања обележили су успоравање инфлације, ублажавање монетарне политике и појачана кредитна активност, уз смањење каматних стопа на новоодобрене кредите, као и</w:t>
      </w:r>
      <w:r w:rsidR="004B69CE" w:rsidRPr="00F5596D">
        <w:rPr>
          <w:lang w:val="sr-Cyrl-CS"/>
        </w:rPr>
        <w:t xml:space="preserve"> релативна </w:t>
      </w:r>
      <w:r w:rsidRPr="00F5596D">
        <w:rPr>
          <w:lang w:val="sr-Cyrl-CS"/>
        </w:rPr>
        <w:t xml:space="preserve">стабилност девизног курса. </w:t>
      </w:r>
    </w:p>
    <w:p w14:paraId="784FF71D" w14:textId="3B462272" w:rsidR="00336BC5" w:rsidRPr="00F5596D" w:rsidRDefault="00336BC5" w:rsidP="00E61F75">
      <w:pPr>
        <w:spacing w:after="120"/>
        <w:rPr>
          <w:lang w:val="sr-Cyrl-CS"/>
        </w:rPr>
      </w:pPr>
      <w:r w:rsidRPr="00F5596D">
        <w:rPr>
          <w:lang w:val="sr-Cyrl-CS"/>
        </w:rPr>
        <w:t xml:space="preserve">У априлу 2025. године инфлација је успорила на 4,0%, и на оваква кретања највише је утицало снижење цена нафтних деривата и умеренији раст цена услуга. Успоравању инфлације допринели су и ефекти претходног заоштравања монетарних услова, успоравање увозне инфлације, још увек ниска екстерна тражња, као и наставак смањења инфлационих очекивања. Истовремено, базна инфлација (мерена променом индекса потрошачких цена по искључењу хране, енергије, алкохола и цигарета), је била нешто виша </w:t>
      </w:r>
      <w:r w:rsidR="00390804" w:rsidRPr="00F5596D">
        <w:rPr>
          <w:lang w:val="sr-Cyrl-CS"/>
        </w:rPr>
        <w:t xml:space="preserve">у односу на укупну </w:t>
      </w:r>
      <w:r w:rsidRPr="00F5596D">
        <w:rPr>
          <w:lang w:val="sr-Cyrl-CS"/>
        </w:rPr>
        <w:t xml:space="preserve">и износила је 5,0%, </w:t>
      </w:r>
      <w:r w:rsidR="00390804" w:rsidRPr="00F5596D">
        <w:rPr>
          <w:lang w:val="sr-Cyrl-CS"/>
        </w:rPr>
        <w:t xml:space="preserve">а њеном успоравању је </w:t>
      </w:r>
      <w:r w:rsidRPr="00F5596D">
        <w:rPr>
          <w:lang w:val="sr-Cyrl-CS"/>
        </w:rPr>
        <w:t>допринео излазак из међугодишњег обрачуна прошлогодишњег поскупљења услуга мобилне телефоније.</w:t>
      </w:r>
    </w:p>
    <w:p w14:paraId="2EC7FB3D" w14:textId="77777777" w:rsidR="00336BC5" w:rsidRPr="00F5596D" w:rsidRDefault="00336BC5" w:rsidP="00E61F75">
      <w:pPr>
        <w:pStyle w:val="Caption"/>
        <w:keepNext/>
        <w:spacing w:after="40"/>
        <w:rPr>
          <w:rFonts w:cstheme="minorHAnsi"/>
          <w:iCs w:val="0"/>
          <w:szCs w:val="22"/>
          <w:lang w:val="sr-Cyrl-CS"/>
        </w:rPr>
      </w:pPr>
      <w:r w:rsidRPr="00F5596D">
        <w:rPr>
          <w:rFonts w:cstheme="minorHAnsi"/>
          <w:iCs w:val="0"/>
          <w:szCs w:val="22"/>
          <w:lang w:val="sr-Cyrl-CS"/>
        </w:rPr>
        <w:t>Месечна и међугодишња инфлација, %</w:t>
      </w:r>
    </w:p>
    <w:p w14:paraId="48FE2402" w14:textId="7AEACD96" w:rsidR="00336BC5" w:rsidRPr="00F5596D" w:rsidRDefault="0016421F" w:rsidP="00E61F75">
      <w:pPr>
        <w:spacing w:after="40"/>
        <w:rPr>
          <w:lang w:val="sr-Cyrl-CS"/>
        </w:rPr>
      </w:pPr>
      <w:r w:rsidRPr="00F5596D">
        <w:rPr>
          <w:noProof/>
        </w:rPr>
        <w:drawing>
          <wp:inline distT="0" distB="0" distL="0" distR="0" wp14:anchorId="1CDDEE3A" wp14:editId="14255FB7">
            <wp:extent cx="2743200" cy="2095500"/>
            <wp:effectExtent l="0" t="0" r="0" b="0"/>
            <wp:docPr id="72" name="Chart 72">
              <a:extLst xmlns:a="http://schemas.openxmlformats.org/drawingml/2006/main">
                <a:ext uri="{FF2B5EF4-FFF2-40B4-BE49-F238E27FC236}">
                  <a16:creationId xmlns:a16="http://schemas.microsoft.com/office/drawing/2014/main" id="{00000000-0008-0000-12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8B83A31" w14:textId="77777777" w:rsidR="00336BC5" w:rsidRPr="00F5596D" w:rsidRDefault="00336BC5" w:rsidP="00E61F75">
      <w:pPr>
        <w:rPr>
          <w:rFonts w:cstheme="minorHAnsi"/>
          <w:bCs/>
          <w:sz w:val="18"/>
          <w:szCs w:val="72"/>
          <w:lang w:val="sr-Cyrl-CS"/>
        </w:rPr>
      </w:pPr>
      <w:r w:rsidRPr="00F5596D">
        <w:rPr>
          <w:rFonts w:cstheme="minorHAnsi"/>
          <w:bCs/>
          <w:sz w:val="14"/>
          <w:szCs w:val="72"/>
          <w:lang w:val="sr-Cyrl-CS"/>
        </w:rPr>
        <w:t>Извор: РЗС и НБС</w:t>
      </w:r>
    </w:p>
    <w:p w14:paraId="2E9D3EFF" w14:textId="77777777" w:rsidR="00336BC5" w:rsidRPr="00F5596D" w:rsidRDefault="00336BC5" w:rsidP="00E61F75">
      <w:pPr>
        <w:pStyle w:val="Caption"/>
        <w:keepNext/>
        <w:spacing w:after="80"/>
        <w:rPr>
          <w:rFonts w:cstheme="minorHAnsi"/>
          <w:iCs w:val="0"/>
          <w:szCs w:val="22"/>
          <w:lang w:val="sr-Cyrl-CS"/>
        </w:rPr>
      </w:pPr>
      <w:r w:rsidRPr="00F5596D">
        <w:rPr>
          <w:rFonts w:cstheme="minorHAnsi"/>
          <w:iCs w:val="0"/>
          <w:szCs w:val="22"/>
          <w:lang w:val="sr-Cyrl-CS"/>
        </w:rPr>
        <w:lastRenderedPageBreak/>
        <w:t>Инфлација и референтна каматна стопа, %</w:t>
      </w:r>
    </w:p>
    <w:p w14:paraId="61868444" w14:textId="77777777" w:rsidR="00336BC5" w:rsidRPr="00F5596D" w:rsidRDefault="00336BC5" w:rsidP="00E61F75">
      <w:pPr>
        <w:spacing w:after="40"/>
        <w:rPr>
          <w:rFonts w:cstheme="minorHAnsi"/>
          <w:bCs/>
          <w:szCs w:val="72"/>
          <w:highlight w:val="darkYellow"/>
          <w:lang w:val="sr-Cyrl-CS"/>
        </w:rPr>
      </w:pPr>
      <w:r w:rsidRPr="00F5596D">
        <w:rPr>
          <w:noProof/>
        </w:rPr>
        <w:drawing>
          <wp:inline distT="0" distB="0" distL="0" distR="0" wp14:anchorId="53659667" wp14:editId="7B47CFCC">
            <wp:extent cx="2743200" cy="1758315"/>
            <wp:effectExtent l="0" t="0" r="0" b="0"/>
            <wp:docPr id="61" name="Chart 61">
              <a:extLst xmlns:a="http://schemas.openxmlformats.org/drawingml/2006/main">
                <a:ext uri="{FF2B5EF4-FFF2-40B4-BE49-F238E27FC236}">
                  <a16:creationId xmlns:a16="http://schemas.microsoft.com/office/drawing/2014/main" id="{00000000-0008-0000-1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008D176C" w14:textId="77777777" w:rsidR="00336BC5" w:rsidRPr="00F5596D" w:rsidRDefault="00336BC5" w:rsidP="00E61F75">
      <w:pPr>
        <w:rPr>
          <w:rFonts w:cstheme="minorHAnsi"/>
          <w:bCs/>
          <w:sz w:val="18"/>
          <w:szCs w:val="72"/>
          <w:lang w:val="sr-Cyrl-CS"/>
        </w:rPr>
      </w:pPr>
      <w:r w:rsidRPr="00F5596D">
        <w:rPr>
          <w:rFonts w:cstheme="minorHAnsi"/>
          <w:bCs/>
          <w:sz w:val="14"/>
          <w:szCs w:val="72"/>
          <w:lang w:val="sr-Cyrl-CS"/>
        </w:rPr>
        <w:t>Извор: РЗС и НБС</w:t>
      </w:r>
    </w:p>
    <w:p w14:paraId="3FC8413B" w14:textId="0A083145" w:rsidR="00336BC5" w:rsidRPr="00F5596D" w:rsidRDefault="00336BC5" w:rsidP="00E61F75">
      <w:pPr>
        <w:rPr>
          <w:lang w:val="sr-Cyrl-CS"/>
        </w:rPr>
      </w:pPr>
      <w:r w:rsidRPr="00F5596D">
        <w:rPr>
          <w:lang w:val="sr-Cyrl-CS"/>
        </w:rPr>
        <w:t>Иако је инфлација значајно смањена и сада се креће у оквирима циљаних вредности, неопходно је наставити са вођењем опрезне монетарне политике како би се очувала макроекономска стабилност, с обзиром на то да домаћа инфлација у великој мери зависи од кретања на глобалним робним и финансијским тржиштима, која су и даље изложена високој волатилности услед неизвесности у погледу трговинских политика водећих светских економија. У складу с тим, НБС је у мају 2025. године донела одлуку да задржи референтну каматну стопу на нивоу од 5,75%, након што је она у претходном периоду, почев од јуна 2024. године, постепено смањена за укупно 75 базних поена. Извршни одбор НБС нагласио је да ће ефекти досадашњег ублажавања монетарне политике наставити да се осећају</w:t>
      </w:r>
      <w:r w:rsidR="00A95325" w:rsidRPr="00F5596D">
        <w:rPr>
          <w:lang w:val="sr-Cyrl-CS"/>
        </w:rPr>
        <w:t xml:space="preserve"> у наредном периоду, али да је </w:t>
      </w:r>
      <w:r w:rsidRPr="00F5596D">
        <w:rPr>
          <w:lang w:val="sr-Cyrl-CS"/>
        </w:rPr>
        <w:t xml:space="preserve">услед повећане геополитичке неизвесности, неопходан опрезан и пажљиво калибрисан приступ монетарним мерама како би се обезбедила дугорочна </w:t>
      </w:r>
      <w:r w:rsidR="00F30E37" w:rsidRPr="00F5596D">
        <w:rPr>
          <w:lang w:val="sr-Cyrl-CS"/>
        </w:rPr>
        <w:t xml:space="preserve">ценовна </w:t>
      </w:r>
      <w:r w:rsidRPr="00F5596D">
        <w:rPr>
          <w:lang w:val="sr-Cyrl-CS"/>
        </w:rPr>
        <w:t xml:space="preserve">стабилност </w:t>
      </w:r>
      <w:r w:rsidR="00F30E37" w:rsidRPr="00F5596D">
        <w:rPr>
          <w:lang w:val="sr-Cyrl-CS"/>
        </w:rPr>
        <w:t xml:space="preserve">и стабилност </w:t>
      </w:r>
      <w:r w:rsidRPr="00F5596D">
        <w:rPr>
          <w:lang w:val="sr-Cyrl-CS"/>
        </w:rPr>
        <w:t xml:space="preserve">домаћег финансијског система. </w:t>
      </w:r>
    </w:p>
    <w:p w14:paraId="007B5AB7" w14:textId="5CE455FF" w:rsidR="00336BC5" w:rsidRPr="00F5596D" w:rsidRDefault="00336BC5" w:rsidP="00E61F75">
      <w:pPr>
        <w:rPr>
          <w:rFonts w:cstheme="minorHAnsi"/>
          <w:lang w:val="sr-Cyrl-CS"/>
        </w:rPr>
      </w:pPr>
      <w:r w:rsidRPr="00F5596D">
        <w:rPr>
          <w:rFonts w:cstheme="minorHAnsi"/>
          <w:lang w:val="sr-Cyrl-CS"/>
        </w:rPr>
        <w:t>Са циљем смиривања инфлације и ублажавања негативних социјалних и економских ефеката раста светских цена хране и енергената, Влада Србије је предузела низ мера административног ограничавања цена. Тако Уредбом о ограничењу висине цена основних животних намирница која је на снази до 31.8.2025, ограничене су продајне цене и количине б</w:t>
      </w:r>
      <w:r w:rsidR="00916164" w:rsidRPr="00F5596D">
        <w:rPr>
          <w:rFonts w:cstheme="minorHAnsi"/>
          <w:lang w:val="sr-Cyrl-CS"/>
        </w:rPr>
        <w:t>рашна тип 400 и</w:t>
      </w:r>
      <w:r w:rsidRPr="00F5596D">
        <w:rPr>
          <w:rFonts w:cstheme="minorHAnsi"/>
          <w:lang w:val="sr-Cyrl-CS"/>
        </w:rPr>
        <w:t xml:space="preserve"> тип 500. Такође, уредбом о обавезној производњи и промету хлеба од брашна „Т-500”, која је на снази до 24. новембра, дефинисана је његова максимална малопродајна цена, као и обавезни обим производње. Уредбом о ограничењу висине цена </w:t>
      </w:r>
      <w:r w:rsidRPr="00F5596D">
        <w:rPr>
          <w:rFonts w:cstheme="minorHAnsi"/>
          <w:lang w:val="sr-Cyrl-CS"/>
        </w:rPr>
        <w:t>нафтних деривата прописан је начин обрачуна највиших цена евродизела и европремијума БМБ 95 у малопродаји, при чему су цене деривата за пољопривреднике посебно субвенционисане. Циљ ових мера је смањење инфлаторних притисака и инфлационих очекивања, као и обезбеђивање редовног и несметаног снабдевања тржишта.</w:t>
      </w:r>
    </w:p>
    <w:p w14:paraId="1753DB1A" w14:textId="77777777" w:rsidR="00336BC5" w:rsidRPr="00F5596D" w:rsidRDefault="00336BC5" w:rsidP="00E61F75">
      <w:pPr>
        <w:pStyle w:val="Caption"/>
        <w:jc w:val="both"/>
        <w:rPr>
          <w:rFonts w:cstheme="minorHAnsi"/>
          <w:b w:val="0"/>
          <w:iCs w:val="0"/>
          <w:color w:val="44546A" w:themeColor="text2"/>
          <w:szCs w:val="22"/>
          <w:lang w:val="sr-Cyrl-CS"/>
        </w:rPr>
      </w:pPr>
      <w:r w:rsidRPr="00F5596D">
        <w:rPr>
          <w:rFonts w:cstheme="minorHAnsi"/>
          <w:b w:val="0"/>
          <w:iCs w:val="0"/>
          <w:color w:val="44546A" w:themeColor="text2"/>
          <w:szCs w:val="22"/>
          <w:lang w:val="sr-Cyrl-CS"/>
        </w:rPr>
        <w:t>Ублажавање монетарне политике Народне банке Србије и Европске централне банке одражава се на ниже каматне стопе на нове кредите привреди и становништву. Каматна стопа на динарске кредите привреди у априлу 2025. износила је 6,6%, док је крајем 2024. била 6,9%. Каматна стопа на динарске кредите становништву у априлу 2025. године је износила 9,8%, што је приближно исти ниво као крајем 2024. Каматне стопе на стамбене кредите ограничене су на 5% у овој години, а уведена су и ограничења на каматне стопе за друге врсте кредита физичким лицима.</w:t>
      </w:r>
    </w:p>
    <w:p w14:paraId="070925E7" w14:textId="77777777" w:rsidR="00336BC5" w:rsidRPr="00F5596D" w:rsidRDefault="00336BC5" w:rsidP="00E61F75">
      <w:pPr>
        <w:pStyle w:val="Caption"/>
        <w:jc w:val="both"/>
        <w:rPr>
          <w:rFonts w:cstheme="minorHAnsi"/>
          <w:b w:val="0"/>
          <w:iCs w:val="0"/>
          <w:color w:val="44546A" w:themeColor="text2"/>
          <w:szCs w:val="22"/>
          <w:lang w:val="sr-Cyrl-CS"/>
        </w:rPr>
      </w:pPr>
      <w:r w:rsidRPr="00F5596D">
        <w:rPr>
          <w:rFonts w:cstheme="minorHAnsi"/>
          <w:b w:val="0"/>
          <w:iCs w:val="0"/>
          <w:color w:val="44546A" w:themeColor="text2"/>
          <w:szCs w:val="22"/>
          <w:lang w:val="sr-Cyrl-CS"/>
        </w:rPr>
        <w:t>Кредитна активност је у априлу 2025. године додатно убрзала, достигавши међугодишњи раст од 10,0% у априлу. Кредити становништву убрзали су међугодишњи раст на 12,0%, док су кредити привреди порасли за 8,1%.</w:t>
      </w:r>
      <w:r w:rsidRPr="00F5596D">
        <w:rPr>
          <w:lang w:val="sr-Cyrl-CS"/>
        </w:rPr>
        <w:t xml:space="preserve"> </w:t>
      </w:r>
      <w:r w:rsidRPr="00F5596D">
        <w:rPr>
          <w:rFonts w:cstheme="minorHAnsi"/>
          <w:b w:val="0"/>
          <w:iCs w:val="0"/>
          <w:color w:val="44546A" w:themeColor="text2"/>
          <w:szCs w:val="22"/>
          <w:lang w:val="sr-Cyrl-CS"/>
        </w:rPr>
        <w:t>Стабилност банкарског сектора је очувана и додатно ојачана и смањено је учешће проблематичних кредита на ниво од 2,33% у марту 2025. године.</w:t>
      </w:r>
    </w:p>
    <w:p w14:paraId="04FFC967" w14:textId="77777777" w:rsidR="00336BC5" w:rsidRPr="00F5596D" w:rsidRDefault="00336BC5" w:rsidP="00E61F75">
      <w:pPr>
        <w:pStyle w:val="Caption"/>
        <w:keepNext/>
        <w:spacing w:after="0"/>
        <w:rPr>
          <w:rFonts w:cstheme="minorHAnsi"/>
          <w:b w:val="0"/>
          <w:i/>
          <w:iCs w:val="0"/>
          <w:szCs w:val="22"/>
          <w:lang w:val="sr-Cyrl-CS"/>
        </w:rPr>
      </w:pPr>
      <w:r w:rsidRPr="00F5596D">
        <w:rPr>
          <w:rFonts w:cstheme="minorHAnsi"/>
          <w:iCs w:val="0"/>
          <w:szCs w:val="22"/>
          <w:lang w:val="sr-Cyrl-CS"/>
        </w:rPr>
        <w:t>Проблематични кредити, млрд РСД</w:t>
      </w:r>
    </w:p>
    <w:p w14:paraId="63DE3245" w14:textId="77777777" w:rsidR="00336BC5" w:rsidRPr="00F5596D" w:rsidRDefault="00336BC5" w:rsidP="00E61F75">
      <w:pPr>
        <w:spacing w:after="40"/>
        <w:rPr>
          <w:rFonts w:cstheme="minorHAnsi"/>
          <w:bCs/>
          <w:szCs w:val="72"/>
          <w:highlight w:val="yellow"/>
          <w:lang w:val="sr-Cyrl-CS"/>
        </w:rPr>
      </w:pPr>
      <w:r w:rsidRPr="00F5596D">
        <w:rPr>
          <w:noProof/>
        </w:rPr>
        <w:drawing>
          <wp:inline distT="0" distB="0" distL="0" distR="0" wp14:anchorId="0CFBB1E9" wp14:editId="2EE4E13B">
            <wp:extent cx="2743200" cy="1562431"/>
            <wp:effectExtent l="0" t="0" r="0" b="0"/>
            <wp:docPr id="62" name="Chart 62">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E3B6BF3" w14:textId="77777777" w:rsidR="00336BC5" w:rsidRPr="00F5596D" w:rsidRDefault="00336BC5" w:rsidP="00E61F75">
      <w:pPr>
        <w:spacing w:after="120"/>
        <w:rPr>
          <w:rFonts w:cstheme="minorHAnsi"/>
          <w:sz w:val="18"/>
          <w:lang w:val="sr-Cyrl-CS"/>
        </w:rPr>
      </w:pPr>
      <w:r w:rsidRPr="00F5596D">
        <w:rPr>
          <w:rFonts w:cstheme="minorHAnsi"/>
          <w:bCs/>
          <w:sz w:val="14"/>
          <w:szCs w:val="72"/>
          <w:lang w:val="sr-Cyrl-CS"/>
        </w:rPr>
        <w:t>Извор: НБС</w:t>
      </w:r>
    </w:p>
    <w:p w14:paraId="28A93A92" w14:textId="436FCE15" w:rsidR="00336BC5" w:rsidRPr="00F5596D" w:rsidRDefault="00336BC5" w:rsidP="00E61F75">
      <w:pPr>
        <w:rPr>
          <w:rFonts w:cstheme="minorHAnsi"/>
          <w:bCs/>
          <w:spacing w:val="-2"/>
          <w:szCs w:val="72"/>
          <w:lang w:val="sr-Cyrl-CS"/>
        </w:rPr>
      </w:pPr>
      <w:r w:rsidRPr="00F5596D">
        <w:rPr>
          <w:rFonts w:cstheme="minorHAnsi"/>
          <w:bCs/>
          <w:szCs w:val="72"/>
          <w:lang w:val="sr-Cyrl-CS"/>
        </w:rPr>
        <w:t xml:space="preserve">Одржана је </w:t>
      </w:r>
      <w:r w:rsidR="004736A1" w:rsidRPr="00F5596D">
        <w:rPr>
          <w:rFonts w:cstheme="minorHAnsi"/>
          <w:bCs/>
          <w:szCs w:val="72"/>
          <w:lang w:val="sr-Cyrl-CS"/>
        </w:rPr>
        <w:t xml:space="preserve">релативна </w:t>
      </w:r>
      <w:r w:rsidRPr="00F5596D">
        <w:rPr>
          <w:rFonts w:cstheme="minorHAnsi"/>
          <w:bCs/>
          <w:szCs w:val="72"/>
          <w:lang w:val="sr-Cyrl-CS"/>
        </w:rPr>
        <w:t>стабилност девизног курса, док је динар у 2024. години ојачао према евру за 0,1%, а Народна банка Србије је на међубанкарском девизном тржишту нето купила 2,7 милијарди евра. Почетак 2025. обележили су депрецијацијски притисци, углавном услед сезонски повећане тражње</w:t>
      </w:r>
      <w:r w:rsidR="002435C9" w:rsidRPr="00F5596D">
        <w:rPr>
          <w:rFonts w:cstheme="minorHAnsi"/>
          <w:bCs/>
          <w:szCs w:val="72"/>
          <w:lang w:val="sr-Cyrl-CS"/>
        </w:rPr>
        <w:t xml:space="preserve"> резидената увозника </w:t>
      </w:r>
      <w:r w:rsidR="002435C9" w:rsidRPr="00F5596D">
        <w:rPr>
          <w:rFonts w:cstheme="minorHAnsi"/>
          <w:bCs/>
          <w:szCs w:val="72"/>
          <w:lang w:val="sr-Cyrl-CS"/>
        </w:rPr>
        <w:lastRenderedPageBreak/>
        <w:t xml:space="preserve">енергената </w:t>
      </w:r>
      <w:r w:rsidR="00E24F3B" w:rsidRPr="00F5596D">
        <w:rPr>
          <w:rFonts w:cstheme="minorHAnsi"/>
          <w:bCs/>
          <w:szCs w:val="72"/>
          <w:lang w:val="sr-Cyrl-CS"/>
        </w:rPr>
        <w:t>за девизама</w:t>
      </w:r>
      <w:r w:rsidRPr="00F5596D">
        <w:rPr>
          <w:rFonts w:cstheme="minorHAnsi"/>
          <w:bCs/>
          <w:szCs w:val="72"/>
          <w:lang w:val="sr-Cyrl-CS"/>
        </w:rPr>
        <w:t>. Ти притисци су постепено слабили током првог тромесечја, а у априлу су преовладали апрецијацијски трендови. У периоду од јануара до априла 2025. динар је ослабио према евру за 0,2%, док је Народна банка Србије у том периоду, укључујући и нето куповину у априлу, нето продала 910 милиона евра.</w:t>
      </w:r>
    </w:p>
    <w:p w14:paraId="7F38BF16" w14:textId="77777777" w:rsidR="00336BC5" w:rsidRPr="00F5596D" w:rsidRDefault="00336BC5" w:rsidP="00E61F75">
      <w:pPr>
        <w:pStyle w:val="Caption"/>
        <w:keepNext/>
        <w:spacing w:after="0"/>
        <w:rPr>
          <w:rFonts w:cstheme="minorHAnsi"/>
          <w:b w:val="0"/>
          <w:i/>
          <w:iCs w:val="0"/>
          <w:szCs w:val="22"/>
          <w:lang w:val="sr-Cyrl-CS"/>
        </w:rPr>
      </w:pPr>
      <w:r w:rsidRPr="00F5596D">
        <w:rPr>
          <w:rFonts w:cstheme="minorHAnsi"/>
          <w:iCs w:val="0"/>
          <w:szCs w:val="22"/>
          <w:lang w:val="sr-Cyrl-CS"/>
        </w:rPr>
        <w:t>Девизни курс и интервенције НБС на девизном тржишту</w:t>
      </w:r>
    </w:p>
    <w:p w14:paraId="3F07BD35" w14:textId="77777777" w:rsidR="00336BC5" w:rsidRPr="00F5596D" w:rsidRDefault="00336BC5" w:rsidP="00E61F75">
      <w:pPr>
        <w:spacing w:after="20"/>
        <w:rPr>
          <w:rFonts w:cstheme="minorHAnsi"/>
          <w:bCs/>
          <w:szCs w:val="72"/>
          <w:highlight w:val="darkYellow"/>
          <w:lang w:val="sr-Cyrl-CS"/>
        </w:rPr>
      </w:pPr>
      <w:r w:rsidRPr="00F5596D">
        <w:rPr>
          <w:noProof/>
        </w:rPr>
        <w:drawing>
          <wp:inline distT="0" distB="0" distL="0" distR="0" wp14:anchorId="1DA16702" wp14:editId="53F971A5">
            <wp:extent cx="2743200" cy="1698625"/>
            <wp:effectExtent l="0" t="0" r="0" b="0"/>
            <wp:docPr id="64" name="Chart 64">
              <a:extLst xmlns:a="http://schemas.openxmlformats.org/drawingml/2006/main">
                <a:ext uri="{FF2B5EF4-FFF2-40B4-BE49-F238E27FC236}">
                  <a16:creationId xmlns:a16="http://schemas.microsoft.com/office/drawing/2014/main" id="{00000000-0008-0000-1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6F26ACE" w14:textId="77777777" w:rsidR="00336BC5" w:rsidRPr="00F5596D" w:rsidRDefault="00336BC5" w:rsidP="00E61F75">
      <w:pPr>
        <w:spacing w:after="120"/>
        <w:rPr>
          <w:rFonts w:cstheme="minorHAnsi"/>
          <w:bCs/>
          <w:sz w:val="18"/>
          <w:szCs w:val="72"/>
          <w:lang w:val="sr-Cyrl-CS"/>
        </w:rPr>
      </w:pPr>
      <w:r w:rsidRPr="00F5596D">
        <w:rPr>
          <w:rFonts w:cstheme="minorHAnsi"/>
          <w:bCs/>
          <w:sz w:val="14"/>
          <w:szCs w:val="72"/>
          <w:lang w:val="sr-Cyrl-CS"/>
        </w:rPr>
        <w:t>Извор: НБС</w:t>
      </w:r>
    </w:p>
    <w:p w14:paraId="3CF81E6D" w14:textId="3431A6F6" w:rsidR="00336BC5" w:rsidRPr="00F5596D" w:rsidRDefault="00336BC5" w:rsidP="00E61F75">
      <w:pPr>
        <w:rPr>
          <w:rFonts w:cstheme="minorHAnsi"/>
          <w:bCs/>
          <w:szCs w:val="72"/>
          <w:lang w:val="sr-Cyrl-CS"/>
        </w:rPr>
      </w:pPr>
      <w:r w:rsidRPr="00F5596D">
        <w:rPr>
          <w:rFonts w:cstheme="minorHAnsi"/>
          <w:bCs/>
          <w:szCs w:val="72"/>
          <w:lang w:val="sr-Cyrl-CS"/>
        </w:rPr>
        <w:t>Девизне резерве, које су на крају 2024. достигле</w:t>
      </w:r>
      <w:r w:rsidR="00973475" w:rsidRPr="00F5596D">
        <w:rPr>
          <w:rFonts w:cstheme="minorHAnsi"/>
          <w:bCs/>
          <w:szCs w:val="72"/>
          <w:lang w:val="sr-Cyrl-CS"/>
        </w:rPr>
        <w:t xml:space="preserve"> рекордних 29,3 милијарде евра</w:t>
      </w:r>
      <w:r w:rsidRPr="00F5596D">
        <w:rPr>
          <w:rFonts w:cstheme="minorHAnsi"/>
          <w:bCs/>
          <w:szCs w:val="72"/>
          <w:lang w:val="sr-Cyrl-CS"/>
        </w:rPr>
        <w:t xml:space="preserve">, а крајем априла </w:t>
      </w:r>
      <w:r w:rsidR="00973475" w:rsidRPr="00F5596D">
        <w:rPr>
          <w:rFonts w:cstheme="minorHAnsi"/>
          <w:bCs/>
          <w:szCs w:val="72"/>
          <w:lang w:val="sr-Cyrl-CS"/>
        </w:rPr>
        <w:t xml:space="preserve">2025. године </w:t>
      </w:r>
      <w:r w:rsidRPr="00F5596D">
        <w:rPr>
          <w:rFonts w:cstheme="minorHAnsi"/>
          <w:bCs/>
          <w:szCs w:val="72"/>
          <w:lang w:val="sr-Cyrl-CS"/>
        </w:rPr>
        <w:t>износиле су 27,7 милијарди евра. Овај ниво обезбеђује покривеност од приближно седам месеци увоза робе и услуга и око 170% новчане масе М1, што је знатно изнад међународних стандарда адекватности. У последњих 13 година, количина злата у девизним резервама је утростручена, додатно јачајући стабилност финансијског система.</w:t>
      </w:r>
    </w:p>
    <w:p w14:paraId="15B42147" w14:textId="77777777" w:rsidR="00336BC5" w:rsidRPr="00F5596D" w:rsidRDefault="00336BC5" w:rsidP="00E61F75">
      <w:pPr>
        <w:spacing w:after="40"/>
        <w:jc w:val="center"/>
        <w:rPr>
          <w:rFonts w:cstheme="minorHAnsi"/>
          <w:b/>
          <w:color w:val="002060"/>
          <w:lang w:val="sr-Cyrl-CS"/>
        </w:rPr>
      </w:pPr>
    </w:p>
    <w:p w14:paraId="3A6D66ED" w14:textId="77777777" w:rsidR="00336BC5" w:rsidRPr="00F5596D" w:rsidRDefault="00336BC5" w:rsidP="00E61F75">
      <w:pPr>
        <w:spacing w:after="40"/>
        <w:jc w:val="center"/>
        <w:rPr>
          <w:rFonts w:cstheme="minorHAnsi"/>
          <w:b/>
          <w:color w:val="002060"/>
          <w:lang w:val="sr-Cyrl-CS"/>
        </w:rPr>
      </w:pPr>
    </w:p>
    <w:p w14:paraId="12126C8A" w14:textId="77777777" w:rsidR="00336BC5" w:rsidRPr="00F5596D" w:rsidRDefault="00336BC5" w:rsidP="00E61F75">
      <w:pPr>
        <w:spacing w:after="40"/>
        <w:jc w:val="center"/>
        <w:rPr>
          <w:rFonts w:cstheme="minorHAnsi"/>
          <w:b/>
          <w:color w:val="002060"/>
          <w:lang w:val="sr-Cyrl-CS"/>
        </w:rPr>
      </w:pPr>
    </w:p>
    <w:p w14:paraId="67DAA6D3" w14:textId="77777777" w:rsidR="00336BC5" w:rsidRPr="00F5596D" w:rsidRDefault="00336BC5" w:rsidP="00E61F75">
      <w:pPr>
        <w:spacing w:after="40"/>
        <w:jc w:val="center"/>
        <w:rPr>
          <w:rFonts w:cstheme="minorHAnsi"/>
          <w:b/>
          <w:color w:val="002060"/>
          <w:lang w:val="sr-Cyrl-CS"/>
        </w:rPr>
      </w:pPr>
    </w:p>
    <w:p w14:paraId="4A3ECB70" w14:textId="77777777" w:rsidR="00336BC5" w:rsidRPr="00F5596D" w:rsidRDefault="00336BC5" w:rsidP="00E61F75">
      <w:pPr>
        <w:spacing w:after="40"/>
        <w:jc w:val="center"/>
        <w:rPr>
          <w:rFonts w:cstheme="minorHAnsi"/>
          <w:b/>
          <w:color w:val="002060"/>
          <w:lang w:val="sr-Cyrl-CS"/>
        </w:rPr>
      </w:pPr>
    </w:p>
    <w:p w14:paraId="660F58E8" w14:textId="77777777" w:rsidR="00336BC5" w:rsidRPr="00F5596D" w:rsidRDefault="00336BC5" w:rsidP="00E61F75">
      <w:pPr>
        <w:spacing w:after="40"/>
        <w:jc w:val="center"/>
        <w:rPr>
          <w:rFonts w:cstheme="minorHAnsi"/>
          <w:b/>
          <w:color w:val="002060"/>
          <w:lang w:val="sr-Cyrl-CS"/>
        </w:rPr>
      </w:pPr>
    </w:p>
    <w:p w14:paraId="75D2B896" w14:textId="77777777" w:rsidR="00336BC5" w:rsidRPr="00F5596D" w:rsidRDefault="00336BC5" w:rsidP="00E61F75">
      <w:pPr>
        <w:spacing w:after="40"/>
        <w:jc w:val="center"/>
        <w:rPr>
          <w:rFonts w:cstheme="minorHAnsi"/>
          <w:b/>
          <w:color w:val="002060"/>
          <w:lang w:val="sr-Cyrl-CS"/>
        </w:rPr>
      </w:pPr>
    </w:p>
    <w:p w14:paraId="766AA8D9" w14:textId="77777777" w:rsidR="00973475" w:rsidRPr="00F5596D" w:rsidRDefault="00973475" w:rsidP="00E61F75">
      <w:pPr>
        <w:spacing w:after="40"/>
        <w:jc w:val="center"/>
        <w:rPr>
          <w:rFonts w:cstheme="minorHAnsi"/>
          <w:b/>
          <w:color w:val="002060"/>
          <w:lang w:val="sr-Cyrl-CS"/>
        </w:rPr>
      </w:pPr>
    </w:p>
    <w:p w14:paraId="30003972" w14:textId="66DAE406" w:rsidR="00336BC5" w:rsidRPr="00F5596D" w:rsidRDefault="00336BC5" w:rsidP="00E61F75">
      <w:pPr>
        <w:spacing w:after="40"/>
        <w:jc w:val="center"/>
        <w:rPr>
          <w:rFonts w:cstheme="minorHAnsi"/>
          <w:b/>
          <w:i/>
          <w:iCs/>
          <w:color w:val="002060"/>
          <w:lang w:val="sr-Cyrl-CS"/>
        </w:rPr>
      </w:pPr>
      <w:r w:rsidRPr="00F5596D">
        <w:rPr>
          <w:rFonts w:cstheme="minorHAnsi"/>
          <w:b/>
          <w:color w:val="002060"/>
          <w:lang w:val="sr-Cyrl-CS"/>
        </w:rPr>
        <w:t>Девизне резерве и девизна штедња, млрд евра</w:t>
      </w:r>
    </w:p>
    <w:p w14:paraId="13A89412" w14:textId="77777777" w:rsidR="00336BC5" w:rsidRPr="00F5596D" w:rsidRDefault="00336BC5" w:rsidP="00E61F75">
      <w:pPr>
        <w:spacing w:after="0"/>
        <w:rPr>
          <w:rFonts w:cstheme="minorHAnsi"/>
          <w:bCs/>
          <w:szCs w:val="72"/>
          <w:highlight w:val="darkYellow"/>
          <w:lang w:val="sr-Cyrl-CS"/>
        </w:rPr>
      </w:pPr>
      <w:r w:rsidRPr="00F5596D">
        <w:rPr>
          <w:noProof/>
        </w:rPr>
        <w:drawing>
          <wp:inline distT="0" distB="0" distL="0" distR="0" wp14:anchorId="2389B071" wp14:editId="7442AF4C">
            <wp:extent cx="2743200" cy="1799590"/>
            <wp:effectExtent l="0" t="0" r="0" b="0"/>
            <wp:docPr id="66" name="Chart 66">
              <a:extLst xmlns:a="http://schemas.openxmlformats.org/drawingml/2006/main">
                <a:ext uri="{FF2B5EF4-FFF2-40B4-BE49-F238E27FC236}">
                  <a16:creationId xmlns:a16="http://schemas.microsoft.com/office/drawing/2014/main" id="{00000000-0008-0000-1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5453F38" w14:textId="77777777" w:rsidR="00336BC5" w:rsidRPr="00F5596D" w:rsidRDefault="00336BC5" w:rsidP="00E61F75">
      <w:pPr>
        <w:spacing w:after="120"/>
        <w:rPr>
          <w:rFonts w:cstheme="minorHAnsi"/>
          <w:bCs/>
          <w:sz w:val="18"/>
          <w:szCs w:val="72"/>
          <w:lang w:val="sr-Cyrl-CS"/>
        </w:rPr>
      </w:pPr>
      <w:r w:rsidRPr="00F5596D">
        <w:rPr>
          <w:rFonts w:cstheme="minorHAnsi"/>
          <w:bCs/>
          <w:sz w:val="14"/>
          <w:szCs w:val="72"/>
          <w:lang w:val="sr-Cyrl-CS"/>
        </w:rPr>
        <w:t>Извор: НБС</w:t>
      </w:r>
    </w:p>
    <w:p w14:paraId="0C972887" w14:textId="67CD4D5E" w:rsidR="00336BC5" w:rsidRPr="00F5596D" w:rsidRDefault="00336BC5" w:rsidP="00E61F75">
      <w:pPr>
        <w:spacing w:after="120"/>
        <w:rPr>
          <w:lang w:val="sr-Cyrl-CS"/>
        </w:rPr>
      </w:pPr>
      <w:r w:rsidRPr="00F5596D">
        <w:rPr>
          <w:lang w:val="sr-Cyrl-CS"/>
        </w:rPr>
        <w:t>Очекује се да инфлација и током целе 2025. године остане у границама циља (3% ± 1,5 п.п), при чему ће до краја године наставити опадајућу путању и приближити се централној вредности од 3%. На такав тренд утицаће ефекти досадашњег заоштравања монетарне политике, пад инфлационих очекивања, смањење светских цена енергената, нижа увозна инфлација и очекивана стабилна пољопривредна сезона. У средњорочном периоду инфлација би требало да остане стабилна унутар циљаног оквира, а ризици пројекције су симетрични и пре свега везани за геополитичке тензије, глобалне цене примарних производа и брзину раста домаће тражње.</w:t>
      </w:r>
    </w:p>
    <w:p w14:paraId="4A1E0E9A" w14:textId="77777777" w:rsidR="000A55EE" w:rsidRPr="00F5596D" w:rsidRDefault="000A55EE" w:rsidP="00E61F75">
      <w:pPr>
        <w:spacing w:after="120"/>
        <w:rPr>
          <w:lang w:val="sr-Cyrl-CS"/>
        </w:rPr>
      </w:pPr>
    </w:p>
    <w:p w14:paraId="1DFA8D13" w14:textId="77777777" w:rsidR="00336BC5" w:rsidRPr="00F5596D" w:rsidRDefault="00336BC5" w:rsidP="00E61F75">
      <w:pPr>
        <w:pStyle w:val="Caption"/>
        <w:keepNext/>
        <w:spacing w:after="40"/>
        <w:rPr>
          <w:rFonts w:cstheme="minorHAnsi"/>
          <w:iCs w:val="0"/>
          <w:szCs w:val="22"/>
          <w:lang w:val="sr-Cyrl-CS"/>
        </w:rPr>
      </w:pPr>
      <w:r w:rsidRPr="00F5596D">
        <w:rPr>
          <w:rFonts w:cstheme="minorHAnsi"/>
          <w:iCs w:val="0"/>
          <w:szCs w:val="22"/>
          <w:lang w:val="sr-Cyrl-CS"/>
        </w:rPr>
        <w:t>Пројекција инфлације, %</w:t>
      </w:r>
    </w:p>
    <w:p w14:paraId="3002D710" w14:textId="77777777" w:rsidR="00336BC5" w:rsidRPr="00F5596D" w:rsidRDefault="00336BC5" w:rsidP="00E61F75">
      <w:pPr>
        <w:spacing w:after="40"/>
        <w:rPr>
          <w:rFonts w:cstheme="minorHAnsi"/>
          <w:sz w:val="16"/>
          <w:szCs w:val="16"/>
          <w:lang w:val="sr-Cyrl-CS"/>
        </w:rPr>
      </w:pPr>
      <w:r w:rsidRPr="00F5596D">
        <w:rPr>
          <w:noProof/>
        </w:rPr>
        <w:drawing>
          <wp:inline distT="0" distB="0" distL="0" distR="0" wp14:anchorId="3D4BE50E" wp14:editId="239F1A09">
            <wp:extent cx="2743200" cy="1687830"/>
            <wp:effectExtent l="0" t="0" r="0" b="7620"/>
            <wp:docPr id="67" name="Chart 67">
              <a:extLst xmlns:a="http://schemas.openxmlformats.org/drawingml/2006/main">
                <a:ext uri="{FF2B5EF4-FFF2-40B4-BE49-F238E27FC236}">
                  <a16:creationId xmlns:a16="http://schemas.microsoft.com/office/drawing/2014/main" id="{00000000-0008-0000-13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78014D63" w14:textId="77777777" w:rsidR="00336BC5" w:rsidRPr="00F5596D" w:rsidRDefault="00336BC5" w:rsidP="00E61F75">
      <w:pPr>
        <w:spacing w:after="0"/>
        <w:rPr>
          <w:rFonts w:cstheme="minorHAnsi"/>
          <w:bCs/>
          <w:sz w:val="14"/>
          <w:szCs w:val="72"/>
          <w:lang w:val="sr-Cyrl-CS"/>
        </w:rPr>
        <w:sectPr w:rsidR="00336BC5" w:rsidRPr="00F5596D" w:rsidSect="00E61F75">
          <w:type w:val="continuous"/>
          <w:pgSz w:w="12240" w:h="15840" w:code="1"/>
          <w:pgMar w:top="1440" w:right="1440" w:bottom="1440" w:left="1440" w:header="720" w:footer="720" w:gutter="0"/>
          <w:cols w:num="2" w:space="720"/>
          <w:docGrid w:linePitch="360"/>
        </w:sectPr>
      </w:pPr>
      <w:r w:rsidRPr="00F5596D">
        <w:rPr>
          <w:rFonts w:cstheme="minorHAnsi"/>
          <w:bCs/>
          <w:sz w:val="14"/>
          <w:szCs w:val="72"/>
          <w:lang w:val="sr-Cyrl-CS"/>
        </w:rPr>
        <w:t>Извор: Министарство финансија</w:t>
      </w:r>
    </w:p>
    <w:p w14:paraId="6502C13B" w14:textId="77777777" w:rsidR="00336BC5" w:rsidRPr="00F5596D" w:rsidRDefault="00336BC5" w:rsidP="00E61F75">
      <w:pPr>
        <w:rPr>
          <w:lang w:val="sr-Cyrl-CS"/>
        </w:rPr>
      </w:pPr>
    </w:p>
    <w:p w14:paraId="3BE1E532" w14:textId="52A3B07C" w:rsidR="00336BC5" w:rsidRPr="00F5596D" w:rsidRDefault="00336BC5" w:rsidP="00730D89">
      <w:pPr>
        <w:rPr>
          <w:lang w:val="sr-Cyrl-CS"/>
        </w:rPr>
      </w:pPr>
    </w:p>
    <w:p w14:paraId="6CB6767C" w14:textId="4831724A" w:rsidR="00336BC5" w:rsidRPr="00F5596D" w:rsidRDefault="00336BC5" w:rsidP="00730D89">
      <w:pPr>
        <w:rPr>
          <w:lang w:val="sr-Cyrl-CS"/>
        </w:rPr>
      </w:pPr>
    </w:p>
    <w:p w14:paraId="2BFA6DE8" w14:textId="3F98FD02" w:rsidR="00336BC5" w:rsidRPr="00F5596D" w:rsidRDefault="00336BC5" w:rsidP="00730D89">
      <w:pPr>
        <w:rPr>
          <w:lang w:val="sr-Cyrl-CS"/>
        </w:rPr>
      </w:pPr>
    </w:p>
    <w:p w14:paraId="6B2F1C4D" w14:textId="7F6B5298" w:rsidR="00336BC5" w:rsidRPr="00F5596D" w:rsidRDefault="00336BC5" w:rsidP="00730D89">
      <w:pPr>
        <w:rPr>
          <w:lang w:val="sr-Cyrl-CS"/>
        </w:rPr>
      </w:pPr>
    </w:p>
    <w:p w14:paraId="534C99E3" w14:textId="0366CB71" w:rsidR="00336BC5" w:rsidRPr="00F5596D" w:rsidRDefault="00336BC5" w:rsidP="00730D89">
      <w:pPr>
        <w:rPr>
          <w:lang w:val="sr-Cyrl-CS"/>
        </w:rPr>
      </w:pPr>
    </w:p>
    <w:p w14:paraId="19976640" w14:textId="11DD1D44" w:rsidR="00336BC5" w:rsidRPr="00F5596D" w:rsidRDefault="00336BC5" w:rsidP="00730D89">
      <w:pPr>
        <w:rPr>
          <w:lang w:val="sr-Cyrl-CS"/>
        </w:rPr>
      </w:pPr>
    </w:p>
    <w:p w14:paraId="6AB87E43" w14:textId="626009C3" w:rsidR="00FC13C0" w:rsidRPr="00F5596D" w:rsidRDefault="00FC13C0" w:rsidP="00730D89">
      <w:pPr>
        <w:rPr>
          <w:lang w:val="sr-Cyrl-CS"/>
        </w:rPr>
      </w:pPr>
    </w:p>
    <w:p w14:paraId="1963744E" w14:textId="77777777" w:rsidR="00FC13C0" w:rsidRPr="00F5596D" w:rsidRDefault="00FC13C0" w:rsidP="00730D89">
      <w:pPr>
        <w:rPr>
          <w:lang w:val="sr-Cyrl-CS"/>
        </w:rPr>
      </w:pPr>
    </w:p>
    <w:p w14:paraId="1C185799" w14:textId="5F76F6F5" w:rsidR="00336BC5" w:rsidRPr="00F5596D" w:rsidRDefault="00336BC5" w:rsidP="00730D89">
      <w:pPr>
        <w:rPr>
          <w:lang w:val="sr-Cyrl-CS"/>
        </w:rPr>
      </w:pPr>
    </w:p>
    <w:p w14:paraId="122B3BD9" w14:textId="77777777" w:rsidR="00E61F75" w:rsidRPr="00F5596D" w:rsidRDefault="00E61F75" w:rsidP="00E61F75">
      <w:pPr>
        <w:jc w:val="left"/>
        <w:rPr>
          <w:rFonts w:cstheme="minorHAnsi"/>
          <w:b/>
          <w:color w:val="2F5496" w:themeColor="accent1" w:themeShade="BF"/>
          <w:sz w:val="22"/>
          <w:lang w:val="sr-Cyrl-CS"/>
        </w:rPr>
      </w:pPr>
      <w:bookmarkStart w:id="18" w:name="_Toc23342463"/>
      <w:r w:rsidRPr="00F5596D">
        <w:rPr>
          <w:rFonts w:cstheme="minorHAnsi"/>
          <w:b/>
          <w:color w:val="2F5496" w:themeColor="accent1" w:themeShade="BF"/>
          <w:sz w:val="22"/>
          <w:lang w:val="sr-Cyrl-CS"/>
        </w:rPr>
        <w:lastRenderedPageBreak/>
        <w:t>Екстерни сектор</w:t>
      </w:r>
    </w:p>
    <w:p w14:paraId="1FA3AC55" w14:textId="62803855"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Укупан обим спољнотрговинске робне размене у 2024. години износио је 69,5 млрд евра и повећан је за 6,1%, у односу на 2023. годину. Упркос слабој екстерној тражњи робни извоз је забележио раст од 6,4%, пре свега као резултат повећања производних капацитета привреде. Истовремено, дошло је до раста робног увоза од 5,9%, који је пре свега последица растућих потреба привреде за репроматеријалом и инвестицијама, али и повећане приватне потрошње услед реалног раста дохотка становништва. Оваква кретања условила су да</w:t>
      </w:r>
      <w:r w:rsidR="00721283" w:rsidRPr="00F5596D">
        <w:rPr>
          <w:rFonts w:eastAsia="Times New Roman" w:cstheme="minorHAnsi"/>
          <w:szCs w:val="24"/>
          <w:lang w:val="sr-Cyrl-CS"/>
        </w:rPr>
        <w:t xml:space="preserve"> се </w:t>
      </w:r>
      <w:r w:rsidR="005D2733" w:rsidRPr="00F5596D">
        <w:rPr>
          <w:rFonts w:eastAsia="Times New Roman" w:cstheme="minorHAnsi"/>
          <w:szCs w:val="24"/>
          <w:lang w:val="sr-Cyrl-CS"/>
        </w:rPr>
        <w:t xml:space="preserve">учешће </w:t>
      </w:r>
      <w:r w:rsidR="00721283" w:rsidRPr="00F5596D">
        <w:rPr>
          <w:rFonts w:eastAsia="Times New Roman" w:cstheme="minorHAnsi"/>
          <w:szCs w:val="24"/>
          <w:lang w:val="sr-Cyrl-CS"/>
        </w:rPr>
        <w:t>дефицит</w:t>
      </w:r>
      <w:r w:rsidR="005D2733" w:rsidRPr="00F5596D">
        <w:rPr>
          <w:rFonts w:eastAsia="Times New Roman" w:cstheme="minorHAnsi"/>
          <w:szCs w:val="24"/>
          <w:lang w:val="sr-Cyrl-CS"/>
        </w:rPr>
        <w:t>а</w:t>
      </w:r>
      <w:r w:rsidR="00721283" w:rsidRPr="00F5596D">
        <w:rPr>
          <w:rFonts w:eastAsia="Times New Roman" w:cstheme="minorHAnsi"/>
          <w:szCs w:val="24"/>
          <w:lang w:val="sr-Cyrl-CS"/>
        </w:rPr>
        <w:t xml:space="preserve"> робне размене</w:t>
      </w:r>
      <w:r w:rsidR="005D2733" w:rsidRPr="00F5596D">
        <w:rPr>
          <w:rFonts w:eastAsia="Times New Roman" w:cstheme="minorHAnsi"/>
          <w:szCs w:val="24"/>
          <w:lang w:val="sr-Cyrl-CS"/>
        </w:rPr>
        <w:t xml:space="preserve"> у БДП</w:t>
      </w:r>
      <w:r w:rsidR="00721283" w:rsidRPr="00F5596D">
        <w:rPr>
          <w:rFonts w:eastAsia="Times New Roman" w:cstheme="minorHAnsi"/>
          <w:szCs w:val="24"/>
          <w:lang w:val="sr-Cyrl-CS"/>
        </w:rPr>
        <w:t xml:space="preserve"> смањи са 10,9% у 2023. години на 10,4% у 2024. години,</w:t>
      </w:r>
      <w:r w:rsidRPr="00F5596D">
        <w:rPr>
          <w:rFonts w:eastAsia="Times New Roman" w:cstheme="minorHAnsi"/>
          <w:szCs w:val="24"/>
          <w:lang w:val="sr-Cyrl-CS"/>
        </w:rPr>
        <w:t xml:space="preserve"> </w:t>
      </w:r>
      <w:r w:rsidR="005517DB" w:rsidRPr="00F5596D">
        <w:rPr>
          <w:rFonts w:eastAsia="Times New Roman" w:cstheme="minorHAnsi"/>
          <w:szCs w:val="24"/>
          <w:lang w:val="sr-Cyrl-CS"/>
        </w:rPr>
        <w:t xml:space="preserve">иако </w:t>
      </w:r>
      <w:r w:rsidRPr="00F5596D">
        <w:rPr>
          <w:rFonts w:eastAsia="Times New Roman" w:cstheme="minorHAnsi"/>
          <w:szCs w:val="24"/>
          <w:lang w:val="sr-Cyrl-CS"/>
        </w:rPr>
        <w:t>је дефицит робне ра</w:t>
      </w:r>
      <w:r w:rsidR="00294CA7" w:rsidRPr="00F5596D">
        <w:rPr>
          <w:rFonts w:eastAsia="Times New Roman" w:cstheme="minorHAnsi"/>
          <w:szCs w:val="24"/>
          <w:lang w:val="sr-Cyrl-CS"/>
        </w:rPr>
        <w:t xml:space="preserve">змене благо повећан </w:t>
      </w:r>
      <w:r w:rsidR="005517DB" w:rsidRPr="00F5596D">
        <w:rPr>
          <w:rFonts w:eastAsia="Times New Roman" w:cstheme="minorHAnsi"/>
          <w:szCs w:val="24"/>
          <w:lang w:val="sr-Cyrl-CS"/>
        </w:rPr>
        <w:t>за 337,7 мил. евра</w:t>
      </w:r>
      <w:r w:rsidR="00294CA7" w:rsidRPr="00F5596D">
        <w:rPr>
          <w:rFonts w:eastAsia="Times New Roman" w:cstheme="minorHAnsi"/>
          <w:szCs w:val="24"/>
          <w:lang w:val="sr-Cyrl-CS"/>
        </w:rPr>
        <w:t>.</w:t>
      </w:r>
    </w:p>
    <w:p w14:paraId="6516EAB4" w14:textId="1710CD17"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У прва четири месеца 2025. године, обим спољнотрговинске размене је повећан за 10,6%, и износио је 24,8 млрд евра. У овом периоду, изв</w:t>
      </w:r>
      <w:r w:rsidR="0087282B" w:rsidRPr="00F5596D">
        <w:rPr>
          <w:rFonts w:eastAsia="Times New Roman" w:cstheme="minorHAnsi"/>
          <w:szCs w:val="24"/>
          <w:lang w:val="sr-Cyrl-CS"/>
        </w:rPr>
        <w:t>оз робе је вредео 10,8 млрд</w:t>
      </w:r>
      <w:r w:rsidRPr="00F5596D">
        <w:rPr>
          <w:rFonts w:eastAsia="Times New Roman" w:cstheme="minorHAnsi"/>
          <w:szCs w:val="24"/>
          <w:lang w:val="sr-Cyrl-CS"/>
        </w:rPr>
        <w:t xml:space="preserve"> евра, што представља раст у односу на исти период претходне године од 8,2%. Наставак раста извоза током 2025. године, упркос неповољним глобалним кретањима и успоравању привредне активности у већини трговинских партнера, указује на изражену отпорност домаћег извозног сектора. Та отпорност произилази из његове диверсификације како по географским тржиштима, што смањује зависност од појединачних економија, тако и по делатностима, захваљујући расту извоза у више индустријских грана. Повољна структура извоза представља резултат вишегодишњих улагања и модернизације производних капацитета, подстакнутих страним директним инвестицијама и повољним пословним амбијентом. </w:t>
      </w:r>
    </w:p>
    <w:p w14:paraId="645F41ED" w14:textId="77777777" w:rsidR="002941A4" w:rsidRPr="00F5596D" w:rsidRDefault="00E61F75" w:rsidP="00E61F75">
      <w:pPr>
        <w:rPr>
          <w:rFonts w:eastAsia="Times New Roman" w:cstheme="minorHAnsi"/>
          <w:szCs w:val="24"/>
          <w:lang w:val="sr-Cyrl-CS"/>
        </w:rPr>
      </w:pPr>
      <w:r w:rsidRPr="00F5596D">
        <w:rPr>
          <w:rFonts w:eastAsia="Times New Roman" w:cstheme="minorHAnsi"/>
          <w:szCs w:val="24"/>
          <w:lang w:val="sr-Cyrl-CS"/>
        </w:rPr>
        <w:t xml:space="preserve">Извоз прерађивачке индустрије, која је и главни генератор раста робног извоза, био је већи за 718,3 мил. евра или 8,2%, при чему је раст остварен у 18 од 23 области. Расту извоза прерађивачке индустрије у прва четири месеца 2025. године највише је допринео раст извоза гумарске и металске индустрије, затим основних метала, као и прехрамбене али и аутомобилске индустрије. Треба истаћи да је производња аутомобила у Србији поново добила значајан замах у фебруару 2025. године, када је компанија Стелантис започела серијску производњу новог </w:t>
      </w:r>
    </w:p>
    <w:p w14:paraId="6283938B" w14:textId="77777777" w:rsidR="002941A4" w:rsidRPr="00F5596D" w:rsidRDefault="002941A4" w:rsidP="00E61F75">
      <w:pPr>
        <w:rPr>
          <w:rFonts w:eastAsia="Times New Roman" w:cstheme="minorHAnsi"/>
          <w:szCs w:val="24"/>
          <w:lang w:val="sr-Cyrl-CS"/>
        </w:rPr>
      </w:pPr>
    </w:p>
    <w:p w14:paraId="3B36F394" w14:textId="7A351C17"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 xml:space="preserve">модела аутомобила у Крагујевцу. У прва четири месеца 2025. године, извоз ове компаније износио је око 115 милиона евра, чиме је аутомобилска индустрија поново постала значајан ослонац домаћег извоза. Тиме је, после дужег периода застоја, поново успостављена серијска производња аутомобила у Србији. </w:t>
      </w:r>
    </w:p>
    <w:p w14:paraId="462B35BA" w14:textId="77777777"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 xml:space="preserve">У периоду јануар – април 2025. године извоз рударства био је већи за 5,9%, скоро у потпуности вођен повећањем извоза руда метала. Истовремено, извоз електричне енергије забележио је раст од 49,5% (повећање од 113,2 милиона евра). Ово повећање је делимично последица покретања производње електричне енергије у новоизграђеном термо блоку „Б3“ термоелектране у Костолцу и нешто мањим делом због базног ефекта услед нижег водостаја на рекама и смањеног хидропотенцијала у претходној години. </w:t>
      </w:r>
    </w:p>
    <w:p w14:paraId="02B90CEC" w14:textId="3C173C39"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 xml:space="preserve">Пољопривреда је, упркос расту цена хране на светском тржишту (мерених индексом ФАО), </w:t>
      </w:r>
      <w:r w:rsidR="003956ED" w:rsidRPr="00F5596D">
        <w:rPr>
          <w:rFonts w:eastAsia="Times New Roman" w:cstheme="minorHAnsi"/>
          <w:szCs w:val="24"/>
          <w:lang w:val="sr-Cyrl-CS"/>
        </w:rPr>
        <w:t>забележила</w:t>
      </w:r>
      <w:r w:rsidRPr="00F5596D">
        <w:rPr>
          <w:rFonts w:eastAsia="Times New Roman" w:cstheme="minorHAnsi"/>
          <w:szCs w:val="24"/>
          <w:lang w:val="sr-Cyrl-CS"/>
        </w:rPr>
        <w:t xml:space="preserve"> пад извоза од 5,5% у прва четири месеца 2025. године као последица неповољне пољопривредне сезоне у претходној години, коју су обележили дуги сушни периоди и смањене залиха производа за извоз.</w:t>
      </w:r>
    </w:p>
    <w:p w14:paraId="10315FE0" w14:textId="77777777"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У периоду јануар–април 2025. године, увоз робе износио је 14,0 милијарди евра, што представља раст од 12,5% у односу на исти период претходне године. Убрзање раста увоза пре свега је последица повећаних потреба привреде за сировинама, али је додатно подстакнуто појачаним увозом уочи најављеног увођења тарифа и очекиваног раста цена по том основу. Посматрано према економској намени, раст увоза забележен је код свих основних категорија производа. Увоз репроматеријала порастао је за 10,0%, односно за 681,3 милиона евра, увоз потрошне робе за 11,7% (прираст 311,0 милиона евра), док је увоз опреме забележио благи раст од 1,2% (прираст 18,9 милиона евра).</w:t>
      </w:r>
    </w:p>
    <w:p w14:paraId="5137D950" w14:textId="77777777" w:rsidR="00E61F75" w:rsidRPr="00F5596D" w:rsidRDefault="00E61F75" w:rsidP="00E61F75">
      <w:pPr>
        <w:rPr>
          <w:rFonts w:eastAsia="Times New Roman" w:cstheme="minorHAnsi"/>
          <w:szCs w:val="24"/>
          <w:lang w:val="sr-Cyrl-CS"/>
        </w:rPr>
      </w:pPr>
    </w:p>
    <w:p w14:paraId="6698A0BC" w14:textId="77777777" w:rsidR="00E61F75" w:rsidRPr="00F5596D" w:rsidRDefault="00E61F75" w:rsidP="00E61F75">
      <w:pPr>
        <w:rPr>
          <w:rFonts w:eastAsia="Times New Roman" w:cstheme="minorHAnsi"/>
          <w:szCs w:val="24"/>
          <w:lang w:val="sr-Cyrl-CS"/>
        </w:rPr>
      </w:pPr>
    </w:p>
    <w:p w14:paraId="085B41DD" w14:textId="77777777" w:rsidR="00E61F75" w:rsidRPr="00F5596D" w:rsidRDefault="00E61F75" w:rsidP="00E61F75">
      <w:pPr>
        <w:rPr>
          <w:rFonts w:eastAsia="Times New Roman" w:cstheme="minorHAnsi"/>
          <w:szCs w:val="24"/>
          <w:lang w:val="sr-Cyrl-CS"/>
        </w:rPr>
      </w:pPr>
    </w:p>
    <w:p w14:paraId="2FFA6E8A" w14:textId="77777777" w:rsidR="00E61F75" w:rsidRPr="00F5596D" w:rsidRDefault="00E61F75" w:rsidP="00E61F75">
      <w:pPr>
        <w:pStyle w:val="NoSpacing"/>
        <w:jc w:val="center"/>
        <w:rPr>
          <w:rFonts w:cstheme="minorHAnsi"/>
          <w:color w:val="002060"/>
          <w:lang w:val="sr-Cyrl-CS"/>
        </w:rPr>
      </w:pPr>
      <w:r w:rsidRPr="00F5596D">
        <w:rPr>
          <w:rFonts w:cstheme="minorHAnsi"/>
          <w:color w:val="002060"/>
          <w:lang w:val="sr-Cyrl-CS"/>
        </w:rPr>
        <w:lastRenderedPageBreak/>
        <w:t>Доприноси стопи раста увоза, економска намена, п.п.</w:t>
      </w:r>
    </w:p>
    <w:p w14:paraId="356F60E7" w14:textId="662FB7E7" w:rsidR="00E61F75" w:rsidRPr="00F5596D" w:rsidRDefault="0041575D" w:rsidP="00E61F75">
      <w:pPr>
        <w:pStyle w:val="NoSpacing"/>
        <w:jc w:val="center"/>
        <w:rPr>
          <w:rFonts w:cstheme="minorHAnsi"/>
          <w:color w:val="44546A" w:themeColor="text2"/>
          <w:lang w:val="sr-Cyrl-CS"/>
        </w:rPr>
      </w:pPr>
      <w:r w:rsidRPr="00F5596D">
        <w:rPr>
          <w:noProof/>
        </w:rPr>
        <w:drawing>
          <wp:inline distT="0" distB="0" distL="0" distR="0" wp14:anchorId="4FAF191F" wp14:editId="2AFAFAB5">
            <wp:extent cx="2743200" cy="1847850"/>
            <wp:effectExtent l="0" t="0" r="0" b="0"/>
            <wp:docPr id="68" name="Chart 68">
              <a:extLst xmlns:a="http://schemas.openxmlformats.org/drawingml/2006/main">
                <a:ext uri="{FF2B5EF4-FFF2-40B4-BE49-F238E27FC236}">
                  <a16:creationId xmlns:a16="http://schemas.microsoft.com/office/drawing/2014/main" id="{00000000-0008-0000-1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516DCCCD" w14:textId="280A36C9" w:rsidR="00E61F75" w:rsidRPr="00F5596D" w:rsidRDefault="00E61F75" w:rsidP="0041575D">
      <w:pPr>
        <w:spacing w:after="80" w:line="240" w:lineRule="auto"/>
        <w:rPr>
          <w:rFonts w:cstheme="minorHAnsi"/>
          <w:bCs/>
          <w:sz w:val="18"/>
          <w:szCs w:val="72"/>
          <w:lang w:val="sr-Cyrl-CS"/>
        </w:rPr>
      </w:pPr>
      <w:r w:rsidRPr="00F5596D">
        <w:rPr>
          <w:rFonts w:cstheme="minorHAnsi"/>
          <w:bCs/>
          <w:sz w:val="14"/>
          <w:szCs w:val="72"/>
          <w:lang w:val="sr-Cyrl-CS"/>
        </w:rPr>
        <w:t>Извор: РЗС</w:t>
      </w:r>
    </w:p>
    <w:p w14:paraId="7C56AAC9" w14:textId="1BAAC905" w:rsidR="00E61F75" w:rsidRPr="00F5596D" w:rsidRDefault="00E61F75" w:rsidP="00E61F75">
      <w:pPr>
        <w:spacing w:after="120"/>
        <w:rPr>
          <w:rFonts w:eastAsia="Times New Roman" w:cstheme="minorHAnsi"/>
          <w:color w:val="FF0000"/>
          <w:szCs w:val="24"/>
          <w:lang w:val="sr-Cyrl-CS"/>
        </w:rPr>
      </w:pPr>
      <w:r w:rsidRPr="00F5596D">
        <w:rPr>
          <w:rFonts w:eastAsia="Times New Roman" w:cstheme="minorHAnsi"/>
          <w:szCs w:val="24"/>
          <w:lang w:val="sr-Cyrl-CS"/>
        </w:rPr>
        <w:t xml:space="preserve">Оваква кретања у спољнотрговинској размени резултирала </w:t>
      </w:r>
      <w:r w:rsidR="00E37FAD" w:rsidRPr="00F5596D">
        <w:rPr>
          <w:rFonts w:eastAsia="Times New Roman" w:cstheme="minorHAnsi"/>
          <w:szCs w:val="24"/>
          <w:lang w:val="sr-Cyrl-CS"/>
        </w:rPr>
        <w:t xml:space="preserve">су </w:t>
      </w:r>
      <w:r w:rsidRPr="00F5596D">
        <w:rPr>
          <w:rFonts w:eastAsia="Times New Roman" w:cstheme="minorHAnsi"/>
          <w:szCs w:val="24"/>
          <w:lang w:val="sr-Cyrl-CS"/>
        </w:rPr>
        <w:t>растом спољнотрговинског дефицита током прва четири месеца 2025. године за 739,5 мил. евра и који је износио 3,2 млрд евра при чему 1,3 млрд потиче од дефицита у размени енергентима. Истовремено, смањена је покривеност увоза извозом која износи 77,3% у прва четири месеца 2025. године, у поређењу са 80,4% колико је износила у истом периоду претходне године.</w:t>
      </w:r>
    </w:p>
    <w:p w14:paraId="23E2EAD1" w14:textId="77777777" w:rsidR="00E61F75" w:rsidRPr="00F5596D" w:rsidRDefault="00E61F75" w:rsidP="00E61F75">
      <w:pPr>
        <w:pStyle w:val="NoSpacing"/>
        <w:jc w:val="center"/>
        <w:rPr>
          <w:rFonts w:cstheme="minorHAnsi"/>
          <w:color w:val="002060"/>
          <w:lang w:val="sr-Cyrl-CS"/>
        </w:rPr>
      </w:pPr>
      <w:r w:rsidRPr="00F5596D">
        <w:rPr>
          <w:rFonts w:cstheme="minorHAnsi"/>
          <w:color w:val="002060"/>
          <w:lang w:val="sr-Cyrl-CS"/>
        </w:rPr>
        <w:t>Робна размена, мил. ЕУР</w:t>
      </w:r>
    </w:p>
    <w:p w14:paraId="535708E6" w14:textId="58AE3BC7" w:rsidR="00E61F75" w:rsidRPr="00F5596D" w:rsidRDefault="000603D1" w:rsidP="00E61F75">
      <w:pPr>
        <w:spacing w:before="40"/>
        <w:rPr>
          <w:rFonts w:cstheme="minorHAnsi"/>
          <w:sz w:val="16"/>
          <w:lang w:val="sr-Cyrl-CS"/>
        </w:rPr>
      </w:pPr>
      <w:r w:rsidRPr="00F5596D">
        <w:rPr>
          <w:rFonts w:cstheme="minorHAnsi"/>
          <w:sz w:val="16"/>
          <w:lang w:val="sr-Cyrl-CS"/>
        </w:rPr>
        <w:t xml:space="preserve"> </w:t>
      </w:r>
      <w:r w:rsidR="006B3A70" w:rsidRPr="00F5596D">
        <w:rPr>
          <w:noProof/>
        </w:rPr>
        <w:drawing>
          <wp:inline distT="0" distB="0" distL="0" distR="0" wp14:anchorId="2F3829D2" wp14:editId="49A14525">
            <wp:extent cx="2743200" cy="1586865"/>
            <wp:effectExtent l="0" t="0" r="0" b="0"/>
            <wp:docPr id="70" name="Chart 70">
              <a:extLst xmlns:a="http://schemas.openxmlformats.org/drawingml/2006/main">
                <a:ext uri="{FF2B5EF4-FFF2-40B4-BE49-F238E27FC236}">
                  <a16:creationId xmlns:a16="http://schemas.microsoft.com/office/drawing/2014/main" id="{00000000-0008-0000-18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r w:rsidR="00E61F75" w:rsidRPr="00F5596D">
        <w:rPr>
          <w:rFonts w:cstheme="minorHAnsi"/>
          <w:sz w:val="14"/>
          <w:lang w:val="sr-Cyrl-CS"/>
        </w:rPr>
        <w:t>Извор</w:t>
      </w:r>
      <w:r w:rsidR="00E61F75" w:rsidRPr="00F5596D">
        <w:rPr>
          <w:rFonts w:cstheme="minorHAnsi"/>
          <w:sz w:val="16"/>
          <w:lang w:val="sr-Cyrl-CS"/>
        </w:rPr>
        <w:t xml:space="preserve">: </w:t>
      </w:r>
      <w:r w:rsidR="00E61F75" w:rsidRPr="00F5596D">
        <w:rPr>
          <w:rFonts w:cstheme="minorHAnsi"/>
          <w:sz w:val="14"/>
          <w:lang w:val="sr-Cyrl-CS"/>
        </w:rPr>
        <w:t>РЗС</w:t>
      </w:r>
    </w:p>
    <w:p w14:paraId="4CFD4981" w14:textId="77777777" w:rsidR="00E61F75" w:rsidRPr="00F5596D" w:rsidRDefault="00E61F75" w:rsidP="00E61F75">
      <w:pPr>
        <w:rPr>
          <w:rFonts w:eastAsia="Times New Roman" w:cstheme="minorHAnsi"/>
          <w:color w:val="FF0000"/>
          <w:szCs w:val="24"/>
          <w:lang w:val="sr-Cyrl-CS"/>
        </w:rPr>
      </w:pPr>
      <w:r w:rsidRPr="00F5596D">
        <w:rPr>
          <w:rFonts w:eastAsia="Times New Roman" w:cstheme="minorHAnsi"/>
          <w:szCs w:val="24"/>
          <w:lang w:val="sr-Cyrl-CS"/>
        </w:rPr>
        <w:t xml:space="preserve">Најважнији спољнотрговински партнери током прва четири месеца 2025. године су земље ЕУ, на које се односило 62,0% укупног извоза и 54,4% укупног увоза. Највећи део укупног извоза (38,3%) у том периоду био је усмерен на тржиште пет земаља: Немачка, БиХ, Кина, Италија и Мађарска. Увоз из Кине, Немачке, Италије, Мађарске и Турске чинио је 42,2% укупног увоза. </w:t>
      </w:r>
      <w:r w:rsidRPr="00F5596D">
        <w:rPr>
          <w:rFonts w:eastAsia="Times New Roman" w:cstheme="minorHAnsi"/>
          <w:szCs w:val="24"/>
          <w:lang w:val="sr-Cyrl-CS"/>
        </w:rPr>
        <w:t>Спољнотрговински суфицит у овом периоду остварен је са Црном Гором, Северном Македонијом, Бугарском Чешком, Словачком, Румунијом, БиХ, Немачком, Шведском, Великом Британијом, Хрватском и у нешто мањој мери са Молдавијом. Суфицит са овим земљама у посматраном периоду износио је 1,5 млрд евра. Највећи дефицит јавља се у трговини са Кином, Казахстаном, Мађарском, Италијом и Руском Федерацијом.</w:t>
      </w:r>
    </w:p>
    <w:p w14:paraId="2BF9AD8F" w14:textId="57AC1916"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Према процени Министарства финансија на основу ревидираних података спољнотрговинске робне размене РЗС</w:t>
      </w:r>
      <w:r w:rsidRPr="00F5596D">
        <w:rPr>
          <w:rStyle w:val="FootnoteReference"/>
          <w:rFonts w:eastAsia="Times New Roman" w:cstheme="minorHAnsi"/>
          <w:szCs w:val="24"/>
          <w:lang w:val="sr-Cyrl-CS"/>
        </w:rPr>
        <w:footnoteReference w:id="1"/>
      </w:r>
      <w:r w:rsidRPr="00F5596D">
        <w:rPr>
          <w:rFonts w:eastAsia="Times New Roman" w:cstheme="minorHAnsi"/>
          <w:szCs w:val="24"/>
          <w:lang w:val="sr-Cyrl-CS"/>
        </w:rPr>
        <w:t xml:space="preserve"> и података НБС о платном билансу, дефицит текућег </w:t>
      </w:r>
      <w:r w:rsidR="00337F06" w:rsidRPr="00F5596D">
        <w:rPr>
          <w:rFonts w:eastAsia="Times New Roman" w:cstheme="minorHAnsi"/>
          <w:szCs w:val="24"/>
          <w:lang w:val="sr-Cyrl-CS"/>
        </w:rPr>
        <w:t>рачуна у 2024. години износио је</w:t>
      </w:r>
      <w:r w:rsidRPr="00F5596D">
        <w:rPr>
          <w:rFonts w:eastAsia="Times New Roman" w:cstheme="minorHAnsi"/>
          <w:szCs w:val="24"/>
          <w:lang w:val="sr-Cyrl-CS"/>
        </w:rPr>
        <w:t xml:space="preserve"> </w:t>
      </w:r>
      <w:r w:rsidR="00337F06" w:rsidRPr="00F5596D">
        <w:rPr>
          <w:rFonts w:eastAsia="Times New Roman" w:cstheme="minorHAnsi"/>
          <w:szCs w:val="24"/>
          <w:lang w:val="sr-Cyrl-CS"/>
        </w:rPr>
        <w:t>4,7</w:t>
      </w:r>
      <w:r w:rsidRPr="00F5596D">
        <w:rPr>
          <w:rFonts w:eastAsia="Times New Roman" w:cstheme="minorHAnsi"/>
          <w:szCs w:val="24"/>
          <w:lang w:val="sr-Cyrl-CS"/>
        </w:rPr>
        <w:t>% БДП. Укупан прилив СДИ у 2024. години, упркос растућим геополитичким тензијама, забележио је рекордан ниво и износио је 5,2 млрд евра, док је нето прилив по основу СДИ износио је 4,6 млрд евра, што је било више него довољно за пуну покривеност дефицита текућег рачуна, што додатно доприноси дугорочној одрживости екстерне позиције. Највећи део прилива СДИ био je у облику власничког капитала и реинвестиране добити (79,7%), што потврђује опредељење страних инвеститора да наставе да улажу у Србију. Посматрано према делатностима, највећи прилив СДИ у протеклој години је остварен у рударству и грађевинарству са по остварених 1,4 млрд евра прилива у сваком од сектора. Висок прилив СДИ у овом периоду забележен је и у прерађивачкој индустрији, сектору који традиционално привлачи највише СДИ, у износу од 594,3 мил. евра</w:t>
      </w:r>
      <w:r w:rsidRPr="00F5596D">
        <w:rPr>
          <w:rFonts w:eastAsia="Times New Roman" w:cstheme="minorHAnsi"/>
          <w:szCs w:val="24"/>
          <w:lang w:val="sr-Cyrl-CS"/>
        </w:rPr>
        <w:tab/>
        <w:t>, као и стручним, научним иновационим и техничкким делатностима (594,3 мил. евра), али и у ИКТ сектору (356,7 мил. евра). Осим производне разноврсности, СДИ су и географски диверсификоване, са растућим уделом земаља из азијско-пацифичког региона. Посматрано према географском пореклу</w:t>
      </w:r>
      <w:r w:rsidR="00E37FAD" w:rsidRPr="00F5596D">
        <w:rPr>
          <w:rFonts w:eastAsia="Times New Roman" w:cstheme="minorHAnsi"/>
          <w:szCs w:val="24"/>
          <w:lang w:val="sr-Cyrl-CS"/>
        </w:rPr>
        <w:t>, највећи део СДИ (преко 60%</w:t>
      </w:r>
      <w:r w:rsidRPr="00F5596D">
        <w:rPr>
          <w:rFonts w:eastAsia="Times New Roman" w:cstheme="minorHAnsi"/>
          <w:szCs w:val="24"/>
          <w:lang w:val="sr-Cyrl-CS"/>
        </w:rPr>
        <w:t xml:space="preserve">) долази са европског континента. Укупан прилив инвестиција из Европске уније у 2024. години износио је 2,1 млрд евра, односно 39,6% од укупног прилива СДИ. Са друге стране, посматрано по земљама, највећи нето прилив </w:t>
      </w:r>
      <w:r w:rsidRPr="00F5596D">
        <w:rPr>
          <w:rFonts w:eastAsia="Times New Roman" w:cstheme="minorHAnsi"/>
          <w:szCs w:val="24"/>
          <w:lang w:val="sr-Cyrl-CS"/>
        </w:rPr>
        <w:lastRenderedPageBreak/>
        <w:t>страних директних улагања долази из Кине</w:t>
      </w:r>
      <w:r w:rsidRPr="00F5596D">
        <w:rPr>
          <w:vertAlign w:val="superscript"/>
          <w:lang w:val="sr-Cyrl-CS"/>
        </w:rPr>
        <w:footnoteReference w:id="2"/>
      </w:r>
      <w:r w:rsidRPr="00F5596D">
        <w:rPr>
          <w:rFonts w:eastAsia="Times New Roman" w:cstheme="minorHAnsi"/>
          <w:szCs w:val="24"/>
          <w:lang w:val="sr-Cyrl-CS"/>
        </w:rPr>
        <w:t xml:space="preserve">, Холандије, Велике Британије, Луксембурга и Швајцарске, које збирно чине нешто мање од </w:t>
      </w:r>
      <w:r w:rsidR="00A57B62" w:rsidRPr="00F5596D">
        <w:rPr>
          <w:rFonts w:eastAsia="Times New Roman" w:cstheme="minorHAnsi"/>
          <w:szCs w:val="24"/>
          <w:lang w:val="sr-Cyrl-CS"/>
        </w:rPr>
        <w:t>три ч</w:t>
      </w:r>
      <w:r w:rsidR="00704608" w:rsidRPr="00F5596D">
        <w:rPr>
          <w:rFonts w:eastAsia="Times New Roman" w:cstheme="minorHAnsi"/>
          <w:szCs w:val="24"/>
          <w:lang w:val="sr-Cyrl-CS"/>
        </w:rPr>
        <w:t>е</w:t>
      </w:r>
      <w:r w:rsidR="00A57B62" w:rsidRPr="00F5596D">
        <w:rPr>
          <w:rFonts w:eastAsia="Times New Roman" w:cstheme="minorHAnsi"/>
          <w:szCs w:val="24"/>
          <w:lang w:val="sr-Cyrl-CS"/>
        </w:rPr>
        <w:t>твртине</w:t>
      </w:r>
      <w:r w:rsidRPr="00F5596D">
        <w:rPr>
          <w:rFonts w:eastAsia="Times New Roman" w:cstheme="minorHAnsi"/>
          <w:szCs w:val="24"/>
          <w:lang w:val="sr-Cyrl-CS"/>
        </w:rPr>
        <w:t xml:space="preserve"> укупног прилива СДИ. Удео прилива СДИ из Кине значајно је порастао у последњих девет година, са 3,1% у 2015. на 31,3% у прошлој години. Кина је, појединачно посматрано, у последње четири године највећи инвеститор у српску привреду. У 2024. години, укупан прилив инвестиција из ове земље износио је 1,6 млрд евра. Нето прилив СДИ у прва три месеца 2025. износио је 555,7 мил.евра, док је укупан прилив по основу СДИ износио 704,3 мил. евра. Структура СДИ остала је повољна – 87,2% прилива СДИ било је у облику власничког капитала и реинвестиране добити, а истовремено је задржана географска распрострањеност и пројектна диверсификација. Истовремено је забележен нето одлив портфолио инвестиција у износу од 348,1 мил. евра, чему су највише допринели резиденти, који су повећали улагања у иностране хартије од вредности. Са друге стране, нерезиденти су били нето купци ХоВ и поред тога што су продавали ХоВ на секундар</w:t>
      </w:r>
      <w:r w:rsidR="008E799C" w:rsidRPr="00F5596D">
        <w:rPr>
          <w:rFonts w:eastAsia="Times New Roman" w:cstheme="minorHAnsi"/>
          <w:szCs w:val="24"/>
          <w:lang w:val="sr-Cyrl-CS"/>
        </w:rPr>
        <w:t>ном тржишту, пре свега зах</w:t>
      </w:r>
      <w:r w:rsidRPr="00F5596D">
        <w:rPr>
          <w:rFonts w:eastAsia="Times New Roman" w:cstheme="minorHAnsi"/>
          <w:szCs w:val="24"/>
          <w:lang w:val="sr-Cyrl-CS"/>
        </w:rPr>
        <w:t>ваљујући улагањима у динарске државне ХоВ у јануару.</w:t>
      </w:r>
    </w:p>
    <w:p w14:paraId="24841CAB" w14:textId="7F403A40" w:rsidR="00E61F75" w:rsidRPr="00F5596D" w:rsidRDefault="00E61F75" w:rsidP="00E61F75">
      <w:pPr>
        <w:rPr>
          <w:rFonts w:eastAsia="Times New Roman" w:cstheme="minorHAnsi"/>
          <w:szCs w:val="24"/>
          <w:lang w:val="sr-Cyrl-CS"/>
        </w:rPr>
      </w:pPr>
      <w:r w:rsidRPr="00F5596D">
        <w:rPr>
          <w:rFonts w:eastAsia="Times New Roman" w:cstheme="minorHAnsi"/>
          <w:szCs w:val="24"/>
          <w:lang w:val="sr-Cyrl-CS"/>
        </w:rPr>
        <w:t>Очекује се да ће укупан дефицит текућег рачун</w:t>
      </w:r>
      <w:r w:rsidR="008243C0" w:rsidRPr="00F5596D">
        <w:rPr>
          <w:rFonts w:eastAsia="Times New Roman" w:cstheme="minorHAnsi"/>
          <w:szCs w:val="24"/>
          <w:lang w:val="sr-Cyrl-CS"/>
        </w:rPr>
        <w:t>а у 2025. години износити 4,4 млрд</w:t>
      </w:r>
      <w:r w:rsidRPr="00F5596D">
        <w:rPr>
          <w:rFonts w:eastAsia="Times New Roman" w:cstheme="minorHAnsi"/>
          <w:szCs w:val="24"/>
          <w:lang w:val="sr-Cyrl-CS"/>
        </w:rPr>
        <w:t xml:space="preserve"> евра, односно 5,0% БДП, а затим ће </w:t>
      </w:r>
      <w:r w:rsidR="008243C0" w:rsidRPr="00F5596D">
        <w:rPr>
          <w:rFonts w:eastAsia="Times New Roman" w:cstheme="minorHAnsi"/>
          <w:szCs w:val="24"/>
          <w:lang w:val="sr-Cyrl-CS"/>
        </w:rPr>
        <w:t>привремено порасти</w:t>
      </w:r>
      <w:r w:rsidRPr="00F5596D">
        <w:rPr>
          <w:rFonts w:eastAsia="Times New Roman" w:cstheme="minorHAnsi"/>
          <w:szCs w:val="24"/>
          <w:lang w:val="sr-Cyrl-CS"/>
        </w:rPr>
        <w:t xml:space="preserve"> на 5,4% БДП у 2026. години. Ово повећање углавном ће бити последица очекиваног убрзања инвестиционог циклуса у оквиру програма „Скок у будућност – Србија 2027” и повећаног увоза по том основу. Након тога, у 2027. години очекује се значајно смањење дефицит</w:t>
      </w:r>
      <w:r w:rsidR="00916164" w:rsidRPr="00F5596D">
        <w:rPr>
          <w:rFonts w:eastAsia="Times New Roman" w:cstheme="minorHAnsi"/>
          <w:szCs w:val="24"/>
          <w:lang w:val="sr-Cyrl-CS"/>
        </w:rPr>
        <w:t>а на</w:t>
      </w:r>
      <w:r w:rsidRPr="00F5596D">
        <w:rPr>
          <w:rFonts w:eastAsia="Times New Roman" w:cstheme="minorHAnsi"/>
          <w:szCs w:val="24"/>
          <w:lang w:val="sr-Cyrl-CS"/>
        </w:rPr>
        <w:t xml:space="preserve"> 4,1% БДП, </w:t>
      </w:r>
      <w:r w:rsidR="008243C0" w:rsidRPr="00F5596D">
        <w:rPr>
          <w:rFonts w:eastAsia="Times New Roman" w:cstheme="minorHAnsi"/>
          <w:szCs w:val="24"/>
          <w:lang w:val="sr-Cyrl-CS"/>
        </w:rPr>
        <w:t xml:space="preserve">пре свега </w:t>
      </w:r>
      <w:r w:rsidRPr="00F5596D">
        <w:rPr>
          <w:rFonts w:eastAsia="Times New Roman" w:cstheme="minorHAnsi"/>
          <w:szCs w:val="24"/>
          <w:lang w:val="sr-Cyrl-CS"/>
        </w:rPr>
        <w:t xml:space="preserve">услед одржавања међународне изложбе </w:t>
      </w:r>
      <w:r w:rsidR="009F4767">
        <w:rPr>
          <w:rFonts w:eastAsia="Times New Roman" w:cstheme="minorHAnsi"/>
          <w:szCs w:val="24"/>
          <w:lang w:val="sr-Cyrl-CS"/>
        </w:rPr>
        <w:t>EXPO</w:t>
      </w:r>
      <w:r w:rsidRPr="00F5596D">
        <w:rPr>
          <w:rFonts w:eastAsia="Times New Roman" w:cstheme="minorHAnsi"/>
          <w:szCs w:val="24"/>
          <w:lang w:val="sr-Cyrl-CS"/>
        </w:rPr>
        <w:t>, која ће донети повећани прилив страних туриста и раст извоза услуга, пре свега у сектору туризма, угоститељства и саобраћаја.</w:t>
      </w:r>
      <w:r w:rsidRPr="00F5596D">
        <w:rPr>
          <w:lang w:val="sr-Cyrl-CS"/>
        </w:rPr>
        <w:t xml:space="preserve"> </w:t>
      </w:r>
      <w:r w:rsidRPr="00F5596D">
        <w:rPr>
          <w:rFonts w:eastAsia="Times New Roman" w:cstheme="minorHAnsi"/>
          <w:szCs w:val="24"/>
          <w:lang w:val="sr-Cyrl-CS"/>
        </w:rPr>
        <w:t xml:space="preserve">У 2028. години, након пролазног ефекта изложбе </w:t>
      </w:r>
      <w:r w:rsidR="009F4767">
        <w:rPr>
          <w:rFonts w:eastAsia="Times New Roman" w:cstheme="minorHAnsi"/>
          <w:szCs w:val="24"/>
          <w:lang w:val="sr-Cyrl-CS"/>
        </w:rPr>
        <w:t>EXPO</w:t>
      </w:r>
      <w:r w:rsidRPr="00F5596D">
        <w:rPr>
          <w:rFonts w:eastAsia="Times New Roman" w:cstheme="minorHAnsi"/>
          <w:szCs w:val="24"/>
          <w:lang w:val="sr-Cyrl-CS"/>
        </w:rPr>
        <w:t xml:space="preserve">, пројектује се повећање дефицита текућег рачуна на 4,3% БДП, услед постепеног слабљења једнократних позитивних утицаја тог догађаја, али се, с друге стране, очекује динамичнији раст </w:t>
      </w:r>
      <w:r w:rsidRPr="00F5596D">
        <w:rPr>
          <w:rFonts w:eastAsia="Times New Roman" w:cstheme="minorHAnsi"/>
          <w:szCs w:val="24"/>
          <w:lang w:val="sr-Cyrl-CS"/>
        </w:rPr>
        <w:t>робног извоза захваљујући ублажавању глобалних трговинских напетости. Прилив по основу текућих трансфера износиће у просеку 5,4% БДП годишње</w:t>
      </w:r>
      <w:r w:rsidR="00564E37" w:rsidRPr="00F5596D">
        <w:rPr>
          <w:rFonts w:eastAsia="Times New Roman" w:cstheme="minorHAnsi"/>
          <w:szCs w:val="24"/>
          <w:lang w:val="sr-Cyrl-CS"/>
        </w:rPr>
        <w:t xml:space="preserve"> у периоду 2026-2028. године</w:t>
      </w:r>
      <w:r w:rsidRPr="00F5596D">
        <w:rPr>
          <w:rFonts w:eastAsia="Times New Roman" w:cstheme="minorHAnsi"/>
          <w:szCs w:val="24"/>
          <w:lang w:val="sr-Cyrl-CS"/>
        </w:rPr>
        <w:t xml:space="preserve">, при чему ће приходи од дознака задржати улогу доминантне компоненте. Нето ефекат текућих трансфера и нето факторских плаћања у наредном трогодишњем периоду </w:t>
      </w:r>
      <w:r w:rsidR="008243C0" w:rsidRPr="00F5596D">
        <w:rPr>
          <w:rFonts w:eastAsia="Times New Roman" w:cstheme="minorHAnsi"/>
          <w:szCs w:val="24"/>
          <w:lang w:val="sr-Cyrl-CS"/>
        </w:rPr>
        <w:t>остаће</w:t>
      </w:r>
      <w:r w:rsidRPr="00F5596D">
        <w:rPr>
          <w:rFonts w:eastAsia="Times New Roman" w:cstheme="minorHAnsi"/>
          <w:szCs w:val="24"/>
          <w:lang w:val="sr-Cyrl-CS"/>
        </w:rPr>
        <w:t xml:space="preserve"> позитиван, што ће ублажити дефицит спољнотрговинског биланса роба и услуга.</w:t>
      </w:r>
    </w:p>
    <w:p w14:paraId="7B4C9E2A" w14:textId="77777777" w:rsidR="00E61F75" w:rsidRPr="00F5596D" w:rsidRDefault="00E61F75" w:rsidP="00E61F75">
      <w:pPr>
        <w:spacing w:after="120"/>
        <w:jc w:val="center"/>
        <w:rPr>
          <w:rFonts w:cstheme="minorHAnsi"/>
          <w:b/>
          <w:color w:val="002060"/>
          <w:lang w:val="sr-Cyrl-CS"/>
        </w:rPr>
      </w:pPr>
      <w:r w:rsidRPr="00F5596D">
        <w:rPr>
          <w:rFonts w:cstheme="minorHAnsi"/>
          <w:b/>
          <w:color w:val="002060"/>
          <w:lang w:val="sr-Cyrl-CS"/>
        </w:rPr>
        <w:t>Структура текућег рачуна, % БДП</w:t>
      </w:r>
    </w:p>
    <w:p w14:paraId="455CAD7D" w14:textId="77777777" w:rsidR="00E61F75" w:rsidRPr="00F5596D" w:rsidRDefault="00E61F75" w:rsidP="00E61F75">
      <w:pPr>
        <w:spacing w:after="80"/>
        <w:rPr>
          <w:rFonts w:cstheme="minorHAnsi"/>
          <w:sz w:val="16"/>
          <w:lang w:val="sr-Cyrl-CS"/>
        </w:rPr>
      </w:pPr>
      <w:r w:rsidRPr="00F5596D">
        <w:rPr>
          <w:noProof/>
        </w:rPr>
        <w:drawing>
          <wp:inline distT="0" distB="0" distL="0" distR="0" wp14:anchorId="5B45B555" wp14:editId="41A17F2D">
            <wp:extent cx="2896235" cy="1590950"/>
            <wp:effectExtent l="0" t="0" r="0" b="0"/>
            <wp:docPr id="74" name="Chart 74">
              <a:extLst xmlns:a="http://schemas.openxmlformats.org/drawingml/2006/main">
                <a:ext uri="{FF2B5EF4-FFF2-40B4-BE49-F238E27FC236}">
                  <a16:creationId xmlns:a16="http://schemas.microsoft.com/office/drawing/2014/main" id="{00000000-0008-0000-1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0F78748C" w14:textId="77777777" w:rsidR="00E61F75" w:rsidRPr="00F5596D" w:rsidRDefault="00E61F75" w:rsidP="00E61F75">
      <w:pPr>
        <w:spacing w:after="0"/>
        <w:rPr>
          <w:rFonts w:cstheme="minorHAnsi"/>
          <w:sz w:val="14"/>
          <w:lang w:val="sr-Cyrl-CS"/>
        </w:rPr>
      </w:pPr>
      <w:r w:rsidRPr="00F5596D">
        <w:rPr>
          <w:rFonts w:cstheme="minorHAnsi"/>
          <w:sz w:val="14"/>
          <w:lang w:val="sr-Cyrl-CS"/>
        </w:rPr>
        <w:t>Извор: Министарство финансија, НБС, РЗС</w:t>
      </w:r>
    </w:p>
    <w:p w14:paraId="69083EA3" w14:textId="77777777" w:rsidR="00E61F75" w:rsidRPr="00F5596D" w:rsidRDefault="00E61F75" w:rsidP="00E61F75">
      <w:pPr>
        <w:rPr>
          <w:rFonts w:cstheme="minorHAnsi"/>
          <w:sz w:val="14"/>
          <w:lang w:val="sr-Cyrl-CS"/>
        </w:rPr>
      </w:pPr>
      <w:r w:rsidRPr="00F5596D">
        <w:rPr>
          <w:rFonts w:cstheme="minorHAnsi"/>
          <w:sz w:val="14"/>
          <w:lang w:val="sr-Cyrl-CS"/>
        </w:rPr>
        <w:t>* Процена МФИН.</w:t>
      </w:r>
    </w:p>
    <w:p w14:paraId="15A31BF1" w14:textId="688C1A38" w:rsidR="00E61F75" w:rsidRPr="00F5596D" w:rsidRDefault="00E61F75" w:rsidP="00E61F75">
      <w:pPr>
        <w:rPr>
          <w:rFonts w:cstheme="minorHAnsi"/>
          <w:sz w:val="16"/>
          <w:lang w:val="sr-Cyrl-CS"/>
        </w:rPr>
      </w:pPr>
      <w:r w:rsidRPr="00F5596D">
        <w:rPr>
          <w:rFonts w:eastAsia="Times New Roman" w:cstheme="minorHAnsi"/>
          <w:szCs w:val="24"/>
          <w:lang w:val="sr-Cyrl-CS"/>
        </w:rPr>
        <w:t xml:space="preserve">У структури финансијског рачуна доминираће прилив СДИ са учешћем у БДП од 4,4% просечно годишње, што ће уједно и бити главни извор финансирања дефицита текућег рачуна. </w:t>
      </w:r>
    </w:p>
    <w:p w14:paraId="2D73B3E2" w14:textId="77777777" w:rsidR="00E61F75" w:rsidRPr="00F5596D" w:rsidRDefault="00E61F75" w:rsidP="00E61F75">
      <w:pPr>
        <w:spacing w:after="40"/>
        <w:jc w:val="center"/>
        <w:rPr>
          <w:rFonts w:cstheme="minorHAnsi"/>
          <w:b/>
          <w:color w:val="002060"/>
          <w:lang w:val="sr-Cyrl-CS"/>
        </w:rPr>
      </w:pPr>
      <w:r w:rsidRPr="00F5596D">
        <w:rPr>
          <w:rFonts w:cstheme="minorHAnsi"/>
          <w:b/>
          <w:color w:val="002060"/>
          <w:lang w:val="sr-Cyrl-CS"/>
        </w:rPr>
        <w:t>Дефицит текућег рачуна и СДИ, % БДП</w:t>
      </w:r>
    </w:p>
    <w:p w14:paraId="4AC8BBF1" w14:textId="77777777" w:rsidR="00E61F75" w:rsidRPr="00F5596D" w:rsidRDefault="00E61F75" w:rsidP="00E61F75">
      <w:pPr>
        <w:spacing w:after="40"/>
        <w:jc w:val="center"/>
        <w:rPr>
          <w:rFonts w:cstheme="minorHAnsi"/>
          <w:lang w:val="sr-Cyrl-CS"/>
        </w:rPr>
      </w:pPr>
      <w:r w:rsidRPr="00F5596D">
        <w:rPr>
          <w:noProof/>
        </w:rPr>
        <w:drawing>
          <wp:inline distT="0" distB="0" distL="0" distR="0" wp14:anchorId="1DCA1E04" wp14:editId="743A29CD">
            <wp:extent cx="2642235" cy="1848679"/>
            <wp:effectExtent l="0" t="0" r="5715" b="0"/>
            <wp:docPr id="75" name="Chart 75">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11DEFA66" w14:textId="77777777" w:rsidR="00E61F75" w:rsidRPr="00F5596D" w:rsidRDefault="00E61F75" w:rsidP="00E61F75">
      <w:pPr>
        <w:spacing w:after="0"/>
        <w:rPr>
          <w:rFonts w:cstheme="minorHAnsi"/>
          <w:sz w:val="14"/>
          <w:lang w:val="sr-Cyrl-CS"/>
        </w:rPr>
      </w:pPr>
      <w:r w:rsidRPr="00F5596D">
        <w:rPr>
          <w:rFonts w:cstheme="minorHAnsi"/>
          <w:sz w:val="14"/>
          <w:lang w:val="sr-Cyrl-CS"/>
        </w:rPr>
        <w:t>Извор: НБС и Министарство финансија</w:t>
      </w:r>
    </w:p>
    <w:p w14:paraId="3238D979" w14:textId="77777777" w:rsidR="00E61F75" w:rsidRPr="00F5596D" w:rsidRDefault="00E61F75" w:rsidP="00E61F75">
      <w:pPr>
        <w:rPr>
          <w:rFonts w:eastAsia="Times New Roman" w:cstheme="minorHAnsi"/>
          <w:sz w:val="18"/>
          <w:szCs w:val="24"/>
          <w:lang w:val="sr-Cyrl-CS"/>
        </w:rPr>
        <w:sectPr w:rsidR="00E61F75" w:rsidRPr="00F5596D" w:rsidSect="00E61F75">
          <w:headerReference w:type="even" r:id="rId105"/>
          <w:footerReference w:type="even" r:id="rId106"/>
          <w:footerReference w:type="default" r:id="rId107"/>
          <w:headerReference w:type="first" r:id="rId108"/>
          <w:footerReference w:type="first" r:id="rId109"/>
          <w:type w:val="continuous"/>
          <w:pgSz w:w="12240" w:h="15840" w:code="1"/>
          <w:pgMar w:top="1440" w:right="1440" w:bottom="1440" w:left="1440" w:header="720" w:footer="720" w:gutter="0"/>
          <w:cols w:num="2" w:space="720"/>
          <w:docGrid w:linePitch="360"/>
          <w15:footnoteColumns w:val="1"/>
        </w:sectPr>
      </w:pPr>
      <w:r w:rsidRPr="00F5596D">
        <w:rPr>
          <w:rFonts w:cstheme="minorHAnsi"/>
          <w:sz w:val="14"/>
          <w:lang w:val="sr-Cyrl-CS"/>
        </w:rPr>
        <w:t>* Процена МФИН.</w:t>
      </w:r>
      <w:bookmarkEnd w:id="18"/>
    </w:p>
    <w:p w14:paraId="49FBB632" w14:textId="77777777" w:rsidR="00E61F75" w:rsidRPr="00F5596D" w:rsidRDefault="00E61F75" w:rsidP="00E61F75">
      <w:pPr>
        <w:spacing w:before="80" w:after="80"/>
        <w:rPr>
          <w:lang w:val="sr-Cyrl-CS"/>
        </w:rPr>
        <w:sectPr w:rsidR="00E61F75" w:rsidRPr="00F5596D" w:rsidSect="00E61F75">
          <w:footerReference w:type="default" r:id="rId110"/>
          <w:type w:val="continuous"/>
          <w:pgSz w:w="12240" w:h="15840" w:code="1"/>
          <w:pgMar w:top="1440" w:right="1440" w:bottom="1440" w:left="1440" w:header="720" w:footer="720" w:gutter="0"/>
          <w:cols w:space="720"/>
          <w:titlePg/>
          <w:docGrid w:linePitch="360"/>
        </w:sectPr>
      </w:pPr>
      <w:bookmarkStart w:id="19" w:name="_Toc146277918"/>
      <w:bookmarkStart w:id="20" w:name="_Toc148431271"/>
      <w:bookmarkStart w:id="21" w:name="_Toc499650053"/>
      <w:bookmarkStart w:id="22" w:name="_Toc530635109"/>
      <w:bookmarkStart w:id="23" w:name="_Toc11155995"/>
      <w:bookmarkStart w:id="24" w:name="_Toc56667080"/>
      <w:bookmarkStart w:id="25" w:name="_Toc73364972"/>
    </w:p>
    <w:bookmarkEnd w:id="19"/>
    <w:bookmarkEnd w:id="20"/>
    <w:bookmarkEnd w:id="21"/>
    <w:bookmarkEnd w:id="22"/>
    <w:bookmarkEnd w:id="23"/>
    <w:bookmarkEnd w:id="24"/>
    <w:bookmarkEnd w:id="25"/>
    <w:p w14:paraId="588981B1" w14:textId="222EC3EC" w:rsidR="00E61F75" w:rsidRPr="00F5596D" w:rsidRDefault="00E61F75" w:rsidP="00E61F75">
      <w:pPr>
        <w:keepNext/>
        <w:keepLines/>
        <w:spacing w:after="120"/>
        <w:outlineLvl w:val="0"/>
        <w:rPr>
          <w:sz w:val="16"/>
          <w:szCs w:val="16"/>
          <w:lang w:val="sr-Cyrl-CS"/>
        </w:rPr>
      </w:pPr>
    </w:p>
    <w:p w14:paraId="72A3FB0A" w14:textId="77777777" w:rsidR="00536CC0" w:rsidRPr="00F5596D" w:rsidRDefault="00536CC0" w:rsidP="00536CC0">
      <w:pPr>
        <w:pStyle w:val="Heading1"/>
        <w:spacing w:after="240"/>
        <w:jc w:val="center"/>
        <w:rPr>
          <w:rFonts w:asciiTheme="minorHAnsi" w:hAnsiTheme="minorHAnsi" w:cstheme="minorHAnsi"/>
          <w:b/>
          <w:sz w:val="26"/>
          <w:szCs w:val="26"/>
          <w:lang w:val="sr-Cyrl-CS"/>
        </w:rPr>
        <w:sectPr w:rsidR="00536CC0" w:rsidRPr="00F5596D" w:rsidSect="000A6C38">
          <w:headerReference w:type="default" r:id="rId111"/>
          <w:footerReference w:type="default" r:id="rId112"/>
          <w:headerReference w:type="first" r:id="rId113"/>
          <w:footerReference w:type="first" r:id="rId114"/>
          <w:type w:val="continuous"/>
          <w:pgSz w:w="12240" w:h="15840" w:code="1"/>
          <w:pgMar w:top="1440" w:right="1440" w:bottom="1440" w:left="1440" w:header="720" w:footer="720" w:gutter="0"/>
          <w:cols w:num="2" w:space="720"/>
          <w:titlePg/>
          <w:docGrid w:linePitch="360"/>
        </w:sectPr>
      </w:pPr>
      <w:bookmarkStart w:id="26" w:name="_Toc181190966"/>
      <w:bookmarkStart w:id="27" w:name="_Toc181271501"/>
    </w:p>
    <w:p w14:paraId="17F0834B" w14:textId="496E6AD9" w:rsidR="007262BE" w:rsidRPr="00F5596D" w:rsidRDefault="00494747" w:rsidP="00536CC0">
      <w:pPr>
        <w:pStyle w:val="Heading1"/>
        <w:spacing w:after="240"/>
        <w:jc w:val="center"/>
        <w:rPr>
          <w:rFonts w:asciiTheme="minorHAnsi" w:hAnsiTheme="minorHAnsi" w:cstheme="minorHAnsi"/>
          <w:b/>
          <w:sz w:val="26"/>
          <w:szCs w:val="26"/>
          <w:lang w:val="sr-Cyrl-CS"/>
        </w:rPr>
        <w:sectPr w:rsidR="007262BE" w:rsidRPr="00F5596D" w:rsidSect="00536CC0">
          <w:type w:val="continuous"/>
          <w:pgSz w:w="12240" w:h="15840" w:code="1"/>
          <w:pgMar w:top="1440" w:right="1440" w:bottom="1440" w:left="1440" w:header="720" w:footer="720" w:gutter="0"/>
          <w:cols w:space="720"/>
          <w:titlePg/>
          <w:docGrid w:linePitch="360"/>
        </w:sectPr>
      </w:pPr>
      <w:bookmarkStart w:id="28" w:name="_Toc200117993"/>
      <w:r w:rsidRPr="00F5596D">
        <w:rPr>
          <w:rFonts w:asciiTheme="minorHAnsi" w:hAnsiTheme="minorHAnsi" w:cstheme="minorHAnsi"/>
          <w:b/>
          <w:sz w:val="26"/>
          <w:szCs w:val="26"/>
          <w:lang w:val="sr-Cyrl-CS"/>
        </w:rPr>
        <w:lastRenderedPageBreak/>
        <w:t>II. ФИСКАЛНИ ОКВИР ЗА ПЕРИОД ОД 2025. ДО 2027. ГОДИН</w:t>
      </w:r>
      <w:bookmarkStart w:id="29" w:name="_Toc528909823"/>
      <w:bookmarkStart w:id="30" w:name="_Toc530635104"/>
      <w:bookmarkStart w:id="31" w:name="_Toc11155990"/>
      <w:bookmarkStart w:id="32" w:name="_Toc56667075"/>
      <w:bookmarkStart w:id="33" w:name="_Toc86923721"/>
      <w:bookmarkStart w:id="34" w:name="_Toc119654144"/>
      <w:bookmarkStart w:id="35" w:name="_Toc135994500"/>
      <w:bookmarkStart w:id="36" w:name="_Toc146277915"/>
      <w:bookmarkStart w:id="37" w:name="_Toc148431268"/>
      <w:bookmarkStart w:id="38" w:name="_Toc181190967"/>
      <w:bookmarkStart w:id="39" w:name="_Toc181271502"/>
      <w:bookmarkEnd w:id="26"/>
      <w:bookmarkEnd w:id="27"/>
      <w:r w:rsidR="00536CC0" w:rsidRPr="00F5596D">
        <w:rPr>
          <w:rFonts w:asciiTheme="minorHAnsi" w:hAnsiTheme="minorHAnsi" w:cstheme="minorHAnsi"/>
          <w:b/>
          <w:sz w:val="26"/>
          <w:szCs w:val="26"/>
          <w:lang w:val="sr-Cyrl-CS"/>
        </w:rPr>
        <w:t>E</w:t>
      </w:r>
      <w:bookmarkEnd w:id="28"/>
    </w:p>
    <w:p w14:paraId="11231C22" w14:textId="6F01F8F9" w:rsidR="00494747" w:rsidRPr="00F5596D" w:rsidRDefault="00536CC0" w:rsidP="00494747">
      <w:pPr>
        <w:pStyle w:val="Heading2"/>
        <w:rPr>
          <w:rFonts w:asciiTheme="minorHAnsi" w:hAnsiTheme="minorHAnsi" w:cstheme="minorHAnsi"/>
          <w:b w:val="0"/>
          <w:lang w:val="sr-Cyrl-CS"/>
        </w:rPr>
      </w:pPr>
      <w:bookmarkStart w:id="40" w:name="_Toc200117994"/>
      <w:r w:rsidRPr="00F5596D">
        <w:rPr>
          <w:rFonts w:asciiTheme="minorHAnsi" w:hAnsiTheme="minorHAnsi" w:cstheme="minorHAnsi"/>
          <w:lang w:val="sr-Cyrl-CS"/>
        </w:rPr>
        <w:t>1</w:t>
      </w:r>
      <w:r w:rsidR="00494747" w:rsidRPr="00F5596D">
        <w:rPr>
          <w:rFonts w:asciiTheme="minorHAnsi" w:hAnsiTheme="minorHAnsi" w:cstheme="minorHAnsi"/>
          <w:lang w:val="sr-Cyrl-CS"/>
        </w:rPr>
        <w:t xml:space="preserve">. </w:t>
      </w:r>
      <w:bookmarkEnd w:id="29"/>
      <w:r w:rsidR="00494747" w:rsidRPr="00F5596D">
        <w:rPr>
          <w:rFonts w:asciiTheme="minorHAnsi" w:hAnsiTheme="minorHAnsi" w:cstheme="minorHAnsi"/>
          <w:lang w:val="sr-Cyrl-CS"/>
        </w:rPr>
        <w:t>Средњорочни циљеви фискалне политике</w:t>
      </w:r>
      <w:bookmarkEnd w:id="30"/>
      <w:bookmarkEnd w:id="31"/>
      <w:bookmarkEnd w:id="32"/>
      <w:bookmarkEnd w:id="33"/>
      <w:bookmarkEnd w:id="34"/>
      <w:bookmarkEnd w:id="35"/>
      <w:bookmarkEnd w:id="36"/>
      <w:bookmarkEnd w:id="37"/>
      <w:bookmarkEnd w:id="38"/>
      <w:bookmarkEnd w:id="39"/>
      <w:bookmarkEnd w:id="40"/>
    </w:p>
    <w:p w14:paraId="0AFAEFD0" w14:textId="77777777" w:rsidR="00494747" w:rsidRPr="00F5596D" w:rsidRDefault="00494747" w:rsidP="00494747">
      <w:pPr>
        <w:spacing w:after="360"/>
        <w:rPr>
          <w:rFonts w:ascii="Calibri" w:hAnsi="Calibri" w:cs="Calibri"/>
          <w:bCs/>
          <w:szCs w:val="20"/>
          <w:lang w:val="sr-Cyrl-CS"/>
        </w:rPr>
      </w:pPr>
    </w:p>
    <w:p w14:paraId="57CEBF86" w14:textId="77777777" w:rsidR="00494747" w:rsidRPr="00F5596D" w:rsidRDefault="00494747" w:rsidP="00494747">
      <w:pPr>
        <w:spacing w:after="360"/>
        <w:rPr>
          <w:rFonts w:ascii="Calibri" w:hAnsi="Calibri" w:cs="Calibri"/>
          <w:bCs/>
          <w:szCs w:val="20"/>
          <w:lang w:val="sr-Cyrl-CS"/>
        </w:rPr>
        <w:sectPr w:rsidR="00494747" w:rsidRPr="00F5596D" w:rsidSect="00AF42E4">
          <w:headerReference w:type="even" r:id="rId115"/>
          <w:footerReference w:type="even" r:id="rId116"/>
          <w:footerReference w:type="default" r:id="rId117"/>
          <w:headerReference w:type="first" r:id="rId118"/>
          <w:type w:val="continuous"/>
          <w:pgSz w:w="12240" w:h="15840" w:code="1"/>
          <w:pgMar w:top="1440" w:right="1440" w:bottom="1440" w:left="1440" w:header="720" w:footer="720" w:gutter="0"/>
          <w:cols w:space="720"/>
          <w:titlePg/>
          <w:docGrid w:linePitch="360"/>
        </w:sectPr>
      </w:pPr>
    </w:p>
    <w:p w14:paraId="31966407" w14:textId="77777777"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Фискална стратегија за период 2026–2028. заснива се на макроекономској стабилности постигнутој у претходним годинама, као и на прилагођавању најновијим глобалним изазовима, као што су појачане трговинске тензије, растућа геополитичка неизвесност и постепено слабљење инфлаторних притисака. У том оквиру, кључни приоритети економске политике остају очување стабилности привредних токова, јачање отпорности на спољне утицаје и унапређење животног стандарда становништва.</w:t>
      </w:r>
    </w:p>
    <w:p w14:paraId="71882D0B" w14:textId="77777777"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Период који претходи изради ове Фискалне стратегије обележен је појачаним трговинским тензијама, продуженим инфлаторним притисцима у великим економијама и растућом геополитичком неизвесношћу, што је додатно оптеретило светска тржишта. У таквим околностима основни задатак економске и фискалне политике остаје очување стабилности привредних токова и животног стандарда грађана, уз јачање отпорности јавних финансија. Повољни резултати у 2024. години омогућили су нижи дефицит и јавни дуг, те створили чврсту полазну основу за средњорочни период.</w:t>
      </w:r>
    </w:p>
    <w:p w14:paraId="1034EA4C" w14:textId="77777777"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Стратегија се надовезује на спољна сидра кредибилитета: саветодавни аранжман са Међународним монетарним фондом и активну имплементацију Агенде раста Европске уније, који обезбеђују поуздан оквир за праћење макроекономских политика и поступно усклађивање са стандардима ЕУ. У складу са тим оквиром, дефицит сектора државе ограничен је на највише три процента бруто домаћег производа у 2026. и 2027. години, док је за 2028. годину планирано његово снижење на два и по процента БДП-а. Доследном применом ових ограничења обезбеђује се да удео јавног дуга настави силазну путању – са 47,5 % БДП-а крајем 2024. на пројектованих 46,2 % БДП-а до краја 2028. године.</w:t>
      </w:r>
    </w:p>
    <w:p w14:paraId="590D1D48" w14:textId="352A2CC3"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 xml:space="preserve">Истовремено се задржава висок ниво капиталних издатака – у просеку око седам процената БДП-а у 2026. и 2027. години – ради реализације програма </w:t>
      </w:r>
      <w:r w:rsidRPr="00F5596D">
        <w:rPr>
          <w:rFonts w:ascii="Calibri" w:hAnsi="Calibri" w:cs="Calibri"/>
          <w:bCs/>
          <w:szCs w:val="20"/>
          <w:lang w:val="sr-Cyrl-CS"/>
        </w:rPr>
        <w:t xml:space="preserve">„Скок у будућност – Србија 2027“ и припрема за међународну изложбу </w:t>
      </w:r>
      <w:r w:rsidR="009F4767">
        <w:rPr>
          <w:rFonts w:ascii="Calibri" w:hAnsi="Calibri" w:cs="Calibri"/>
          <w:bCs/>
          <w:szCs w:val="20"/>
          <w:lang w:val="sr-Cyrl-CS"/>
        </w:rPr>
        <w:t>EXPO</w:t>
      </w:r>
      <w:r w:rsidRPr="00F5596D">
        <w:rPr>
          <w:rFonts w:ascii="Calibri" w:hAnsi="Calibri" w:cs="Calibri"/>
          <w:bCs/>
          <w:szCs w:val="20"/>
          <w:lang w:val="sr-Cyrl-CS"/>
        </w:rPr>
        <w:t xml:space="preserve"> 2027. </w:t>
      </w:r>
    </w:p>
    <w:p w14:paraId="67292B6B" w14:textId="77777777"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Паралелно се наставља реформа корпоративног управљања у државним предузећима како би се смањили фискални ризици и унапредила транспарентност пословања.</w:t>
      </w:r>
    </w:p>
    <w:p w14:paraId="3173A707" w14:textId="23D44FD2" w:rsidR="00494747" w:rsidRPr="00F5596D" w:rsidRDefault="00494747" w:rsidP="00494747">
      <w:pPr>
        <w:spacing w:after="120"/>
        <w:rPr>
          <w:rFonts w:ascii="Calibri" w:hAnsi="Calibri" w:cs="Calibri"/>
          <w:bCs/>
          <w:szCs w:val="20"/>
          <w:lang w:val="sr-Cyrl-CS"/>
        </w:rPr>
      </w:pPr>
      <w:r w:rsidRPr="00F5596D">
        <w:rPr>
          <w:rFonts w:ascii="Calibri" w:hAnsi="Calibri" w:cs="Calibri"/>
          <w:bCs/>
          <w:szCs w:val="20"/>
          <w:lang w:val="sr-Cyrl-CS"/>
        </w:rPr>
        <w:t xml:space="preserve">Индексација плата и пензија спроводиће се строго у складу са фискалним правилом. На тај начин обезбеђује се предвидивост расхода и дугорочна одрживост система. Поред наведеног, фискална политика остаје посвећена постепеном смањењу пореског оптерећења рада ради јачања конкурентности привреде, док ће буџет, захваљујући адекватном нивоу </w:t>
      </w:r>
      <w:r w:rsidR="00400C34" w:rsidRPr="00F5596D">
        <w:rPr>
          <w:rFonts w:ascii="Calibri" w:hAnsi="Calibri" w:cs="Calibri"/>
          <w:bCs/>
          <w:szCs w:val="20"/>
          <w:lang w:val="sr-Cyrl-CS"/>
        </w:rPr>
        <w:t>фискалних</w:t>
      </w:r>
      <w:r w:rsidRPr="00F5596D">
        <w:rPr>
          <w:rFonts w:ascii="Calibri" w:hAnsi="Calibri" w:cs="Calibri"/>
          <w:bCs/>
          <w:szCs w:val="20"/>
          <w:lang w:val="sr-Cyrl-CS"/>
        </w:rPr>
        <w:t xml:space="preserve"> резерви, остати „сигурносна мрежа“ у случају евентуалних спољн</w:t>
      </w:r>
      <w:r w:rsidR="001B5D96" w:rsidRPr="00F5596D">
        <w:rPr>
          <w:rFonts w:ascii="Calibri" w:hAnsi="Calibri" w:cs="Calibri"/>
          <w:bCs/>
          <w:szCs w:val="20"/>
          <w:lang w:val="sr-Cyrl-CS"/>
        </w:rPr>
        <w:t xml:space="preserve">их шокова, не доводећи у питање </w:t>
      </w:r>
      <w:r w:rsidRPr="00F5596D">
        <w:rPr>
          <w:rFonts w:ascii="Calibri" w:hAnsi="Calibri" w:cs="Calibri"/>
          <w:bCs/>
          <w:szCs w:val="20"/>
          <w:lang w:val="sr-Cyrl-CS"/>
        </w:rPr>
        <w:t>континуитет кључних развојних и социјалних програма државе</w:t>
      </w:r>
    </w:p>
    <w:p w14:paraId="3CDB7463" w14:textId="77777777" w:rsidR="00494747" w:rsidRPr="00F5596D" w:rsidRDefault="00494747" w:rsidP="00494747">
      <w:pPr>
        <w:spacing w:after="120"/>
        <w:rPr>
          <w:rFonts w:ascii="Calibri" w:hAnsi="Calibri" w:cs="Calibri"/>
          <w:b/>
          <w:bCs/>
          <w:szCs w:val="20"/>
          <w:lang w:val="sr-Cyrl-CS"/>
        </w:rPr>
      </w:pPr>
      <w:r w:rsidRPr="00F5596D">
        <w:rPr>
          <w:rFonts w:ascii="Calibri" w:hAnsi="Calibri" w:cs="Calibri"/>
          <w:b/>
          <w:bCs/>
          <w:szCs w:val="20"/>
          <w:lang w:val="sr-Cyrl-CS"/>
        </w:rPr>
        <w:t xml:space="preserve">Средњорочни циљеви фискалне политике </w:t>
      </w:r>
    </w:p>
    <w:p w14:paraId="4A0CC052" w14:textId="77777777" w:rsidR="00494747" w:rsidRPr="00F5596D" w:rsidRDefault="00494747" w:rsidP="00494747">
      <w:pPr>
        <w:pStyle w:val="ListParagraph"/>
        <w:numPr>
          <w:ilvl w:val="0"/>
          <w:numId w:val="21"/>
        </w:numPr>
        <w:spacing w:after="120"/>
        <w:rPr>
          <w:rFonts w:ascii="Calibri" w:hAnsi="Calibri" w:cs="Calibri"/>
          <w:bCs/>
          <w:szCs w:val="20"/>
          <w:lang w:val="sr-Cyrl-CS"/>
        </w:rPr>
      </w:pPr>
      <w:r w:rsidRPr="00F5596D">
        <w:rPr>
          <w:rFonts w:ascii="Calibri" w:hAnsi="Calibri" w:cs="Calibri"/>
          <w:b/>
          <w:bCs/>
          <w:szCs w:val="20"/>
          <w:lang w:val="sr-Cyrl-CS"/>
        </w:rPr>
        <w:t>Очување макроекономске и фискалне стабилности</w:t>
      </w:r>
    </w:p>
    <w:p w14:paraId="663AF921" w14:textId="77777777" w:rsidR="00494747" w:rsidRPr="00F5596D" w:rsidRDefault="00494747" w:rsidP="00E943ED">
      <w:pPr>
        <w:pStyle w:val="ListParagraph"/>
        <w:numPr>
          <w:ilvl w:val="0"/>
          <w:numId w:val="24"/>
        </w:numPr>
        <w:spacing w:after="120"/>
        <w:ind w:left="540" w:hanging="180"/>
        <w:rPr>
          <w:rFonts w:ascii="Calibri" w:hAnsi="Calibri" w:cs="Calibri"/>
          <w:b/>
          <w:bCs/>
          <w:szCs w:val="20"/>
          <w:lang w:val="sr-Cyrl-CS"/>
        </w:rPr>
      </w:pPr>
      <w:r w:rsidRPr="00F5596D">
        <w:rPr>
          <w:rFonts w:ascii="Calibri" w:hAnsi="Calibri" w:cs="Calibri"/>
          <w:bCs/>
          <w:szCs w:val="20"/>
          <w:lang w:val="sr-Cyrl-CS"/>
        </w:rPr>
        <w:t xml:space="preserve">Дефинисани горњи лимит дефицита </w:t>
      </w:r>
      <w:r w:rsidRPr="00F5596D">
        <w:rPr>
          <w:rFonts w:ascii="Calibri" w:hAnsi="Calibri" w:cs="Calibri"/>
          <w:b/>
          <w:bCs/>
          <w:szCs w:val="20"/>
          <w:lang w:val="sr-Cyrl-CS"/>
        </w:rPr>
        <w:t>од 3 % БДП-а</w:t>
      </w:r>
      <w:r w:rsidRPr="00F5596D">
        <w:rPr>
          <w:rFonts w:ascii="Calibri" w:hAnsi="Calibri" w:cs="Calibri"/>
          <w:bCs/>
          <w:szCs w:val="20"/>
          <w:lang w:val="sr-Cyrl-CS"/>
        </w:rPr>
        <w:t xml:space="preserve"> током инвестиционог циклуса (2026–2027) и његово смањење на </w:t>
      </w:r>
      <w:r w:rsidRPr="00F5596D">
        <w:rPr>
          <w:rFonts w:ascii="Calibri" w:hAnsi="Calibri" w:cs="Calibri"/>
          <w:b/>
          <w:bCs/>
          <w:szCs w:val="20"/>
          <w:lang w:val="sr-Cyrl-CS"/>
        </w:rPr>
        <w:t>2,5 % БДП-а у 2028.</w:t>
      </w:r>
    </w:p>
    <w:p w14:paraId="7F74640A" w14:textId="77777777" w:rsidR="00494747" w:rsidRPr="00F5596D" w:rsidRDefault="00494747" w:rsidP="00E943ED">
      <w:pPr>
        <w:pStyle w:val="ListParagraph"/>
        <w:numPr>
          <w:ilvl w:val="0"/>
          <w:numId w:val="24"/>
        </w:numPr>
        <w:spacing w:after="120"/>
        <w:ind w:left="540" w:hanging="180"/>
        <w:rPr>
          <w:rFonts w:ascii="Calibri" w:hAnsi="Calibri" w:cs="Calibri"/>
          <w:b/>
          <w:bCs/>
          <w:szCs w:val="20"/>
          <w:lang w:val="sr-Cyrl-CS"/>
        </w:rPr>
      </w:pPr>
      <w:r w:rsidRPr="00F5596D">
        <w:rPr>
          <w:rFonts w:ascii="Calibri" w:hAnsi="Calibri" w:cs="Calibri"/>
          <w:bCs/>
          <w:szCs w:val="20"/>
          <w:lang w:val="sr-Cyrl-CS"/>
        </w:rPr>
        <w:t xml:space="preserve">Наставак силазне путање јавног дуга са </w:t>
      </w:r>
      <w:r w:rsidRPr="00F5596D">
        <w:rPr>
          <w:rFonts w:ascii="Calibri" w:hAnsi="Calibri" w:cs="Calibri"/>
          <w:b/>
          <w:bCs/>
          <w:szCs w:val="20"/>
          <w:lang w:val="sr-Cyrl-CS"/>
        </w:rPr>
        <w:t>47,5 % БДП-а (2024) на 46,2 % БДП-а (2028).</w:t>
      </w:r>
    </w:p>
    <w:p w14:paraId="2F2ED9E8" w14:textId="77777777" w:rsidR="00494747" w:rsidRPr="00F5596D" w:rsidRDefault="00494747" w:rsidP="00494747">
      <w:pPr>
        <w:numPr>
          <w:ilvl w:val="0"/>
          <w:numId w:val="21"/>
        </w:numPr>
        <w:spacing w:after="120"/>
        <w:rPr>
          <w:rFonts w:ascii="Calibri" w:hAnsi="Calibri" w:cs="Calibri"/>
          <w:bCs/>
          <w:szCs w:val="20"/>
          <w:lang w:val="sr-Cyrl-CS"/>
        </w:rPr>
      </w:pPr>
      <w:r w:rsidRPr="00F5596D">
        <w:rPr>
          <w:rFonts w:ascii="Calibri" w:hAnsi="Calibri" w:cs="Calibri"/>
          <w:b/>
          <w:bCs/>
          <w:szCs w:val="20"/>
          <w:lang w:val="sr-Cyrl-CS"/>
        </w:rPr>
        <w:t>Подршка дугорочном расту кроз повећане јавне инвестиције</w:t>
      </w:r>
    </w:p>
    <w:p w14:paraId="336A5FF1" w14:textId="6A3017D9"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 xml:space="preserve">Просечан ниво капиталних издатака од ≈ </w:t>
      </w:r>
      <w:r w:rsidRPr="00F5596D">
        <w:rPr>
          <w:rFonts w:ascii="Calibri" w:hAnsi="Calibri" w:cs="Calibri"/>
          <w:b/>
          <w:bCs/>
          <w:szCs w:val="20"/>
          <w:lang w:val="sr-Cyrl-CS"/>
        </w:rPr>
        <w:t>7 % БДП-а</w:t>
      </w:r>
      <w:r w:rsidRPr="00F5596D">
        <w:rPr>
          <w:rFonts w:ascii="Calibri" w:hAnsi="Calibri" w:cs="Calibri"/>
          <w:bCs/>
          <w:szCs w:val="20"/>
          <w:lang w:val="sr-Cyrl-CS"/>
        </w:rPr>
        <w:t xml:space="preserve"> (пројекат „Скок у будућност – Србија 2027” и организација </w:t>
      </w:r>
      <w:r w:rsidR="009F4767">
        <w:rPr>
          <w:rFonts w:ascii="Calibri" w:hAnsi="Calibri" w:cs="Calibri"/>
          <w:b/>
          <w:bCs/>
          <w:szCs w:val="20"/>
          <w:lang w:val="sr-Cyrl-CS"/>
        </w:rPr>
        <w:t>EXPO</w:t>
      </w:r>
      <w:r w:rsidRPr="00F5596D">
        <w:rPr>
          <w:rFonts w:ascii="Calibri" w:hAnsi="Calibri" w:cs="Calibri"/>
          <w:b/>
          <w:bCs/>
          <w:szCs w:val="20"/>
          <w:lang w:val="sr-Cyrl-CS"/>
        </w:rPr>
        <w:t xml:space="preserve"> 2027</w:t>
      </w:r>
      <w:r w:rsidRPr="00F5596D">
        <w:rPr>
          <w:rFonts w:ascii="Calibri" w:hAnsi="Calibri" w:cs="Calibri"/>
          <w:bCs/>
          <w:szCs w:val="20"/>
          <w:lang w:val="sr-Cyrl-CS"/>
        </w:rPr>
        <w:t>).</w:t>
      </w:r>
    </w:p>
    <w:p w14:paraId="12EF5F0B" w14:textId="19B0BCD2"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Јачање управљања пројектима –приоритизација, јединствена базa пројеката и строжи ex-ante и ex-post механизми контроле.</w:t>
      </w:r>
    </w:p>
    <w:p w14:paraId="2C488FD1" w14:textId="4B5746E2" w:rsidR="003D6A23" w:rsidRPr="00F5596D" w:rsidRDefault="003D6A23" w:rsidP="003D6A23">
      <w:pPr>
        <w:spacing w:after="120"/>
        <w:rPr>
          <w:rFonts w:ascii="Calibri" w:hAnsi="Calibri" w:cs="Calibri"/>
          <w:bCs/>
          <w:szCs w:val="20"/>
          <w:lang w:val="sr-Cyrl-CS"/>
        </w:rPr>
      </w:pPr>
    </w:p>
    <w:p w14:paraId="6E472C4F" w14:textId="7E28D970" w:rsidR="003D6A23" w:rsidRPr="00F5596D" w:rsidRDefault="003D6A23" w:rsidP="003D6A23">
      <w:pPr>
        <w:spacing w:after="120"/>
        <w:rPr>
          <w:rFonts w:ascii="Calibri" w:hAnsi="Calibri" w:cs="Calibri"/>
          <w:bCs/>
          <w:szCs w:val="20"/>
          <w:lang w:val="sr-Cyrl-CS"/>
        </w:rPr>
      </w:pPr>
    </w:p>
    <w:p w14:paraId="002A9581" w14:textId="77777777" w:rsidR="0047585F" w:rsidRPr="00F5596D" w:rsidRDefault="0047585F" w:rsidP="003D6A23">
      <w:pPr>
        <w:spacing w:after="120"/>
        <w:rPr>
          <w:rFonts w:ascii="Calibri" w:hAnsi="Calibri" w:cs="Calibri"/>
          <w:bCs/>
          <w:szCs w:val="20"/>
          <w:lang w:val="sr-Cyrl-CS"/>
        </w:rPr>
      </w:pPr>
    </w:p>
    <w:p w14:paraId="041DEF35" w14:textId="77777777" w:rsidR="00494747" w:rsidRPr="00F5596D" w:rsidRDefault="00494747" w:rsidP="00494747">
      <w:pPr>
        <w:numPr>
          <w:ilvl w:val="0"/>
          <w:numId w:val="21"/>
        </w:numPr>
        <w:spacing w:after="120"/>
        <w:rPr>
          <w:rFonts w:ascii="Calibri" w:hAnsi="Calibri" w:cs="Calibri"/>
          <w:bCs/>
          <w:szCs w:val="20"/>
          <w:lang w:val="sr-Cyrl-CS"/>
        </w:rPr>
      </w:pPr>
      <w:r w:rsidRPr="00F5596D">
        <w:rPr>
          <w:rFonts w:ascii="Calibri" w:hAnsi="Calibri" w:cs="Calibri"/>
          <w:b/>
          <w:bCs/>
          <w:szCs w:val="20"/>
          <w:lang w:val="sr-Cyrl-CS"/>
        </w:rPr>
        <w:lastRenderedPageBreak/>
        <w:t>Даље растерећење привреде</w:t>
      </w:r>
    </w:p>
    <w:p w14:paraId="0B6E7F4D" w14:textId="77777777"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Поступно снижавање ефективног пореског терета рада кроз повећање неопорезивог износа и прецизно таргетиране пореске подстицаје за младе и високотехнолошке секторе.</w:t>
      </w:r>
    </w:p>
    <w:p w14:paraId="2916658C" w14:textId="77777777"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Увођење дигиталних решења за боље праћење трансакција и сузбијање сиве економије.</w:t>
      </w:r>
    </w:p>
    <w:p w14:paraId="5B4264A7" w14:textId="77777777" w:rsidR="00494747" w:rsidRPr="00F5596D" w:rsidRDefault="00494747" w:rsidP="00494747">
      <w:pPr>
        <w:numPr>
          <w:ilvl w:val="0"/>
          <w:numId w:val="21"/>
        </w:numPr>
        <w:spacing w:after="120"/>
        <w:rPr>
          <w:rFonts w:ascii="Calibri" w:hAnsi="Calibri" w:cs="Calibri"/>
          <w:bCs/>
          <w:szCs w:val="20"/>
          <w:lang w:val="sr-Cyrl-CS"/>
        </w:rPr>
      </w:pPr>
      <w:r w:rsidRPr="00F5596D">
        <w:rPr>
          <w:rFonts w:ascii="Calibri" w:hAnsi="Calibri" w:cs="Calibri"/>
          <w:b/>
          <w:bCs/>
          <w:szCs w:val="20"/>
          <w:lang w:val="sr-Cyrl-CS"/>
        </w:rPr>
        <w:t>Заштита социјалне кохезије</w:t>
      </w:r>
    </w:p>
    <w:p w14:paraId="1D1C4EBC" w14:textId="77777777"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Јасно дефинисана правила за индексацију пензија, уз пуно поштовање фискалних правила.</w:t>
      </w:r>
    </w:p>
    <w:p w14:paraId="620543A2" w14:textId="77777777"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Циљано јачање програма подршке најугроженијим категоријама кроз унапређење система социјалних карата.</w:t>
      </w:r>
    </w:p>
    <w:p w14:paraId="7F0086AC" w14:textId="77777777" w:rsidR="00494747" w:rsidRPr="00F5596D" w:rsidRDefault="00494747" w:rsidP="00494747">
      <w:pPr>
        <w:numPr>
          <w:ilvl w:val="0"/>
          <w:numId w:val="21"/>
        </w:numPr>
        <w:spacing w:after="120"/>
        <w:rPr>
          <w:rFonts w:ascii="Calibri" w:hAnsi="Calibri" w:cs="Calibri"/>
          <w:bCs/>
          <w:szCs w:val="20"/>
          <w:lang w:val="sr-Cyrl-CS"/>
        </w:rPr>
      </w:pPr>
      <w:r w:rsidRPr="00F5596D">
        <w:rPr>
          <w:rFonts w:ascii="Calibri" w:hAnsi="Calibri" w:cs="Calibri"/>
          <w:b/>
          <w:bCs/>
          <w:szCs w:val="20"/>
          <w:lang w:val="sr-Cyrl-CS"/>
        </w:rPr>
        <w:t>Повећана отпорност на спољне шокове</w:t>
      </w:r>
    </w:p>
    <w:p w14:paraId="523B791B" w14:textId="2518DC4B"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Одржавање адекватног нивоа фискалних резерви ради брзог одговора у случају потреса на тржишту.</w:t>
      </w:r>
    </w:p>
    <w:p w14:paraId="4EA1EE21" w14:textId="77777777" w:rsidR="00494747" w:rsidRPr="00F5596D" w:rsidRDefault="00494747" w:rsidP="00E943ED">
      <w:pPr>
        <w:pStyle w:val="ListParagraph"/>
        <w:numPr>
          <w:ilvl w:val="0"/>
          <w:numId w:val="24"/>
        </w:numPr>
        <w:spacing w:after="120"/>
        <w:ind w:left="540" w:hanging="180"/>
        <w:rPr>
          <w:rFonts w:ascii="Calibri" w:hAnsi="Calibri" w:cs="Calibri"/>
          <w:bCs/>
          <w:szCs w:val="20"/>
          <w:lang w:val="sr-Cyrl-CS"/>
        </w:rPr>
      </w:pPr>
      <w:r w:rsidRPr="00F5596D">
        <w:rPr>
          <w:rFonts w:ascii="Calibri" w:hAnsi="Calibri" w:cs="Calibri"/>
          <w:bCs/>
          <w:szCs w:val="20"/>
          <w:lang w:val="sr-Cyrl-CS"/>
        </w:rPr>
        <w:t xml:space="preserve">Снажније укључење у </w:t>
      </w:r>
      <w:r w:rsidRPr="00F5596D">
        <w:rPr>
          <w:rFonts w:ascii="Calibri" w:hAnsi="Calibri" w:cs="Calibri"/>
          <w:b/>
          <w:bCs/>
          <w:szCs w:val="20"/>
          <w:lang w:val="sr-Cyrl-CS"/>
        </w:rPr>
        <w:t>Агенду раста ЕУ</w:t>
      </w:r>
      <w:r w:rsidRPr="00F5596D">
        <w:rPr>
          <w:rFonts w:ascii="Calibri" w:hAnsi="Calibri" w:cs="Calibri"/>
          <w:bCs/>
          <w:szCs w:val="20"/>
          <w:lang w:val="sr-Cyrl-CS"/>
        </w:rPr>
        <w:t xml:space="preserve"> и наставак сарадње са ММФ-ом (нови саветодавни аранжман) као спољног сидра реформама.</w:t>
      </w:r>
    </w:p>
    <w:p w14:paraId="108F4488" w14:textId="5CEFA6C0" w:rsidR="00536CC0" w:rsidRPr="00F5596D" w:rsidRDefault="00536CC0" w:rsidP="00494747">
      <w:pPr>
        <w:spacing w:after="120"/>
        <w:rPr>
          <w:rFonts w:ascii="Calibri" w:hAnsi="Calibri" w:cs="Calibri"/>
          <w:b/>
          <w:bCs/>
          <w:szCs w:val="20"/>
          <w:lang w:val="sr-Cyrl-CS"/>
        </w:rPr>
      </w:pPr>
    </w:p>
    <w:p w14:paraId="253BBD16" w14:textId="77777777" w:rsidR="005B574C" w:rsidRPr="00F5596D" w:rsidRDefault="005B574C" w:rsidP="005B574C">
      <w:pPr>
        <w:spacing w:after="120"/>
        <w:rPr>
          <w:rFonts w:ascii="Calibri" w:hAnsi="Calibri" w:cs="Calibri"/>
          <w:b/>
          <w:bCs/>
          <w:szCs w:val="20"/>
          <w:lang w:val="sr-Cyrl-CS"/>
        </w:rPr>
      </w:pPr>
      <w:r w:rsidRPr="00F5596D">
        <w:rPr>
          <w:rFonts w:ascii="Calibri" w:hAnsi="Calibri" w:cs="Calibri"/>
          <w:b/>
          <w:bCs/>
          <w:szCs w:val="20"/>
          <w:lang w:val="sr-Cyrl-CS"/>
        </w:rPr>
        <w:t>Оперативни приоритети</w:t>
      </w:r>
    </w:p>
    <w:p w14:paraId="7FD1AB01" w14:textId="77777777" w:rsidR="005B574C" w:rsidRPr="00F5596D" w:rsidRDefault="005B574C" w:rsidP="005B574C">
      <w:pPr>
        <w:pStyle w:val="ListParagraph"/>
        <w:numPr>
          <w:ilvl w:val="0"/>
          <w:numId w:val="24"/>
        </w:numPr>
        <w:spacing w:after="120"/>
        <w:ind w:left="540" w:hanging="180"/>
        <w:rPr>
          <w:rFonts w:ascii="Calibri" w:hAnsi="Calibri" w:cs="Calibri"/>
          <w:b/>
          <w:bCs/>
          <w:szCs w:val="20"/>
          <w:lang w:val="sr-Cyrl-CS"/>
        </w:rPr>
      </w:pPr>
      <w:r w:rsidRPr="00F5596D">
        <w:rPr>
          <w:rFonts w:ascii="Calibri" w:hAnsi="Calibri" w:cs="Calibri"/>
          <w:b/>
          <w:bCs/>
          <w:szCs w:val="20"/>
          <w:lang w:val="sr-Cyrl-CS"/>
        </w:rPr>
        <w:t>Реформа јавних предузећа</w:t>
      </w:r>
      <w:r w:rsidRPr="00F5596D">
        <w:rPr>
          <w:rFonts w:ascii="Calibri" w:hAnsi="Calibri" w:cs="Calibri"/>
          <w:bCs/>
          <w:szCs w:val="20"/>
          <w:lang w:val="sr-Cyrl-CS"/>
        </w:rPr>
        <w:t xml:space="preserve"> – увођење јасних циљева профитабилности и транспарентног извештавања, смањење квази-фискалних ризика.</w:t>
      </w:r>
    </w:p>
    <w:p w14:paraId="299A34E5" w14:textId="77777777" w:rsidR="005B574C" w:rsidRPr="00F5596D" w:rsidRDefault="005B574C" w:rsidP="005B574C">
      <w:pPr>
        <w:numPr>
          <w:ilvl w:val="0"/>
          <w:numId w:val="22"/>
        </w:numPr>
        <w:spacing w:after="120"/>
        <w:ind w:left="540" w:hanging="180"/>
        <w:rPr>
          <w:rFonts w:ascii="Calibri" w:hAnsi="Calibri" w:cs="Calibri"/>
          <w:bCs/>
          <w:szCs w:val="20"/>
          <w:lang w:val="sr-Cyrl-CS"/>
        </w:rPr>
      </w:pPr>
      <w:r w:rsidRPr="00F5596D">
        <w:rPr>
          <w:rFonts w:ascii="Calibri" w:hAnsi="Calibri" w:cs="Calibri"/>
          <w:b/>
          <w:bCs/>
          <w:szCs w:val="20"/>
          <w:lang w:val="sr-Cyrl-CS"/>
        </w:rPr>
        <w:t>Модернизација пореске администрације</w:t>
      </w:r>
      <w:r w:rsidRPr="00F5596D">
        <w:rPr>
          <w:rFonts w:ascii="Calibri" w:hAnsi="Calibri" w:cs="Calibri"/>
          <w:bCs/>
          <w:szCs w:val="20"/>
          <w:lang w:val="sr-Cyrl-CS"/>
        </w:rPr>
        <w:t xml:space="preserve"> – свеобухватно управљање ризиком, дигитални систем и проширење електронских услуга.</w:t>
      </w:r>
    </w:p>
    <w:p w14:paraId="1BEC0A3D" w14:textId="77777777" w:rsidR="005B574C" w:rsidRPr="00F5596D" w:rsidRDefault="005B574C" w:rsidP="005B574C">
      <w:pPr>
        <w:spacing w:after="120"/>
        <w:rPr>
          <w:rFonts w:ascii="Calibri" w:hAnsi="Calibri" w:cs="Calibri"/>
          <w:b/>
          <w:bCs/>
          <w:szCs w:val="20"/>
          <w:lang w:val="sr-Cyrl-CS"/>
        </w:rPr>
      </w:pPr>
      <w:r w:rsidRPr="00F5596D">
        <w:rPr>
          <w:rFonts w:ascii="Calibri" w:hAnsi="Calibri" w:cs="Calibri"/>
          <w:b/>
          <w:bCs/>
          <w:szCs w:val="20"/>
          <w:lang w:val="sr-Cyrl-CS"/>
        </w:rPr>
        <w:t>Визија до 2028.</w:t>
      </w:r>
    </w:p>
    <w:p w14:paraId="49517FDB" w14:textId="77777777" w:rsidR="005B574C" w:rsidRPr="00F5596D" w:rsidRDefault="005B574C" w:rsidP="005B574C">
      <w:pPr>
        <w:spacing w:after="120"/>
        <w:rPr>
          <w:rFonts w:ascii="Calibri" w:hAnsi="Calibri" w:cs="Calibri"/>
          <w:bCs/>
          <w:szCs w:val="20"/>
          <w:lang w:val="sr-Cyrl-CS"/>
        </w:rPr>
      </w:pPr>
      <w:r w:rsidRPr="00F5596D">
        <w:rPr>
          <w:rFonts w:ascii="Calibri" w:hAnsi="Calibri" w:cs="Calibri"/>
          <w:bCs/>
          <w:szCs w:val="20"/>
          <w:lang w:val="sr-Cyrl-CS"/>
        </w:rPr>
        <w:t>Комбиновањем поуздане фискалне дисциплине и снажних развојних импулса, Србија циља:</w:t>
      </w:r>
    </w:p>
    <w:p w14:paraId="56A2C927" w14:textId="77777777" w:rsidR="005B574C" w:rsidRPr="00F5596D" w:rsidRDefault="005B574C" w:rsidP="005B574C">
      <w:pPr>
        <w:numPr>
          <w:ilvl w:val="0"/>
          <w:numId w:val="23"/>
        </w:numPr>
        <w:tabs>
          <w:tab w:val="left" w:pos="360"/>
        </w:tabs>
        <w:spacing w:after="120"/>
        <w:ind w:left="540" w:hanging="180"/>
        <w:jc w:val="left"/>
        <w:rPr>
          <w:rFonts w:ascii="Calibri" w:hAnsi="Calibri" w:cs="Calibri"/>
          <w:bCs/>
          <w:szCs w:val="20"/>
          <w:lang w:val="sr-Cyrl-CS"/>
        </w:rPr>
      </w:pPr>
      <w:r w:rsidRPr="00F5596D">
        <w:rPr>
          <w:rFonts w:ascii="Calibri" w:hAnsi="Calibri" w:cs="Calibri"/>
          <w:bCs/>
          <w:szCs w:val="20"/>
          <w:lang w:val="sr-Cyrl-CS"/>
        </w:rPr>
        <w:t xml:space="preserve">просечан реални раст БДП-а од </w:t>
      </w:r>
      <w:r w:rsidRPr="00F5596D">
        <w:rPr>
          <w:rFonts w:ascii="Calibri" w:hAnsi="Calibri" w:cs="Calibri"/>
          <w:b/>
          <w:bCs/>
          <w:szCs w:val="20"/>
          <w:lang w:val="sr-Cyrl-CS"/>
        </w:rPr>
        <w:t>≈ 4 % годишње</w:t>
      </w:r>
      <w:r w:rsidRPr="00F5596D">
        <w:rPr>
          <w:rFonts w:ascii="Calibri" w:hAnsi="Calibri" w:cs="Calibri"/>
          <w:bCs/>
          <w:szCs w:val="20"/>
          <w:lang w:val="sr-Cyrl-CS"/>
        </w:rPr>
        <w:t>,</w:t>
      </w:r>
    </w:p>
    <w:p w14:paraId="3E0BB9C8" w14:textId="77777777" w:rsidR="005B574C" w:rsidRPr="00F5596D" w:rsidRDefault="005B574C" w:rsidP="005B574C">
      <w:pPr>
        <w:numPr>
          <w:ilvl w:val="0"/>
          <w:numId w:val="23"/>
        </w:numPr>
        <w:spacing w:after="120"/>
        <w:ind w:left="540" w:hanging="180"/>
        <w:jc w:val="left"/>
        <w:rPr>
          <w:rFonts w:ascii="Calibri" w:hAnsi="Calibri" w:cs="Calibri"/>
          <w:bCs/>
          <w:szCs w:val="20"/>
          <w:lang w:val="sr-Cyrl-CS"/>
        </w:rPr>
      </w:pPr>
      <w:r w:rsidRPr="00F5596D">
        <w:rPr>
          <w:rFonts w:ascii="Calibri" w:hAnsi="Calibri" w:cs="Calibri"/>
          <w:bCs/>
          <w:szCs w:val="20"/>
          <w:lang w:val="sr-Cyrl-CS"/>
        </w:rPr>
        <w:t>даље унапређење инвестиционог кредитног рејтинга,</w:t>
      </w:r>
    </w:p>
    <w:p w14:paraId="62E2F49D" w14:textId="77777777" w:rsidR="005B574C" w:rsidRPr="00F5596D" w:rsidRDefault="005B574C" w:rsidP="005B574C">
      <w:pPr>
        <w:numPr>
          <w:ilvl w:val="0"/>
          <w:numId w:val="23"/>
        </w:numPr>
        <w:spacing w:after="120"/>
        <w:ind w:left="540" w:hanging="180"/>
        <w:jc w:val="left"/>
        <w:rPr>
          <w:rFonts w:ascii="Calibri" w:hAnsi="Calibri" w:cs="Calibri"/>
          <w:bCs/>
          <w:szCs w:val="20"/>
          <w:lang w:val="sr-Cyrl-CS"/>
        </w:rPr>
      </w:pPr>
      <w:r w:rsidRPr="00F5596D">
        <w:rPr>
          <w:rFonts w:ascii="Calibri" w:hAnsi="Calibri" w:cs="Calibri"/>
          <w:bCs/>
          <w:szCs w:val="20"/>
          <w:lang w:val="sr-Cyrl-CS"/>
        </w:rPr>
        <w:t>даљи пад незапослености и раст реалних зарада,</w:t>
      </w:r>
    </w:p>
    <w:p w14:paraId="37CF0566" w14:textId="77777777" w:rsidR="005B574C" w:rsidRPr="00F5596D" w:rsidRDefault="005B574C" w:rsidP="005B574C">
      <w:pPr>
        <w:numPr>
          <w:ilvl w:val="0"/>
          <w:numId w:val="23"/>
        </w:numPr>
        <w:spacing w:after="120"/>
        <w:ind w:left="540" w:hanging="180"/>
        <w:jc w:val="left"/>
        <w:rPr>
          <w:rFonts w:ascii="Calibri" w:hAnsi="Calibri" w:cs="Calibri"/>
          <w:bCs/>
          <w:szCs w:val="20"/>
          <w:lang w:val="sr-Cyrl-CS"/>
        </w:rPr>
      </w:pPr>
      <w:r w:rsidRPr="00F5596D">
        <w:rPr>
          <w:rFonts w:ascii="Calibri" w:hAnsi="Calibri" w:cs="Calibri"/>
          <w:bCs/>
          <w:szCs w:val="20"/>
          <w:lang w:val="sr-Cyrl-CS"/>
        </w:rPr>
        <w:t>напредак у процесу приступања ЕУ кроз усклађивање са Пактом стабилности и растa,</w:t>
      </w:r>
    </w:p>
    <w:p w14:paraId="1C0EF625" w14:textId="77777777" w:rsidR="005B574C" w:rsidRPr="00F5596D" w:rsidRDefault="005B574C" w:rsidP="005B574C">
      <w:pPr>
        <w:numPr>
          <w:ilvl w:val="0"/>
          <w:numId w:val="23"/>
        </w:numPr>
        <w:spacing w:after="120"/>
        <w:ind w:left="540" w:hanging="180"/>
        <w:jc w:val="left"/>
        <w:rPr>
          <w:rFonts w:ascii="Calibri" w:hAnsi="Calibri" w:cs="Calibri"/>
          <w:bCs/>
          <w:szCs w:val="20"/>
          <w:lang w:val="sr-Cyrl-CS"/>
        </w:rPr>
      </w:pPr>
      <w:r w:rsidRPr="00F5596D">
        <w:rPr>
          <w:rFonts w:ascii="Calibri" w:hAnsi="Calibri" w:cs="Calibri"/>
          <w:bCs/>
          <w:szCs w:val="20"/>
          <w:lang w:val="sr-Cyrl-CS"/>
        </w:rPr>
        <w:t>унапређену инфраструктуру.</w:t>
      </w:r>
    </w:p>
    <w:p w14:paraId="44BD8565" w14:textId="2B4BC7B5" w:rsidR="005B574C" w:rsidRPr="00F5596D" w:rsidRDefault="005B574C" w:rsidP="005B574C">
      <w:pPr>
        <w:spacing w:after="120"/>
        <w:rPr>
          <w:rFonts w:ascii="Calibri" w:hAnsi="Calibri" w:cs="Calibri"/>
          <w:bCs/>
          <w:szCs w:val="20"/>
          <w:lang w:val="sr-Cyrl-CS"/>
        </w:rPr>
        <w:sectPr w:rsidR="005B574C" w:rsidRPr="00F5596D" w:rsidSect="00AF42E4">
          <w:headerReference w:type="even" r:id="rId119"/>
          <w:headerReference w:type="default" r:id="rId120"/>
          <w:footerReference w:type="even" r:id="rId121"/>
          <w:footerReference w:type="default" r:id="rId122"/>
          <w:type w:val="continuous"/>
          <w:pgSz w:w="12240" w:h="15840" w:code="1"/>
          <w:pgMar w:top="1440" w:right="1440" w:bottom="1440" w:left="1440" w:header="720" w:footer="720" w:gutter="0"/>
          <w:cols w:num="2" w:space="720"/>
          <w:titlePg/>
          <w:docGrid w:linePitch="360"/>
        </w:sectPr>
      </w:pPr>
    </w:p>
    <w:p w14:paraId="70DD03EA" w14:textId="77777777" w:rsidR="005B574C" w:rsidRPr="00F5596D" w:rsidRDefault="005B574C" w:rsidP="00494747">
      <w:pPr>
        <w:spacing w:after="120"/>
        <w:rPr>
          <w:rFonts w:ascii="Calibri" w:hAnsi="Calibri" w:cs="Calibri"/>
          <w:b/>
          <w:bCs/>
          <w:szCs w:val="20"/>
          <w:lang w:val="sr-Cyrl-CS"/>
        </w:rPr>
        <w:sectPr w:rsidR="005B574C" w:rsidRPr="00F5596D" w:rsidSect="00536CC0">
          <w:headerReference w:type="default" r:id="rId123"/>
          <w:footerReference w:type="default" r:id="rId124"/>
          <w:headerReference w:type="first" r:id="rId125"/>
          <w:footerReference w:type="first" r:id="rId126"/>
          <w:type w:val="continuous"/>
          <w:pgSz w:w="12240" w:h="15840" w:code="1"/>
          <w:pgMar w:top="1440" w:right="1440" w:bottom="1440" w:left="1440" w:header="720" w:footer="720" w:gutter="0"/>
          <w:cols w:num="2" w:space="720"/>
          <w:titlePg/>
          <w:docGrid w:linePitch="360"/>
        </w:sectPr>
      </w:pPr>
    </w:p>
    <w:p w14:paraId="1CBFA2F5" w14:textId="0C141384" w:rsidR="00536CC0" w:rsidRPr="00F5596D" w:rsidRDefault="00536CC0" w:rsidP="00536CC0">
      <w:pPr>
        <w:keepNext/>
        <w:keepLines/>
        <w:spacing w:after="360"/>
        <w:jc w:val="center"/>
        <w:outlineLvl w:val="1"/>
        <w:rPr>
          <w:rFonts w:eastAsia="MS PGothic" w:cstheme="minorHAnsi"/>
          <w:b/>
          <w:color w:val="2F5496" w:themeColor="accent1" w:themeShade="BF"/>
          <w:sz w:val="24"/>
          <w:szCs w:val="26"/>
          <w:lang w:val="sr-Cyrl-CS" w:eastAsia="ja-JP"/>
        </w:rPr>
      </w:pPr>
      <w:bookmarkStart w:id="41" w:name="_Toc200117995"/>
      <w:r w:rsidRPr="00F5596D">
        <w:rPr>
          <w:rFonts w:eastAsia="MS PGothic" w:cstheme="minorHAnsi"/>
          <w:b/>
          <w:color w:val="2F5496" w:themeColor="accent1" w:themeShade="BF"/>
          <w:sz w:val="24"/>
          <w:szCs w:val="26"/>
          <w:lang w:val="sr-Cyrl-CS" w:eastAsia="ja-JP"/>
        </w:rPr>
        <w:t>2. Фискална кретања у 2024. години</w:t>
      </w:r>
      <w:bookmarkEnd w:id="41"/>
    </w:p>
    <w:p w14:paraId="7EDB5124" w14:textId="77777777" w:rsidR="00536CC0" w:rsidRPr="00F5596D" w:rsidRDefault="00536CC0" w:rsidP="00536CC0">
      <w:pPr>
        <w:spacing w:after="360" w:line="276" w:lineRule="auto"/>
        <w:rPr>
          <w:rFonts w:cstheme="minorHAnsi"/>
          <w:bCs/>
          <w:szCs w:val="72"/>
          <w:lang w:val="sr-Cyrl-CS"/>
        </w:rPr>
        <w:sectPr w:rsidR="00536CC0" w:rsidRPr="00F5596D" w:rsidSect="000A6C38">
          <w:type w:val="continuous"/>
          <w:pgSz w:w="12240" w:h="15840" w:code="1"/>
          <w:pgMar w:top="1440" w:right="1440" w:bottom="1440" w:left="1440" w:header="720" w:footer="720" w:gutter="0"/>
          <w:cols w:space="720"/>
          <w:titlePg/>
          <w:docGrid w:linePitch="360"/>
        </w:sectPr>
      </w:pPr>
    </w:p>
    <w:p w14:paraId="3EC4BE80" w14:textId="71D66891" w:rsidR="00536CC0" w:rsidRPr="00F5596D" w:rsidRDefault="00536CC0" w:rsidP="00536CC0">
      <w:pPr>
        <w:spacing w:line="276" w:lineRule="auto"/>
        <w:rPr>
          <w:rFonts w:cstheme="minorHAnsi"/>
          <w:bCs/>
          <w:szCs w:val="72"/>
          <w:lang w:val="sr-Cyrl-CS"/>
        </w:rPr>
      </w:pPr>
      <w:r w:rsidRPr="00F5596D">
        <w:rPr>
          <w:rFonts w:cstheme="minorHAnsi"/>
          <w:bCs/>
          <w:szCs w:val="72"/>
          <w:lang w:val="sr-Cyrl-CS"/>
        </w:rPr>
        <w:t>На крају 2024. године на нивоу сектора државе остварен је фискални дефицит у износу од 19</w:t>
      </w:r>
      <w:r w:rsidR="00C7469F" w:rsidRPr="00F5596D">
        <w:rPr>
          <w:rFonts w:cstheme="minorHAnsi"/>
          <w:bCs/>
          <w:szCs w:val="72"/>
          <w:lang w:val="sr-Cyrl-CS"/>
        </w:rPr>
        <w:t>1,9 млрд динара, односно 2% БДП</w:t>
      </w:r>
      <w:r w:rsidRPr="00F5596D">
        <w:rPr>
          <w:rFonts w:cstheme="minorHAnsi"/>
          <w:bCs/>
          <w:szCs w:val="72"/>
          <w:lang w:val="sr-Cyrl-CS"/>
        </w:rPr>
        <w:t>.</w:t>
      </w:r>
      <w:r w:rsidRPr="00F5596D">
        <w:rPr>
          <w:lang w:val="sr-Cyrl-CS"/>
        </w:rPr>
        <w:t xml:space="preserve"> </w:t>
      </w:r>
      <w:r w:rsidRPr="00F5596D">
        <w:rPr>
          <w:rFonts w:cstheme="minorHAnsi"/>
          <w:bCs/>
          <w:szCs w:val="72"/>
          <w:lang w:val="sr-Cyrl-CS"/>
        </w:rPr>
        <w:t>Примарни фискални дефицит износио је</w:t>
      </w:r>
      <w:r w:rsidR="00C7469F" w:rsidRPr="00F5596D">
        <w:rPr>
          <w:rFonts w:cstheme="minorHAnsi"/>
          <w:bCs/>
          <w:szCs w:val="72"/>
          <w:lang w:val="sr-Cyrl-CS"/>
        </w:rPr>
        <w:t xml:space="preserve"> 0,3</w:t>
      </w:r>
      <w:r w:rsidRPr="00F5596D">
        <w:rPr>
          <w:rFonts w:cstheme="minorHAnsi"/>
          <w:bCs/>
          <w:szCs w:val="72"/>
          <w:lang w:val="sr-Cyrl-CS"/>
        </w:rPr>
        <w:t xml:space="preserve">% БДП. Пролећном пројекцијом навише су ревидирани приходи од ПДВ, порез на доходак и доприноси, односно капитални расходи и расходи за запослене и социјална давања, уз истовремено смањење буџетских позајмица. Јесењом пројекцијом навише су ревидирани порез на добит, порез на доходак и доприноси, као и непорески приходи, док су на расходној страни навише ревидирани капитални расходи и субвенције. Јесењом пројекцијом предвиђено је и веће трошење у категорији куповине роба и услуга </w:t>
      </w:r>
      <w:r w:rsidRPr="00F5596D">
        <w:rPr>
          <w:rFonts w:cstheme="minorHAnsi"/>
          <w:bCs/>
          <w:szCs w:val="72"/>
          <w:lang w:val="sr-Cyrl-CS"/>
        </w:rPr>
        <w:t>и осталих текућих расхода, међутим ово повећање се није у већој мери остварило. Јесењом пројекцијом био је предвиђен дефицит од 2,7% БДП. Дуг сектора државе износио је 47,5% БДП на крају 2024. године, што је за 0,9 п.п. мање у односу на стање на крају 2023. године (48,4% БДП).</w:t>
      </w:r>
    </w:p>
    <w:p w14:paraId="1CCD080C" w14:textId="77777777" w:rsidR="00536CC0" w:rsidRPr="00F5596D" w:rsidRDefault="00536CC0" w:rsidP="00536CC0">
      <w:pPr>
        <w:spacing w:line="276" w:lineRule="auto"/>
        <w:rPr>
          <w:rFonts w:cstheme="minorHAnsi"/>
          <w:bCs/>
          <w:szCs w:val="72"/>
          <w:lang w:val="sr-Cyrl-CS"/>
        </w:rPr>
      </w:pPr>
      <w:r w:rsidRPr="00F5596D">
        <w:rPr>
          <w:rFonts w:cstheme="minorHAnsi"/>
          <w:bCs/>
          <w:szCs w:val="72"/>
          <w:lang w:val="sr-Cyrl-CS"/>
        </w:rPr>
        <w:t>Бројни фактори утицали су на измене у висини и структури како прихода, тако и расхода сектора државе. На остварење прихода су утицали: базни ефекат (боље остварење на крају 2023. године),</w:t>
      </w:r>
      <w:r w:rsidRPr="00F5596D">
        <w:rPr>
          <w:lang w:val="sr-Cyrl-CS"/>
        </w:rPr>
        <w:t xml:space="preserve"> </w:t>
      </w:r>
      <w:r w:rsidRPr="00F5596D">
        <w:rPr>
          <w:rFonts w:cstheme="minorHAnsi"/>
          <w:bCs/>
          <w:szCs w:val="72"/>
          <w:lang w:val="sr-Cyrl-CS"/>
        </w:rPr>
        <w:t xml:space="preserve">раст профитабилности привреде у 2023. години, већа потрошња акцизних производа, повољнија кретања на тржишту рада, снажан раст редовних непореских прихода, као и уплате ванредних и једнократних непореских прихода и сл. На веће </w:t>
      </w:r>
      <w:r w:rsidRPr="00F5596D">
        <w:rPr>
          <w:rFonts w:cstheme="minorHAnsi"/>
          <w:bCs/>
          <w:szCs w:val="72"/>
          <w:lang w:val="sr-Cyrl-CS"/>
        </w:rPr>
        <w:lastRenderedPageBreak/>
        <w:t>расходе у односу на оригинални план највише су утицали значајно већи капитални расходи као и социјална давања и субвенције, док буџетске позајмице које су биле намењене за набавку енергената бележе значајно смањење.</w:t>
      </w:r>
    </w:p>
    <w:p w14:paraId="00BA7C25" w14:textId="12706324" w:rsidR="00536CC0" w:rsidRPr="00F5596D" w:rsidRDefault="00536CC0" w:rsidP="00536CC0">
      <w:pPr>
        <w:spacing w:line="276" w:lineRule="auto"/>
        <w:rPr>
          <w:rFonts w:cstheme="minorHAnsi"/>
          <w:bCs/>
          <w:spacing w:val="-2"/>
          <w:szCs w:val="72"/>
          <w:lang w:val="sr-Cyrl-CS"/>
        </w:rPr>
      </w:pPr>
      <w:r w:rsidRPr="00F5596D">
        <w:rPr>
          <w:rFonts w:cstheme="minorHAnsi"/>
          <w:bCs/>
          <w:spacing w:val="-2"/>
          <w:szCs w:val="72"/>
          <w:lang w:val="sr-Cyrl-CS"/>
        </w:rPr>
        <w:t xml:space="preserve">Јавни приходи су остварени у износу већем за 184,9 млрд динара (1,9% БДП) у односу на износ планиран оригиналним буџетом. У односу на 2023. годину забележен је номинални раст од 13,5%. Највеће одступање навише у односу на оригинални план је забележено код ПДВ, директних пореза и доприноса и непореских прихода. Приходи од донација су забележили одступање наниже. Приходи од ПДВ су у 2024. години виши од планираних за 0,5% БДП. Разлог томе је висока база у 2023. години, услед значајнијег опоравка личне потрошње у последњем кварталу 2023. године године. Раст реалног дохотка, као кључног фактора личне потрошње, се наставио и током 2024. године. Доприноси и порез на доходак грађана су укупно већи </w:t>
      </w:r>
      <w:r w:rsidR="00BC7A1D" w:rsidRPr="00F5596D">
        <w:rPr>
          <w:rFonts w:cstheme="minorHAnsi"/>
          <w:bCs/>
          <w:spacing w:val="-2"/>
          <w:szCs w:val="72"/>
          <w:lang w:val="sr-Cyrl-CS"/>
        </w:rPr>
        <w:t>у односу на план за 0,6</w:t>
      </w:r>
      <w:r w:rsidRPr="00F5596D">
        <w:rPr>
          <w:rFonts w:cstheme="minorHAnsi"/>
          <w:bCs/>
          <w:spacing w:val="-2"/>
          <w:szCs w:val="72"/>
          <w:lang w:val="sr-Cyrl-CS"/>
        </w:rPr>
        <w:t>% БДП, највећим делом услед кретања зарада и кретања на тржишту рада. Порез на добит правних лица је остварен у износу вишем од планираног за око 0,4% БДП, услед конзервативног приступа у планирању ове категорије заснованог на умереном расту профитабилности привреде. Нето добит привреде је у 2023. години забележила раст од 12,3% у односу на 2022. годину. Приходи од акциза премашили су план за 0,2% БДП. Непорески приходи су виши за 0,4% БДП у односу на план. Редовни непорески приходи остварени су у већем износу у односу на планиране у највећој мери услед раста прихода од камата на орочена средства и прихода од накнада за коришћење јавних добара. Ванредни непорески приходи виши су због уплате прихода који нису били укључени у оригинални буџетски план.</w:t>
      </w:r>
      <w:r w:rsidRPr="00F5596D">
        <w:rPr>
          <w:lang w:val="sr-Cyrl-CS"/>
        </w:rPr>
        <w:t xml:space="preserve"> </w:t>
      </w:r>
      <w:r w:rsidRPr="00F5596D">
        <w:rPr>
          <w:rFonts w:cstheme="minorHAnsi"/>
          <w:bCs/>
          <w:spacing w:val="-2"/>
          <w:szCs w:val="72"/>
          <w:lang w:val="sr-Cyrl-CS"/>
        </w:rPr>
        <w:t>Ово се превасходно односи на приходе по основу добити НБС, уплате дивиденди и добити, емисионе премије и сл.</w:t>
      </w:r>
    </w:p>
    <w:p w14:paraId="6A0D2A44" w14:textId="02CFCFDD" w:rsidR="00536CC0" w:rsidRPr="00F5596D" w:rsidRDefault="00536CC0" w:rsidP="00536CC0">
      <w:pPr>
        <w:spacing w:line="276" w:lineRule="auto"/>
        <w:rPr>
          <w:rFonts w:cstheme="minorHAnsi"/>
          <w:bCs/>
          <w:szCs w:val="72"/>
          <w:lang w:val="sr-Cyrl-CS"/>
        </w:rPr>
      </w:pPr>
      <w:r w:rsidRPr="00F5596D">
        <w:rPr>
          <w:rFonts w:cstheme="minorHAnsi"/>
          <w:bCs/>
          <w:szCs w:val="72"/>
          <w:lang w:val="sr-Cyrl-CS"/>
        </w:rPr>
        <w:t>Јавни расходи извршени су у износу вишем за 179,7 млрд динара (1,9% БДП) у односу на оригинални план. Номинални раст у односу на претходну годину износи 13,1%. Највеће одступање навише у односу на план је остварено код капиталних расхода, социјалних давања, субвенција и расхода за запослене, док је код буџетских позајмица остварено највеће одступање наниже</w:t>
      </w:r>
      <w:r w:rsidRPr="00F5596D">
        <w:rPr>
          <w:lang w:val="sr-Cyrl-CS"/>
        </w:rPr>
        <w:t xml:space="preserve"> </w:t>
      </w:r>
      <w:r w:rsidRPr="00F5596D">
        <w:rPr>
          <w:rFonts w:cstheme="minorHAnsi"/>
          <w:bCs/>
          <w:szCs w:val="72"/>
          <w:lang w:val="sr-Cyrl-CS"/>
        </w:rPr>
        <w:t>услед смиривање кризе на тржишту енергената. Реализација јавних инвестиција у 2024. години је износила рекордних 7,3% БДП и премашила је оригинални план за 1,1% БДП, односно највећи део прихода који су премашили план је искоришћен за јавне инвестиције, од чега се већина односи на инфраструктурне пројекте, односно изградњу путне и железничке инфраструктуре, као и за набавку опреме у сектору безбедности. Расходи за социјалну заштиту премашили су план за око 0,5% БДП. Значајан део повећања односи се на исплату обештећења породиљама по основу одлуке Уставног суда о начину обрачуна накнаде плате за време породиљског одсуства, као и усвојене мере којима су значајно увећана давања по основу родитељског додатка. Субвенције су премашиле оригинални план за око 0,3% БДП, највећим делом услед повећања пољопривредних субвенција, као и оних у енергетици, туризму, заштити животне средине и спорту. Расходи за запослене премашили су план за око 0,2% БДП. Ово је у највећој мери резултат измена начина обрачуна зарада запослених у просвети и Министарству унутрашњих послова. Расходи за запослене у 2024. години износили су 9,4% БДП. Посебним фискалним правилима која важе од јануара 2023. године ограничено је учешће плата сектора државе у БДП и дефинисана су правила индексирања пензија з</w:t>
      </w:r>
      <w:r w:rsidR="00DE4E89" w:rsidRPr="00F5596D">
        <w:rPr>
          <w:rFonts w:cstheme="minorHAnsi"/>
          <w:bCs/>
          <w:szCs w:val="72"/>
          <w:lang w:val="sr-Cyrl-CS"/>
        </w:rPr>
        <w:t>ависно од њиховог учешћа у БДП.</w:t>
      </w:r>
    </w:p>
    <w:p w14:paraId="7965F1BA" w14:textId="15F179AF" w:rsidR="00BA1A54" w:rsidRPr="00F5596D" w:rsidRDefault="00BA1A54" w:rsidP="00536CC0">
      <w:pPr>
        <w:spacing w:line="276" w:lineRule="auto"/>
        <w:rPr>
          <w:rFonts w:cstheme="minorHAnsi"/>
          <w:bCs/>
          <w:szCs w:val="72"/>
          <w:lang w:val="sr-Cyrl-CS"/>
        </w:rPr>
      </w:pPr>
    </w:p>
    <w:p w14:paraId="6BD5DD67" w14:textId="77777777" w:rsidR="00BA1A54" w:rsidRPr="00F5596D" w:rsidRDefault="00BA1A54" w:rsidP="00536CC0">
      <w:pPr>
        <w:spacing w:line="276" w:lineRule="auto"/>
        <w:rPr>
          <w:rFonts w:cstheme="minorHAnsi"/>
          <w:bCs/>
          <w:szCs w:val="72"/>
          <w:lang w:val="sr-Cyrl-CS"/>
        </w:rPr>
        <w:sectPr w:rsidR="00BA1A54" w:rsidRPr="00F5596D" w:rsidSect="000A6C38">
          <w:type w:val="continuous"/>
          <w:pgSz w:w="12240" w:h="15840" w:code="1"/>
          <w:pgMar w:top="1440" w:right="1440" w:bottom="1440" w:left="1440" w:header="720" w:footer="720" w:gutter="0"/>
          <w:cols w:num="2" w:space="720"/>
          <w:titlePg/>
          <w:docGrid w:linePitch="360"/>
        </w:sectPr>
      </w:pPr>
    </w:p>
    <w:p w14:paraId="15C1D6C9" w14:textId="313C3116" w:rsidR="007262BE" w:rsidRPr="00F5596D" w:rsidRDefault="007262BE" w:rsidP="00AF42E4">
      <w:pPr>
        <w:spacing w:after="120"/>
        <w:rPr>
          <w:rFonts w:ascii="Calibri" w:hAnsi="Calibri" w:cs="Calibri"/>
          <w:bCs/>
          <w:szCs w:val="20"/>
          <w:lang w:val="sr-Cyrl-CS"/>
        </w:rPr>
      </w:pPr>
    </w:p>
    <w:p w14:paraId="6D33ED49" w14:textId="3D7E2D8C" w:rsidR="00C7469F" w:rsidRPr="00F5596D" w:rsidRDefault="00C7469F" w:rsidP="00AF42E4">
      <w:pPr>
        <w:spacing w:after="120"/>
        <w:rPr>
          <w:rFonts w:ascii="Calibri" w:hAnsi="Calibri" w:cs="Calibri"/>
          <w:bCs/>
          <w:szCs w:val="20"/>
          <w:lang w:val="sr-Cyrl-CS"/>
        </w:rPr>
      </w:pPr>
    </w:p>
    <w:p w14:paraId="2CA6265B" w14:textId="77777777" w:rsidR="00C7469F" w:rsidRPr="00F5596D" w:rsidRDefault="00C7469F" w:rsidP="00AF42E4">
      <w:pPr>
        <w:spacing w:after="120"/>
        <w:rPr>
          <w:rFonts w:ascii="Calibri" w:hAnsi="Calibri" w:cs="Calibri"/>
          <w:bCs/>
          <w:szCs w:val="20"/>
          <w:lang w:val="sr-Cyrl-CS"/>
        </w:rPr>
      </w:pPr>
    </w:p>
    <w:p w14:paraId="35B099D5" w14:textId="68AF07C1" w:rsidR="00025AFA" w:rsidRPr="00F5596D" w:rsidRDefault="007262BE" w:rsidP="00025AFA">
      <w:pPr>
        <w:pStyle w:val="Heading2"/>
        <w:rPr>
          <w:rFonts w:asciiTheme="minorHAnsi" w:hAnsiTheme="minorHAnsi" w:cstheme="minorHAnsi"/>
          <w:b w:val="0"/>
          <w:lang w:val="sr-Cyrl-CS"/>
        </w:rPr>
      </w:pPr>
      <w:bookmarkStart w:id="42" w:name="_Toc200117996"/>
      <w:bookmarkStart w:id="43" w:name="_Toc181190969"/>
      <w:bookmarkStart w:id="44" w:name="_Toc181271504"/>
      <w:r w:rsidRPr="00F5596D">
        <w:rPr>
          <w:rFonts w:asciiTheme="minorHAnsi" w:hAnsiTheme="minorHAnsi" w:cstheme="minorHAnsi"/>
          <w:lang w:val="sr-Cyrl-CS"/>
        </w:rPr>
        <w:lastRenderedPageBreak/>
        <w:t>3</w:t>
      </w:r>
      <w:r w:rsidR="00025AFA" w:rsidRPr="00F5596D">
        <w:rPr>
          <w:rFonts w:asciiTheme="minorHAnsi" w:hAnsiTheme="minorHAnsi" w:cstheme="minorHAnsi"/>
          <w:lang w:val="sr-Cyrl-CS"/>
        </w:rPr>
        <w:t>. Текућа фискална кретања и изгледи за 2025. годину</w:t>
      </w:r>
      <w:bookmarkEnd w:id="42"/>
    </w:p>
    <w:p w14:paraId="530A5AE4" w14:textId="77777777" w:rsidR="00025AFA" w:rsidRPr="00F5596D" w:rsidRDefault="00025AFA" w:rsidP="00025AFA">
      <w:pPr>
        <w:rPr>
          <w:lang w:val="sr-Cyrl-CS" w:eastAsia="ja-JP"/>
        </w:rPr>
      </w:pPr>
    </w:p>
    <w:p w14:paraId="4F4DC6DA" w14:textId="77777777" w:rsidR="00025AFA" w:rsidRPr="00F5596D" w:rsidRDefault="00025AFA" w:rsidP="00025AFA">
      <w:pPr>
        <w:keepNext/>
        <w:keepLines/>
        <w:outlineLvl w:val="1"/>
        <w:rPr>
          <w:rFonts w:eastAsia="MS PGothic" w:cstheme="minorHAnsi"/>
          <w:b/>
          <w:color w:val="2F5496" w:themeColor="accent1" w:themeShade="BF"/>
          <w:sz w:val="24"/>
          <w:szCs w:val="26"/>
          <w:lang w:val="sr-Cyrl-CS" w:eastAsia="ja-JP"/>
        </w:rPr>
        <w:sectPr w:rsidR="00025AFA" w:rsidRPr="00F5596D" w:rsidSect="00E61B34">
          <w:headerReference w:type="even" r:id="rId127"/>
          <w:headerReference w:type="default" r:id="rId128"/>
          <w:footerReference w:type="even" r:id="rId129"/>
          <w:footerReference w:type="default" r:id="rId130"/>
          <w:type w:val="continuous"/>
          <w:pgSz w:w="12240" w:h="15840" w:code="1"/>
          <w:pgMar w:top="1440" w:right="1440" w:bottom="1440" w:left="1440" w:header="720" w:footer="720" w:gutter="0"/>
          <w:cols w:space="720"/>
          <w:titlePg/>
          <w:docGrid w:linePitch="360"/>
        </w:sectPr>
      </w:pPr>
    </w:p>
    <w:p w14:paraId="75D273DB"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Фискални оквир за 2025. годину конципиран је уз висок степен опрезности, имајући у виду континуирану неизвесност и на домаћем и на међународном плану. Оваквим приступом омогућено је да се у буџету остави адекватан простор за интервенције у случају неповољних кретања. Макроекономске пројекције предвиђале су умерено убрзање привредне активности у односу на 2024. годину, као и даље постепено снижавање инфлације, што је, између осталог, требало да подстакне раст реалне личне потрошње.</w:t>
      </w:r>
    </w:p>
    <w:p w14:paraId="25B39085"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Мере усвојене крајем 2024. године значајно су утицале на планске основе за 2025. годину. Пензије су, у складу са законском формулом, усклађене за 10,9 %. Ради очувања реалне куповне моћи становништва, минимална зарада по радном сату повећана је за 13,7 %, зараде у јавном сектору за 8 %, а неопорезиви део зараде увећан за 13,7 %. Очекивало се да овај сет мера допринесе јачању личне потрошње и, посредно, расту пореских прихода по основу потрошње. Такође је предвиђен пораст прихода од опорезивања рада, будући да се, и поред мањег пореског оптерећења, очекивао раст запослености и плата у приватном сектору. Значајно увећана средства за јавне инвестиције усмерена су на даље унапређење инфраструктуре, што треба да прошири основу за даљи привредни раст.</w:t>
      </w:r>
    </w:p>
    <w:p w14:paraId="74BC10CF"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 xml:space="preserve">Поред увећања неопорезивог цензуса, у 2025. години нису биле планиране веће измене у пореској политици. Након привременог умањења акцизног оптерећења током 2022. и 2023. године, акцизна политика враћена је током 2024. године у регуларне оквире, а почетком 2025. извршено је редовно усклађивање акциза. Иако ова прилагођавања делимично надокнађују ерозију реалне вредности акциза, њихов ниво и даље је око 13 % нижи од оног који би био остварен редовном индексацијом током претходног периода. Процењује се да је услед изостале индексације у 2022. и 2023. години изгубљено преко 100 милијарди динара прихода (око 1,3 % БДП-а). Током 2024. године уведена је рефакција дела акциза за моторно гориво намењено </w:t>
      </w:r>
      <w:r w:rsidRPr="00F5596D">
        <w:rPr>
          <w:rFonts w:eastAsia="MS PGothic" w:cstheme="minorHAnsi"/>
          <w:bCs/>
          <w:szCs w:val="20"/>
          <w:lang w:val="sr-Cyrl-CS" w:eastAsia="ja-JP"/>
        </w:rPr>
        <w:t>пољопривреди, која се наставља и у 2025. години.</w:t>
      </w:r>
    </w:p>
    <w:p w14:paraId="6DDDD4E0"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Поједини ризици узети у обзир при планирању за 2025. годину су се и материјализовали, пре свега у погледу привредног раста. Значајне друштвено-политичке тензије крајем 2024. и у првим месецима 2025. године повећале су неизвесност међу привредним субјектима и домаћинствима, подстичући одлагање потрошње. У првом кварталу 2025. године реални раст БДП-а знатно је заостао за почетним пројекцијама, сектор услуга—нарочито трговина, саобраћај и туризам—забележио је пад, као и промет у угоститељству и потрошња моторних горива. Иако реални износи пензија и зарада, односно расположиви доходак, бележе солидан раст захваљујући повољним кретањима на тржишту рада, динамика раста приватне потрошње остаје знатно умеренија. Такав резултат се, пре свега, може приписати израженијем опрезу домаћинстава и одлагању потрошње у условима повећане економске и друштвене неизвесности.</w:t>
      </w:r>
    </w:p>
    <w:p w14:paraId="723C82FE" w14:textId="790040DB"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Оваква кретања, највише су утицала на наплату пореза на додату вредност, почевши већ у последњем кварталу 2024. године, а настављена су и у првом делу 2025. године.</w:t>
      </w:r>
      <w:r w:rsidRPr="00F5596D">
        <w:rPr>
          <w:lang w:val="sr-Cyrl-CS"/>
        </w:rPr>
        <w:t xml:space="preserve"> </w:t>
      </w:r>
      <w:r w:rsidRPr="00F5596D">
        <w:rPr>
          <w:rFonts w:eastAsia="MS PGothic" w:cstheme="minorHAnsi"/>
          <w:bCs/>
          <w:szCs w:val="20"/>
          <w:lang w:val="sr-Cyrl-CS" w:eastAsia="ja-JP"/>
        </w:rPr>
        <w:t>У оквиру свих пореских облика, једино је приход по основу пореза на додату вредност (ПДВ) на крају претходне године заостао за планираним износом за 2024. годину, као и за очекиваним нивоом реализације у текућој години. За разлику од ПДВ-а, остали порески приходи остварили су бољи или планирани ниво, како крајем 2024</w:t>
      </w:r>
      <w:r w:rsidR="00E80692" w:rsidRPr="00F5596D">
        <w:rPr>
          <w:rFonts w:eastAsia="MS PGothic" w:cstheme="minorHAnsi"/>
          <w:bCs/>
          <w:szCs w:val="20"/>
          <w:lang w:val="sr-Cyrl-CS" w:eastAsia="ja-JP"/>
        </w:rPr>
        <w:t>. године</w:t>
      </w:r>
      <w:r w:rsidRPr="00F5596D">
        <w:rPr>
          <w:rFonts w:eastAsia="MS PGothic" w:cstheme="minorHAnsi"/>
          <w:bCs/>
          <w:szCs w:val="20"/>
          <w:lang w:val="sr-Cyrl-CS" w:eastAsia="ja-JP"/>
        </w:rPr>
        <w:t xml:space="preserve">, тако и </w:t>
      </w:r>
      <w:r w:rsidR="002D3389" w:rsidRPr="00F5596D">
        <w:rPr>
          <w:rFonts w:eastAsia="MS PGothic" w:cstheme="minorHAnsi"/>
          <w:bCs/>
          <w:szCs w:val="20"/>
          <w:lang w:val="sr-Cyrl-CS" w:eastAsia="ja-JP"/>
        </w:rPr>
        <w:t>током</w:t>
      </w:r>
      <w:r w:rsidRPr="00F5596D">
        <w:rPr>
          <w:rFonts w:eastAsia="MS PGothic" w:cstheme="minorHAnsi"/>
          <w:bCs/>
          <w:szCs w:val="20"/>
          <w:lang w:val="sr-Cyrl-CS" w:eastAsia="ja-JP"/>
        </w:rPr>
        <w:t xml:space="preserve"> 2025. године. Сходно томе, прогнозе пореских прихода за 2025. ревидиране су тако да је процена ПДВ-а коригована наниже, док су очекивања за друге пореске категорије углавном повећана или задржана на истом нивоу. Додатне резерве задржане су до наредне ревизије због ограничене упоредивости наплате акциза услед промене динамике плаћања у првој половини 2024. године. Остварена профитабилност предузећа у 2024. години, чији подаци још нису доступни, такође ће бити од значаја за наредну корекцију пројекција.</w:t>
      </w:r>
    </w:p>
    <w:p w14:paraId="167A4097"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 xml:space="preserve">У ревидирану процену укључени су и ванредни </w:t>
      </w:r>
      <w:r w:rsidRPr="00F5596D">
        <w:rPr>
          <w:rFonts w:eastAsia="MS PGothic" w:cstheme="minorHAnsi"/>
          <w:bCs/>
          <w:szCs w:val="20"/>
          <w:lang w:val="sr-Cyrl-CS" w:eastAsia="ja-JP"/>
        </w:rPr>
        <w:lastRenderedPageBreak/>
        <w:t>непорески приходи остварени у претходном периоду, као и редовни приходи у складу са динамиком наплате. Ипак, упркос благо бољој укупној наплати пореза у досадашњем делу године, укупни јавни приходи су минимално кориговани наниже, што одражава опрез у условима и даље нестабилних домаћих и неизвесних међународних економских кретања.</w:t>
      </w:r>
    </w:p>
    <w:p w14:paraId="6B0C8D23" w14:textId="77777777" w:rsidR="00025AFA" w:rsidRPr="00F5596D" w:rsidRDefault="00025AFA" w:rsidP="00025AFA">
      <w:pPr>
        <w:widowControl w:val="0"/>
        <w:spacing w:after="120"/>
        <w:rPr>
          <w:rFonts w:eastAsia="MS PGothic" w:cstheme="minorHAnsi"/>
          <w:szCs w:val="20"/>
          <w:lang w:val="sr-Cyrl-CS" w:eastAsia="ja-JP"/>
        </w:rPr>
      </w:pPr>
      <w:r w:rsidRPr="00F5596D">
        <w:rPr>
          <w:rFonts w:eastAsia="MS PGothic" w:cstheme="minorHAnsi"/>
          <w:szCs w:val="20"/>
          <w:lang w:val="sr-Cyrl-CS" w:eastAsia="ja-JP"/>
        </w:rPr>
        <w:t xml:space="preserve">Ревидирани фискални оквир за 2025. годину предвиђа непромењен ниво фискалног дефицита у износу од 314 милијарди динара, односно 3% бруто домаћег производа. Учешће јавног дуга у БДП-у на крају године пројектује се на 46,8%. </w:t>
      </w:r>
    </w:p>
    <w:p w14:paraId="5B8F5EF7" w14:textId="77777777" w:rsidR="00025AFA" w:rsidRPr="00F5596D" w:rsidRDefault="00025AFA" w:rsidP="00025AFA">
      <w:pPr>
        <w:widowControl w:val="0"/>
        <w:spacing w:after="120"/>
        <w:rPr>
          <w:rFonts w:eastAsia="MS PGothic" w:cstheme="minorHAnsi"/>
          <w:szCs w:val="20"/>
          <w:lang w:val="sr-Cyrl-CS" w:eastAsia="ja-JP"/>
        </w:rPr>
      </w:pPr>
      <w:r w:rsidRPr="00F5596D">
        <w:rPr>
          <w:rFonts w:eastAsia="MS PGothic" w:cstheme="minorHAnsi"/>
          <w:szCs w:val="20"/>
          <w:lang w:val="sr-Cyrl-CS" w:eastAsia="ja-JP"/>
        </w:rPr>
        <w:t>На страни расхода, у пројекцију су укључене измене у политици зарада у јавном сектору, пре свега у области образовања, док су, с друге стране, ревидиране на доле процене извршења појединих категорија расхода на основу досадашње динамике. Овакве корекције одражавају настојање да се фискални оквир прилагоди реалним економским околностима, новим политикама и потреби за очувањем укупне фискалне стабилности.</w:t>
      </w:r>
    </w:p>
    <w:p w14:paraId="263B0F43" w14:textId="77777777" w:rsidR="00025AFA" w:rsidRPr="00F5596D" w:rsidRDefault="00025AFA" w:rsidP="00025AFA">
      <w:pPr>
        <w:widowControl w:val="0"/>
        <w:spacing w:after="120"/>
        <w:rPr>
          <w:rFonts w:eastAsia="MS PGothic" w:cstheme="minorHAnsi"/>
          <w:szCs w:val="20"/>
          <w:lang w:val="sr-Cyrl-CS" w:eastAsia="ja-JP"/>
        </w:rPr>
      </w:pPr>
      <w:r w:rsidRPr="00F5596D">
        <w:rPr>
          <w:rFonts w:eastAsia="MS PGothic" w:cstheme="minorHAnsi"/>
          <w:szCs w:val="20"/>
          <w:lang w:val="sr-Cyrl-CS" w:eastAsia="ja-JP"/>
        </w:rPr>
        <w:t xml:space="preserve">Истовремено, очување планираног нивоа дефицита омогућава наставак подршке животном стандарду појединих друштвених група, уз континуирану реализацију инфраструктурних пројеката и унапређење привредног потенцијала земље. Анализа структурног фискалног резултата </w:t>
      </w:r>
      <w:r w:rsidRPr="00F5596D">
        <w:rPr>
          <w:rFonts w:eastAsia="MS PGothic" w:cstheme="minorHAnsi"/>
          <w:szCs w:val="20"/>
          <w:lang w:val="sr-Cyrl-CS" w:eastAsia="ja-JP"/>
        </w:rPr>
        <w:t>показује да се око 0,7% БДП у 2025. години односи на једнократне и привремене ефекте, и на приходној и на расходној страни буџета, што додатно потврђује привремени карактер одступања од дугорочних путања.</w:t>
      </w:r>
    </w:p>
    <w:p w14:paraId="42C53589" w14:textId="77777777" w:rsidR="00025AFA" w:rsidRPr="00F5596D" w:rsidRDefault="00025AFA" w:rsidP="00025AFA">
      <w:pPr>
        <w:spacing w:after="120"/>
        <w:rPr>
          <w:rFonts w:cstheme="minorHAnsi"/>
          <w:b/>
          <w:color w:val="002060"/>
          <w:lang w:val="sr-Cyrl-CS"/>
        </w:rPr>
      </w:pPr>
      <w:r w:rsidRPr="00F5596D">
        <w:rPr>
          <w:rFonts w:cstheme="minorHAnsi"/>
          <w:b/>
          <w:color w:val="002060"/>
          <w:lang w:val="sr-Cyrl-CS"/>
        </w:rPr>
        <w:t>Фискални резултат сектора државе у периоду од 2015. до 2025. године, % БДП</w:t>
      </w:r>
    </w:p>
    <w:p w14:paraId="22A3AB74" w14:textId="77777777" w:rsidR="00025AFA" w:rsidRPr="00F5596D" w:rsidRDefault="00025AFA" w:rsidP="00025AFA">
      <w:pPr>
        <w:spacing w:after="120"/>
        <w:rPr>
          <w:noProof/>
          <w:lang w:val="sr-Cyrl-CS"/>
        </w:rPr>
      </w:pPr>
      <w:r w:rsidRPr="00F5596D">
        <w:rPr>
          <w:noProof/>
        </w:rPr>
        <w:drawing>
          <wp:inline distT="0" distB="0" distL="0" distR="0" wp14:anchorId="2E518391" wp14:editId="4501F6FF">
            <wp:extent cx="2835275" cy="3429000"/>
            <wp:effectExtent l="0" t="0" r="3175" b="0"/>
            <wp:docPr id="107" name="Chart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Pr="00F5596D">
        <w:rPr>
          <w:rFonts w:cstheme="minorHAnsi"/>
          <w:bCs/>
          <w:sz w:val="16"/>
          <w:szCs w:val="72"/>
          <w:lang w:val="sr-Cyrl-CS"/>
        </w:rPr>
        <w:t>Извор: Министарство финансија</w:t>
      </w:r>
    </w:p>
    <w:p w14:paraId="7BF53D14" w14:textId="77777777" w:rsidR="00025AFA" w:rsidRPr="00F5596D" w:rsidRDefault="00025AFA" w:rsidP="00025AFA">
      <w:pPr>
        <w:spacing w:after="120" w:line="276" w:lineRule="auto"/>
        <w:jc w:val="left"/>
        <w:rPr>
          <w:rFonts w:cstheme="minorHAnsi"/>
          <w:bCs/>
          <w:sz w:val="16"/>
          <w:szCs w:val="72"/>
          <w:lang w:val="sr-Cyrl-CS"/>
        </w:rPr>
      </w:pPr>
    </w:p>
    <w:p w14:paraId="0A353476" w14:textId="77777777" w:rsidR="00025AFA" w:rsidRPr="00F5596D" w:rsidRDefault="00025AFA" w:rsidP="00025AFA">
      <w:pPr>
        <w:spacing w:after="120" w:line="276" w:lineRule="auto"/>
        <w:jc w:val="left"/>
        <w:rPr>
          <w:lang w:val="sr-Cyrl-CS"/>
        </w:rPr>
        <w:sectPr w:rsidR="00025AFA" w:rsidRPr="00F5596D" w:rsidSect="00E61B34">
          <w:type w:val="continuous"/>
          <w:pgSz w:w="12240" w:h="15840" w:code="1"/>
          <w:pgMar w:top="1440" w:right="1440" w:bottom="1440" w:left="1440" w:header="720" w:footer="720" w:gutter="0"/>
          <w:cols w:num="2" w:space="720"/>
          <w:docGrid w:linePitch="360"/>
        </w:sectPr>
      </w:pPr>
    </w:p>
    <w:p w14:paraId="362A40A6" w14:textId="77777777" w:rsidR="00025AFA" w:rsidRPr="00F5596D" w:rsidRDefault="00025AFA" w:rsidP="00025AFA">
      <w:pPr>
        <w:spacing w:after="120"/>
        <w:rPr>
          <w:rFonts w:eastAsia="MS PGothic" w:cstheme="minorHAnsi"/>
          <w:b/>
          <w:color w:val="002060"/>
          <w:szCs w:val="20"/>
          <w:lang w:val="sr-Cyrl-CS" w:eastAsia="ja-JP"/>
        </w:rPr>
      </w:pPr>
    </w:p>
    <w:p w14:paraId="0DFEF979" w14:textId="77777777" w:rsidR="00025AFA" w:rsidRPr="00F5596D" w:rsidRDefault="00025AFA" w:rsidP="00025AFA">
      <w:pPr>
        <w:spacing w:after="120"/>
        <w:rPr>
          <w:rFonts w:eastAsia="MS PGothic" w:cstheme="minorHAnsi"/>
          <w:b/>
          <w:color w:val="002060"/>
          <w:szCs w:val="20"/>
          <w:lang w:val="sr-Cyrl-CS" w:eastAsia="ja-JP"/>
        </w:rPr>
      </w:pPr>
    </w:p>
    <w:p w14:paraId="09B55048" w14:textId="77777777" w:rsidR="00025AFA" w:rsidRPr="00F5596D" w:rsidRDefault="00025AFA" w:rsidP="00025AFA">
      <w:pPr>
        <w:spacing w:after="120"/>
        <w:rPr>
          <w:rFonts w:eastAsia="MS PGothic" w:cstheme="minorHAnsi"/>
          <w:b/>
          <w:color w:val="002060"/>
          <w:szCs w:val="20"/>
          <w:lang w:val="sr-Cyrl-CS" w:eastAsia="ja-JP"/>
        </w:rPr>
      </w:pPr>
    </w:p>
    <w:p w14:paraId="0BD58BEA" w14:textId="77777777" w:rsidR="00025AFA" w:rsidRPr="00F5596D" w:rsidRDefault="00025AFA" w:rsidP="00025AFA">
      <w:pPr>
        <w:spacing w:after="120"/>
        <w:rPr>
          <w:rFonts w:eastAsia="MS PGothic" w:cstheme="minorHAnsi"/>
          <w:b/>
          <w:color w:val="002060"/>
          <w:szCs w:val="20"/>
          <w:lang w:val="sr-Cyrl-CS" w:eastAsia="ja-JP"/>
        </w:rPr>
      </w:pPr>
    </w:p>
    <w:p w14:paraId="1A653480" w14:textId="77777777" w:rsidR="00025AFA" w:rsidRPr="00F5596D" w:rsidRDefault="00025AFA" w:rsidP="00025AFA">
      <w:pPr>
        <w:spacing w:after="120"/>
        <w:rPr>
          <w:rFonts w:eastAsia="MS PGothic" w:cstheme="minorHAnsi"/>
          <w:b/>
          <w:color w:val="002060"/>
          <w:szCs w:val="20"/>
          <w:lang w:val="sr-Cyrl-CS" w:eastAsia="ja-JP"/>
        </w:rPr>
      </w:pPr>
    </w:p>
    <w:p w14:paraId="379BD796" w14:textId="77777777" w:rsidR="00025AFA" w:rsidRPr="00F5596D" w:rsidRDefault="00025AFA" w:rsidP="00025AFA">
      <w:pPr>
        <w:spacing w:after="120"/>
        <w:rPr>
          <w:rFonts w:eastAsia="MS PGothic" w:cstheme="minorHAnsi"/>
          <w:b/>
          <w:color w:val="002060"/>
          <w:szCs w:val="20"/>
          <w:lang w:val="sr-Cyrl-CS" w:eastAsia="ja-JP"/>
        </w:rPr>
      </w:pPr>
    </w:p>
    <w:p w14:paraId="70AA5B19" w14:textId="77777777" w:rsidR="00025AFA" w:rsidRPr="00F5596D" w:rsidRDefault="00025AFA" w:rsidP="00025AFA">
      <w:pPr>
        <w:spacing w:after="120"/>
        <w:rPr>
          <w:rFonts w:eastAsia="MS PGothic" w:cstheme="minorHAnsi"/>
          <w:b/>
          <w:color w:val="002060"/>
          <w:szCs w:val="20"/>
          <w:lang w:val="sr-Cyrl-CS" w:eastAsia="ja-JP"/>
        </w:rPr>
      </w:pPr>
    </w:p>
    <w:p w14:paraId="5275C478" w14:textId="77777777" w:rsidR="00025AFA" w:rsidRPr="00F5596D" w:rsidRDefault="00025AFA" w:rsidP="00025AFA">
      <w:pPr>
        <w:jc w:val="left"/>
        <w:rPr>
          <w:rFonts w:eastAsia="MS PGothic" w:cstheme="minorHAnsi"/>
          <w:b/>
          <w:color w:val="002060"/>
          <w:szCs w:val="20"/>
          <w:lang w:val="sr-Cyrl-CS" w:eastAsia="ja-JP"/>
        </w:rPr>
      </w:pPr>
      <w:r w:rsidRPr="00F5596D">
        <w:rPr>
          <w:rFonts w:eastAsia="MS PGothic" w:cstheme="minorHAnsi"/>
          <w:b/>
          <w:color w:val="002060"/>
          <w:szCs w:val="20"/>
          <w:lang w:val="sr-Cyrl-CS" w:eastAsia="ja-JP"/>
        </w:rPr>
        <w:br w:type="page"/>
      </w:r>
    </w:p>
    <w:p w14:paraId="0AFF0923" w14:textId="77777777" w:rsidR="00025AFA" w:rsidRPr="00F5596D" w:rsidRDefault="00025AFA" w:rsidP="00025AFA">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lastRenderedPageBreak/>
        <w:t>Табела 6. Приходи, расходи и резултат сектора државе у 2025. години, у млрд динара</w:t>
      </w:r>
    </w:p>
    <w:tbl>
      <w:tblPr>
        <w:tblW w:w="4416" w:type="pct"/>
        <w:jc w:val="center"/>
        <w:tblLook w:val="04A0" w:firstRow="1" w:lastRow="0" w:firstColumn="1" w:lastColumn="0" w:noHBand="0" w:noVBand="1"/>
      </w:tblPr>
      <w:tblGrid>
        <w:gridCol w:w="2508"/>
        <w:gridCol w:w="1096"/>
        <w:gridCol w:w="1093"/>
        <w:gridCol w:w="1399"/>
        <w:gridCol w:w="1095"/>
        <w:gridCol w:w="1076"/>
      </w:tblGrid>
      <w:tr w:rsidR="00025AFA" w:rsidRPr="00F5596D" w14:paraId="4DA75830" w14:textId="77777777" w:rsidTr="00E61B34">
        <w:trPr>
          <w:trHeight w:val="20"/>
          <w:tblHeader/>
          <w:jc w:val="center"/>
        </w:trPr>
        <w:tc>
          <w:tcPr>
            <w:tcW w:w="1517" w:type="pct"/>
            <w:tcBorders>
              <w:top w:val="single" w:sz="4" w:space="0" w:color="002060"/>
            </w:tcBorders>
            <w:shd w:val="clear" w:color="auto" w:fill="auto"/>
            <w:noWrap/>
            <w:vAlign w:val="center"/>
            <w:hideMark/>
          </w:tcPr>
          <w:p w14:paraId="750E3983" w14:textId="77777777" w:rsidR="00025AFA" w:rsidRPr="00F5596D" w:rsidRDefault="00025AFA" w:rsidP="00E61B34">
            <w:pPr>
              <w:spacing w:after="0" w:line="240" w:lineRule="auto"/>
              <w:jc w:val="center"/>
              <w:rPr>
                <w:rFonts w:eastAsia="Times New Roman" w:cstheme="minorHAnsi"/>
                <w:bCs/>
                <w:color w:val="002060"/>
                <w:sz w:val="16"/>
                <w:szCs w:val="16"/>
                <w:lang w:val="sr-Cyrl-CS" w:eastAsia="sr-Cyrl-RS"/>
              </w:rPr>
            </w:pPr>
            <w:r w:rsidRPr="00F5596D">
              <w:rPr>
                <w:rFonts w:eastAsia="MS PGothic" w:cstheme="minorHAnsi"/>
                <w:color w:val="002060"/>
                <w:sz w:val="16"/>
                <w:szCs w:val="16"/>
                <w:lang w:val="sr-Cyrl-CS" w:eastAsia="ja-JP"/>
              </w:rPr>
              <w:t> </w:t>
            </w:r>
          </w:p>
        </w:tc>
        <w:tc>
          <w:tcPr>
            <w:tcW w:w="663" w:type="pct"/>
            <w:tcBorders>
              <w:top w:val="single" w:sz="4" w:space="0" w:color="002060"/>
              <w:bottom w:val="single" w:sz="4" w:space="0" w:color="002060"/>
            </w:tcBorders>
            <w:shd w:val="clear" w:color="auto" w:fill="auto"/>
            <w:vAlign w:val="center"/>
            <w:hideMark/>
          </w:tcPr>
          <w:p w14:paraId="3DC14077"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буџет 2025*</w:t>
            </w:r>
          </w:p>
        </w:tc>
        <w:tc>
          <w:tcPr>
            <w:tcW w:w="661" w:type="pct"/>
            <w:tcBorders>
              <w:top w:val="single" w:sz="4" w:space="0" w:color="002060"/>
              <w:bottom w:val="single" w:sz="4" w:space="0" w:color="002060"/>
            </w:tcBorders>
            <w:vAlign w:val="center"/>
          </w:tcPr>
          <w:p w14:paraId="39D2E208"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процена мај 2025</w:t>
            </w:r>
          </w:p>
        </w:tc>
        <w:tc>
          <w:tcPr>
            <w:tcW w:w="846" w:type="pct"/>
            <w:tcBorders>
              <w:top w:val="single" w:sz="4" w:space="0" w:color="002060"/>
              <w:bottom w:val="single" w:sz="4" w:space="0" w:color="002060"/>
            </w:tcBorders>
            <w:shd w:val="clear" w:color="auto" w:fill="auto"/>
            <w:vAlign w:val="center"/>
            <w:hideMark/>
          </w:tcPr>
          <w:p w14:paraId="6A362DB6"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разлика нова процена /буџет</w:t>
            </w:r>
          </w:p>
        </w:tc>
        <w:tc>
          <w:tcPr>
            <w:tcW w:w="662" w:type="pct"/>
            <w:tcBorders>
              <w:top w:val="single" w:sz="4" w:space="0" w:color="002060"/>
              <w:bottom w:val="single" w:sz="4" w:space="0" w:color="002060"/>
            </w:tcBorders>
            <w:shd w:val="clear" w:color="auto" w:fill="auto"/>
            <w:vAlign w:val="center"/>
            <w:hideMark/>
          </w:tcPr>
          <w:p w14:paraId="3B849308"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 промена</w:t>
            </w:r>
          </w:p>
        </w:tc>
        <w:tc>
          <w:tcPr>
            <w:tcW w:w="651" w:type="pct"/>
            <w:tcBorders>
              <w:top w:val="single" w:sz="4" w:space="0" w:color="002060"/>
              <w:bottom w:val="single" w:sz="4" w:space="0" w:color="002060"/>
            </w:tcBorders>
            <w:shd w:val="clear" w:color="auto" w:fill="auto"/>
            <w:vAlign w:val="center"/>
            <w:hideMark/>
          </w:tcPr>
          <w:p w14:paraId="680973AB"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2025 нова пр. % БДП</w:t>
            </w:r>
          </w:p>
        </w:tc>
      </w:tr>
      <w:tr w:rsidR="00025AFA" w:rsidRPr="00F5596D" w14:paraId="1BAFDD37" w14:textId="77777777" w:rsidTr="00E61B34">
        <w:trPr>
          <w:trHeight w:val="20"/>
          <w:jc w:val="center"/>
        </w:trPr>
        <w:tc>
          <w:tcPr>
            <w:tcW w:w="1517" w:type="pct"/>
            <w:shd w:val="clear" w:color="auto" w:fill="E7E6E6" w:themeFill="background2"/>
            <w:noWrap/>
            <w:vAlign w:val="center"/>
            <w:hideMark/>
          </w:tcPr>
          <w:p w14:paraId="27EF06F3"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ЈАВНИ ПРИХОДИ</w:t>
            </w:r>
          </w:p>
        </w:tc>
        <w:tc>
          <w:tcPr>
            <w:tcW w:w="663" w:type="pct"/>
            <w:tcBorders>
              <w:top w:val="single" w:sz="4" w:space="0" w:color="002060"/>
            </w:tcBorders>
            <w:shd w:val="clear" w:color="auto" w:fill="E7E6E6" w:themeFill="background2"/>
            <w:vAlign w:val="bottom"/>
            <w:hideMark/>
          </w:tcPr>
          <w:p w14:paraId="17EA662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4.233,4</w:t>
            </w:r>
          </w:p>
        </w:tc>
        <w:tc>
          <w:tcPr>
            <w:tcW w:w="661" w:type="pct"/>
            <w:tcBorders>
              <w:top w:val="single" w:sz="4" w:space="0" w:color="002060"/>
            </w:tcBorders>
            <w:shd w:val="clear" w:color="auto" w:fill="E7E6E6" w:themeFill="background2"/>
            <w:vAlign w:val="bottom"/>
          </w:tcPr>
          <w:p w14:paraId="165CCF4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4.227,3</w:t>
            </w:r>
          </w:p>
        </w:tc>
        <w:tc>
          <w:tcPr>
            <w:tcW w:w="846" w:type="pct"/>
            <w:tcBorders>
              <w:top w:val="single" w:sz="4" w:space="0" w:color="002060"/>
            </w:tcBorders>
            <w:shd w:val="clear" w:color="auto" w:fill="E7E6E6" w:themeFill="background2"/>
            <w:vAlign w:val="bottom"/>
            <w:hideMark/>
          </w:tcPr>
          <w:p w14:paraId="01881DE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-6,1</w:t>
            </w:r>
          </w:p>
        </w:tc>
        <w:tc>
          <w:tcPr>
            <w:tcW w:w="662" w:type="pct"/>
            <w:tcBorders>
              <w:top w:val="single" w:sz="4" w:space="0" w:color="002060"/>
            </w:tcBorders>
            <w:shd w:val="clear" w:color="auto" w:fill="E7E6E6" w:themeFill="background2"/>
            <w:vAlign w:val="bottom"/>
            <w:hideMark/>
          </w:tcPr>
          <w:p w14:paraId="5DF0C5B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tcBorders>
              <w:top w:val="single" w:sz="4" w:space="0" w:color="002060"/>
            </w:tcBorders>
            <w:shd w:val="clear" w:color="auto" w:fill="E7E6E6" w:themeFill="background2"/>
            <w:noWrap/>
            <w:vAlign w:val="bottom"/>
            <w:hideMark/>
          </w:tcPr>
          <w:p w14:paraId="78DEF026"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40,9</w:t>
            </w:r>
          </w:p>
        </w:tc>
      </w:tr>
      <w:tr w:rsidR="00025AFA" w:rsidRPr="00F5596D" w14:paraId="7045DAA5" w14:textId="77777777" w:rsidTr="00E61B34">
        <w:trPr>
          <w:trHeight w:val="20"/>
          <w:jc w:val="center"/>
        </w:trPr>
        <w:tc>
          <w:tcPr>
            <w:tcW w:w="1517" w:type="pct"/>
            <w:shd w:val="clear" w:color="auto" w:fill="auto"/>
            <w:noWrap/>
            <w:vAlign w:val="center"/>
            <w:hideMark/>
          </w:tcPr>
          <w:p w14:paraId="44C640C0"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Текући приходи</w:t>
            </w:r>
          </w:p>
        </w:tc>
        <w:tc>
          <w:tcPr>
            <w:tcW w:w="663" w:type="pct"/>
            <w:shd w:val="clear" w:color="auto" w:fill="auto"/>
            <w:vAlign w:val="bottom"/>
            <w:hideMark/>
          </w:tcPr>
          <w:p w14:paraId="04AEE15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4.195,1</w:t>
            </w:r>
          </w:p>
        </w:tc>
        <w:tc>
          <w:tcPr>
            <w:tcW w:w="661" w:type="pct"/>
            <w:vAlign w:val="bottom"/>
          </w:tcPr>
          <w:p w14:paraId="4406928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4.189,0</w:t>
            </w:r>
          </w:p>
        </w:tc>
        <w:tc>
          <w:tcPr>
            <w:tcW w:w="846" w:type="pct"/>
            <w:shd w:val="clear" w:color="auto" w:fill="auto"/>
            <w:vAlign w:val="bottom"/>
            <w:hideMark/>
          </w:tcPr>
          <w:p w14:paraId="4B3118E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-6,2</w:t>
            </w:r>
          </w:p>
        </w:tc>
        <w:tc>
          <w:tcPr>
            <w:tcW w:w="662" w:type="pct"/>
            <w:shd w:val="clear" w:color="auto" w:fill="auto"/>
            <w:vAlign w:val="bottom"/>
            <w:hideMark/>
          </w:tcPr>
          <w:p w14:paraId="3595C63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shd w:val="clear" w:color="auto" w:fill="auto"/>
            <w:noWrap/>
            <w:vAlign w:val="bottom"/>
            <w:hideMark/>
          </w:tcPr>
          <w:p w14:paraId="4DE1F376"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40,6</w:t>
            </w:r>
          </w:p>
        </w:tc>
      </w:tr>
      <w:tr w:rsidR="00025AFA" w:rsidRPr="00F5596D" w14:paraId="47D21140" w14:textId="77777777" w:rsidTr="00E61B34">
        <w:trPr>
          <w:trHeight w:val="20"/>
          <w:jc w:val="center"/>
        </w:trPr>
        <w:tc>
          <w:tcPr>
            <w:tcW w:w="1517" w:type="pct"/>
            <w:shd w:val="clear" w:color="auto" w:fill="auto"/>
            <w:noWrap/>
            <w:vAlign w:val="center"/>
            <w:hideMark/>
          </w:tcPr>
          <w:p w14:paraId="42E1D18B"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Порески приходи</w:t>
            </w:r>
          </w:p>
        </w:tc>
        <w:tc>
          <w:tcPr>
            <w:tcW w:w="663" w:type="pct"/>
            <w:shd w:val="clear" w:color="auto" w:fill="auto"/>
            <w:vAlign w:val="bottom"/>
            <w:hideMark/>
          </w:tcPr>
          <w:p w14:paraId="6C30A70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3.750,0</w:t>
            </w:r>
          </w:p>
        </w:tc>
        <w:tc>
          <w:tcPr>
            <w:tcW w:w="661" w:type="pct"/>
            <w:vAlign w:val="bottom"/>
          </w:tcPr>
          <w:p w14:paraId="21846FB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3.745,9</w:t>
            </w:r>
          </w:p>
        </w:tc>
        <w:tc>
          <w:tcPr>
            <w:tcW w:w="846" w:type="pct"/>
            <w:shd w:val="clear" w:color="auto" w:fill="auto"/>
            <w:vAlign w:val="bottom"/>
            <w:hideMark/>
          </w:tcPr>
          <w:p w14:paraId="70BF887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-4,1</w:t>
            </w:r>
          </w:p>
        </w:tc>
        <w:tc>
          <w:tcPr>
            <w:tcW w:w="662" w:type="pct"/>
            <w:shd w:val="clear" w:color="auto" w:fill="auto"/>
            <w:vAlign w:val="bottom"/>
            <w:hideMark/>
          </w:tcPr>
          <w:p w14:paraId="7EE413A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shd w:val="clear" w:color="auto" w:fill="auto"/>
            <w:noWrap/>
            <w:vAlign w:val="bottom"/>
            <w:hideMark/>
          </w:tcPr>
          <w:p w14:paraId="0ED2CB68"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36,3</w:t>
            </w:r>
          </w:p>
        </w:tc>
      </w:tr>
      <w:tr w:rsidR="00025AFA" w:rsidRPr="00F5596D" w14:paraId="71104797" w14:textId="77777777" w:rsidTr="00E61B34">
        <w:trPr>
          <w:trHeight w:val="20"/>
          <w:jc w:val="center"/>
        </w:trPr>
        <w:tc>
          <w:tcPr>
            <w:tcW w:w="1517" w:type="pct"/>
            <w:shd w:val="clear" w:color="auto" w:fill="auto"/>
            <w:noWrap/>
            <w:vAlign w:val="center"/>
            <w:hideMark/>
          </w:tcPr>
          <w:p w14:paraId="60EC8E21"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Порез на доходак грађана</w:t>
            </w:r>
          </w:p>
        </w:tc>
        <w:tc>
          <w:tcPr>
            <w:tcW w:w="663" w:type="pct"/>
            <w:shd w:val="clear" w:color="auto" w:fill="auto"/>
            <w:vAlign w:val="bottom"/>
            <w:hideMark/>
          </w:tcPr>
          <w:p w14:paraId="6E15659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427,0</w:t>
            </w:r>
          </w:p>
        </w:tc>
        <w:tc>
          <w:tcPr>
            <w:tcW w:w="661" w:type="pct"/>
            <w:vAlign w:val="bottom"/>
          </w:tcPr>
          <w:p w14:paraId="45E68D3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436,8</w:t>
            </w:r>
          </w:p>
        </w:tc>
        <w:tc>
          <w:tcPr>
            <w:tcW w:w="846" w:type="pct"/>
            <w:shd w:val="clear" w:color="auto" w:fill="auto"/>
            <w:vAlign w:val="bottom"/>
            <w:hideMark/>
          </w:tcPr>
          <w:p w14:paraId="38C48ED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9,8</w:t>
            </w:r>
          </w:p>
        </w:tc>
        <w:tc>
          <w:tcPr>
            <w:tcW w:w="662" w:type="pct"/>
            <w:shd w:val="clear" w:color="auto" w:fill="auto"/>
            <w:vAlign w:val="bottom"/>
            <w:hideMark/>
          </w:tcPr>
          <w:p w14:paraId="67A96EE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2,3</w:t>
            </w:r>
          </w:p>
        </w:tc>
        <w:tc>
          <w:tcPr>
            <w:tcW w:w="651" w:type="pct"/>
            <w:shd w:val="clear" w:color="auto" w:fill="auto"/>
            <w:noWrap/>
            <w:vAlign w:val="bottom"/>
            <w:hideMark/>
          </w:tcPr>
          <w:p w14:paraId="6A0F8939"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4,2</w:t>
            </w:r>
          </w:p>
        </w:tc>
      </w:tr>
      <w:tr w:rsidR="00025AFA" w:rsidRPr="00F5596D" w14:paraId="697AE764" w14:textId="77777777" w:rsidTr="00E61B34">
        <w:trPr>
          <w:trHeight w:val="20"/>
          <w:jc w:val="center"/>
        </w:trPr>
        <w:tc>
          <w:tcPr>
            <w:tcW w:w="1517" w:type="pct"/>
            <w:shd w:val="clear" w:color="auto" w:fill="auto"/>
            <w:noWrap/>
            <w:vAlign w:val="center"/>
            <w:hideMark/>
          </w:tcPr>
          <w:p w14:paraId="18975DAD"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Порез на добит правних лица</w:t>
            </w:r>
          </w:p>
        </w:tc>
        <w:tc>
          <w:tcPr>
            <w:tcW w:w="663" w:type="pct"/>
            <w:shd w:val="clear" w:color="auto" w:fill="auto"/>
            <w:vAlign w:val="bottom"/>
            <w:hideMark/>
          </w:tcPr>
          <w:p w14:paraId="01F1660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287,4</w:t>
            </w:r>
          </w:p>
        </w:tc>
        <w:tc>
          <w:tcPr>
            <w:tcW w:w="661" w:type="pct"/>
            <w:vAlign w:val="bottom"/>
          </w:tcPr>
          <w:p w14:paraId="24E3EC8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285,4</w:t>
            </w:r>
          </w:p>
        </w:tc>
        <w:tc>
          <w:tcPr>
            <w:tcW w:w="846" w:type="pct"/>
            <w:shd w:val="clear" w:color="auto" w:fill="auto"/>
            <w:vAlign w:val="bottom"/>
            <w:hideMark/>
          </w:tcPr>
          <w:p w14:paraId="56F552D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-2,0</w:t>
            </w:r>
          </w:p>
        </w:tc>
        <w:tc>
          <w:tcPr>
            <w:tcW w:w="662" w:type="pct"/>
            <w:shd w:val="clear" w:color="auto" w:fill="auto"/>
            <w:vAlign w:val="bottom"/>
            <w:hideMark/>
          </w:tcPr>
          <w:p w14:paraId="1C78704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-0,7</w:t>
            </w:r>
          </w:p>
        </w:tc>
        <w:tc>
          <w:tcPr>
            <w:tcW w:w="651" w:type="pct"/>
            <w:shd w:val="clear" w:color="auto" w:fill="auto"/>
            <w:noWrap/>
            <w:vAlign w:val="bottom"/>
            <w:hideMark/>
          </w:tcPr>
          <w:p w14:paraId="53792485"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2,8</w:t>
            </w:r>
          </w:p>
        </w:tc>
      </w:tr>
      <w:tr w:rsidR="00025AFA" w:rsidRPr="00F5596D" w14:paraId="2094E3BD" w14:textId="77777777" w:rsidTr="00E61B34">
        <w:trPr>
          <w:trHeight w:val="20"/>
          <w:jc w:val="center"/>
        </w:trPr>
        <w:tc>
          <w:tcPr>
            <w:tcW w:w="1517" w:type="pct"/>
            <w:shd w:val="clear" w:color="auto" w:fill="auto"/>
            <w:noWrap/>
            <w:vAlign w:val="center"/>
            <w:hideMark/>
          </w:tcPr>
          <w:p w14:paraId="2B0BE8CE"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ПДВ</w:t>
            </w:r>
          </w:p>
        </w:tc>
        <w:tc>
          <w:tcPr>
            <w:tcW w:w="663" w:type="pct"/>
            <w:shd w:val="clear" w:color="auto" w:fill="auto"/>
            <w:vAlign w:val="bottom"/>
            <w:hideMark/>
          </w:tcPr>
          <w:p w14:paraId="02EEFBE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1.056,0</w:t>
            </w:r>
          </w:p>
        </w:tc>
        <w:tc>
          <w:tcPr>
            <w:tcW w:w="661" w:type="pct"/>
            <w:vAlign w:val="bottom"/>
          </w:tcPr>
          <w:p w14:paraId="2541C6C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1.018,0</w:t>
            </w:r>
          </w:p>
        </w:tc>
        <w:tc>
          <w:tcPr>
            <w:tcW w:w="846" w:type="pct"/>
            <w:shd w:val="clear" w:color="auto" w:fill="auto"/>
            <w:vAlign w:val="bottom"/>
            <w:hideMark/>
          </w:tcPr>
          <w:p w14:paraId="677454B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-38,0</w:t>
            </w:r>
          </w:p>
        </w:tc>
        <w:tc>
          <w:tcPr>
            <w:tcW w:w="662" w:type="pct"/>
            <w:shd w:val="clear" w:color="auto" w:fill="auto"/>
            <w:vAlign w:val="bottom"/>
            <w:hideMark/>
          </w:tcPr>
          <w:p w14:paraId="74E2710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-3,6</w:t>
            </w:r>
          </w:p>
        </w:tc>
        <w:tc>
          <w:tcPr>
            <w:tcW w:w="651" w:type="pct"/>
            <w:shd w:val="clear" w:color="auto" w:fill="auto"/>
            <w:noWrap/>
            <w:vAlign w:val="bottom"/>
            <w:hideMark/>
          </w:tcPr>
          <w:p w14:paraId="2E16179E"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9,9</w:t>
            </w:r>
          </w:p>
        </w:tc>
      </w:tr>
      <w:tr w:rsidR="00025AFA" w:rsidRPr="00F5596D" w14:paraId="38B111DF" w14:textId="77777777" w:rsidTr="00E61B34">
        <w:trPr>
          <w:trHeight w:val="20"/>
          <w:jc w:val="center"/>
        </w:trPr>
        <w:tc>
          <w:tcPr>
            <w:tcW w:w="1517" w:type="pct"/>
            <w:shd w:val="clear" w:color="auto" w:fill="auto"/>
            <w:noWrap/>
            <w:vAlign w:val="center"/>
            <w:hideMark/>
          </w:tcPr>
          <w:p w14:paraId="0AF18D40"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Акцизе</w:t>
            </w:r>
          </w:p>
        </w:tc>
        <w:tc>
          <w:tcPr>
            <w:tcW w:w="663" w:type="pct"/>
            <w:shd w:val="clear" w:color="auto" w:fill="auto"/>
            <w:vAlign w:val="bottom"/>
            <w:hideMark/>
          </w:tcPr>
          <w:p w14:paraId="6FC47D9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420,0</w:t>
            </w:r>
          </w:p>
        </w:tc>
        <w:tc>
          <w:tcPr>
            <w:tcW w:w="661" w:type="pct"/>
            <w:vAlign w:val="bottom"/>
          </w:tcPr>
          <w:p w14:paraId="601292D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426,0</w:t>
            </w:r>
          </w:p>
        </w:tc>
        <w:tc>
          <w:tcPr>
            <w:tcW w:w="846" w:type="pct"/>
            <w:shd w:val="clear" w:color="auto" w:fill="auto"/>
            <w:vAlign w:val="bottom"/>
            <w:hideMark/>
          </w:tcPr>
          <w:p w14:paraId="439860E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6,0</w:t>
            </w:r>
          </w:p>
        </w:tc>
        <w:tc>
          <w:tcPr>
            <w:tcW w:w="662" w:type="pct"/>
            <w:shd w:val="clear" w:color="auto" w:fill="auto"/>
            <w:vAlign w:val="bottom"/>
            <w:hideMark/>
          </w:tcPr>
          <w:p w14:paraId="47C96D9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1,4</w:t>
            </w:r>
          </w:p>
        </w:tc>
        <w:tc>
          <w:tcPr>
            <w:tcW w:w="651" w:type="pct"/>
            <w:shd w:val="clear" w:color="auto" w:fill="auto"/>
            <w:noWrap/>
            <w:vAlign w:val="bottom"/>
            <w:hideMark/>
          </w:tcPr>
          <w:p w14:paraId="157EB34B"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4,1</w:t>
            </w:r>
          </w:p>
        </w:tc>
      </w:tr>
      <w:tr w:rsidR="00025AFA" w:rsidRPr="00F5596D" w14:paraId="7C07037B" w14:textId="77777777" w:rsidTr="00E61B34">
        <w:trPr>
          <w:trHeight w:val="20"/>
          <w:jc w:val="center"/>
        </w:trPr>
        <w:tc>
          <w:tcPr>
            <w:tcW w:w="1517" w:type="pct"/>
            <w:shd w:val="clear" w:color="auto" w:fill="auto"/>
            <w:noWrap/>
            <w:vAlign w:val="center"/>
            <w:hideMark/>
          </w:tcPr>
          <w:p w14:paraId="7C0778BE"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Царине</w:t>
            </w:r>
          </w:p>
        </w:tc>
        <w:tc>
          <w:tcPr>
            <w:tcW w:w="663" w:type="pct"/>
            <w:shd w:val="clear" w:color="auto" w:fill="auto"/>
            <w:vAlign w:val="bottom"/>
            <w:hideMark/>
          </w:tcPr>
          <w:p w14:paraId="45AFFDF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95,3</w:t>
            </w:r>
          </w:p>
        </w:tc>
        <w:tc>
          <w:tcPr>
            <w:tcW w:w="661" w:type="pct"/>
            <w:vAlign w:val="bottom"/>
          </w:tcPr>
          <w:p w14:paraId="0BAEF12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95,3</w:t>
            </w:r>
          </w:p>
        </w:tc>
        <w:tc>
          <w:tcPr>
            <w:tcW w:w="846" w:type="pct"/>
            <w:shd w:val="clear" w:color="auto" w:fill="auto"/>
            <w:vAlign w:val="bottom"/>
            <w:hideMark/>
          </w:tcPr>
          <w:p w14:paraId="5165574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37D1316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shd w:val="clear" w:color="auto" w:fill="auto"/>
            <w:noWrap/>
            <w:vAlign w:val="bottom"/>
            <w:hideMark/>
          </w:tcPr>
          <w:p w14:paraId="6F611F9F"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0,9</w:t>
            </w:r>
          </w:p>
        </w:tc>
      </w:tr>
      <w:tr w:rsidR="00025AFA" w:rsidRPr="00F5596D" w14:paraId="48AAABB9" w14:textId="77777777" w:rsidTr="00E61B34">
        <w:trPr>
          <w:trHeight w:val="20"/>
          <w:jc w:val="center"/>
        </w:trPr>
        <w:tc>
          <w:tcPr>
            <w:tcW w:w="1517" w:type="pct"/>
            <w:shd w:val="clear" w:color="auto" w:fill="auto"/>
            <w:noWrap/>
            <w:vAlign w:val="center"/>
            <w:hideMark/>
          </w:tcPr>
          <w:p w14:paraId="341D751A"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Остали порески приходи</w:t>
            </w:r>
          </w:p>
        </w:tc>
        <w:tc>
          <w:tcPr>
            <w:tcW w:w="663" w:type="pct"/>
            <w:shd w:val="clear" w:color="auto" w:fill="auto"/>
            <w:vAlign w:val="bottom"/>
            <w:hideMark/>
          </w:tcPr>
          <w:p w14:paraId="6922442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119,7</w:t>
            </w:r>
          </w:p>
        </w:tc>
        <w:tc>
          <w:tcPr>
            <w:tcW w:w="661" w:type="pct"/>
            <w:vAlign w:val="bottom"/>
          </w:tcPr>
          <w:p w14:paraId="629E7B7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119,7</w:t>
            </w:r>
          </w:p>
        </w:tc>
        <w:tc>
          <w:tcPr>
            <w:tcW w:w="846" w:type="pct"/>
            <w:shd w:val="clear" w:color="auto" w:fill="auto"/>
            <w:vAlign w:val="bottom"/>
            <w:hideMark/>
          </w:tcPr>
          <w:p w14:paraId="74F36D8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39BCCF9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51" w:type="pct"/>
            <w:shd w:val="clear" w:color="auto" w:fill="auto"/>
            <w:noWrap/>
            <w:vAlign w:val="bottom"/>
            <w:hideMark/>
          </w:tcPr>
          <w:p w14:paraId="1B73E87C"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1,2</w:t>
            </w:r>
          </w:p>
        </w:tc>
      </w:tr>
      <w:tr w:rsidR="00025AFA" w:rsidRPr="00F5596D" w14:paraId="1AC1957D" w14:textId="77777777" w:rsidTr="00E61B34">
        <w:trPr>
          <w:trHeight w:val="20"/>
          <w:jc w:val="center"/>
        </w:trPr>
        <w:tc>
          <w:tcPr>
            <w:tcW w:w="1517" w:type="pct"/>
            <w:shd w:val="clear" w:color="auto" w:fill="auto"/>
            <w:noWrap/>
            <w:vAlign w:val="center"/>
            <w:hideMark/>
          </w:tcPr>
          <w:p w14:paraId="568AA76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Доприноси</w:t>
            </w:r>
          </w:p>
        </w:tc>
        <w:tc>
          <w:tcPr>
            <w:tcW w:w="663" w:type="pct"/>
            <w:shd w:val="clear" w:color="auto" w:fill="auto"/>
            <w:vAlign w:val="bottom"/>
            <w:hideMark/>
          </w:tcPr>
          <w:p w14:paraId="20451A6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1.344,6</w:t>
            </w:r>
          </w:p>
        </w:tc>
        <w:tc>
          <w:tcPr>
            <w:tcW w:w="661" w:type="pct"/>
            <w:vAlign w:val="bottom"/>
          </w:tcPr>
          <w:p w14:paraId="161277D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1.364,6</w:t>
            </w:r>
          </w:p>
        </w:tc>
        <w:tc>
          <w:tcPr>
            <w:tcW w:w="846" w:type="pct"/>
            <w:shd w:val="clear" w:color="auto" w:fill="auto"/>
            <w:vAlign w:val="bottom"/>
            <w:hideMark/>
          </w:tcPr>
          <w:p w14:paraId="5D8B990A"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20,0</w:t>
            </w:r>
          </w:p>
        </w:tc>
        <w:tc>
          <w:tcPr>
            <w:tcW w:w="662" w:type="pct"/>
            <w:shd w:val="clear" w:color="auto" w:fill="auto"/>
            <w:vAlign w:val="bottom"/>
            <w:hideMark/>
          </w:tcPr>
          <w:p w14:paraId="4F7B081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1,5</w:t>
            </w:r>
          </w:p>
        </w:tc>
        <w:tc>
          <w:tcPr>
            <w:tcW w:w="651" w:type="pct"/>
            <w:shd w:val="clear" w:color="auto" w:fill="auto"/>
            <w:noWrap/>
            <w:vAlign w:val="bottom"/>
            <w:hideMark/>
          </w:tcPr>
          <w:p w14:paraId="3DF27D66"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13,2</w:t>
            </w:r>
          </w:p>
        </w:tc>
      </w:tr>
      <w:tr w:rsidR="00025AFA" w:rsidRPr="00F5596D" w14:paraId="6D52C859" w14:textId="77777777" w:rsidTr="00E61B34">
        <w:trPr>
          <w:trHeight w:val="20"/>
          <w:jc w:val="center"/>
        </w:trPr>
        <w:tc>
          <w:tcPr>
            <w:tcW w:w="1517" w:type="pct"/>
            <w:shd w:val="clear" w:color="auto" w:fill="auto"/>
            <w:noWrap/>
            <w:vAlign w:val="center"/>
            <w:hideMark/>
          </w:tcPr>
          <w:p w14:paraId="0F909150"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Непорески приходи</w:t>
            </w:r>
          </w:p>
        </w:tc>
        <w:tc>
          <w:tcPr>
            <w:tcW w:w="663" w:type="pct"/>
            <w:shd w:val="clear" w:color="auto" w:fill="auto"/>
            <w:vAlign w:val="bottom"/>
            <w:hideMark/>
          </w:tcPr>
          <w:p w14:paraId="382366A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445,1</w:t>
            </w:r>
          </w:p>
        </w:tc>
        <w:tc>
          <w:tcPr>
            <w:tcW w:w="661" w:type="pct"/>
            <w:vAlign w:val="bottom"/>
          </w:tcPr>
          <w:p w14:paraId="4126F90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443,1</w:t>
            </w:r>
          </w:p>
        </w:tc>
        <w:tc>
          <w:tcPr>
            <w:tcW w:w="846" w:type="pct"/>
            <w:shd w:val="clear" w:color="auto" w:fill="auto"/>
            <w:vAlign w:val="bottom"/>
            <w:hideMark/>
          </w:tcPr>
          <w:p w14:paraId="0F2C56E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-2,1</w:t>
            </w:r>
          </w:p>
        </w:tc>
        <w:tc>
          <w:tcPr>
            <w:tcW w:w="662" w:type="pct"/>
            <w:shd w:val="clear" w:color="auto" w:fill="auto"/>
            <w:vAlign w:val="bottom"/>
            <w:hideMark/>
          </w:tcPr>
          <w:p w14:paraId="330E180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-0,5</w:t>
            </w:r>
          </w:p>
        </w:tc>
        <w:tc>
          <w:tcPr>
            <w:tcW w:w="651" w:type="pct"/>
            <w:shd w:val="clear" w:color="auto" w:fill="auto"/>
            <w:noWrap/>
            <w:vAlign w:val="bottom"/>
            <w:hideMark/>
          </w:tcPr>
          <w:p w14:paraId="3EBCD561"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4,3</w:t>
            </w:r>
          </w:p>
        </w:tc>
      </w:tr>
      <w:tr w:rsidR="00025AFA" w:rsidRPr="00F5596D" w14:paraId="57914601" w14:textId="77777777" w:rsidTr="00E61B34">
        <w:trPr>
          <w:trHeight w:val="20"/>
          <w:jc w:val="center"/>
        </w:trPr>
        <w:tc>
          <w:tcPr>
            <w:tcW w:w="1517" w:type="pct"/>
            <w:shd w:val="clear" w:color="auto" w:fill="auto"/>
            <w:noWrap/>
            <w:vAlign w:val="center"/>
            <w:hideMark/>
          </w:tcPr>
          <w:p w14:paraId="1BDCDD9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Донације</w:t>
            </w:r>
          </w:p>
        </w:tc>
        <w:tc>
          <w:tcPr>
            <w:tcW w:w="663" w:type="pct"/>
            <w:shd w:val="clear" w:color="auto" w:fill="auto"/>
            <w:vAlign w:val="bottom"/>
            <w:hideMark/>
          </w:tcPr>
          <w:p w14:paraId="032CD86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38,3</w:t>
            </w:r>
          </w:p>
        </w:tc>
        <w:tc>
          <w:tcPr>
            <w:tcW w:w="661" w:type="pct"/>
            <w:vAlign w:val="bottom"/>
          </w:tcPr>
          <w:p w14:paraId="6A776B6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38,3</w:t>
            </w:r>
          </w:p>
        </w:tc>
        <w:tc>
          <w:tcPr>
            <w:tcW w:w="846" w:type="pct"/>
            <w:shd w:val="clear" w:color="auto" w:fill="auto"/>
            <w:vAlign w:val="bottom"/>
            <w:hideMark/>
          </w:tcPr>
          <w:p w14:paraId="0260CCF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56A3786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51" w:type="pct"/>
            <w:shd w:val="clear" w:color="auto" w:fill="auto"/>
            <w:noWrap/>
            <w:vAlign w:val="bottom"/>
            <w:hideMark/>
          </w:tcPr>
          <w:p w14:paraId="584E86AB"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0,4</w:t>
            </w:r>
          </w:p>
        </w:tc>
      </w:tr>
      <w:tr w:rsidR="00025AFA" w:rsidRPr="00F5596D" w14:paraId="55FFCB6F" w14:textId="77777777" w:rsidTr="00E61B34">
        <w:trPr>
          <w:trHeight w:val="20"/>
          <w:jc w:val="center"/>
        </w:trPr>
        <w:tc>
          <w:tcPr>
            <w:tcW w:w="1517" w:type="pct"/>
            <w:shd w:val="clear" w:color="auto" w:fill="E7E6E6" w:themeFill="background2"/>
            <w:noWrap/>
            <w:vAlign w:val="center"/>
            <w:hideMark/>
          </w:tcPr>
          <w:p w14:paraId="7B37862D"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ЈАВНИ РАСХОДИ</w:t>
            </w:r>
          </w:p>
        </w:tc>
        <w:tc>
          <w:tcPr>
            <w:tcW w:w="663" w:type="pct"/>
            <w:shd w:val="clear" w:color="auto" w:fill="E7E6E6" w:themeFill="background2"/>
            <w:vAlign w:val="bottom"/>
            <w:hideMark/>
          </w:tcPr>
          <w:p w14:paraId="1C23692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4.547,4</w:t>
            </w:r>
          </w:p>
        </w:tc>
        <w:tc>
          <w:tcPr>
            <w:tcW w:w="661" w:type="pct"/>
            <w:shd w:val="clear" w:color="auto" w:fill="E7E6E6" w:themeFill="background2"/>
            <w:vAlign w:val="bottom"/>
          </w:tcPr>
          <w:p w14:paraId="1586D4D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4.541,3</w:t>
            </w:r>
          </w:p>
        </w:tc>
        <w:tc>
          <w:tcPr>
            <w:tcW w:w="846" w:type="pct"/>
            <w:shd w:val="clear" w:color="auto" w:fill="E7E6E6" w:themeFill="background2"/>
            <w:vAlign w:val="bottom"/>
            <w:hideMark/>
          </w:tcPr>
          <w:p w14:paraId="70A1033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-6,1</w:t>
            </w:r>
          </w:p>
        </w:tc>
        <w:tc>
          <w:tcPr>
            <w:tcW w:w="662" w:type="pct"/>
            <w:shd w:val="clear" w:color="auto" w:fill="E7E6E6" w:themeFill="background2"/>
            <w:vAlign w:val="bottom"/>
            <w:hideMark/>
          </w:tcPr>
          <w:p w14:paraId="6C063D0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shd w:val="clear" w:color="auto" w:fill="E7E6E6" w:themeFill="background2"/>
            <w:noWrap/>
            <w:vAlign w:val="bottom"/>
            <w:hideMark/>
          </w:tcPr>
          <w:p w14:paraId="465F6DB0"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44,0</w:t>
            </w:r>
          </w:p>
        </w:tc>
      </w:tr>
      <w:tr w:rsidR="00025AFA" w:rsidRPr="00F5596D" w14:paraId="6077AE57" w14:textId="77777777" w:rsidTr="00E61B34">
        <w:trPr>
          <w:trHeight w:val="20"/>
          <w:jc w:val="center"/>
        </w:trPr>
        <w:tc>
          <w:tcPr>
            <w:tcW w:w="1517" w:type="pct"/>
            <w:shd w:val="clear" w:color="auto" w:fill="auto"/>
            <w:noWrap/>
            <w:vAlign w:val="center"/>
            <w:hideMark/>
          </w:tcPr>
          <w:p w14:paraId="512C3AA3"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Текући расходи</w:t>
            </w:r>
          </w:p>
        </w:tc>
        <w:tc>
          <w:tcPr>
            <w:tcW w:w="663" w:type="pct"/>
            <w:shd w:val="clear" w:color="auto" w:fill="auto"/>
            <w:vAlign w:val="bottom"/>
            <w:hideMark/>
          </w:tcPr>
          <w:p w14:paraId="28D26CD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3.743,6</w:t>
            </w:r>
          </w:p>
        </w:tc>
        <w:tc>
          <w:tcPr>
            <w:tcW w:w="661" w:type="pct"/>
            <w:vAlign w:val="bottom"/>
          </w:tcPr>
          <w:p w14:paraId="2BA61D9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3.745,8</w:t>
            </w:r>
          </w:p>
        </w:tc>
        <w:tc>
          <w:tcPr>
            <w:tcW w:w="846" w:type="pct"/>
            <w:shd w:val="clear" w:color="auto" w:fill="auto"/>
            <w:vAlign w:val="bottom"/>
            <w:hideMark/>
          </w:tcPr>
          <w:p w14:paraId="1ECB020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2,2</w:t>
            </w:r>
          </w:p>
        </w:tc>
        <w:tc>
          <w:tcPr>
            <w:tcW w:w="662" w:type="pct"/>
            <w:shd w:val="clear" w:color="auto" w:fill="auto"/>
            <w:vAlign w:val="bottom"/>
            <w:hideMark/>
          </w:tcPr>
          <w:p w14:paraId="6D189E6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0,1</w:t>
            </w:r>
          </w:p>
        </w:tc>
        <w:tc>
          <w:tcPr>
            <w:tcW w:w="651" w:type="pct"/>
            <w:shd w:val="clear" w:color="auto" w:fill="auto"/>
            <w:noWrap/>
            <w:vAlign w:val="bottom"/>
            <w:hideMark/>
          </w:tcPr>
          <w:p w14:paraId="6481BE8A"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36,3</w:t>
            </w:r>
          </w:p>
        </w:tc>
      </w:tr>
      <w:tr w:rsidR="00025AFA" w:rsidRPr="00F5596D" w14:paraId="3082789D" w14:textId="77777777" w:rsidTr="00E61B34">
        <w:trPr>
          <w:trHeight w:val="20"/>
          <w:jc w:val="center"/>
        </w:trPr>
        <w:tc>
          <w:tcPr>
            <w:tcW w:w="1517" w:type="pct"/>
            <w:shd w:val="clear" w:color="auto" w:fill="auto"/>
            <w:noWrap/>
            <w:vAlign w:val="center"/>
            <w:hideMark/>
          </w:tcPr>
          <w:p w14:paraId="6A68234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Расходи за запослене</w:t>
            </w:r>
          </w:p>
        </w:tc>
        <w:tc>
          <w:tcPr>
            <w:tcW w:w="663" w:type="pct"/>
            <w:shd w:val="clear" w:color="auto" w:fill="auto"/>
            <w:vAlign w:val="bottom"/>
            <w:hideMark/>
          </w:tcPr>
          <w:p w14:paraId="381D8B2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1.006,3</w:t>
            </w:r>
          </w:p>
        </w:tc>
        <w:tc>
          <w:tcPr>
            <w:tcW w:w="661" w:type="pct"/>
            <w:vAlign w:val="bottom"/>
          </w:tcPr>
          <w:p w14:paraId="606FE10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1.023,3</w:t>
            </w:r>
          </w:p>
        </w:tc>
        <w:tc>
          <w:tcPr>
            <w:tcW w:w="846" w:type="pct"/>
            <w:shd w:val="clear" w:color="auto" w:fill="auto"/>
            <w:vAlign w:val="bottom"/>
            <w:hideMark/>
          </w:tcPr>
          <w:p w14:paraId="3F19D56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17,0</w:t>
            </w:r>
          </w:p>
        </w:tc>
        <w:tc>
          <w:tcPr>
            <w:tcW w:w="662" w:type="pct"/>
            <w:shd w:val="clear" w:color="auto" w:fill="auto"/>
            <w:vAlign w:val="bottom"/>
            <w:hideMark/>
          </w:tcPr>
          <w:p w14:paraId="5D1C281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1,7</w:t>
            </w:r>
          </w:p>
        </w:tc>
        <w:tc>
          <w:tcPr>
            <w:tcW w:w="651" w:type="pct"/>
            <w:shd w:val="clear" w:color="auto" w:fill="auto"/>
            <w:noWrap/>
            <w:vAlign w:val="bottom"/>
            <w:hideMark/>
          </w:tcPr>
          <w:p w14:paraId="1C3B784A"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9,9</w:t>
            </w:r>
          </w:p>
        </w:tc>
      </w:tr>
      <w:tr w:rsidR="00025AFA" w:rsidRPr="00F5596D" w14:paraId="102F20FD" w14:textId="77777777" w:rsidTr="00E61B34">
        <w:trPr>
          <w:trHeight w:val="20"/>
          <w:jc w:val="center"/>
        </w:trPr>
        <w:tc>
          <w:tcPr>
            <w:tcW w:w="1517" w:type="pct"/>
            <w:shd w:val="clear" w:color="auto" w:fill="auto"/>
            <w:noWrap/>
            <w:vAlign w:val="center"/>
            <w:hideMark/>
          </w:tcPr>
          <w:p w14:paraId="1859EEB0"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Куповина робе и услуга</w:t>
            </w:r>
          </w:p>
        </w:tc>
        <w:tc>
          <w:tcPr>
            <w:tcW w:w="663" w:type="pct"/>
            <w:shd w:val="clear" w:color="auto" w:fill="auto"/>
            <w:vAlign w:val="bottom"/>
            <w:hideMark/>
          </w:tcPr>
          <w:p w14:paraId="4D268CA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801,3</w:t>
            </w:r>
          </w:p>
        </w:tc>
        <w:tc>
          <w:tcPr>
            <w:tcW w:w="661" w:type="pct"/>
            <w:vAlign w:val="bottom"/>
          </w:tcPr>
          <w:p w14:paraId="5AEE139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787,3</w:t>
            </w:r>
          </w:p>
        </w:tc>
        <w:tc>
          <w:tcPr>
            <w:tcW w:w="846" w:type="pct"/>
            <w:shd w:val="clear" w:color="auto" w:fill="auto"/>
            <w:vAlign w:val="bottom"/>
            <w:hideMark/>
          </w:tcPr>
          <w:p w14:paraId="7A737C6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-14,0</w:t>
            </w:r>
          </w:p>
        </w:tc>
        <w:tc>
          <w:tcPr>
            <w:tcW w:w="662" w:type="pct"/>
            <w:shd w:val="clear" w:color="auto" w:fill="auto"/>
            <w:vAlign w:val="bottom"/>
            <w:hideMark/>
          </w:tcPr>
          <w:p w14:paraId="3B78336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-1,7</w:t>
            </w:r>
          </w:p>
        </w:tc>
        <w:tc>
          <w:tcPr>
            <w:tcW w:w="651" w:type="pct"/>
            <w:shd w:val="clear" w:color="auto" w:fill="auto"/>
            <w:noWrap/>
            <w:vAlign w:val="bottom"/>
            <w:hideMark/>
          </w:tcPr>
          <w:p w14:paraId="0D58512F"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7,6</w:t>
            </w:r>
          </w:p>
        </w:tc>
      </w:tr>
      <w:tr w:rsidR="00025AFA" w:rsidRPr="00F5596D" w14:paraId="401D04D1" w14:textId="77777777" w:rsidTr="00E61B34">
        <w:trPr>
          <w:trHeight w:val="20"/>
          <w:jc w:val="center"/>
        </w:trPr>
        <w:tc>
          <w:tcPr>
            <w:tcW w:w="1517" w:type="pct"/>
            <w:shd w:val="clear" w:color="auto" w:fill="auto"/>
            <w:noWrap/>
            <w:vAlign w:val="center"/>
            <w:hideMark/>
          </w:tcPr>
          <w:p w14:paraId="7B114420"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Отплата камата</w:t>
            </w:r>
          </w:p>
        </w:tc>
        <w:tc>
          <w:tcPr>
            <w:tcW w:w="663" w:type="pct"/>
            <w:shd w:val="clear" w:color="auto" w:fill="auto"/>
            <w:vAlign w:val="bottom"/>
            <w:hideMark/>
          </w:tcPr>
          <w:p w14:paraId="606F84F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222,7</w:t>
            </w:r>
          </w:p>
        </w:tc>
        <w:tc>
          <w:tcPr>
            <w:tcW w:w="661" w:type="pct"/>
            <w:vAlign w:val="bottom"/>
          </w:tcPr>
          <w:p w14:paraId="314E10C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222,6</w:t>
            </w:r>
          </w:p>
        </w:tc>
        <w:tc>
          <w:tcPr>
            <w:tcW w:w="846" w:type="pct"/>
            <w:shd w:val="clear" w:color="auto" w:fill="auto"/>
            <w:vAlign w:val="bottom"/>
            <w:hideMark/>
          </w:tcPr>
          <w:p w14:paraId="1AE5F8C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0385F8B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51" w:type="pct"/>
            <w:shd w:val="clear" w:color="auto" w:fill="auto"/>
            <w:noWrap/>
            <w:vAlign w:val="bottom"/>
            <w:hideMark/>
          </w:tcPr>
          <w:p w14:paraId="45A4033D"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2,2</w:t>
            </w:r>
          </w:p>
        </w:tc>
      </w:tr>
      <w:tr w:rsidR="00025AFA" w:rsidRPr="00F5596D" w14:paraId="4093FF04" w14:textId="77777777" w:rsidTr="00E61B34">
        <w:trPr>
          <w:trHeight w:val="20"/>
          <w:jc w:val="center"/>
        </w:trPr>
        <w:tc>
          <w:tcPr>
            <w:tcW w:w="1517" w:type="pct"/>
            <w:shd w:val="clear" w:color="auto" w:fill="auto"/>
            <w:noWrap/>
            <w:vAlign w:val="center"/>
            <w:hideMark/>
          </w:tcPr>
          <w:p w14:paraId="344E8E9B"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Субвенције</w:t>
            </w:r>
          </w:p>
        </w:tc>
        <w:tc>
          <w:tcPr>
            <w:tcW w:w="663" w:type="pct"/>
            <w:shd w:val="clear" w:color="auto" w:fill="auto"/>
            <w:vAlign w:val="bottom"/>
            <w:hideMark/>
          </w:tcPr>
          <w:p w14:paraId="44C1B17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245,6</w:t>
            </w:r>
          </w:p>
        </w:tc>
        <w:tc>
          <w:tcPr>
            <w:tcW w:w="661" w:type="pct"/>
            <w:vAlign w:val="bottom"/>
          </w:tcPr>
          <w:p w14:paraId="55C2F8C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240,7</w:t>
            </w:r>
          </w:p>
        </w:tc>
        <w:tc>
          <w:tcPr>
            <w:tcW w:w="846" w:type="pct"/>
            <w:shd w:val="clear" w:color="auto" w:fill="auto"/>
            <w:vAlign w:val="bottom"/>
            <w:hideMark/>
          </w:tcPr>
          <w:p w14:paraId="33CFBBF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-5,0</w:t>
            </w:r>
          </w:p>
        </w:tc>
        <w:tc>
          <w:tcPr>
            <w:tcW w:w="662" w:type="pct"/>
            <w:shd w:val="clear" w:color="auto" w:fill="auto"/>
            <w:vAlign w:val="bottom"/>
            <w:hideMark/>
          </w:tcPr>
          <w:p w14:paraId="436BF23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-2,0</w:t>
            </w:r>
          </w:p>
        </w:tc>
        <w:tc>
          <w:tcPr>
            <w:tcW w:w="651" w:type="pct"/>
            <w:shd w:val="clear" w:color="auto" w:fill="auto"/>
            <w:noWrap/>
            <w:vAlign w:val="bottom"/>
            <w:hideMark/>
          </w:tcPr>
          <w:p w14:paraId="1F37F3E3"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2,3</w:t>
            </w:r>
          </w:p>
        </w:tc>
      </w:tr>
      <w:tr w:rsidR="00025AFA" w:rsidRPr="00F5596D" w14:paraId="2E50231A" w14:textId="77777777" w:rsidTr="00E61B34">
        <w:trPr>
          <w:trHeight w:val="20"/>
          <w:jc w:val="center"/>
        </w:trPr>
        <w:tc>
          <w:tcPr>
            <w:tcW w:w="1517" w:type="pct"/>
            <w:shd w:val="clear" w:color="auto" w:fill="auto"/>
            <w:noWrap/>
            <w:vAlign w:val="center"/>
            <w:hideMark/>
          </w:tcPr>
          <w:p w14:paraId="08AB1519"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Социјална помоћ и трансфери</w:t>
            </w:r>
          </w:p>
        </w:tc>
        <w:tc>
          <w:tcPr>
            <w:tcW w:w="663" w:type="pct"/>
            <w:shd w:val="clear" w:color="auto" w:fill="auto"/>
            <w:vAlign w:val="bottom"/>
            <w:hideMark/>
          </w:tcPr>
          <w:p w14:paraId="26550EF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1.345,7</w:t>
            </w:r>
          </w:p>
        </w:tc>
        <w:tc>
          <w:tcPr>
            <w:tcW w:w="661" w:type="pct"/>
            <w:vAlign w:val="bottom"/>
          </w:tcPr>
          <w:p w14:paraId="282CCE8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1.350,5</w:t>
            </w:r>
          </w:p>
        </w:tc>
        <w:tc>
          <w:tcPr>
            <w:tcW w:w="846" w:type="pct"/>
            <w:shd w:val="clear" w:color="auto" w:fill="auto"/>
            <w:vAlign w:val="bottom"/>
            <w:hideMark/>
          </w:tcPr>
          <w:p w14:paraId="59FB3FD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4,8</w:t>
            </w:r>
          </w:p>
        </w:tc>
        <w:tc>
          <w:tcPr>
            <w:tcW w:w="662" w:type="pct"/>
            <w:shd w:val="clear" w:color="auto" w:fill="auto"/>
            <w:vAlign w:val="bottom"/>
            <w:hideMark/>
          </w:tcPr>
          <w:p w14:paraId="16CC390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0,4</w:t>
            </w:r>
          </w:p>
        </w:tc>
        <w:tc>
          <w:tcPr>
            <w:tcW w:w="651" w:type="pct"/>
            <w:shd w:val="clear" w:color="auto" w:fill="auto"/>
            <w:noWrap/>
            <w:vAlign w:val="bottom"/>
            <w:hideMark/>
          </w:tcPr>
          <w:p w14:paraId="33B47DF0"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13,1</w:t>
            </w:r>
          </w:p>
        </w:tc>
      </w:tr>
      <w:tr w:rsidR="00025AFA" w:rsidRPr="00F5596D" w14:paraId="52306682" w14:textId="77777777" w:rsidTr="00E61B34">
        <w:trPr>
          <w:trHeight w:val="20"/>
          <w:jc w:val="center"/>
        </w:trPr>
        <w:tc>
          <w:tcPr>
            <w:tcW w:w="1517" w:type="pct"/>
            <w:shd w:val="clear" w:color="auto" w:fill="auto"/>
            <w:noWrap/>
            <w:vAlign w:val="center"/>
            <w:hideMark/>
          </w:tcPr>
          <w:p w14:paraId="535F57CA" w14:textId="77777777" w:rsidR="00025AFA" w:rsidRPr="00F5596D" w:rsidRDefault="00025AFA" w:rsidP="00E61B34">
            <w:pPr>
              <w:spacing w:after="0" w:line="240" w:lineRule="auto"/>
              <w:jc w:val="left"/>
              <w:rPr>
                <w:rFonts w:eastAsia="MS PGothic" w:cstheme="minorHAnsi"/>
                <w:i/>
                <w:color w:val="002060"/>
                <w:sz w:val="16"/>
                <w:szCs w:val="16"/>
                <w:lang w:val="sr-Cyrl-CS" w:eastAsia="ja-JP"/>
              </w:rPr>
            </w:pPr>
            <w:r w:rsidRPr="00F5596D">
              <w:rPr>
                <w:rFonts w:eastAsia="MS PGothic" w:cstheme="minorHAnsi"/>
                <w:i/>
                <w:color w:val="002060"/>
                <w:sz w:val="16"/>
                <w:szCs w:val="16"/>
                <w:lang w:val="sr-Cyrl-CS" w:eastAsia="ja-JP"/>
              </w:rPr>
              <w:t>од чега пензије</w:t>
            </w:r>
          </w:p>
        </w:tc>
        <w:tc>
          <w:tcPr>
            <w:tcW w:w="663" w:type="pct"/>
            <w:shd w:val="clear" w:color="auto" w:fill="auto"/>
            <w:vAlign w:val="bottom"/>
            <w:hideMark/>
          </w:tcPr>
          <w:p w14:paraId="0BB7B4D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1.042,0</w:t>
            </w:r>
          </w:p>
        </w:tc>
        <w:tc>
          <w:tcPr>
            <w:tcW w:w="661" w:type="pct"/>
            <w:vAlign w:val="bottom"/>
          </w:tcPr>
          <w:p w14:paraId="21A0F7B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1.042,0</w:t>
            </w:r>
          </w:p>
        </w:tc>
        <w:tc>
          <w:tcPr>
            <w:tcW w:w="846" w:type="pct"/>
            <w:shd w:val="clear" w:color="auto" w:fill="auto"/>
            <w:vAlign w:val="bottom"/>
            <w:hideMark/>
          </w:tcPr>
          <w:p w14:paraId="374B108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55C4D81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51" w:type="pct"/>
            <w:shd w:val="clear" w:color="auto" w:fill="auto"/>
            <w:noWrap/>
            <w:vAlign w:val="bottom"/>
            <w:hideMark/>
          </w:tcPr>
          <w:p w14:paraId="7BA3B3A9"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10,1</w:t>
            </w:r>
          </w:p>
        </w:tc>
      </w:tr>
      <w:tr w:rsidR="00025AFA" w:rsidRPr="00F5596D" w14:paraId="6642BA09" w14:textId="77777777" w:rsidTr="00E61B34">
        <w:trPr>
          <w:trHeight w:val="20"/>
          <w:jc w:val="center"/>
        </w:trPr>
        <w:tc>
          <w:tcPr>
            <w:tcW w:w="1517" w:type="pct"/>
            <w:shd w:val="clear" w:color="auto" w:fill="auto"/>
            <w:noWrap/>
            <w:vAlign w:val="center"/>
            <w:hideMark/>
          </w:tcPr>
          <w:p w14:paraId="25D97CD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Остали текући расходи</w:t>
            </w:r>
          </w:p>
        </w:tc>
        <w:tc>
          <w:tcPr>
            <w:tcW w:w="663" w:type="pct"/>
            <w:shd w:val="clear" w:color="auto" w:fill="auto"/>
            <w:vAlign w:val="bottom"/>
            <w:hideMark/>
          </w:tcPr>
          <w:p w14:paraId="2397285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122,0</w:t>
            </w:r>
          </w:p>
        </w:tc>
        <w:tc>
          <w:tcPr>
            <w:tcW w:w="661" w:type="pct"/>
            <w:vAlign w:val="bottom"/>
          </w:tcPr>
          <w:p w14:paraId="78F42C9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121,4</w:t>
            </w:r>
          </w:p>
        </w:tc>
        <w:tc>
          <w:tcPr>
            <w:tcW w:w="846" w:type="pct"/>
            <w:shd w:val="clear" w:color="auto" w:fill="auto"/>
            <w:vAlign w:val="bottom"/>
            <w:hideMark/>
          </w:tcPr>
          <w:p w14:paraId="4A6038A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-0,7</w:t>
            </w:r>
          </w:p>
        </w:tc>
        <w:tc>
          <w:tcPr>
            <w:tcW w:w="662" w:type="pct"/>
            <w:shd w:val="clear" w:color="auto" w:fill="auto"/>
            <w:vAlign w:val="bottom"/>
            <w:hideMark/>
          </w:tcPr>
          <w:p w14:paraId="686B6D8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-0,5</w:t>
            </w:r>
          </w:p>
        </w:tc>
        <w:tc>
          <w:tcPr>
            <w:tcW w:w="651" w:type="pct"/>
            <w:shd w:val="clear" w:color="auto" w:fill="auto"/>
            <w:noWrap/>
            <w:vAlign w:val="bottom"/>
            <w:hideMark/>
          </w:tcPr>
          <w:p w14:paraId="7C550F8E"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1,2</w:t>
            </w:r>
          </w:p>
        </w:tc>
      </w:tr>
      <w:tr w:rsidR="00025AFA" w:rsidRPr="00F5596D" w14:paraId="2085D4E7" w14:textId="77777777" w:rsidTr="00E61B34">
        <w:trPr>
          <w:trHeight w:val="20"/>
          <w:jc w:val="center"/>
        </w:trPr>
        <w:tc>
          <w:tcPr>
            <w:tcW w:w="1517" w:type="pct"/>
            <w:shd w:val="clear" w:color="auto" w:fill="auto"/>
            <w:noWrap/>
            <w:vAlign w:val="center"/>
            <w:hideMark/>
          </w:tcPr>
          <w:p w14:paraId="28E7EA6D"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Капитални расходи</w:t>
            </w:r>
          </w:p>
        </w:tc>
        <w:tc>
          <w:tcPr>
            <w:tcW w:w="663" w:type="pct"/>
            <w:shd w:val="clear" w:color="auto" w:fill="auto"/>
            <w:vAlign w:val="bottom"/>
            <w:hideMark/>
          </w:tcPr>
          <w:p w14:paraId="6419147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758,1</w:t>
            </w:r>
          </w:p>
        </w:tc>
        <w:tc>
          <w:tcPr>
            <w:tcW w:w="661" w:type="pct"/>
            <w:vAlign w:val="bottom"/>
          </w:tcPr>
          <w:p w14:paraId="3131F96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745,7</w:t>
            </w:r>
          </w:p>
        </w:tc>
        <w:tc>
          <w:tcPr>
            <w:tcW w:w="846" w:type="pct"/>
            <w:shd w:val="clear" w:color="auto" w:fill="auto"/>
            <w:vAlign w:val="bottom"/>
            <w:hideMark/>
          </w:tcPr>
          <w:p w14:paraId="6539FA1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-12,4</w:t>
            </w:r>
          </w:p>
        </w:tc>
        <w:tc>
          <w:tcPr>
            <w:tcW w:w="662" w:type="pct"/>
            <w:shd w:val="clear" w:color="auto" w:fill="auto"/>
            <w:vAlign w:val="bottom"/>
            <w:hideMark/>
          </w:tcPr>
          <w:p w14:paraId="7C3D745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-1,6</w:t>
            </w:r>
          </w:p>
        </w:tc>
        <w:tc>
          <w:tcPr>
            <w:tcW w:w="651" w:type="pct"/>
            <w:shd w:val="clear" w:color="auto" w:fill="auto"/>
            <w:noWrap/>
            <w:vAlign w:val="bottom"/>
            <w:hideMark/>
          </w:tcPr>
          <w:p w14:paraId="5CA42755"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7,2</w:t>
            </w:r>
          </w:p>
        </w:tc>
      </w:tr>
      <w:tr w:rsidR="00025AFA" w:rsidRPr="00F5596D" w14:paraId="2F6385A2" w14:textId="77777777" w:rsidTr="00E61B34">
        <w:trPr>
          <w:trHeight w:val="20"/>
          <w:jc w:val="center"/>
        </w:trPr>
        <w:tc>
          <w:tcPr>
            <w:tcW w:w="1517" w:type="pct"/>
            <w:shd w:val="clear" w:color="auto" w:fill="auto"/>
            <w:noWrap/>
            <w:vAlign w:val="center"/>
            <w:hideMark/>
          </w:tcPr>
          <w:p w14:paraId="4945606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Нето буџетске позајмице</w:t>
            </w:r>
          </w:p>
        </w:tc>
        <w:tc>
          <w:tcPr>
            <w:tcW w:w="663" w:type="pct"/>
            <w:shd w:val="clear" w:color="auto" w:fill="auto"/>
            <w:vAlign w:val="bottom"/>
            <w:hideMark/>
          </w:tcPr>
          <w:p w14:paraId="0590625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23,6</w:t>
            </w:r>
          </w:p>
        </w:tc>
        <w:tc>
          <w:tcPr>
            <w:tcW w:w="661" w:type="pct"/>
            <w:vAlign w:val="bottom"/>
          </w:tcPr>
          <w:p w14:paraId="0F19F81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27,7</w:t>
            </w:r>
          </w:p>
        </w:tc>
        <w:tc>
          <w:tcPr>
            <w:tcW w:w="846" w:type="pct"/>
            <w:shd w:val="clear" w:color="auto" w:fill="auto"/>
            <w:vAlign w:val="bottom"/>
            <w:hideMark/>
          </w:tcPr>
          <w:p w14:paraId="724FDC6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4,0</w:t>
            </w:r>
          </w:p>
        </w:tc>
        <w:tc>
          <w:tcPr>
            <w:tcW w:w="662" w:type="pct"/>
            <w:shd w:val="clear" w:color="auto" w:fill="auto"/>
            <w:vAlign w:val="bottom"/>
            <w:hideMark/>
          </w:tcPr>
          <w:p w14:paraId="7CC6546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17,1</w:t>
            </w:r>
          </w:p>
        </w:tc>
        <w:tc>
          <w:tcPr>
            <w:tcW w:w="651" w:type="pct"/>
            <w:shd w:val="clear" w:color="auto" w:fill="auto"/>
            <w:noWrap/>
            <w:vAlign w:val="bottom"/>
            <w:hideMark/>
          </w:tcPr>
          <w:p w14:paraId="5FA09AE7"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0,3</w:t>
            </w:r>
          </w:p>
        </w:tc>
      </w:tr>
      <w:tr w:rsidR="00025AFA" w:rsidRPr="00F5596D" w14:paraId="5EC8699A" w14:textId="77777777" w:rsidTr="00E61B34">
        <w:trPr>
          <w:trHeight w:val="20"/>
          <w:jc w:val="center"/>
        </w:trPr>
        <w:tc>
          <w:tcPr>
            <w:tcW w:w="1517" w:type="pct"/>
            <w:shd w:val="clear" w:color="auto" w:fill="auto"/>
            <w:noWrap/>
            <w:vAlign w:val="center"/>
            <w:hideMark/>
          </w:tcPr>
          <w:p w14:paraId="180A590B"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Активиране гаранције</w:t>
            </w:r>
          </w:p>
        </w:tc>
        <w:tc>
          <w:tcPr>
            <w:tcW w:w="663" w:type="pct"/>
            <w:shd w:val="clear" w:color="auto" w:fill="auto"/>
            <w:vAlign w:val="bottom"/>
            <w:hideMark/>
          </w:tcPr>
          <w:p w14:paraId="6006AF8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22,1</w:t>
            </w:r>
          </w:p>
        </w:tc>
        <w:tc>
          <w:tcPr>
            <w:tcW w:w="661" w:type="pct"/>
            <w:vAlign w:val="bottom"/>
          </w:tcPr>
          <w:p w14:paraId="7B8867D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22,1</w:t>
            </w:r>
          </w:p>
        </w:tc>
        <w:tc>
          <w:tcPr>
            <w:tcW w:w="846" w:type="pct"/>
            <w:shd w:val="clear" w:color="auto" w:fill="auto"/>
            <w:vAlign w:val="bottom"/>
            <w:hideMark/>
          </w:tcPr>
          <w:p w14:paraId="3B03A95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16848EE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51" w:type="pct"/>
            <w:shd w:val="clear" w:color="auto" w:fill="auto"/>
            <w:noWrap/>
            <w:vAlign w:val="bottom"/>
            <w:hideMark/>
          </w:tcPr>
          <w:p w14:paraId="766A1584" w14:textId="77777777" w:rsidR="00025AFA" w:rsidRPr="00F5596D" w:rsidRDefault="00025AFA" w:rsidP="00E61B34">
            <w:pPr>
              <w:spacing w:after="0" w:line="240" w:lineRule="auto"/>
              <w:jc w:val="right"/>
              <w:rPr>
                <w:sz w:val="16"/>
                <w:szCs w:val="16"/>
                <w:lang w:val="sr-Cyrl-CS"/>
              </w:rPr>
            </w:pPr>
            <w:r w:rsidRPr="00F5596D">
              <w:rPr>
                <w:sz w:val="16"/>
                <w:szCs w:val="16"/>
                <w:lang w:val="sr-Cyrl-CS"/>
              </w:rPr>
              <w:t>0,2</w:t>
            </w:r>
          </w:p>
        </w:tc>
      </w:tr>
      <w:tr w:rsidR="00025AFA" w:rsidRPr="00F5596D" w14:paraId="3246F362" w14:textId="77777777" w:rsidTr="00E61B34">
        <w:trPr>
          <w:trHeight w:val="20"/>
          <w:jc w:val="center"/>
        </w:trPr>
        <w:tc>
          <w:tcPr>
            <w:tcW w:w="1517" w:type="pct"/>
            <w:shd w:val="clear" w:color="auto" w:fill="E7E6E6" w:themeFill="background2"/>
            <w:noWrap/>
            <w:vAlign w:val="center"/>
            <w:hideMark/>
          </w:tcPr>
          <w:p w14:paraId="49883480"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Резултат</w:t>
            </w:r>
          </w:p>
        </w:tc>
        <w:tc>
          <w:tcPr>
            <w:tcW w:w="663" w:type="pct"/>
            <w:shd w:val="clear" w:color="auto" w:fill="E7E6E6" w:themeFill="background2"/>
            <w:vAlign w:val="bottom"/>
            <w:hideMark/>
          </w:tcPr>
          <w:p w14:paraId="0953008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-314,0</w:t>
            </w:r>
          </w:p>
        </w:tc>
        <w:tc>
          <w:tcPr>
            <w:tcW w:w="661" w:type="pct"/>
            <w:shd w:val="clear" w:color="auto" w:fill="E7E6E6" w:themeFill="background2"/>
            <w:vAlign w:val="bottom"/>
          </w:tcPr>
          <w:p w14:paraId="5046D47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-314,0</w:t>
            </w:r>
          </w:p>
        </w:tc>
        <w:tc>
          <w:tcPr>
            <w:tcW w:w="846" w:type="pct"/>
            <w:shd w:val="clear" w:color="auto" w:fill="E7E6E6" w:themeFill="background2"/>
            <w:vAlign w:val="bottom"/>
            <w:hideMark/>
          </w:tcPr>
          <w:p w14:paraId="48529CC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E7E6E6" w:themeFill="background2"/>
            <w:vAlign w:val="bottom"/>
            <w:hideMark/>
          </w:tcPr>
          <w:p w14:paraId="245517D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p>
        </w:tc>
        <w:tc>
          <w:tcPr>
            <w:tcW w:w="651" w:type="pct"/>
            <w:shd w:val="clear" w:color="auto" w:fill="E7E6E6" w:themeFill="background2"/>
            <w:noWrap/>
            <w:vAlign w:val="bottom"/>
            <w:hideMark/>
          </w:tcPr>
          <w:p w14:paraId="6F8090F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w:t>
            </w:r>
          </w:p>
        </w:tc>
      </w:tr>
      <w:tr w:rsidR="00025AFA" w:rsidRPr="00F5596D" w14:paraId="5980DD66" w14:textId="77777777" w:rsidTr="00E61B34">
        <w:trPr>
          <w:trHeight w:val="20"/>
          <w:jc w:val="center"/>
        </w:trPr>
        <w:tc>
          <w:tcPr>
            <w:tcW w:w="1517" w:type="pct"/>
            <w:shd w:val="clear" w:color="auto" w:fill="auto"/>
            <w:noWrap/>
            <w:vAlign w:val="center"/>
            <w:hideMark/>
          </w:tcPr>
          <w:p w14:paraId="66F3B65D"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Резултат у % БДП*</w:t>
            </w:r>
          </w:p>
        </w:tc>
        <w:tc>
          <w:tcPr>
            <w:tcW w:w="663" w:type="pct"/>
            <w:shd w:val="clear" w:color="auto" w:fill="auto"/>
            <w:vAlign w:val="bottom"/>
            <w:hideMark/>
          </w:tcPr>
          <w:p w14:paraId="2EA7FDB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w:t>
            </w:r>
          </w:p>
        </w:tc>
        <w:tc>
          <w:tcPr>
            <w:tcW w:w="661" w:type="pct"/>
            <w:vAlign w:val="bottom"/>
          </w:tcPr>
          <w:p w14:paraId="7DBDB0A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w:t>
            </w:r>
          </w:p>
        </w:tc>
        <w:tc>
          <w:tcPr>
            <w:tcW w:w="846" w:type="pct"/>
            <w:shd w:val="clear" w:color="auto" w:fill="auto"/>
            <w:vAlign w:val="bottom"/>
            <w:hideMark/>
          </w:tcPr>
          <w:p w14:paraId="712E8F3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0,0</w:t>
            </w:r>
          </w:p>
        </w:tc>
        <w:tc>
          <w:tcPr>
            <w:tcW w:w="662" w:type="pct"/>
            <w:shd w:val="clear" w:color="auto" w:fill="auto"/>
            <w:vAlign w:val="bottom"/>
            <w:hideMark/>
          </w:tcPr>
          <w:p w14:paraId="223A2D8B" w14:textId="77777777" w:rsidR="00025AFA" w:rsidRPr="00F5596D" w:rsidRDefault="00025AFA" w:rsidP="00E61B34">
            <w:pPr>
              <w:spacing w:after="0" w:line="240" w:lineRule="auto"/>
              <w:ind w:right="284"/>
              <w:jc w:val="right"/>
              <w:rPr>
                <w:rFonts w:eastAsia="MS PGothic" w:cstheme="minorHAnsi"/>
                <w:color w:val="002060"/>
                <w:sz w:val="16"/>
                <w:szCs w:val="16"/>
                <w:lang w:val="sr-Cyrl-CS" w:eastAsia="ja-JP"/>
              </w:rPr>
            </w:pPr>
          </w:p>
        </w:tc>
        <w:tc>
          <w:tcPr>
            <w:tcW w:w="651" w:type="pct"/>
            <w:shd w:val="clear" w:color="auto" w:fill="auto"/>
            <w:vAlign w:val="bottom"/>
            <w:hideMark/>
          </w:tcPr>
          <w:p w14:paraId="2CF1F641" w14:textId="77777777" w:rsidR="00025AFA" w:rsidRPr="00F5596D" w:rsidRDefault="00025AFA" w:rsidP="00E61B34">
            <w:pPr>
              <w:spacing w:after="0" w:line="240" w:lineRule="auto"/>
              <w:ind w:right="284"/>
              <w:jc w:val="right"/>
              <w:rPr>
                <w:rFonts w:eastAsia="MS PGothic" w:cstheme="minorHAnsi"/>
                <w:color w:val="002060"/>
                <w:sz w:val="16"/>
                <w:szCs w:val="16"/>
                <w:lang w:val="sr-Cyrl-CS" w:eastAsia="ja-JP"/>
              </w:rPr>
            </w:pPr>
          </w:p>
        </w:tc>
      </w:tr>
    </w:tbl>
    <w:p w14:paraId="3FBA7E54" w14:textId="77777777" w:rsidR="00025AFA" w:rsidRPr="00F5596D" w:rsidRDefault="00025AFA" w:rsidP="00025AFA">
      <w:pPr>
        <w:spacing w:after="0" w:line="240" w:lineRule="auto"/>
        <w:jc w:val="left"/>
        <w:rPr>
          <w:rFonts w:eastAsia="Calibri" w:cstheme="minorHAnsi"/>
          <w:bCs/>
          <w:sz w:val="16"/>
          <w:szCs w:val="16"/>
          <w:lang w:val="sr-Cyrl-CS" w:eastAsia="ja-JP"/>
        </w:rPr>
        <w:sectPr w:rsidR="00025AFA" w:rsidRPr="00F5596D" w:rsidSect="00E61B34">
          <w:type w:val="continuous"/>
          <w:pgSz w:w="12240" w:h="15840" w:code="1"/>
          <w:pgMar w:top="1440" w:right="1440" w:bottom="1440" w:left="1440" w:header="720" w:footer="720" w:gutter="0"/>
          <w:cols w:space="720"/>
          <w:docGrid w:linePitch="360"/>
        </w:sectPr>
      </w:pPr>
    </w:p>
    <w:p w14:paraId="708D220C" w14:textId="77777777" w:rsidR="00025AFA" w:rsidRPr="00F5596D" w:rsidRDefault="00025AFA" w:rsidP="00025AFA">
      <w:pPr>
        <w:pStyle w:val="FootnoteText"/>
        <w:rPr>
          <w:sz w:val="16"/>
          <w:szCs w:val="16"/>
          <w:lang w:val="sr-Cyrl-CS"/>
        </w:rPr>
      </w:pPr>
      <w:r w:rsidRPr="00F5596D">
        <w:rPr>
          <w:sz w:val="16"/>
          <w:szCs w:val="16"/>
          <w:lang w:val="sr-Cyrl-CS"/>
        </w:rPr>
        <w:t>Извор: Министарство финансија</w:t>
      </w:r>
    </w:p>
    <w:p w14:paraId="716015C6" w14:textId="77777777" w:rsidR="00025AFA" w:rsidRPr="00F5596D" w:rsidRDefault="00025AFA" w:rsidP="00025AFA">
      <w:pPr>
        <w:pStyle w:val="FootnoteText"/>
        <w:rPr>
          <w:sz w:val="16"/>
          <w:szCs w:val="16"/>
          <w:lang w:val="sr-Cyrl-CS"/>
        </w:rPr>
      </w:pPr>
      <w:r w:rsidRPr="00F5596D">
        <w:rPr>
          <w:sz w:val="16"/>
          <w:szCs w:val="16"/>
          <w:lang w:val="sr-Cyrl-CS"/>
        </w:rPr>
        <w:t>* Оригинални буџет за 2025. годину је, у сврхе упоредивости са новом проценом за текућу годину, умањен за износ сопствених средстава установа вишег и високог образовања с обзиром да током текуће године ове установе нису укључене у систем извештавања о извршењу буџета Републике. Укупан обим тих средстава износи 32,3 млрд и на приходној и расходној страни.</w:t>
      </w:r>
    </w:p>
    <w:p w14:paraId="0E305108" w14:textId="77777777" w:rsidR="00025AFA" w:rsidRPr="00F5596D" w:rsidRDefault="00025AFA" w:rsidP="00025AFA">
      <w:pPr>
        <w:rPr>
          <w:rFonts w:eastAsia="MS PGothic" w:cstheme="minorHAnsi"/>
          <w:szCs w:val="20"/>
          <w:lang w:val="sr-Cyrl-CS" w:eastAsia="ja-JP"/>
        </w:rPr>
        <w:sectPr w:rsidR="00025AFA" w:rsidRPr="00F5596D" w:rsidSect="00E61B34">
          <w:headerReference w:type="even" r:id="rId132"/>
          <w:headerReference w:type="default" r:id="rId133"/>
          <w:footerReference w:type="even" r:id="rId134"/>
          <w:footerReference w:type="default" r:id="rId135"/>
          <w:headerReference w:type="first" r:id="rId136"/>
          <w:type w:val="continuous"/>
          <w:pgSz w:w="12240" w:h="15840" w:code="1"/>
          <w:pgMar w:top="1440" w:right="1440" w:bottom="1440" w:left="1440" w:header="720" w:footer="720" w:gutter="0"/>
          <w:cols w:space="720"/>
          <w:docGrid w:linePitch="360"/>
        </w:sectPr>
      </w:pPr>
    </w:p>
    <w:p w14:paraId="6EA15C5F" w14:textId="77777777" w:rsidR="00025AFA" w:rsidRPr="00F5596D" w:rsidRDefault="00025AFA" w:rsidP="00025AFA">
      <w:pPr>
        <w:rPr>
          <w:rFonts w:eastAsia="MS PGothic" w:cstheme="minorHAnsi"/>
          <w:szCs w:val="20"/>
          <w:lang w:val="sr-Cyrl-CS" w:eastAsia="ja-JP"/>
        </w:rPr>
      </w:pPr>
    </w:p>
    <w:p w14:paraId="3F6198C1"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У складу са ревидираним макроекономским и фискалним претпоставкама, пројекција укупних прихода сектора државе за 2025. годину смањена је за 6,1 милијарду динара, што представља смањење од 0,1% у односу на претходно усвојени фискални оквир. Иако је укупни износ коригован наниже у мањем обиму, извршене су значајне промене у структури прихода.</w:t>
      </w:r>
    </w:p>
    <w:p w14:paraId="1E2E01DA"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 xml:space="preserve">Порези на доходак, укључујући доприносе за социјално осигурање, ревидирани су навише, као и акцизе, док је највеће негативно одступање забележено код пореза на додату вредност (ПДВ), што уједно представља и најзначајнију апсолутну и релативну корекцију у оквиру прихода. </w:t>
      </w:r>
    </w:p>
    <w:p w14:paraId="6609C496"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Непорески приходи су незнатно смањени у односу на претходну пројекцију.</w:t>
      </w:r>
    </w:p>
    <w:p w14:paraId="1FC797C5" w14:textId="77777777" w:rsidR="00025AFA" w:rsidRPr="00F5596D" w:rsidRDefault="00025AFA" w:rsidP="00025AFA">
      <w:pPr>
        <w:rPr>
          <w:rFonts w:eastAsia="MS PGothic" w:cstheme="minorHAnsi"/>
          <w:szCs w:val="20"/>
          <w:lang w:val="sr-Cyrl-CS" w:eastAsia="ja-JP"/>
        </w:rPr>
      </w:pPr>
    </w:p>
    <w:p w14:paraId="47161BE9" w14:textId="77777777" w:rsidR="00025AFA" w:rsidRPr="00F5596D" w:rsidRDefault="00025AFA" w:rsidP="00025AFA">
      <w:pPr>
        <w:rPr>
          <w:rFonts w:eastAsia="MS PGothic" w:cstheme="minorHAnsi"/>
          <w:szCs w:val="20"/>
          <w:lang w:val="sr-Cyrl-CS" w:eastAsia="ja-JP"/>
        </w:rPr>
      </w:pPr>
    </w:p>
    <w:p w14:paraId="36398E17" w14:textId="77777777" w:rsidR="00025AFA" w:rsidRPr="00F5596D" w:rsidRDefault="00025AFA" w:rsidP="00025AFA">
      <w:pPr>
        <w:rPr>
          <w:rFonts w:eastAsia="MS PGothic" w:cstheme="minorHAnsi"/>
          <w:szCs w:val="20"/>
          <w:lang w:val="sr-Cyrl-CS" w:eastAsia="ja-JP"/>
        </w:rPr>
      </w:pPr>
    </w:p>
    <w:p w14:paraId="590CD707"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Кључни фактори који су утицали на ревизију висине и структуре прихода обухватају:</w:t>
      </w:r>
    </w:p>
    <w:p w14:paraId="5CA21D1B" w14:textId="77777777" w:rsidR="00025AFA" w:rsidRPr="00F5596D" w:rsidRDefault="00025AFA" w:rsidP="00025AFA">
      <w:pPr>
        <w:numPr>
          <w:ilvl w:val="0"/>
          <w:numId w:val="25"/>
        </w:numPr>
        <w:ind w:left="714" w:hanging="357"/>
        <w:rPr>
          <w:rFonts w:eastAsia="MS PGothic" w:cstheme="minorHAnsi"/>
          <w:szCs w:val="20"/>
          <w:lang w:val="sr-Cyrl-CS" w:eastAsia="ja-JP"/>
        </w:rPr>
      </w:pPr>
      <w:r w:rsidRPr="00F5596D">
        <w:rPr>
          <w:rFonts w:eastAsia="MS PGothic" w:cstheme="minorHAnsi"/>
          <w:szCs w:val="20"/>
          <w:lang w:val="sr-Cyrl-CS" w:eastAsia="ja-JP"/>
        </w:rPr>
        <w:t>остварење прихода на крају 2024. године (базни ефекат) и у периоду јануар–април 2025. године;</w:t>
      </w:r>
    </w:p>
    <w:p w14:paraId="52436E6C" w14:textId="77777777" w:rsidR="00025AFA" w:rsidRPr="00F5596D" w:rsidRDefault="00025AFA" w:rsidP="00025AFA">
      <w:pPr>
        <w:numPr>
          <w:ilvl w:val="0"/>
          <w:numId w:val="25"/>
        </w:numPr>
        <w:ind w:left="714" w:hanging="357"/>
        <w:rPr>
          <w:rFonts w:eastAsia="MS PGothic" w:cstheme="minorHAnsi"/>
          <w:szCs w:val="20"/>
          <w:lang w:val="sr-Cyrl-CS" w:eastAsia="ja-JP"/>
        </w:rPr>
      </w:pPr>
      <w:r w:rsidRPr="00F5596D">
        <w:rPr>
          <w:rFonts w:eastAsia="MS PGothic" w:cstheme="minorHAnsi"/>
          <w:szCs w:val="20"/>
          <w:lang w:val="sr-Cyrl-CS" w:eastAsia="ja-JP"/>
        </w:rPr>
        <w:t>успоренији раст приватне потрошње у односу на претходна очекивања;</w:t>
      </w:r>
    </w:p>
    <w:p w14:paraId="7FF0085C" w14:textId="77777777" w:rsidR="00025AFA" w:rsidRPr="00F5596D" w:rsidRDefault="00025AFA" w:rsidP="00025AFA">
      <w:pPr>
        <w:numPr>
          <w:ilvl w:val="0"/>
          <w:numId w:val="25"/>
        </w:numPr>
        <w:ind w:left="714" w:hanging="357"/>
        <w:rPr>
          <w:rFonts w:eastAsia="MS PGothic" w:cstheme="minorHAnsi"/>
          <w:szCs w:val="20"/>
          <w:lang w:val="sr-Cyrl-CS" w:eastAsia="ja-JP"/>
        </w:rPr>
      </w:pPr>
      <w:r w:rsidRPr="00F5596D">
        <w:rPr>
          <w:rFonts w:eastAsia="MS PGothic" w:cstheme="minorHAnsi"/>
          <w:szCs w:val="20"/>
          <w:lang w:val="sr-Cyrl-CS" w:eastAsia="ja-JP"/>
        </w:rPr>
        <w:t>повољнија кретања на тржишту рада.</w:t>
      </w:r>
    </w:p>
    <w:p w14:paraId="367DBD8A"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Пројекција прихода од пореза на доходак грађана увећана је за 9,8 милијарди динара у односу на план, а приходи од доприноса за социјално осигурање повећани су за 20 милијарди динара. Овакве корекције резултат су бољег кретања зарада и запослености од претпоставки на којима је заснована оригинална пројекција.</w:t>
      </w:r>
      <w:r w:rsidRPr="00F5596D">
        <w:rPr>
          <w:rFonts w:ascii="Times New Roman" w:eastAsia="Times New Roman" w:hAnsi="Times New Roman" w:cs="Times New Roman"/>
          <w:color w:val="auto"/>
          <w:lang w:val="sr-Cyrl-CS"/>
        </w:rPr>
        <w:t xml:space="preserve"> </w:t>
      </w:r>
      <w:r w:rsidRPr="00F5596D">
        <w:rPr>
          <w:rFonts w:eastAsia="MS PGothic" w:cstheme="minorHAnsi"/>
          <w:szCs w:val="20"/>
          <w:lang w:val="sr-Cyrl-CS" w:eastAsia="ja-JP"/>
        </w:rPr>
        <w:t xml:space="preserve">Пројекције ових прихода у оригиналном оквиру биле су засноване на конзервативнијим претпоставкама, посебно када је реч о кретању просечних зарада у првим месецима 2025. године, а које су </w:t>
      </w:r>
      <w:r w:rsidRPr="00F5596D">
        <w:rPr>
          <w:rFonts w:eastAsia="MS PGothic" w:cstheme="minorHAnsi"/>
          <w:szCs w:val="20"/>
          <w:lang w:val="sr-Cyrl-CS" w:eastAsia="ja-JP"/>
        </w:rPr>
        <w:lastRenderedPageBreak/>
        <w:t>премашиле очекивања. Приликом ревизије узете су у обзир и процене ефеката смањења пореског оптерећења зарада, примењеног у 2025. години. Основни фактор који је допринео повећању пројекције пореза на зараде и социјалних доприноса је повољан базни ефекат, као и позитивни трендови на тржишту рада у досадашњем току године.</w:t>
      </w:r>
    </w:p>
    <w:p w14:paraId="10DD2463"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Остали приходи који припадају категорији пореза на доходак грађана (као што су порези на дивиденде, приходе од капитала, закупа и годишњи порез на доходак) такође су ревидирани навише, пре свега услед базног ефекта и нешто бољих резултата у првим месецима текуће године. Имајући у виду досадашње остварење, код ових категорија прихода је могућа додатна ревизија навише у наставку године.</w:t>
      </w:r>
    </w:p>
    <w:p w14:paraId="0EC9A7DC" w14:textId="09821DB8"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Приходи од пореза на добит правних лица незнатно су смањени, пре свега због повраћаја одређеним привредним субјектима. С обзиром да у тренутку планирања буџета нису били доступни коначни подаци о профитабилности привреде, план прихода по основу пореза на добит био је конзервативан. Уплате по коначном обрачуну очекују се након подношења завршних финансијских извештаја</w:t>
      </w:r>
      <w:r w:rsidR="000D01C4" w:rsidRPr="00F5596D">
        <w:rPr>
          <w:rFonts w:eastAsia="MS PGothic" w:cstheme="minorHAnsi"/>
          <w:szCs w:val="20"/>
          <w:lang w:val="sr-Cyrl-CS" w:eastAsia="ja-JP"/>
        </w:rPr>
        <w:t xml:space="preserve"> и евентуално</w:t>
      </w:r>
      <w:r w:rsidRPr="00F5596D">
        <w:rPr>
          <w:rFonts w:eastAsia="MS PGothic" w:cstheme="minorHAnsi"/>
          <w:szCs w:val="20"/>
          <w:lang w:val="sr-Cyrl-CS" w:eastAsia="ja-JP"/>
        </w:rPr>
        <w:t xml:space="preserve"> повећање процене овог прихода у другој половини године. </w:t>
      </w:r>
    </w:p>
    <w:p w14:paraId="693957BE"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 xml:space="preserve">Најзначајније смањење у апсолутном износу односи се на приходе од ПДВ-а, који су ревидирани наниже за 38 милијарди динара, односно 3,6% у односу на првобитно планирани ниво. Основни разлози за ову корекцију везани су за лошије остварење прихода од ПДВ-а у последњем кварталу 2024. године, као и наставак слабијих резултата у првим месецима 2025. године. За разлику од претходних година, када су одређени специфични фактори – попут „паничне” потрошње, повећане потрошње нерезидената и других једнократних утицаја – доводили до раста приватне потрошње изнад раста расположивог дохотка, сада је приметан супротан тренд. Потрошња заостаје за растом дохотка, што указује на повећани опрез домаћинстава и одлагање потрошње у условима појачане неизвесности. </w:t>
      </w:r>
    </w:p>
    <w:p w14:paraId="57E81666" w14:textId="77777777" w:rsidR="00025AFA" w:rsidRPr="00F5596D" w:rsidRDefault="00025AFA" w:rsidP="00025AFA">
      <w:pPr>
        <w:rPr>
          <w:rFonts w:eastAsia="MS PGothic" w:cstheme="minorHAnsi"/>
          <w:szCs w:val="20"/>
          <w:lang w:val="sr-Cyrl-CS" w:eastAsia="ja-JP"/>
        </w:rPr>
      </w:pPr>
      <w:r w:rsidRPr="00F5596D">
        <w:rPr>
          <w:rFonts w:eastAsia="MS PGothic" w:cstheme="minorHAnsi"/>
          <w:szCs w:val="20"/>
          <w:lang w:val="sr-Cyrl-CS" w:eastAsia="ja-JP"/>
        </w:rPr>
        <w:t xml:space="preserve">Приходи од царина задржани су на нивоу планираном буџетом, уз динамику која је у складу </w:t>
      </w:r>
      <w:r w:rsidRPr="00F5596D">
        <w:rPr>
          <w:rFonts w:eastAsia="MS PGothic" w:cstheme="minorHAnsi"/>
          <w:szCs w:val="20"/>
          <w:lang w:val="sr-Cyrl-CS" w:eastAsia="ja-JP"/>
        </w:rPr>
        <w:t>са очекивањима. Иако у великој мери прате кретања увозног ПДВ-а, у последње три године дошло је до промена у структури увоза (по врстама робе и географском пореклу), што је резултирало нешто већом еластичношћу прихода од царина у односу на увозну базу.</w:t>
      </w:r>
    </w:p>
    <w:p w14:paraId="7DB022FD"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Пројекција прихода од акциза ревидирана је навише у односу на оригинални фискални оквир за 2025. годину, у износу од 6 милијарди динара. Кориговане су процене прихода од акциза на деривате нафте и дуванске производе, који су појединачно повећани за по 3 милијарде динара. Пројекција прихода од осталих акцизних производа (електрична енергија, алкохол, кафа) у овом тренутку није мењана.</w:t>
      </w:r>
    </w:p>
    <w:p w14:paraId="693B3F3D"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Код акциза на деривате нафте, раст je првенствено резултат боље реализације на крају 2024. године. Један део тог бољег остварења последица је ниже од планиране рефакције за пољопривредне произвођаче, што је умањило обавезе по овом основу. Ипак, имајући у виду да се током прве половине године још увек нису у потпуности уочили стабилни трендови у потрошњи моторних горива, као ни коначан обим рефакције за текућу годину, пројекција није ревидирана у већем износу. Додатно, летњи месеци представљају период повећане потрошње и уобичајено су приходно најиздашнији, па ће накнадне процене бити засноване и на остварењима у том периоду.</w:t>
      </w:r>
    </w:p>
    <w:p w14:paraId="20F606C4"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Када је реч о акцизама на дуванске производе, ревизија навише у износу од 3 милијарде динара резултат је знатно боље наплате од очекиване у последњем кварталу 2024. године. Овде је потребно нагласити да је при изради буџета за 2025. годину, услед претходног континуираног тренда пада потрошње дуванских производа, првобитно планиран нешто нижи приход, те позитивна реализација представља искључиво резултат базног ефекта. Прве поузданије индикације о обиму потрошње у текућој години очекују се у другој половини године.</w:t>
      </w:r>
    </w:p>
    <w:p w14:paraId="196E4D7F"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Након периода у којем је акцизна политика коришћена као инструмент за ублажавање инфлаторних притисака, у 2024. години настављена је редовна динамика усклађивања.</w:t>
      </w:r>
    </w:p>
    <w:p w14:paraId="379FAEC5"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 xml:space="preserve">Пројекција непореских прихода за 2025. годину </w:t>
      </w:r>
      <w:r w:rsidRPr="00F5596D">
        <w:rPr>
          <w:rFonts w:eastAsia="MS PGothic" w:cstheme="minorHAnsi"/>
          <w:bCs/>
          <w:szCs w:val="20"/>
          <w:lang w:val="sr-Cyrl-CS" w:eastAsia="ja-JP"/>
        </w:rPr>
        <w:lastRenderedPageBreak/>
        <w:t>незнатно је смањена у односу на првобитни план, при чему је ревизија извршена у складу са досадашњом динамиком остварења како редовних, тако и ванредних непореских прихода. Док су непорески приходи на нивоу буџета Републике благо повећани, процена ових прихода на нивоу јединица локалне самоуправе је ревидирана наниже.</w:t>
      </w:r>
    </w:p>
    <w:p w14:paraId="040086CC"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У редовне непореске приходе убрајају се различите врсте такси, накнада (укључујући и приходе од путарина), новчане казне, приходи органа и организација, као и други приходи који се карактеришу стабилним токовима и устаљеном динамиком наплате током године, уз уобичајене сезонске осцилације. Повећање пројекције у овом сегменту у највећој мери проистиче из раста прихода од камата на орочена буџетска средства и накнада за коришћење јавних добара.</w:t>
      </w:r>
    </w:p>
    <w:p w14:paraId="234001AC"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Са друге стране, ванредне непореске приходе чине уплате добити јавних предузећа и агенција, дивиденде буџета, приходи по основу наплате потраживања Агенције за осигурање депозита, приходи од емисионих премија, као и други ненаменски приходи (нпр. камате).</w:t>
      </w:r>
    </w:p>
    <w:p w14:paraId="698CFAD9"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У контексту континуираних напора на унапређењу квалитета и транспарентности статистике јавних финансија, током 2025. године настављено је ширење статистичког обухвата сектора државе, укључивањем у систем извештавања свих основних школа, са свим изворима финансирања. Овај процес се надовезује на претходне фазе у којима су у обухват већ укључене здравствене установе и средње школе, као и одређен број ванбуџетских корисника (јавне агенције, научни институти и сл.), што је реализовано током 2024. године.</w:t>
      </w:r>
    </w:p>
    <w:p w14:paraId="60804F17"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Овакво поступно проширивање обухвата, у складу са међународним статистичким стандардима, омогућава не само повећање обима података који се прате у оквиру сектора државе, већ и њихову прецизнију расподелу на релевантним економским класификацијама. Као резултат, поједине категорије расхода су сада евидентиране на тачним економским позицијама на којима су и реализоване, чиме се доприноси транспарентности и тачности приказа јавне потрошње.</w:t>
      </w:r>
    </w:p>
    <w:p w14:paraId="356713A7" w14:textId="77777777" w:rsidR="00025AFA" w:rsidRPr="00F5596D" w:rsidRDefault="00025AFA" w:rsidP="00025AFA">
      <w:pPr>
        <w:widowControl w:val="0"/>
        <w:spacing w:after="120"/>
        <w:rPr>
          <w:rFonts w:eastAsia="MS PGothic" w:cstheme="minorHAnsi"/>
          <w:bCs/>
          <w:szCs w:val="20"/>
          <w:lang w:val="sr-Cyrl-CS" w:eastAsia="ja-JP"/>
        </w:rPr>
      </w:pPr>
      <w:r w:rsidRPr="00F5596D">
        <w:rPr>
          <w:rFonts w:eastAsia="MS PGothic" w:cstheme="minorHAnsi"/>
          <w:bCs/>
          <w:szCs w:val="20"/>
          <w:lang w:val="sr-Cyrl-CS" w:eastAsia="ja-JP"/>
        </w:rPr>
        <w:t>Иако је иницијално било планирано да се у 2025. години у извештавање укључе и установе високог и вишег образовања, реализација је одложена. С обзиром на то, износ планираних прихода и расхода прилагођен је у оба правца — укључени износи су истовремено искључени и из оригиналног плана и из ревидираног оквира, како би се обезбедила упоредивост. Ово значи да наведено смањење не представља одступање од остварења нити је резултат подбачаја у извршењу, већ последица временског померања у проширењу обухвата. На приходној страни, наведене корекције односе се искључиво на смањење пројекције непореских прихода, док се на расходној страни највећи део смањења односи на расходе за запослене у поменутим установама, док се преостали део односи на категорије као што су текући расходи и набавка добара и услуга.</w:t>
      </w:r>
    </w:p>
    <w:p w14:paraId="4E69AF88" w14:textId="77777777" w:rsidR="00025AFA" w:rsidRPr="00F5596D" w:rsidRDefault="00025AFA" w:rsidP="00025AFA">
      <w:pPr>
        <w:spacing w:after="120"/>
        <w:rPr>
          <w:rFonts w:eastAsia="MS PGothic" w:cstheme="minorHAnsi"/>
          <w:b/>
          <w:color w:val="002060"/>
          <w:szCs w:val="20"/>
          <w:lang w:val="sr-Cyrl-CS" w:eastAsia="ja-JP"/>
        </w:rPr>
      </w:pPr>
      <w:r w:rsidRPr="00F5596D">
        <w:rPr>
          <w:rFonts w:eastAsia="MS PGothic" w:cstheme="minorHAnsi"/>
          <w:b/>
          <w:color w:val="002060"/>
          <w:szCs w:val="20"/>
          <w:lang w:val="sr-Cyrl-CS" w:eastAsia="ja-JP"/>
        </w:rPr>
        <w:t>Допринос појединих фактора корекцији фиск. резултата у односу на план за 2025. год, % БДП</w:t>
      </w:r>
    </w:p>
    <w:p w14:paraId="477FC148"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noProof/>
          <w:szCs w:val="20"/>
        </w:rPr>
        <w:drawing>
          <wp:inline distT="0" distB="0" distL="0" distR="0" wp14:anchorId="616AB81B" wp14:editId="5625D313">
            <wp:extent cx="2788920" cy="2590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5286" cy="2643162"/>
                    </a:xfrm>
                    <a:prstGeom prst="rect">
                      <a:avLst/>
                    </a:prstGeom>
                    <a:noFill/>
                  </pic:spPr>
                </pic:pic>
              </a:graphicData>
            </a:graphic>
          </wp:inline>
        </w:drawing>
      </w:r>
    </w:p>
    <w:p w14:paraId="0B26CEEF"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У ревидираном фискалном оквиру за 2025. годину, пројекција укупних расхода сектора државе смањена је за 6,1 милијарду динара у односу на буџетски план, при чему су извршене значајније измене у њиховој структури. Највеће повећање бележи категорија расхода за запослене, док је процењени износ капиталних расхода, као и расхода за робе и услуге, смањен. Ревизија расходне стране превасходно је резултат реалнијег сагледавања динамике и извесности реализације појединачних програма и пројеката до краја текуће године.</w:t>
      </w:r>
    </w:p>
    <w:p w14:paraId="6ADD7040"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lastRenderedPageBreak/>
        <w:t>Расходи за запослене у 2025. години повећани су за 17 милијарди динара у односу на оригинални план. Ова ревизија пре свега одражава ефекте ванредног повећања зарада у сектору образовања, које је реализовано у два наврата — у марту и октобру 2025. године. У пројекцију су укључени и расходи за зараде који се финансирају из сопствених прихода основних школа, у износу од 7,2 милијарде динара. Са друге стране, одлагање укључивања сопствених прихода установа високог и вишег образовања довело је до смањења пројекције ове категорије за 10,2 милијарде динара.</w:t>
      </w:r>
    </w:p>
    <w:p w14:paraId="4C2847C0"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Расходи за робе и услуге ревидирани су наниже за 14 милијарди динара. Смањење се углавном односи на расходе буџета Републике, где је на основу досадашње динамике извршења извршена реалнија процена могућег износа до краја године. Истовремено, на нивоу Републичког фонда за здравствено осигурање дошло је до повећања ове категорије расхода, пре свега због повећане набавке лекова и медицинских средстава. Одлагање укључивања сопствених средстава високошколских установа довело је до смањења пројекције за додатних 18,4 милијарде динара.</w:t>
      </w:r>
    </w:p>
    <w:p w14:paraId="40557E5F"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 xml:space="preserve">Расходи за субвенције ревидирани су наниже за 5 милијарди динара, што представља смањење од </w:t>
      </w:r>
      <w:r w:rsidRPr="00F5596D">
        <w:rPr>
          <w:rFonts w:eastAsia="MS PGothic" w:cstheme="minorHAnsi"/>
          <w:szCs w:val="20"/>
          <w:lang w:val="sr-Cyrl-CS" w:eastAsia="ja-JP"/>
        </w:rPr>
        <w:t>приближно 2% у односу на оригинални план. Ревизија се не односи на неку појединачну категорију у већој мери, већ је равномерно распоређена у више области, у складу са досадашњом динамиком исплате.</w:t>
      </w:r>
    </w:p>
    <w:p w14:paraId="2ADDD263"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Расходи за социјалну заштиту повећани су за 4,8 милијарди динара. Ово повећање последица је нешто вишег извршења током 2024. године, као и ажуриране процене ефеката мера социјалне заштите које су уведене у претходном периоду.</w:t>
      </w:r>
    </w:p>
    <w:p w14:paraId="1ADCEB92"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Капитални расходи су, према новој процени, смањени за 12,4 милијарди динара у односу на првобитни план. Ово смањење превасходно је условљено другачијом динамиком реализације појединих инфраструктурних пројеката у односу на иницијално планирану. И поред ових корекција, очекује се да ће капитални расходи у 2025. години достићи ниво од 7,2% БДП-а, што представља наставак високог улагања у јавну инфраструктуру. Додатно, одлагање укључивања сопствених средстава високог и вишег образовања резултирало је смањењем пројекције капиталних расхода за 3,6 милијарди динара.</w:t>
      </w:r>
    </w:p>
    <w:p w14:paraId="2845FE15" w14:textId="77777777" w:rsidR="00025AFA" w:rsidRPr="00F5596D" w:rsidRDefault="00025AFA" w:rsidP="00025AFA">
      <w:pPr>
        <w:spacing w:after="120"/>
        <w:rPr>
          <w:rFonts w:eastAsia="MS PGothic" w:cstheme="minorHAnsi"/>
          <w:szCs w:val="20"/>
          <w:lang w:val="sr-Cyrl-CS" w:eastAsia="ja-JP"/>
        </w:rPr>
      </w:pPr>
    </w:p>
    <w:p w14:paraId="20312E64" w14:textId="77777777" w:rsidR="00025AFA" w:rsidRPr="00F5596D" w:rsidRDefault="00025AFA" w:rsidP="00025AFA">
      <w:pPr>
        <w:spacing w:after="120"/>
        <w:rPr>
          <w:rFonts w:eastAsia="MS PGothic" w:cstheme="minorHAnsi"/>
          <w:szCs w:val="20"/>
          <w:lang w:val="sr-Cyrl-CS" w:eastAsia="ja-JP"/>
        </w:rPr>
      </w:pPr>
    </w:p>
    <w:p w14:paraId="19CD861A" w14:textId="77777777" w:rsidR="00025AFA" w:rsidRPr="00F5596D" w:rsidRDefault="00025AFA" w:rsidP="00025AFA">
      <w:pPr>
        <w:widowControl w:val="0"/>
        <w:rPr>
          <w:rFonts w:eastAsia="MS PGothic" w:cstheme="minorHAnsi"/>
          <w:bCs/>
          <w:szCs w:val="20"/>
          <w:lang w:val="sr-Cyrl-CS" w:eastAsia="ja-JP"/>
        </w:rPr>
        <w:sectPr w:rsidR="00025AFA" w:rsidRPr="00F5596D" w:rsidSect="00E61B34">
          <w:type w:val="continuous"/>
          <w:pgSz w:w="12240" w:h="15840" w:code="1"/>
          <w:pgMar w:top="1440" w:right="1440" w:bottom="1440" w:left="1440" w:header="720" w:footer="720" w:gutter="0"/>
          <w:cols w:num="2" w:space="720"/>
          <w:docGrid w:linePitch="360"/>
        </w:sectPr>
      </w:pPr>
    </w:p>
    <w:p w14:paraId="7C9E49C4" w14:textId="77777777" w:rsidR="00025AFA" w:rsidRPr="00F5596D" w:rsidRDefault="00025AFA" w:rsidP="00025AFA">
      <w:pPr>
        <w:jc w:val="left"/>
        <w:rPr>
          <w:rFonts w:eastAsia="MS PGothic" w:cstheme="minorHAnsi"/>
          <w:b/>
          <w:color w:val="002060"/>
          <w:szCs w:val="20"/>
          <w:lang w:val="sr-Cyrl-CS" w:eastAsia="ja-JP"/>
        </w:rPr>
      </w:pPr>
      <w:r w:rsidRPr="00F5596D">
        <w:rPr>
          <w:rFonts w:eastAsia="MS PGothic" w:cstheme="minorHAnsi"/>
          <w:b/>
          <w:color w:val="002060"/>
          <w:szCs w:val="20"/>
          <w:lang w:val="sr-Cyrl-CS" w:eastAsia="ja-JP"/>
        </w:rPr>
        <w:br w:type="page"/>
      </w:r>
    </w:p>
    <w:p w14:paraId="5F80D87D" w14:textId="77777777" w:rsidR="00025AFA" w:rsidRPr="00F5596D" w:rsidRDefault="00025AFA" w:rsidP="00025AFA">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lastRenderedPageBreak/>
        <w:t>Табела 7. Приходи, расходи и резултат сектора државе, јануар–април 2024. и 2025. године, у млрд динара</w:t>
      </w:r>
    </w:p>
    <w:tbl>
      <w:tblPr>
        <w:tblW w:w="5000" w:type="pct"/>
        <w:jc w:val="right"/>
        <w:tblCellMar>
          <w:left w:w="115" w:type="dxa"/>
          <w:right w:w="115" w:type="dxa"/>
        </w:tblCellMar>
        <w:tblLook w:val="04A0" w:firstRow="1" w:lastRow="0" w:firstColumn="1" w:lastColumn="0" w:noHBand="0" w:noVBand="1"/>
      </w:tblPr>
      <w:tblGrid>
        <w:gridCol w:w="3940"/>
        <w:gridCol w:w="1305"/>
        <w:gridCol w:w="1685"/>
        <w:gridCol w:w="2430"/>
      </w:tblGrid>
      <w:tr w:rsidR="00025AFA" w:rsidRPr="00F5596D" w14:paraId="7B27EEE3" w14:textId="77777777" w:rsidTr="00E61B34">
        <w:trPr>
          <w:trHeight w:val="242"/>
          <w:tblHeader/>
          <w:jc w:val="right"/>
        </w:trPr>
        <w:tc>
          <w:tcPr>
            <w:tcW w:w="2105" w:type="pct"/>
            <w:tcBorders>
              <w:top w:val="single" w:sz="4" w:space="0" w:color="002060"/>
            </w:tcBorders>
            <w:shd w:val="clear" w:color="auto" w:fill="auto"/>
            <w:noWrap/>
            <w:vAlign w:val="center"/>
            <w:hideMark/>
          </w:tcPr>
          <w:p w14:paraId="6CFE3003" w14:textId="77777777" w:rsidR="00025AFA" w:rsidRPr="00F5596D" w:rsidRDefault="00025AFA" w:rsidP="00E61B34">
            <w:pPr>
              <w:spacing w:after="0" w:line="240" w:lineRule="auto"/>
              <w:rPr>
                <w:rFonts w:cstheme="minorHAnsi"/>
                <w:color w:val="002060"/>
                <w:sz w:val="16"/>
                <w:szCs w:val="16"/>
                <w:lang w:val="sr-Cyrl-CS"/>
              </w:rPr>
            </w:pPr>
          </w:p>
        </w:tc>
        <w:tc>
          <w:tcPr>
            <w:tcW w:w="697" w:type="pct"/>
            <w:tcBorders>
              <w:top w:val="single" w:sz="4" w:space="0" w:color="002060"/>
              <w:bottom w:val="single" w:sz="4" w:space="0" w:color="002060"/>
            </w:tcBorders>
            <w:shd w:val="clear" w:color="auto" w:fill="auto"/>
            <w:vAlign w:val="center"/>
            <w:hideMark/>
          </w:tcPr>
          <w:p w14:paraId="6E84E5EA"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 xml:space="preserve"> I–IV 2024</w:t>
            </w:r>
          </w:p>
        </w:tc>
        <w:tc>
          <w:tcPr>
            <w:tcW w:w="900" w:type="pct"/>
            <w:tcBorders>
              <w:top w:val="single" w:sz="4" w:space="0" w:color="002060"/>
              <w:bottom w:val="single" w:sz="4" w:space="0" w:color="002060"/>
            </w:tcBorders>
            <w:shd w:val="clear" w:color="auto" w:fill="auto"/>
            <w:vAlign w:val="center"/>
            <w:hideMark/>
          </w:tcPr>
          <w:p w14:paraId="7B75218A"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I–IV 2025*</w:t>
            </w:r>
          </w:p>
        </w:tc>
        <w:tc>
          <w:tcPr>
            <w:tcW w:w="1298" w:type="pct"/>
            <w:tcBorders>
              <w:top w:val="single" w:sz="4" w:space="0" w:color="002060"/>
              <w:bottom w:val="single" w:sz="4" w:space="0" w:color="002060"/>
            </w:tcBorders>
            <w:shd w:val="clear" w:color="auto" w:fill="auto"/>
            <w:vAlign w:val="center"/>
            <w:hideMark/>
          </w:tcPr>
          <w:p w14:paraId="57949BC0" w14:textId="77777777" w:rsidR="00025AFA" w:rsidRPr="00F5596D" w:rsidRDefault="00025AFA" w:rsidP="00E61B34">
            <w:pPr>
              <w:spacing w:after="0" w:line="240" w:lineRule="auto"/>
              <w:jc w:val="center"/>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2025 годишњи план/2024 стопа раста у %</w:t>
            </w:r>
          </w:p>
        </w:tc>
      </w:tr>
      <w:tr w:rsidR="00025AFA" w:rsidRPr="00F5596D" w14:paraId="5E5E66D4" w14:textId="77777777" w:rsidTr="00E61B34">
        <w:trPr>
          <w:trHeight w:val="242"/>
          <w:tblHeader/>
          <w:jc w:val="right"/>
        </w:trPr>
        <w:tc>
          <w:tcPr>
            <w:tcW w:w="2105" w:type="pct"/>
            <w:shd w:val="clear" w:color="auto" w:fill="E7E6E6" w:themeFill="background2"/>
            <w:noWrap/>
            <w:vAlign w:val="center"/>
            <w:hideMark/>
          </w:tcPr>
          <w:p w14:paraId="46046803"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ЈАВНИ ПРИХОДИ</w:t>
            </w:r>
          </w:p>
        </w:tc>
        <w:tc>
          <w:tcPr>
            <w:tcW w:w="697" w:type="pct"/>
            <w:tcBorders>
              <w:top w:val="single" w:sz="4" w:space="0" w:color="002060"/>
            </w:tcBorders>
            <w:shd w:val="clear" w:color="auto" w:fill="E7E6E6" w:themeFill="background2"/>
            <w:hideMark/>
          </w:tcPr>
          <w:p w14:paraId="3217042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1.240,3</w:t>
            </w:r>
          </w:p>
        </w:tc>
        <w:tc>
          <w:tcPr>
            <w:tcW w:w="900" w:type="pct"/>
            <w:tcBorders>
              <w:top w:val="single" w:sz="4" w:space="0" w:color="002060"/>
            </w:tcBorders>
            <w:shd w:val="clear" w:color="auto" w:fill="E7E6E6" w:themeFill="background2"/>
            <w:hideMark/>
          </w:tcPr>
          <w:p w14:paraId="3806DD1A"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1.288,2</w:t>
            </w:r>
          </w:p>
        </w:tc>
        <w:tc>
          <w:tcPr>
            <w:tcW w:w="1298" w:type="pct"/>
            <w:tcBorders>
              <w:top w:val="single" w:sz="4" w:space="0" w:color="002060"/>
            </w:tcBorders>
            <w:shd w:val="clear" w:color="auto" w:fill="E7E6E6" w:themeFill="background2"/>
            <w:hideMark/>
          </w:tcPr>
          <w:p w14:paraId="7A5D0A3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7,3</w:t>
            </w:r>
          </w:p>
        </w:tc>
      </w:tr>
      <w:tr w:rsidR="00025AFA" w:rsidRPr="00F5596D" w14:paraId="2FAF8B43" w14:textId="77777777" w:rsidTr="00E61B34">
        <w:trPr>
          <w:trHeight w:val="242"/>
          <w:tblHeader/>
          <w:jc w:val="right"/>
        </w:trPr>
        <w:tc>
          <w:tcPr>
            <w:tcW w:w="2105" w:type="pct"/>
            <w:shd w:val="clear" w:color="auto" w:fill="auto"/>
            <w:noWrap/>
            <w:vAlign w:val="center"/>
            <w:hideMark/>
          </w:tcPr>
          <w:p w14:paraId="669BB45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Текући приходи</w:t>
            </w:r>
          </w:p>
        </w:tc>
        <w:tc>
          <w:tcPr>
            <w:tcW w:w="697" w:type="pct"/>
            <w:shd w:val="clear" w:color="auto" w:fill="auto"/>
            <w:hideMark/>
          </w:tcPr>
          <w:p w14:paraId="7E62924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1.235,5</w:t>
            </w:r>
          </w:p>
        </w:tc>
        <w:tc>
          <w:tcPr>
            <w:tcW w:w="900" w:type="pct"/>
            <w:shd w:val="clear" w:color="auto" w:fill="auto"/>
            <w:noWrap/>
            <w:hideMark/>
          </w:tcPr>
          <w:p w14:paraId="269350E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1.284,4</w:t>
            </w:r>
          </w:p>
        </w:tc>
        <w:tc>
          <w:tcPr>
            <w:tcW w:w="1298" w:type="pct"/>
            <w:shd w:val="clear" w:color="auto" w:fill="auto"/>
            <w:hideMark/>
          </w:tcPr>
          <w:p w14:paraId="7C93083A"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6,9</w:t>
            </w:r>
          </w:p>
        </w:tc>
      </w:tr>
      <w:tr w:rsidR="00025AFA" w:rsidRPr="00F5596D" w14:paraId="64EA3716" w14:textId="77777777" w:rsidTr="00E61B34">
        <w:trPr>
          <w:trHeight w:val="242"/>
          <w:tblHeader/>
          <w:jc w:val="right"/>
        </w:trPr>
        <w:tc>
          <w:tcPr>
            <w:tcW w:w="2105" w:type="pct"/>
            <w:shd w:val="clear" w:color="auto" w:fill="auto"/>
            <w:noWrap/>
            <w:vAlign w:val="center"/>
            <w:hideMark/>
          </w:tcPr>
          <w:p w14:paraId="7C7E5C4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Порески приходи</w:t>
            </w:r>
          </w:p>
        </w:tc>
        <w:tc>
          <w:tcPr>
            <w:tcW w:w="697" w:type="pct"/>
            <w:shd w:val="clear" w:color="auto" w:fill="auto"/>
            <w:hideMark/>
          </w:tcPr>
          <w:p w14:paraId="16A7394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1.110,1</w:t>
            </w:r>
          </w:p>
        </w:tc>
        <w:tc>
          <w:tcPr>
            <w:tcW w:w="900" w:type="pct"/>
            <w:shd w:val="clear" w:color="auto" w:fill="auto"/>
            <w:hideMark/>
          </w:tcPr>
          <w:p w14:paraId="284D543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1.168,4</w:t>
            </w:r>
          </w:p>
        </w:tc>
        <w:tc>
          <w:tcPr>
            <w:tcW w:w="1298" w:type="pct"/>
            <w:shd w:val="clear" w:color="auto" w:fill="auto"/>
            <w:hideMark/>
          </w:tcPr>
          <w:p w14:paraId="39A4089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7,1</w:t>
            </w:r>
          </w:p>
        </w:tc>
      </w:tr>
      <w:tr w:rsidR="00025AFA" w:rsidRPr="00F5596D" w14:paraId="1953F03F" w14:textId="77777777" w:rsidTr="00E61B34">
        <w:trPr>
          <w:trHeight w:val="242"/>
          <w:tblHeader/>
          <w:jc w:val="right"/>
        </w:trPr>
        <w:tc>
          <w:tcPr>
            <w:tcW w:w="2105" w:type="pct"/>
            <w:shd w:val="clear" w:color="auto" w:fill="auto"/>
            <w:noWrap/>
            <w:vAlign w:val="center"/>
            <w:hideMark/>
          </w:tcPr>
          <w:p w14:paraId="0850239B"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Порез на доходак грађана</w:t>
            </w:r>
          </w:p>
        </w:tc>
        <w:tc>
          <w:tcPr>
            <w:tcW w:w="697" w:type="pct"/>
            <w:shd w:val="clear" w:color="auto" w:fill="auto"/>
            <w:hideMark/>
          </w:tcPr>
          <w:p w14:paraId="0572B84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126,8</w:t>
            </w:r>
          </w:p>
        </w:tc>
        <w:tc>
          <w:tcPr>
            <w:tcW w:w="900" w:type="pct"/>
            <w:shd w:val="clear" w:color="auto" w:fill="auto"/>
            <w:hideMark/>
          </w:tcPr>
          <w:p w14:paraId="1D13E31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137,2</w:t>
            </w:r>
          </w:p>
        </w:tc>
        <w:tc>
          <w:tcPr>
            <w:tcW w:w="1298" w:type="pct"/>
            <w:shd w:val="clear" w:color="auto" w:fill="auto"/>
            <w:hideMark/>
          </w:tcPr>
          <w:p w14:paraId="1EFADF4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8,4</w:t>
            </w:r>
          </w:p>
        </w:tc>
      </w:tr>
      <w:tr w:rsidR="00025AFA" w:rsidRPr="00F5596D" w14:paraId="75686244" w14:textId="77777777" w:rsidTr="00E61B34">
        <w:trPr>
          <w:trHeight w:val="242"/>
          <w:tblHeader/>
          <w:jc w:val="right"/>
        </w:trPr>
        <w:tc>
          <w:tcPr>
            <w:tcW w:w="2105" w:type="pct"/>
            <w:shd w:val="clear" w:color="auto" w:fill="auto"/>
            <w:noWrap/>
            <w:vAlign w:val="center"/>
            <w:hideMark/>
          </w:tcPr>
          <w:p w14:paraId="443471BC"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Порез на добит правних лица</w:t>
            </w:r>
          </w:p>
        </w:tc>
        <w:tc>
          <w:tcPr>
            <w:tcW w:w="697" w:type="pct"/>
            <w:shd w:val="clear" w:color="auto" w:fill="auto"/>
            <w:hideMark/>
          </w:tcPr>
          <w:p w14:paraId="2AFC12C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74,6</w:t>
            </w:r>
          </w:p>
        </w:tc>
        <w:tc>
          <w:tcPr>
            <w:tcW w:w="900" w:type="pct"/>
            <w:shd w:val="clear" w:color="auto" w:fill="auto"/>
            <w:hideMark/>
          </w:tcPr>
          <w:p w14:paraId="2368980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70,8</w:t>
            </w:r>
          </w:p>
        </w:tc>
        <w:tc>
          <w:tcPr>
            <w:tcW w:w="1298" w:type="pct"/>
            <w:shd w:val="clear" w:color="auto" w:fill="auto"/>
            <w:hideMark/>
          </w:tcPr>
          <w:p w14:paraId="7E9D58E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-3,9</w:t>
            </w:r>
          </w:p>
        </w:tc>
      </w:tr>
      <w:tr w:rsidR="00025AFA" w:rsidRPr="00F5596D" w14:paraId="1B000005" w14:textId="77777777" w:rsidTr="00E61B34">
        <w:trPr>
          <w:trHeight w:val="242"/>
          <w:tblHeader/>
          <w:jc w:val="right"/>
        </w:trPr>
        <w:tc>
          <w:tcPr>
            <w:tcW w:w="2105" w:type="pct"/>
            <w:shd w:val="clear" w:color="auto" w:fill="auto"/>
            <w:noWrap/>
            <w:vAlign w:val="center"/>
            <w:hideMark/>
          </w:tcPr>
          <w:p w14:paraId="408ECE81"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ПДВ</w:t>
            </w:r>
          </w:p>
        </w:tc>
        <w:tc>
          <w:tcPr>
            <w:tcW w:w="697" w:type="pct"/>
            <w:shd w:val="clear" w:color="auto" w:fill="auto"/>
            <w:hideMark/>
          </w:tcPr>
          <w:p w14:paraId="4194F1D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315,4</w:t>
            </w:r>
          </w:p>
        </w:tc>
        <w:tc>
          <w:tcPr>
            <w:tcW w:w="900" w:type="pct"/>
            <w:shd w:val="clear" w:color="auto" w:fill="auto"/>
            <w:hideMark/>
          </w:tcPr>
          <w:p w14:paraId="0A0DDFA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321,8</w:t>
            </w:r>
          </w:p>
        </w:tc>
        <w:tc>
          <w:tcPr>
            <w:tcW w:w="1298" w:type="pct"/>
            <w:shd w:val="clear" w:color="auto" w:fill="auto"/>
            <w:hideMark/>
          </w:tcPr>
          <w:p w14:paraId="5149E5C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7,0</w:t>
            </w:r>
          </w:p>
        </w:tc>
      </w:tr>
      <w:tr w:rsidR="00025AFA" w:rsidRPr="00F5596D" w14:paraId="5BDC6493" w14:textId="77777777" w:rsidTr="00E61B34">
        <w:trPr>
          <w:trHeight w:val="242"/>
          <w:tblHeader/>
          <w:jc w:val="right"/>
        </w:trPr>
        <w:tc>
          <w:tcPr>
            <w:tcW w:w="2105" w:type="pct"/>
            <w:shd w:val="clear" w:color="auto" w:fill="auto"/>
            <w:noWrap/>
            <w:vAlign w:val="center"/>
            <w:hideMark/>
          </w:tcPr>
          <w:p w14:paraId="6A0D90A9"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Акцизе</w:t>
            </w:r>
          </w:p>
        </w:tc>
        <w:tc>
          <w:tcPr>
            <w:tcW w:w="697" w:type="pct"/>
            <w:shd w:val="clear" w:color="auto" w:fill="auto"/>
            <w:hideMark/>
          </w:tcPr>
          <w:p w14:paraId="2573A33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134,6</w:t>
            </w:r>
          </w:p>
        </w:tc>
        <w:tc>
          <w:tcPr>
            <w:tcW w:w="900" w:type="pct"/>
            <w:shd w:val="clear" w:color="auto" w:fill="auto"/>
            <w:hideMark/>
          </w:tcPr>
          <w:p w14:paraId="604996E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136,2</w:t>
            </w:r>
          </w:p>
        </w:tc>
        <w:tc>
          <w:tcPr>
            <w:tcW w:w="1298" w:type="pct"/>
            <w:shd w:val="clear" w:color="auto" w:fill="auto"/>
            <w:hideMark/>
          </w:tcPr>
          <w:p w14:paraId="022EE38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2,6</w:t>
            </w:r>
          </w:p>
        </w:tc>
      </w:tr>
      <w:tr w:rsidR="00025AFA" w:rsidRPr="00F5596D" w14:paraId="6FB270E8" w14:textId="77777777" w:rsidTr="00E61B34">
        <w:trPr>
          <w:trHeight w:val="242"/>
          <w:tblHeader/>
          <w:jc w:val="right"/>
        </w:trPr>
        <w:tc>
          <w:tcPr>
            <w:tcW w:w="2105" w:type="pct"/>
            <w:shd w:val="clear" w:color="auto" w:fill="auto"/>
            <w:noWrap/>
            <w:vAlign w:val="center"/>
            <w:hideMark/>
          </w:tcPr>
          <w:p w14:paraId="310B38C4"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Царине</w:t>
            </w:r>
          </w:p>
        </w:tc>
        <w:tc>
          <w:tcPr>
            <w:tcW w:w="697" w:type="pct"/>
            <w:shd w:val="clear" w:color="auto" w:fill="auto"/>
            <w:hideMark/>
          </w:tcPr>
          <w:p w14:paraId="168D8E1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28,9</w:t>
            </w:r>
          </w:p>
        </w:tc>
        <w:tc>
          <w:tcPr>
            <w:tcW w:w="900" w:type="pct"/>
            <w:shd w:val="clear" w:color="auto" w:fill="auto"/>
            <w:hideMark/>
          </w:tcPr>
          <w:p w14:paraId="4F9209B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30,3</w:t>
            </w:r>
          </w:p>
        </w:tc>
        <w:tc>
          <w:tcPr>
            <w:tcW w:w="1298" w:type="pct"/>
            <w:shd w:val="clear" w:color="auto" w:fill="auto"/>
            <w:hideMark/>
          </w:tcPr>
          <w:p w14:paraId="308B6BC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6,6</w:t>
            </w:r>
          </w:p>
        </w:tc>
      </w:tr>
      <w:tr w:rsidR="00025AFA" w:rsidRPr="00F5596D" w14:paraId="1B20423B" w14:textId="77777777" w:rsidTr="00E61B34">
        <w:trPr>
          <w:trHeight w:val="242"/>
          <w:tblHeader/>
          <w:jc w:val="right"/>
        </w:trPr>
        <w:tc>
          <w:tcPr>
            <w:tcW w:w="2105" w:type="pct"/>
            <w:shd w:val="clear" w:color="auto" w:fill="auto"/>
            <w:noWrap/>
            <w:vAlign w:val="center"/>
            <w:hideMark/>
          </w:tcPr>
          <w:p w14:paraId="2BA2564A"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Остали порески приходи</w:t>
            </w:r>
          </w:p>
        </w:tc>
        <w:tc>
          <w:tcPr>
            <w:tcW w:w="697" w:type="pct"/>
            <w:shd w:val="clear" w:color="auto" w:fill="auto"/>
            <w:hideMark/>
          </w:tcPr>
          <w:p w14:paraId="0DD51ED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34,2</w:t>
            </w:r>
          </w:p>
        </w:tc>
        <w:tc>
          <w:tcPr>
            <w:tcW w:w="900" w:type="pct"/>
            <w:shd w:val="clear" w:color="auto" w:fill="auto"/>
            <w:hideMark/>
          </w:tcPr>
          <w:p w14:paraId="440CDC4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37,3</w:t>
            </w:r>
          </w:p>
        </w:tc>
        <w:tc>
          <w:tcPr>
            <w:tcW w:w="1298" w:type="pct"/>
            <w:shd w:val="clear" w:color="auto" w:fill="auto"/>
            <w:hideMark/>
          </w:tcPr>
          <w:p w14:paraId="3C6C204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3,2</w:t>
            </w:r>
          </w:p>
        </w:tc>
      </w:tr>
      <w:tr w:rsidR="00025AFA" w:rsidRPr="00F5596D" w14:paraId="78EBFF49" w14:textId="77777777" w:rsidTr="00E61B34">
        <w:trPr>
          <w:trHeight w:val="242"/>
          <w:tblHeader/>
          <w:jc w:val="right"/>
        </w:trPr>
        <w:tc>
          <w:tcPr>
            <w:tcW w:w="2105" w:type="pct"/>
            <w:shd w:val="clear" w:color="auto" w:fill="auto"/>
            <w:noWrap/>
            <w:vAlign w:val="center"/>
            <w:hideMark/>
          </w:tcPr>
          <w:p w14:paraId="3F99888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Доприноси</w:t>
            </w:r>
          </w:p>
        </w:tc>
        <w:tc>
          <w:tcPr>
            <w:tcW w:w="697" w:type="pct"/>
            <w:shd w:val="clear" w:color="auto" w:fill="auto"/>
            <w:hideMark/>
          </w:tcPr>
          <w:p w14:paraId="0016AA1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395,6</w:t>
            </w:r>
          </w:p>
        </w:tc>
        <w:tc>
          <w:tcPr>
            <w:tcW w:w="900" w:type="pct"/>
            <w:shd w:val="clear" w:color="auto" w:fill="auto"/>
            <w:hideMark/>
          </w:tcPr>
          <w:p w14:paraId="0088C792"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434,8</w:t>
            </w:r>
          </w:p>
        </w:tc>
        <w:tc>
          <w:tcPr>
            <w:tcW w:w="1298" w:type="pct"/>
            <w:shd w:val="clear" w:color="auto" w:fill="auto"/>
            <w:hideMark/>
          </w:tcPr>
          <w:p w14:paraId="1A5CE5E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11,4</w:t>
            </w:r>
          </w:p>
        </w:tc>
      </w:tr>
      <w:tr w:rsidR="00025AFA" w:rsidRPr="00F5596D" w14:paraId="34FEF1B3" w14:textId="77777777" w:rsidTr="00E61B34">
        <w:trPr>
          <w:trHeight w:val="242"/>
          <w:tblHeader/>
          <w:jc w:val="right"/>
        </w:trPr>
        <w:tc>
          <w:tcPr>
            <w:tcW w:w="2105" w:type="pct"/>
            <w:shd w:val="clear" w:color="auto" w:fill="auto"/>
            <w:noWrap/>
            <w:vAlign w:val="center"/>
            <w:hideMark/>
          </w:tcPr>
          <w:p w14:paraId="10AD82E7"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Непорески приходи</w:t>
            </w:r>
          </w:p>
        </w:tc>
        <w:tc>
          <w:tcPr>
            <w:tcW w:w="697" w:type="pct"/>
            <w:shd w:val="clear" w:color="auto" w:fill="auto"/>
            <w:hideMark/>
          </w:tcPr>
          <w:p w14:paraId="6B839F0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125,4</w:t>
            </w:r>
          </w:p>
        </w:tc>
        <w:tc>
          <w:tcPr>
            <w:tcW w:w="900" w:type="pct"/>
            <w:shd w:val="clear" w:color="auto" w:fill="auto"/>
            <w:hideMark/>
          </w:tcPr>
          <w:p w14:paraId="3378917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116,0</w:t>
            </w:r>
          </w:p>
        </w:tc>
        <w:tc>
          <w:tcPr>
            <w:tcW w:w="1298" w:type="pct"/>
            <w:shd w:val="clear" w:color="auto" w:fill="auto"/>
            <w:hideMark/>
          </w:tcPr>
          <w:p w14:paraId="3371EF8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4,9</w:t>
            </w:r>
          </w:p>
        </w:tc>
      </w:tr>
      <w:tr w:rsidR="00025AFA" w:rsidRPr="00F5596D" w14:paraId="2995B5EC" w14:textId="77777777" w:rsidTr="00E61B34">
        <w:trPr>
          <w:trHeight w:val="242"/>
          <w:tblHeader/>
          <w:jc w:val="right"/>
        </w:trPr>
        <w:tc>
          <w:tcPr>
            <w:tcW w:w="2105" w:type="pct"/>
            <w:shd w:val="clear" w:color="auto" w:fill="auto"/>
            <w:noWrap/>
            <w:vAlign w:val="center"/>
            <w:hideMark/>
          </w:tcPr>
          <w:p w14:paraId="338B29D5"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Донације</w:t>
            </w:r>
          </w:p>
        </w:tc>
        <w:tc>
          <w:tcPr>
            <w:tcW w:w="697" w:type="pct"/>
            <w:shd w:val="clear" w:color="auto" w:fill="auto"/>
            <w:hideMark/>
          </w:tcPr>
          <w:p w14:paraId="7CD0A6F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4,8</w:t>
            </w:r>
          </w:p>
        </w:tc>
        <w:tc>
          <w:tcPr>
            <w:tcW w:w="900" w:type="pct"/>
            <w:shd w:val="clear" w:color="auto" w:fill="auto"/>
            <w:hideMark/>
          </w:tcPr>
          <w:p w14:paraId="6BA35D9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3,8</w:t>
            </w:r>
          </w:p>
        </w:tc>
        <w:tc>
          <w:tcPr>
            <w:tcW w:w="1298" w:type="pct"/>
            <w:shd w:val="clear" w:color="auto" w:fill="auto"/>
            <w:hideMark/>
          </w:tcPr>
          <w:p w14:paraId="7549C19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80,3</w:t>
            </w:r>
          </w:p>
        </w:tc>
      </w:tr>
      <w:tr w:rsidR="00025AFA" w:rsidRPr="00F5596D" w14:paraId="016B268D" w14:textId="77777777" w:rsidTr="00E61B34">
        <w:trPr>
          <w:trHeight w:val="242"/>
          <w:tblHeader/>
          <w:jc w:val="right"/>
        </w:trPr>
        <w:tc>
          <w:tcPr>
            <w:tcW w:w="2105" w:type="pct"/>
            <w:shd w:val="clear" w:color="auto" w:fill="E7E6E6" w:themeFill="background2"/>
            <w:noWrap/>
            <w:vAlign w:val="center"/>
            <w:hideMark/>
          </w:tcPr>
          <w:p w14:paraId="6F70EB62"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ЈАВНИ РАСХОДИ</w:t>
            </w:r>
          </w:p>
        </w:tc>
        <w:tc>
          <w:tcPr>
            <w:tcW w:w="697" w:type="pct"/>
            <w:shd w:val="clear" w:color="auto" w:fill="E7E6E6" w:themeFill="background2"/>
            <w:hideMark/>
          </w:tcPr>
          <w:p w14:paraId="5A0307D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1.265,9</w:t>
            </w:r>
          </w:p>
        </w:tc>
        <w:tc>
          <w:tcPr>
            <w:tcW w:w="900" w:type="pct"/>
            <w:shd w:val="clear" w:color="auto" w:fill="E7E6E6" w:themeFill="background2"/>
            <w:noWrap/>
            <w:hideMark/>
          </w:tcPr>
          <w:p w14:paraId="415072A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1.350,8</w:t>
            </w:r>
          </w:p>
        </w:tc>
        <w:tc>
          <w:tcPr>
            <w:tcW w:w="1298" w:type="pct"/>
            <w:shd w:val="clear" w:color="auto" w:fill="E7E6E6" w:themeFill="background2"/>
            <w:hideMark/>
          </w:tcPr>
          <w:p w14:paraId="464C8A87"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9,9</w:t>
            </w:r>
          </w:p>
        </w:tc>
      </w:tr>
      <w:tr w:rsidR="00025AFA" w:rsidRPr="00F5596D" w14:paraId="11AB40D9" w14:textId="77777777" w:rsidTr="00E61B34">
        <w:trPr>
          <w:trHeight w:val="242"/>
          <w:tblHeader/>
          <w:jc w:val="right"/>
        </w:trPr>
        <w:tc>
          <w:tcPr>
            <w:tcW w:w="2105" w:type="pct"/>
            <w:shd w:val="clear" w:color="auto" w:fill="auto"/>
            <w:noWrap/>
            <w:vAlign w:val="center"/>
            <w:hideMark/>
          </w:tcPr>
          <w:p w14:paraId="06B2A9F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Текући расходи</w:t>
            </w:r>
          </w:p>
        </w:tc>
        <w:tc>
          <w:tcPr>
            <w:tcW w:w="697" w:type="pct"/>
            <w:shd w:val="clear" w:color="auto" w:fill="auto"/>
            <w:hideMark/>
          </w:tcPr>
          <w:p w14:paraId="0F2F522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1.108,3</w:t>
            </w:r>
          </w:p>
        </w:tc>
        <w:tc>
          <w:tcPr>
            <w:tcW w:w="900" w:type="pct"/>
            <w:shd w:val="clear" w:color="auto" w:fill="auto"/>
            <w:noWrap/>
            <w:hideMark/>
          </w:tcPr>
          <w:p w14:paraId="256F9D5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1.155,7</w:t>
            </w:r>
          </w:p>
        </w:tc>
        <w:tc>
          <w:tcPr>
            <w:tcW w:w="1298" w:type="pct"/>
            <w:shd w:val="clear" w:color="auto" w:fill="auto"/>
            <w:hideMark/>
          </w:tcPr>
          <w:p w14:paraId="45F2E0EA"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10,8</w:t>
            </w:r>
          </w:p>
        </w:tc>
      </w:tr>
      <w:tr w:rsidR="00025AFA" w:rsidRPr="00F5596D" w14:paraId="2607B619" w14:textId="77777777" w:rsidTr="00E61B34">
        <w:trPr>
          <w:trHeight w:val="242"/>
          <w:tblHeader/>
          <w:jc w:val="right"/>
        </w:trPr>
        <w:tc>
          <w:tcPr>
            <w:tcW w:w="2105" w:type="pct"/>
            <w:shd w:val="clear" w:color="auto" w:fill="auto"/>
            <w:noWrap/>
            <w:vAlign w:val="center"/>
            <w:hideMark/>
          </w:tcPr>
          <w:p w14:paraId="71E379BB"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Расходи за запослене</w:t>
            </w:r>
          </w:p>
        </w:tc>
        <w:tc>
          <w:tcPr>
            <w:tcW w:w="697" w:type="pct"/>
            <w:shd w:val="clear" w:color="auto" w:fill="auto"/>
            <w:hideMark/>
          </w:tcPr>
          <w:p w14:paraId="3EC1DDEA"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309,5</w:t>
            </w:r>
          </w:p>
        </w:tc>
        <w:tc>
          <w:tcPr>
            <w:tcW w:w="900" w:type="pct"/>
            <w:shd w:val="clear" w:color="auto" w:fill="auto"/>
            <w:hideMark/>
          </w:tcPr>
          <w:p w14:paraId="2E6B31E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322,7</w:t>
            </w:r>
          </w:p>
        </w:tc>
        <w:tc>
          <w:tcPr>
            <w:tcW w:w="1298" w:type="pct"/>
            <w:shd w:val="clear" w:color="auto" w:fill="auto"/>
            <w:hideMark/>
          </w:tcPr>
          <w:p w14:paraId="616620D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12,8</w:t>
            </w:r>
          </w:p>
        </w:tc>
      </w:tr>
      <w:tr w:rsidR="00025AFA" w:rsidRPr="00F5596D" w14:paraId="4BA3D535" w14:textId="77777777" w:rsidTr="00E61B34">
        <w:trPr>
          <w:trHeight w:val="242"/>
          <w:tblHeader/>
          <w:jc w:val="right"/>
        </w:trPr>
        <w:tc>
          <w:tcPr>
            <w:tcW w:w="2105" w:type="pct"/>
            <w:shd w:val="clear" w:color="auto" w:fill="auto"/>
            <w:noWrap/>
            <w:vAlign w:val="center"/>
            <w:hideMark/>
          </w:tcPr>
          <w:p w14:paraId="10E1A19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Куповина робе и услуга</w:t>
            </w:r>
          </w:p>
        </w:tc>
        <w:tc>
          <w:tcPr>
            <w:tcW w:w="697" w:type="pct"/>
            <w:shd w:val="clear" w:color="auto" w:fill="auto"/>
            <w:hideMark/>
          </w:tcPr>
          <w:p w14:paraId="3B00124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194,1</w:t>
            </w:r>
          </w:p>
        </w:tc>
        <w:tc>
          <w:tcPr>
            <w:tcW w:w="900" w:type="pct"/>
            <w:shd w:val="clear" w:color="auto" w:fill="auto"/>
            <w:hideMark/>
          </w:tcPr>
          <w:p w14:paraId="0CC9855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207,0</w:t>
            </w:r>
          </w:p>
        </w:tc>
        <w:tc>
          <w:tcPr>
            <w:tcW w:w="1298" w:type="pct"/>
            <w:shd w:val="clear" w:color="auto" w:fill="auto"/>
            <w:hideMark/>
          </w:tcPr>
          <w:p w14:paraId="2A0CE46C"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16,4</w:t>
            </w:r>
          </w:p>
        </w:tc>
      </w:tr>
      <w:tr w:rsidR="00025AFA" w:rsidRPr="00F5596D" w14:paraId="1E62226C" w14:textId="77777777" w:rsidTr="00E61B34">
        <w:trPr>
          <w:trHeight w:val="242"/>
          <w:tblHeader/>
          <w:jc w:val="right"/>
        </w:trPr>
        <w:tc>
          <w:tcPr>
            <w:tcW w:w="2105" w:type="pct"/>
            <w:shd w:val="clear" w:color="auto" w:fill="auto"/>
            <w:noWrap/>
            <w:vAlign w:val="center"/>
            <w:hideMark/>
          </w:tcPr>
          <w:p w14:paraId="67372127"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Отплата камата</w:t>
            </w:r>
          </w:p>
        </w:tc>
        <w:tc>
          <w:tcPr>
            <w:tcW w:w="697" w:type="pct"/>
            <w:shd w:val="clear" w:color="auto" w:fill="auto"/>
            <w:hideMark/>
          </w:tcPr>
          <w:p w14:paraId="48FFB946"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77,0</w:t>
            </w:r>
          </w:p>
        </w:tc>
        <w:tc>
          <w:tcPr>
            <w:tcW w:w="900" w:type="pct"/>
            <w:shd w:val="clear" w:color="auto" w:fill="auto"/>
            <w:hideMark/>
          </w:tcPr>
          <w:p w14:paraId="15737FA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63,3</w:t>
            </w:r>
          </w:p>
        </w:tc>
        <w:tc>
          <w:tcPr>
            <w:tcW w:w="1298" w:type="pct"/>
            <w:shd w:val="clear" w:color="auto" w:fill="auto"/>
            <w:hideMark/>
          </w:tcPr>
          <w:p w14:paraId="0AF61A7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23,4</w:t>
            </w:r>
          </w:p>
        </w:tc>
      </w:tr>
      <w:tr w:rsidR="00025AFA" w:rsidRPr="00F5596D" w14:paraId="31EA7F10" w14:textId="77777777" w:rsidTr="00E61B34">
        <w:trPr>
          <w:trHeight w:val="242"/>
          <w:tblHeader/>
          <w:jc w:val="right"/>
        </w:trPr>
        <w:tc>
          <w:tcPr>
            <w:tcW w:w="2105" w:type="pct"/>
            <w:shd w:val="clear" w:color="auto" w:fill="auto"/>
            <w:noWrap/>
            <w:vAlign w:val="center"/>
            <w:hideMark/>
          </w:tcPr>
          <w:p w14:paraId="35CF3EE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Субвенције</w:t>
            </w:r>
          </w:p>
        </w:tc>
        <w:tc>
          <w:tcPr>
            <w:tcW w:w="697" w:type="pct"/>
            <w:shd w:val="clear" w:color="auto" w:fill="auto"/>
            <w:hideMark/>
          </w:tcPr>
          <w:p w14:paraId="6AAC400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72,0</w:t>
            </w:r>
          </w:p>
        </w:tc>
        <w:tc>
          <w:tcPr>
            <w:tcW w:w="900" w:type="pct"/>
            <w:shd w:val="clear" w:color="auto" w:fill="auto"/>
            <w:hideMark/>
          </w:tcPr>
          <w:p w14:paraId="6D21949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68,2</w:t>
            </w:r>
          </w:p>
        </w:tc>
        <w:tc>
          <w:tcPr>
            <w:tcW w:w="1298" w:type="pct"/>
            <w:shd w:val="clear" w:color="auto" w:fill="auto"/>
            <w:hideMark/>
          </w:tcPr>
          <w:p w14:paraId="3C4EB10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1,7</w:t>
            </w:r>
          </w:p>
        </w:tc>
      </w:tr>
      <w:tr w:rsidR="00025AFA" w:rsidRPr="00F5596D" w14:paraId="02F9763E" w14:textId="77777777" w:rsidTr="00E61B34">
        <w:trPr>
          <w:trHeight w:val="242"/>
          <w:tblHeader/>
          <w:jc w:val="right"/>
        </w:trPr>
        <w:tc>
          <w:tcPr>
            <w:tcW w:w="2105" w:type="pct"/>
            <w:shd w:val="clear" w:color="auto" w:fill="auto"/>
            <w:noWrap/>
            <w:vAlign w:val="center"/>
            <w:hideMark/>
          </w:tcPr>
          <w:p w14:paraId="0C1945A8"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Социјална помоћ и трансфери</w:t>
            </w:r>
          </w:p>
        </w:tc>
        <w:tc>
          <w:tcPr>
            <w:tcW w:w="697" w:type="pct"/>
            <w:shd w:val="clear" w:color="auto" w:fill="auto"/>
            <w:hideMark/>
          </w:tcPr>
          <w:p w14:paraId="4092046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412,0</w:t>
            </w:r>
          </w:p>
        </w:tc>
        <w:tc>
          <w:tcPr>
            <w:tcW w:w="900" w:type="pct"/>
            <w:shd w:val="clear" w:color="auto" w:fill="auto"/>
            <w:hideMark/>
          </w:tcPr>
          <w:p w14:paraId="3CBF394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457,1</w:t>
            </w:r>
          </w:p>
        </w:tc>
        <w:tc>
          <w:tcPr>
            <w:tcW w:w="1298" w:type="pct"/>
            <w:shd w:val="clear" w:color="auto" w:fill="auto"/>
            <w:hideMark/>
          </w:tcPr>
          <w:p w14:paraId="0F06626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7,2</w:t>
            </w:r>
          </w:p>
        </w:tc>
      </w:tr>
      <w:tr w:rsidR="00025AFA" w:rsidRPr="00F5596D" w14:paraId="1BAE88AC" w14:textId="77777777" w:rsidTr="00E61B34">
        <w:trPr>
          <w:trHeight w:val="242"/>
          <w:tblHeader/>
          <w:jc w:val="right"/>
        </w:trPr>
        <w:tc>
          <w:tcPr>
            <w:tcW w:w="2105" w:type="pct"/>
            <w:shd w:val="clear" w:color="auto" w:fill="auto"/>
            <w:noWrap/>
            <w:vAlign w:val="center"/>
            <w:hideMark/>
          </w:tcPr>
          <w:p w14:paraId="3739C8D2"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од чега пензије</w:t>
            </w:r>
          </w:p>
        </w:tc>
        <w:tc>
          <w:tcPr>
            <w:tcW w:w="697" w:type="pct"/>
            <w:shd w:val="clear" w:color="auto" w:fill="auto"/>
            <w:hideMark/>
          </w:tcPr>
          <w:p w14:paraId="3ED9DEC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309,3</w:t>
            </w:r>
          </w:p>
        </w:tc>
        <w:tc>
          <w:tcPr>
            <w:tcW w:w="900" w:type="pct"/>
            <w:shd w:val="clear" w:color="auto" w:fill="auto"/>
            <w:hideMark/>
          </w:tcPr>
          <w:p w14:paraId="47447BD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349,7</w:t>
            </w:r>
          </w:p>
        </w:tc>
        <w:tc>
          <w:tcPr>
            <w:tcW w:w="1298" w:type="pct"/>
            <w:shd w:val="clear" w:color="auto" w:fill="auto"/>
            <w:hideMark/>
          </w:tcPr>
          <w:p w14:paraId="2950CBF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12,1</w:t>
            </w:r>
          </w:p>
        </w:tc>
      </w:tr>
      <w:tr w:rsidR="00025AFA" w:rsidRPr="00F5596D" w14:paraId="1BFEA684" w14:textId="77777777" w:rsidTr="00E61B34">
        <w:trPr>
          <w:trHeight w:val="242"/>
          <w:tblHeader/>
          <w:jc w:val="right"/>
        </w:trPr>
        <w:tc>
          <w:tcPr>
            <w:tcW w:w="2105" w:type="pct"/>
            <w:shd w:val="clear" w:color="auto" w:fill="auto"/>
            <w:noWrap/>
            <w:vAlign w:val="center"/>
            <w:hideMark/>
          </w:tcPr>
          <w:p w14:paraId="11BDE735"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Остали текући расходи</w:t>
            </w:r>
          </w:p>
        </w:tc>
        <w:tc>
          <w:tcPr>
            <w:tcW w:w="697" w:type="pct"/>
            <w:shd w:val="clear" w:color="auto" w:fill="auto"/>
            <w:hideMark/>
          </w:tcPr>
          <w:p w14:paraId="3D5BA2F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43,6</w:t>
            </w:r>
          </w:p>
        </w:tc>
        <w:tc>
          <w:tcPr>
            <w:tcW w:w="900" w:type="pct"/>
            <w:shd w:val="clear" w:color="auto" w:fill="auto"/>
            <w:hideMark/>
          </w:tcPr>
          <w:p w14:paraId="7F88895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37,4</w:t>
            </w:r>
          </w:p>
        </w:tc>
        <w:tc>
          <w:tcPr>
            <w:tcW w:w="1298" w:type="pct"/>
            <w:shd w:val="clear" w:color="auto" w:fill="auto"/>
            <w:hideMark/>
          </w:tcPr>
          <w:p w14:paraId="340AC399"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2,3</w:t>
            </w:r>
          </w:p>
        </w:tc>
      </w:tr>
      <w:tr w:rsidR="00025AFA" w:rsidRPr="00F5596D" w14:paraId="68F828E2" w14:textId="77777777" w:rsidTr="00E61B34">
        <w:trPr>
          <w:trHeight w:val="242"/>
          <w:tblHeader/>
          <w:jc w:val="right"/>
        </w:trPr>
        <w:tc>
          <w:tcPr>
            <w:tcW w:w="2105" w:type="pct"/>
            <w:shd w:val="clear" w:color="auto" w:fill="auto"/>
            <w:noWrap/>
            <w:vAlign w:val="center"/>
            <w:hideMark/>
          </w:tcPr>
          <w:p w14:paraId="1346D8F1"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Капитални расходи</w:t>
            </w:r>
          </w:p>
        </w:tc>
        <w:tc>
          <w:tcPr>
            <w:tcW w:w="697" w:type="pct"/>
            <w:shd w:val="clear" w:color="auto" w:fill="auto"/>
            <w:hideMark/>
          </w:tcPr>
          <w:p w14:paraId="1FFD57D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143,8</w:t>
            </w:r>
          </w:p>
        </w:tc>
        <w:tc>
          <w:tcPr>
            <w:tcW w:w="900" w:type="pct"/>
            <w:shd w:val="clear" w:color="auto" w:fill="auto"/>
            <w:hideMark/>
          </w:tcPr>
          <w:p w14:paraId="5520899B"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181,6</w:t>
            </w:r>
          </w:p>
        </w:tc>
        <w:tc>
          <w:tcPr>
            <w:tcW w:w="1298" w:type="pct"/>
            <w:shd w:val="clear" w:color="auto" w:fill="auto"/>
            <w:hideMark/>
          </w:tcPr>
          <w:p w14:paraId="5C4BF4B8"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5,8</w:t>
            </w:r>
          </w:p>
        </w:tc>
      </w:tr>
      <w:tr w:rsidR="00025AFA" w:rsidRPr="00F5596D" w14:paraId="563C55CC" w14:textId="77777777" w:rsidTr="00E61B34">
        <w:trPr>
          <w:trHeight w:val="242"/>
          <w:tblHeader/>
          <w:jc w:val="right"/>
        </w:trPr>
        <w:tc>
          <w:tcPr>
            <w:tcW w:w="2105" w:type="pct"/>
            <w:shd w:val="clear" w:color="auto" w:fill="auto"/>
            <w:noWrap/>
            <w:vAlign w:val="center"/>
            <w:hideMark/>
          </w:tcPr>
          <w:p w14:paraId="1345517A"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Нето буџетске позајмице</w:t>
            </w:r>
          </w:p>
        </w:tc>
        <w:tc>
          <w:tcPr>
            <w:tcW w:w="697" w:type="pct"/>
            <w:shd w:val="clear" w:color="auto" w:fill="auto"/>
            <w:hideMark/>
          </w:tcPr>
          <w:p w14:paraId="655373F5"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6,4</w:t>
            </w:r>
          </w:p>
        </w:tc>
        <w:tc>
          <w:tcPr>
            <w:tcW w:w="900" w:type="pct"/>
            <w:shd w:val="clear" w:color="auto" w:fill="auto"/>
            <w:hideMark/>
          </w:tcPr>
          <w:p w14:paraId="4D947883"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5,7</w:t>
            </w:r>
          </w:p>
        </w:tc>
        <w:tc>
          <w:tcPr>
            <w:tcW w:w="1298" w:type="pct"/>
            <w:shd w:val="clear" w:color="auto" w:fill="auto"/>
            <w:hideMark/>
          </w:tcPr>
          <w:p w14:paraId="53E012C1"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32,2</w:t>
            </w:r>
          </w:p>
        </w:tc>
      </w:tr>
      <w:tr w:rsidR="00025AFA" w:rsidRPr="00F5596D" w14:paraId="58E98CAC" w14:textId="77777777" w:rsidTr="00E61B34">
        <w:trPr>
          <w:trHeight w:val="242"/>
          <w:tblHeader/>
          <w:jc w:val="right"/>
        </w:trPr>
        <w:tc>
          <w:tcPr>
            <w:tcW w:w="2105" w:type="pct"/>
            <w:shd w:val="clear" w:color="auto" w:fill="auto"/>
            <w:noWrap/>
            <w:vAlign w:val="center"/>
            <w:hideMark/>
          </w:tcPr>
          <w:p w14:paraId="63B44B39" w14:textId="77777777" w:rsidR="00025AFA" w:rsidRPr="00F5596D" w:rsidRDefault="00025AFA" w:rsidP="00E61B34">
            <w:pPr>
              <w:spacing w:after="0" w:line="240" w:lineRule="auto"/>
              <w:jc w:val="left"/>
              <w:rPr>
                <w:rFonts w:eastAsia="MS PGothic" w:cstheme="minorHAnsi"/>
                <w:color w:val="002060"/>
                <w:sz w:val="16"/>
                <w:szCs w:val="16"/>
                <w:lang w:val="sr-Cyrl-CS" w:eastAsia="ja-JP"/>
              </w:rPr>
            </w:pPr>
            <w:r w:rsidRPr="00F5596D">
              <w:rPr>
                <w:rFonts w:eastAsia="MS PGothic" w:cstheme="minorHAnsi"/>
                <w:color w:val="002060"/>
                <w:sz w:val="16"/>
                <w:szCs w:val="16"/>
                <w:lang w:val="sr-Cyrl-CS" w:eastAsia="ja-JP"/>
              </w:rPr>
              <w:t>Активиране гаранције</w:t>
            </w:r>
          </w:p>
        </w:tc>
        <w:tc>
          <w:tcPr>
            <w:tcW w:w="697" w:type="pct"/>
            <w:shd w:val="clear" w:color="auto" w:fill="auto"/>
            <w:hideMark/>
          </w:tcPr>
          <w:p w14:paraId="16B6BAED"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7,5</w:t>
            </w:r>
          </w:p>
        </w:tc>
        <w:tc>
          <w:tcPr>
            <w:tcW w:w="900" w:type="pct"/>
            <w:shd w:val="clear" w:color="auto" w:fill="auto"/>
            <w:hideMark/>
          </w:tcPr>
          <w:p w14:paraId="7B2DDB2E"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7,8</w:t>
            </w:r>
          </w:p>
        </w:tc>
        <w:tc>
          <w:tcPr>
            <w:tcW w:w="1298" w:type="pct"/>
            <w:shd w:val="clear" w:color="auto" w:fill="auto"/>
            <w:hideMark/>
          </w:tcPr>
          <w:p w14:paraId="293E5FA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-21,0</w:t>
            </w:r>
          </w:p>
        </w:tc>
      </w:tr>
      <w:tr w:rsidR="00025AFA" w:rsidRPr="00F5596D" w14:paraId="1A30134E" w14:textId="77777777" w:rsidTr="00E61B34">
        <w:trPr>
          <w:trHeight w:val="242"/>
          <w:tblHeader/>
          <w:jc w:val="right"/>
        </w:trPr>
        <w:tc>
          <w:tcPr>
            <w:tcW w:w="2105" w:type="pct"/>
            <w:tcBorders>
              <w:bottom w:val="single" w:sz="4" w:space="0" w:color="002060"/>
            </w:tcBorders>
            <w:shd w:val="clear" w:color="auto" w:fill="E7E6E6" w:themeFill="background2"/>
            <w:noWrap/>
            <w:vAlign w:val="center"/>
            <w:hideMark/>
          </w:tcPr>
          <w:p w14:paraId="12C682FF" w14:textId="77777777" w:rsidR="00025AFA" w:rsidRPr="00F5596D" w:rsidRDefault="00025AFA" w:rsidP="00E61B34">
            <w:pPr>
              <w:spacing w:after="0" w:line="240" w:lineRule="auto"/>
              <w:jc w:val="left"/>
              <w:rPr>
                <w:rFonts w:cstheme="minorHAnsi"/>
                <w:color w:val="002060"/>
                <w:sz w:val="16"/>
                <w:szCs w:val="16"/>
                <w:lang w:val="sr-Cyrl-CS"/>
              </w:rPr>
            </w:pPr>
            <w:r w:rsidRPr="00F5596D">
              <w:rPr>
                <w:rFonts w:eastAsia="MS PGothic" w:cstheme="minorHAnsi"/>
                <w:color w:val="002060"/>
                <w:sz w:val="16"/>
                <w:szCs w:val="16"/>
                <w:lang w:val="sr-Cyrl-CS" w:eastAsia="ja-JP"/>
              </w:rPr>
              <w:t>Фискални резултат</w:t>
            </w:r>
          </w:p>
        </w:tc>
        <w:tc>
          <w:tcPr>
            <w:tcW w:w="697" w:type="pct"/>
            <w:tcBorders>
              <w:bottom w:val="single" w:sz="4" w:space="0" w:color="002060"/>
            </w:tcBorders>
            <w:shd w:val="clear" w:color="auto" w:fill="E7E6E6" w:themeFill="background2"/>
            <w:hideMark/>
          </w:tcPr>
          <w:p w14:paraId="649C2250"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-25,6</w:t>
            </w:r>
          </w:p>
        </w:tc>
        <w:tc>
          <w:tcPr>
            <w:tcW w:w="900" w:type="pct"/>
            <w:tcBorders>
              <w:bottom w:val="single" w:sz="4" w:space="0" w:color="002060"/>
            </w:tcBorders>
            <w:shd w:val="clear" w:color="auto" w:fill="E7E6E6" w:themeFill="background2"/>
            <w:hideMark/>
          </w:tcPr>
          <w:p w14:paraId="54DD414F"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r w:rsidRPr="00F5596D">
              <w:rPr>
                <w:sz w:val="16"/>
                <w:szCs w:val="16"/>
                <w:lang w:val="sr-Cyrl-CS"/>
              </w:rPr>
              <w:t>-62,6</w:t>
            </w:r>
          </w:p>
        </w:tc>
        <w:tc>
          <w:tcPr>
            <w:tcW w:w="1298" w:type="pct"/>
            <w:tcBorders>
              <w:bottom w:val="single" w:sz="4" w:space="0" w:color="002060"/>
            </w:tcBorders>
            <w:shd w:val="clear" w:color="auto" w:fill="E7E6E6" w:themeFill="background2"/>
            <w:hideMark/>
          </w:tcPr>
          <w:p w14:paraId="471F6344" w14:textId="77777777" w:rsidR="00025AFA" w:rsidRPr="00F5596D" w:rsidRDefault="00025AFA" w:rsidP="00E61B34">
            <w:pPr>
              <w:spacing w:after="0" w:line="240" w:lineRule="auto"/>
              <w:jc w:val="right"/>
              <w:rPr>
                <w:rFonts w:eastAsia="MS PGothic" w:cstheme="minorHAnsi"/>
                <w:color w:val="002060"/>
                <w:sz w:val="16"/>
                <w:szCs w:val="16"/>
                <w:lang w:val="sr-Cyrl-CS" w:eastAsia="ja-JP"/>
              </w:rPr>
            </w:pPr>
          </w:p>
        </w:tc>
      </w:tr>
    </w:tbl>
    <w:p w14:paraId="41614485" w14:textId="77777777" w:rsidR="00025AFA" w:rsidRPr="00F5596D" w:rsidRDefault="00025AFA" w:rsidP="00025AFA">
      <w:pPr>
        <w:tabs>
          <w:tab w:val="left" w:pos="623"/>
        </w:tabs>
        <w:spacing w:after="0" w:line="240" w:lineRule="auto"/>
        <w:rPr>
          <w:rFonts w:cstheme="minorHAnsi"/>
          <w:sz w:val="16"/>
          <w:szCs w:val="16"/>
          <w:lang w:val="sr-Cyrl-CS"/>
        </w:rPr>
      </w:pPr>
      <w:r w:rsidRPr="00F5596D">
        <w:rPr>
          <w:rFonts w:eastAsia="Calibri" w:cstheme="minorHAnsi"/>
          <w:bCs/>
          <w:sz w:val="16"/>
          <w:szCs w:val="16"/>
          <w:lang w:val="sr-Cyrl-CS" w:eastAsia="ja-JP"/>
        </w:rPr>
        <w:t xml:space="preserve">Извор: </w:t>
      </w:r>
      <w:r w:rsidRPr="00F5596D">
        <w:rPr>
          <w:rFonts w:cstheme="minorHAnsi"/>
          <w:sz w:val="16"/>
          <w:szCs w:val="16"/>
          <w:lang w:val="sr-Cyrl-CS"/>
        </w:rPr>
        <w:t>Министарство финансија</w:t>
      </w:r>
    </w:p>
    <w:p w14:paraId="4B8E6A19" w14:textId="77777777" w:rsidR="00025AFA" w:rsidRPr="00F5596D" w:rsidRDefault="00025AFA" w:rsidP="00025AFA">
      <w:pPr>
        <w:tabs>
          <w:tab w:val="left" w:pos="623"/>
        </w:tabs>
        <w:spacing w:after="120" w:line="240" w:lineRule="auto"/>
        <w:rPr>
          <w:rFonts w:cstheme="minorHAnsi"/>
          <w:sz w:val="16"/>
          <w:szCs w:val="16"/>
          <w:lang w:val="sr-Cyrl-CS"/>
        </w:rPr>
      </w:pPr>
    </w:p>
    <w:p w14:paraId="31891B5F" w14:textId="77777777" w:rsidR="00025AFA" w:rsidRPr="00F5596D" w:rsidRDefault="00025AFA" w:rsidP="00025AFA">
      <w:pPr>
        <w:spacing w:after="120"/>
        <w:rPr>
          <w:rFonts w:eastAsia="MS PGothic" w:cstheme="minorHAnsi"/>
          <w:szCs w:val="20"/>
          <w:lang w:val="sr-Cyrl-CS" w:eastAsia="ja-JP"/>
        </w:rPr>
        <w:sectPr w:rsidR="00025AFA" w:rsidRPr="00F5596D" w:rsidSect="00E61B34">
          <w:type w:val="continuous"/>
          <w:pgSz w:w="12240" w:h="15840" w:code="1"/>
          <w:pgMar w:top="1440" w:right="1440" w:bottom="1440" w:left="1440" w:header="720" w:footer="720" w:gutter="0"/>
          <w:cols w:space="720"/>
          <w:docGrid w:linePitch="360"/>
        </w:sectPr>
      </w:pPr>
    </w:p>
    <w:p w14:paraId="73EBE0A1" w14:textId="77777777" w:rsidR="00025AFA" w:rsidRPr="00F5596D" w:rsidRDefault="00025AFA" w:rsidP="00025AFA">
      <w:pPr>
        <w:spacing w:after="120"/>
        <w:rPr>
          <w:rFonts w:eastAsia="MS PGothic" w:cstheme="minorHAnsi"/>
          <w:szCs w:val="20"/>
          <w:lang w:val="sr-Cyrl-CS" w:eastAsia="ja-JP"/>
        </w:rPr>
      </w:pPr>
      <w:r w:rsidRPr="00F5596D">
        <w:rPr>
          <w:rFonts w:eastAsia="MS PGothic" w:cstheme="minorHAnsi"/>
          <w:szCs w:val="20"/>
          <w:lang w:val="sr-Cyrl-CS" w:eastAsia="ja-JP"/>
        </w:rPr>
        <w:t xml:space="preserve">Стање доцњи (преко 60 дана кашњења)* буџетских корисника и ООСО последњег дана </w:t>
      </w:r>
      <w:r w:rsidRPr="00F5596D">
        <w:rPr>
          <w:lang w:val="sr-Cyrl-CS"/>
        </w:rPr>
        <w:t xml:space="preserve">марта </w:t>
      </w:r>
      <w:r w:rsidRPr="00F5596D">
        <w:rPr>
          <w:rFonts w:eastAsia="MS PGothic" w:cstheme="minorHAnsi"/>
          <w:szCs w:val="20"/>
          <w:lang w:val="sr-Cyrl-CS" w:eastAsia="ja-JP"/>
        </w:rPr>
        <w:t xml:space="preserve">2025. године износило је 8,1 млрд динара. </w:t>
      </w:r>
      <w:r w:rsidRPr="00F5596D">
        <w:rPr>
          <w:rFonts w:eastAsia="MS PGothic" w:cstheme="minorHAnsi"/>
          <w:szCs w:val="20"/>
          <w:lang w:val="sr-Cyrl-CS" w:eastAsia="ja-JP"/>
        </w:rPr>
        <w:t>Корисници буџета и ЈП „Путеви Србије” креирали су доцње у плаћању од 6,9 млрд динара, док је стање доцњи ООСО 1,2 млрд динара.</w:t>
      </w:r>
    </w:p>
    <w:p w14:paraId="3B156784" w14:textId="77777777" w:rsidR="00025AFA" w:rsidRPr="00F5596D" w:rsidRDefault="00025AFA" w:rsidP="00025AFA">
      <w:pPr>
        <w:jc w:val="left"/>
        <w:rPr>
          <w:rFonts w:eastAsia="MS PGothic" w:cstheme="minorHAnsi"/>
          <w:b/>
          <w:color w:val="002060"/>
          <w:szCs w:val="20"/>
          <w:lang w:val="sr-Cyrl-CS" w:eastAsia="ja-JP"/>
        </w:rPr>
        <w:sectPr w:rsidR="00025AFA" w:rsidRPr="00F5596D" w:rsidSect="00E61B34">
          <w:type w:val="continuous"/>
          <w:pgSz w:w="12240" w:h="15840" w:code="1"/>
          <w:pgMar w:top="1440" w:right="1440" w:bottom="1440" w:left="1440" w:header="720" w:footer="720" w:gutter="0"/>
          <w:cols w:num="2" w:space="720"/>
          <w:docGrid w:linePitch="360"/>
        </w:sectPr>
      </w:pPr>
    </w:p>
    <w:p w14:paraId="3F310380" w14:textId="77777777" w:rsidR="00025AFA" w:rsidRPr="00F5596D" w:rsidRDefault="00025AFA" w:rsidP="00025AFA">
      <w:pPr>
        <w:spacing w:after="0" w:line="240" w:lineRule="auto"/>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8. Стање доцњи буџетских корисника и ООСО</w:t>
      </w:r>
    </w:p>
    <w:tbl>
      <w:tblPr>
        <w:tblStyle w:val="LightShading-Accent335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025AFA" w:rsidRPr="00F5596D" w14:paraId="447D1BAC" w14:textId="77777777" w:rsidTr="00E61B3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left w:val="none" w:sz="0" w:space="0" w:color="auto"/>
              <w:bottom w:val="single" w:sz="4" w:space="0" w:color="002060"/>
              <w:right w:val="none" w:sz="0" w:space="0" w:color="auto"/>
            </w:tcBorders>
            <w:shd w:val="clear" w:color="auto" w:fill="auto"/>
            <w:noWrap/>
            <w:hideMark/>
          </w:tcPr>
          <w:p w14:paraId="56602974" w14:textId="77777777" w:rsidR="00025AFA" w:rsidRPr="00F5596D" w:rsidRDefault="00025AFA" w:rsidP="00E61B34">
            <w:pPr>
              <w:jc w:val="right"/>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 </w:t>
            </w:r>
          </w:p>
        </w:tc>
        <w:tc>
          <w:tcPr>
            <w:tcW w:w="1008" w:type="pct"/>
            <w:tcBorders>
              <w:top w:val="single" w:sz="4" w:space="0" w:color="002060"/>
              <w:left w:val="none" w:sz="0" w:space="0" w:color="auto"/>
              <w:bottom w:val="single" w:sz="4" w:space="0" w:color="002060"/>
              <w:right w:val="none" w:sz="0" w:space="0" w:color="auto"/>
            </w:tcBorders>
            <w:shd w:val="clear" w:color="auto" w:fill="auto"/>
          </w:tcPr>
          <w:p w14:paraId="42232CD2" w14:textId="77777777" w:rsidR="00025AFA" w:rsidRPr="00F5596D" w:rsidRDefault="00025AFA" w:rsidP="00E61B34">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31.12.2024.</w:t>
            </w:r>
          </w:p>
        </w:tc>
        <w:tc>
          <w:tcPr>
            <w:tcW w:w="1008" w:type="pct"/>
            <w:tcBorders>
              <w:top w:val="single" w:sz="4" w:space="0" w:color="002060"/>
              <w:left w:val="none" w:sz="0" w:space="0" w:color="auto"/>
              <w:bottom w:val="single" w:sz="4" w:space="0" w:color="002060"/>
              <w:right w:val="none" w:sz="0" w:space="0" w:color="auto"/>
            </w:tcBorders>
            <w:shd w:val="clear" w:color="auto" w:fill="auto"/>
          </w:tcPr>
          <w:p w14:paraId="5A7B3A6C" w14:textId="77777777" w:rsidR="00025AFA" w:rsidRPr="00F5596D" w:rsidRDefault="00025AFA" w:rsidP="00E61B34">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30.3.2025.</w:t>
            </w:r>
          </w:p>
        </w:tc>
      </w:tr>
      <w:tr w:rsidR="00025AFA" w:rsidRPr="00F5596D" w14:paraId="4942C929"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left w:val="none" w:sz="0" w:space="0" w:color="auto"/>
              <w:right w:val="none" w:sz="0" w:space="0" w:color="auto"/>
            </w:tcBorders>
            <w:shd w:val="clear" w:color="auto" w:fill="auto"/>
            <w:noWrap/>
            <w:hideMark/>
          </w:tcPr>
          <w:p w14:paraId="0E9B788B" w14:textId="77777777" w:rsidR="00025AFA" w:rsidRPr="00F5596D" w:rsidRDefault="00025AFA" w:rsidP="00E61B34">
            <w:pPr>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 xml:space="preserve">Буџетски корисници и ЈП „Путеви Србије” </w:t>
            </w:r>
          </w:p>
        </w:tc>
        <w:tc>
          <w:tcPr>
            <w:tcW w:w="1008" w:type="pct"/>
            <w:tcBorders>
              <w:top w:val="single" w:sz="4" w:space="0" w:color="002060"/>
              <w:left w:val="none" w:sz="0" w:space="0" w:color="auto"/>
              <w:right w:val="none" w:sz="0" w:space="0" w:color="auto"/>
            </w:tcBorders>
            <w:shd w:val="clear" w:color="auto" w:fill="auto"/>
          </w:tcPr>
          <w:p w14:paraId="7D6C24EA" w14:textId="77777777" w:rsidR="00025AFA" w:rsidRPr="00F5596D" w:rsidRDefault="00025AFA" w:rsidP="00E61B34">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9,4</w:t>
            </w:r>
          </w:p>
        </w:tc>
        <w:tc>
          <w:tcPr>
            <w:tcW w:w="1008" w:type="pct"/>
            <w:tcBorders>
              <w:top w:val="single" w:sz="4" w:space="0" w:color="002060"/>
              <w:left w:val="none" w:sz="0" w:space="0" w:color="auto"/>
              <w:right w:val="none" w:sz="0" w:space="0" w:color="auto"/>
            </w:tcBorders>
            <w:shd w:val="clear" w:color="auto" w:fill="auto"/>
          </w:tcPr>
          <w:p w14:paraId="38D11C98" w14:textId="77777777" w:rsidR="00025AFA" w:rsidRPr="00F5596D" w:rsidRDefault="00025AFA" w:rsidP="00E61B34">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6,9</w:t>
            </w:r>
          </w:p>
        </w:tc>
      </w:tr>
      <w:tr w:rsidR="00025AFA" w:rsidRPr="00F5596D" w14:paraId="091301C3"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hideMark/>
          </w:tcPr>
          <w:p w14:paraId="222C10D9" w14:textId="77777777" w:rsidR="00025AFA" w:rsidRPr="00F5596D" w:rsidRDefault="00025AFA" w:rsidP="00E61B34">
            <w:pPr>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ООСО</w:t>
            </w:r>
          </w:p>
        </w:tc>
        <w:tc>
          <w:tcPr>
            <w:tcW w:w="1008" w:type="pct"/>
            <w:shd w:val="clear" w:color="auto" w:fill="auto"/>
          </w:tcPr>
          <w:p w14:paraId="0F8F1E57" w14:textId="77777777" w:rsidR="00025AFA" w:rsidRPr="00F5596D" w:rsidRDefault="00025AFA" w:rsidP="00E61B34">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1,2</w:t>
            </w:r>
          </w:p>
        </w:tc>
        <w:tc>
          <w:tcPr>
            <w:tcW w:w="1008" w:type="pct"/>
            <w:shd w:val="clear" w:color="auto" w:fill="auto"/>
          </w:tcPr>
          <w:p w14:paraId="008BAA5A" w14:textId="77777777" w:rsidR="00025AFA" w:rsidRPr="00F5596D" w:rsidRDefault="00025AFA" w:rsidP="00E61B34">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1,2</w:t>
            </w:r>
          </w:p>
        </w:tc>
      </w:tr>
      <w:tr w:rsidR="00025AFA" w:rsidRPr="00F5596D" w14:paraId="25A4A386"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bottom w:val="single" w:sz="4" w:space="0" w:color="002060"/>
              <w:right w:val="none" w:sz="0" w:space="0" w:color="auto"/>
            </w:tcBorders>
            <w:shd w:val="clear" w:color="auto" w:fill="auto"/>
            <w:noWrap/>
            <w:hideMark/>
          </w:tcPr>
          <w:p w14:paraId="393738C2" w14:textId="77777777" w:rsidR="00025AFA" w:rsidRPr="00F5596D" w:rsidRDefault="00025AFA" w:rsidP="00E61B34">
            <w:pPr>
              <w:rPr>
                <w:rFonts w:asciiTheme="minorHAnsi" w:hAnsiTheme="minorHAnsi" w:cstheme="minorHAnsi"/>
                <w:b w:val="0"/>
                <w:color w:val="002060"/>
                <w:sz w:val="16"/>
                <w:szCs w:val="16"/>
                <w:lang w:val="sr-Cyrl-CS"/>
              </w:rPr>
            </w:pPr>
            <w:r w:rsidRPr="00F5596D">
              <w:rPr>
                <w:rFonts w:asciiTheme="minorHAnsi" w:hAnsiTheme="minorHAnsi" w:cstheme="minorHAnsi"/>
                <w:b w:val="0"/>
                <w:color w:val="002060"/>
                <w:sz w:val="16"/>
                <w:szCs w:val="16"/>
                <w:lang w:val="sr-Cyrl-CS"/>
              </w:rPr>
              <w:t>УКУПНО</w:t>
            </w:r>
          </w:p>
        </w:tc>
        <w:tc>
          <w:tcPr>
            <w:tcW w:w="1008" w:type="pct"/>
            <w:tcBorders>
              <w:left w:val="none" w:sz="0" w:space="0" w:color="auto"/>
              <w:bottom w:val="single" w:sz="4" w:space="0" w:color="002060"/>
              <w:right w:val="none" w:sz="0" w:space="0" w:color="auto"/>
            </w:tcBorders>
            <w:shd w:val="clear" w:color="auto" w:fill="auto"/>
          </w:tcPr>
          <w:p w14:paraId="1689422F" w14:textId="77777777" w:rsidR="00025AFA" w:rsidRPr="00F5596D" w:rsidRDefault="00025AFA" w:rsidP="00E61B34">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10,6</w:t>
            </w:r>
          </w:p>
        </w:tc>
        <w:tc>
          <w:tcPr>
            <w:tcW w:w="1008" w:type="pct"/>
            <w:tcBorders>
              <w:left w:val="none" w:sz="0" w:space="0" w:color="auto"/>
              <w:bottom w:val="single" w:sz="4" w:space="0" w:color="002060"/>
              <w:right w:val="none" w:sz="0" w:space="0" w:color="auto"/>
            </w:tcBorders>
            <w:shd w:val="clear" w:color="auto" w:fill="auto"/>
          </w:tcPr>
          <w:p w14:paraId="2ABCBCD3" w14:textId="77777777" w:rsidR="00025AFA" w:rsidRPr="00F5596D" w:rsidRDefault="00025AFA" w:rsidP="00E61B34">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6"/>
                <w:szCs w:val="16"/>
                <w:lang w:val="sr-Cyrl-CS"/>
              </w:rPr>
            </w:pPr>
            <w:r w:rsidRPr="00F5596D">
              <w:rPr>
                <w:rFonts w:asciiTheme="minorHAnsi" w:hAnsiTheme="minorHAnsi" w:cstheme="minorHAnsi"/>
                <w:color w:val="002060"/>
                <w:sz w:val="16"/>
                <w:szCs w:val="16"/>
                <w:lang w:val="sr-Cyrl-CS"/>
              </w:rPr>
              <w:t>8,1</w:t>
            </w:r>
          </w:p>
        </w:tc>
      </w:tr>
    </w:tbl>
    <w:p w14:paraId="38222059" w14:textId="77777777" w:rsidR="00025AFA" w:rsidRPr="00F5596D" w:rsidRDefault="00025AFA" w:rsidP="00025AFA">
      <w:pPr>
        <w:spacing w:after="0" w:line="240" w:lineRule="auto"/>
        <w:rPr>
          <w:rFonts w:eastAsia="MS PGothic" w:cstheme="minorHAnsi"/>
          <w:sz w:val="16"/>
          <w:szCs w:val="16"/>
          <w:lang w:val="sr-Cyrl-CS" w:eastAsia="ja-JP"/>
        </w:rPr>
      </w:pPr>
      <w:r w:rsidRPr="00F5596D">
        <w:rPr>
          <w:rFonts w:eastAsia="Calibri" w:cstheme="minorHAnsi"/>
          <w:bCs/>
          <w:sz w:val="14"/>
          <w:szCs w:val="14"/>
          <w:lang w:val="sr-Cyrl-CS" w:eastAsia="ja-JP"/>
        </w:rPr>
        <w:t xml:space="preserve">Извор: </w:t>
      </w:r>
      <w:r w:rsidRPr="00F5596D">
        <w:rPr>
          <w:rFonts w:cstheme="minorHAnsi"/>
          <w:sz w:val="14"/>
          <w:szCs w:val="14"/>
          <w:lang w:val="sr-Cyrl-CS"/>
        </w:rPr>
        <w:t xml:space="preserve">Министарство финансија; </w:t>
      </w:r>
      <w:r w:rsidRPr="00F5596D">
        <w:rPr>
          <w:rFonts w:eastAsia="MS PGothic" w:cstheme="minorHAnsi"/>
          <w:sz w:val="14"/>
          <w:szCs w:val="14"/>
          <w:lang w:val="sr-Cyrl-CS" w:eastAsia="ja-JP"/>
        </w:rPr>
        <w:t>* У складу са дефиницијом која се користи за потребе праћења спровођења аранжмана са ММФ</w:t>
      </w:r>
      <w:r w:rsidRPr="00F5596D">
        <w:rPr>
          <w:rFonts w:eastAsia="MS PGothic" w:cstheme="minorHAnsi"/>
          <w:sz w:val="16"/>
          <w:szCs w:val="16"/>
          <w:lang w:val="sr-Cyrl-CS" w:eastAsia="ja-JP"/>
        </w:rPr>
        <w:t>.</w:t>
      </w:r>
    </w:p>
    <w:p w14:paraId="103FD9EA" w14:textId="77777777" w:rsidR="00025AFA" w:rsidRPr="00F5596D" w:rsidRDefault="00025AFA" w:rsidP="00025AFA">
      <w:pPr>
        <w:spacing w:after="0" w:line="240" w:lineRule="auto"/>
        <w:rPr>
          <w:rFonts w:eastAsia="MS PGothic" w:cstheme="minorHAnsi"/>
          <w:sz w:val="16"/>
          <w:szCs w:val="16"/>
          <w:lang w:val="sr-Cyrl-CS" w:eastAsia="ja-JP"/>
        </w:rPr>
      </w:pPr>
    </w:p>
    <w:p w14:paraId="7C97A8D7" w14:textId="77777777" w:rsidR="00025AFA" w:rsidRPr="00F5596D" w:rsidRDefault="00025AFA" w:rsidP="00025AFA">
      <w:pPr>
        <w:spacing w:after="0" w:line="240" w:lineRule="auto"/>
        <w:rPr>
          <w:rFonts w:eastAsia="MS PGothic" w:cstheme="minorHAnsi"/>
          <w:sz w:val="16"/>
          <w:szCs w:val="16"/>
          <w:lang w:val="sr-Cyrl-CS" w:eastAsia="ja-JP"/>
        </w:rPr>
      </w:pPr>
    </w:p>
    <w:p w14:paraId="61354135" w14:textId="77777777" w:rsidR="00025AFA" w:rsidRPr="00F5596D" w:rsidRDefault="00025AFA" w:rsidP="00025AFA">
      <w:pPr>
        <w:spacing w:after="0" w:line="240" w:lineRule="auto"/>
        <w:rPr>
          <w:rFonts w:eastAsia="MS PGothic" w:cstheme="minorHAnsi"/>
          <w:sz w:val="16"/>
          <w:szCs w:val="16"/>
          <w:lang w:val="sr-Cyrl-CS" w:eastAsia="ja-JP"/>
        </w:rPr>
      </w:pPr>
    </w:p>
    <w:p w14:paraId="531366E5" w14:textId="77777777" w:rsidR="00025AFA" w:rsidRPr="00F5596D" w:rsidRDefault="00025AFA" w:rsidP="00025AFA">
      <w:pPr>
        <w:spacing w:after="0" w:line="240" w:lineRule="auto"/>
        <w:rPr>
          <w:rFonts w:eastAsia="MS PGothic" w:cstheme="minorHAnsi"/>
          <w:sz w:val="16"/>
          <w:szCs w:val="16"/>
          <w:lang w:val="sr-Cyrl-CS" w:eastAsia="ja-JP"/>
        </w:rPr>
      </w:pPr>
    </w:p>
    <w:p w14:paraId="2A5F3476" w14:textId="77777777" w:rsidR="00025AFA" w:rsidRPr="00F5596D" w:rsidRDefault="00025AFA" w:rsidP="00025AFA">
      <w:pPr>
        <w:spacing w:after="0" w:line="240" w:lineRule="auto"/>
        <w:rPr>
          <w:rFonts w:eastAsia="MS PGothic" w:cstheme="minorHAnsi"/>
          <w:sz w:val="16"/>
          <w:szCs w:val="16"/>
          <w:lang w:val="sr-Cyrl-CS" w:eastAsia="ja-JP"/>
        </w:rPr>
      </w:pPr>
    </w:p>
    <w:p w14:paraId="216C6178" w14:textId="77777777" w:rsidR="00025AFA" w:rsidRPr="00F5596D" w:rsidRDefault="00025AFA" w:rsidP="00025AFA">
      <w:pPr>
        <w:spacing w:after="0" w:line="240" w:lineRule="auto"/>
        <w:rPr>
          <w:rFonts w:eastAsia="MS PGothic" w:cstheme="minorHAnsi"/>
          <w:sz w:val="16"/>
          <w:szCs w:val="16"/>
          <w:lang w:val="sr-Cyrl-CS" w:eastAsia="ja-JP"/>
        </w:rPr>
      </w:pPr>
    </w:p>
    <w:p w14:paraId="55E400D3" w14:textId="77777777" w:rsidR="00025AFA" w:rsidRPr="00F5596D" w:rsidRDefault="00025AFA" w:rsidP="00025AFA">
      <w:pPr>
        <w:spacing w:after="0" w:line="240" w:lineRule="auto"/>
        <w:rPr>
          <w:rFonts w:eastAsia="MS PGothic" w:cstheme="minorHAnsi"/>
          <w:sz w:val="16"/>
          <w:szCs w:val="16"/>
          <w:lang w:val="sr-Cyrl-CS" w:eastAsia="ja-JP"/>
        </w:rPr>
      </w:pPr>
    </w:p>
    <w:p w14:paraId="27007C64" w14:textId="77777777" w:rsidR="00025AFA" w:rsidRPr="00F5596D" w:rsidRDefault="00025AFA" w:rsidP="00025AFA">
      <w:pPr>
        <w:spacing w:after="0" w:line="240" w:lineRule="auto"/>
        <w:rPr>
          <w:rFonts w:eastAsia="MS PGothic" w:cstheme="minorHAnsi"/>
          <w:sz w:val="16"/>
          <w:szCs w:val="16"/>
          <w:lang w:val="sr-Cyrl-CS" w:eastAsia="ja-JP"/>
        </w:rPr>
      </w:pPr>
    </w:p>
    <w:p w14:paraId="58B0C4B8" w14:textId="77777777" w:rsidR="00025AFA" w:rsidRPr="00F5596D" w:rsidRDefault="00025AFA" w:rsidP="00025AFA">
      <w:pPr>
        <w:spacing w:after="0" w:line="240" w:lineRule="auto"/>
        <w:rPr>
          <w:rFonts w:eastAsia="MS PGothic" w:cstheme="minorHAnsi"/>
          <w:sz w:val="16"/>
          <w:szCs w:val="16"/>
          <w:lang w:val="sr-Cyrl-CS" w:eastAsia="ja-JP"/>
        </w:rPr>
      </w:pPr>
    </w:p>
    <w:p w14:paraId="1077B01F" w14:textId="77777777" w:rsidR="00025AFA" w:rsidRPr="00F5596D" w:rsidRDefault="00025AFA" w:rsidP="00025AFA">
      <w:pPr>
        <w:spacing w:after="0" w:line="240" w:lineRule="auto"/>
        <w:rPr>
          <w:rFonts w:eastAsia="MS PGothic" w:cstheme="minorHAnsi"/>
          <w:sz w:val="16"/>
          <w:szCs w:val="16"/>
          <w:lang w:val="sr-Cyrl-CS" w:eastAsia="ja-JP"/>
        </w:rPr>
      </w:pPr>
    </w:p>
    <w:p w14:paraId="5AAC509B" w14:textId="77777777" w:rsidR="00025AFA" w:rsidRPr="00F5596D" w:rsidRDefault="00025AFA" w:rsidP="00025AFA">
      <w:pPr>
        <w:spacing w:after="0" w:line="240" w:lineRule="auto"/>
        <w:rPr>
          <w:rFonts w:eastAsia="MS PGothic" w:cstheme="minorHAnsi"/>
          <w:sz w:val="16"/>
          <w:szCs w:val="16"/>
          <w:lang w:val="sr-Cyrl-CS" w:eastAsia="ja-JP"/>
        </w:rPr>
      </w:pPr>
    </w:p>
    <w:p w14:paraId="1F9D1EC1" w14:textId="77777777" w:rsidR="00025AFA" w:rsidRPr="00F5596D" w:rsidRDefault="00025AFA" w:rsidP="00025AFA">
      <w:pPr>
        <w:spacing w:after="0" w:line="240" w:lineRule="auto"/>
        <w:rPr>
          <w:rFonts w:eastAsia="MS PGothic" w:cstheme="minorHAnsi"/>
          <w:sz w:val="16"/>
          <w:szCs w:val="16"/>
          <w:lang w:val="sr-Cyrl-CS" w:eastAsia="ja-JP"/>
        </w:rPr>
      </w:pPr>
    </w:p>
    <w:p w14:paraId="69B1A0C9" w14:textId="77777777" w:rsidR="00025AFA" w:rsidRPr="00F5596D" w:rsidRDefault="00025AFA" w:rsidP="00025AFA">
      <w:pPr>
        <w:spacing w:after="0" w:line="240" w:lineRule="auto"/>
        <w:rPr>
          <w:rFonts w:eastAsia="MS PGothic" w:cstheme="minorHAnsi"/>
          <w:sz w:val="16"/>
          <w:szCs w:val="16"/>
          <w:lang w:val="sr-Cyrl-CS" w:eastAsia="ja-JP"/>
        </w:rPr>
      </w:pPr>
    </w:p>
    <w:p w14:paraId="5E723495" w14:textId="77777777" w:rsidR="00025AFA" w:rsidRPr="00F5596D" w:rsidRDefault="00025AFA" w:rsidP="00025AFA">
      <w:pPr>
        <w:spacing w:after="0" w:line="240" w:lineRule="auto"/>
        <w:rPr>
          <w:rFonts w:eastAsia="MS PGothic" w:cstheme="minorHAnsi"/>
          <w:sz w:val="16"/>
          <w:szCs w:val="16"/>
          <w:lang w:val="sr-Cyrl-CS" w:eastAsia="ja-JP"/>
        </w:rPr>
      </w:pPr>
    </w:p>
    <w:p w14:paraId="5E5811BE" w14:textId="77777777" w:rsidR="00025AFA" w:rsidRPr="00F5596D" w:rsidRDefault="00025AFA" w:rsidP="00025AFA">
      <w:pPr>
        <w:spacing w:after="0" w:line="240" w:lineRule="auto"/>
        <w:rPr>
          <w:rFonts w:eastAsia="MS PGothic" w:cstheme="minorHAnsi"/>
          <w:sz w:val="16"/>
          <w:szCs w:val="16"/>
          <w:lang w:val="sr-Cyrl-CS" w:eastAsia="ja-JP"/>
        </w:rPr>
      </w:pPr>
    </w:p>
    <w:p w14:paraId="73AD8927" w14:textId="77777777" w:rsidR="00025AFA" w:rsidRPr="00F5596D" w:rsidRDefault="00025AFA" w:rsidP="00025AFA">
      <w:pPr>
        <w:spacing w:after="0" w:line="240" w:lineRule="auto"/>
        <w:rPr>
          <w:rFonts w:eastAsia="MS PGothic" w:cstheme="minorHAnsi"/>
          <w:sz w:val="16"/>
          <w:szCs w:val="16"/>
          <w:lang w:val="sr-Cyrl-CS" w:eastAsia="ja-JP"/>
        </w:rPr>
      </w:pPr>
    </w:p>
    <w:p w14:paraId="637382EB" w14:textId="77777777" w:rsidR="00025AFA" w:rsidRPr="00F5596D" w:rsidRDefault="00025AFA" w:rsidP="00025AFA">
      <w:pPr>
        <w:spacing w:after="0" w:line="240" w:lineRule="auto"/>
        <w:rPr>
          <w:rFonts w:eastAsia="MS PGothic" w:cstheme="minorHAnsi"/>
          <w:sz w:val="16"/>
          <w:szCs w:val="16"/>
          <w:lang w:val="sr-Cyrl-CS" w:eastAsia="ja-JP"/>
        </w:rPr>
      </w:pPr>
    </w:p>
    <w:bookmarkStart w:id="45" w:name="_Toc11155993"/>
    <w:p w14:paraId="617264FC" w14:textId="77777777" w:rsidR="00025AFA" w:rsidRPr="00F5596D" w:rsidRDefault="00025AFA" w:rsidP="00025AFA">
      <w:pPr>
        <w:spacing w:after="240" w:line="240" w:lineRule="auto"/>
        <w:contextualSpacing/>
        <w:jc w:val="center"/>
        <w:rPr>
          <w:rFonts w:ascii="Calibri" w:eastAsia="Calibri" w:hAnsi="Calibri" w:cs="Calibri"/>
          <w:b/>
          <w:color w:val="2F5496" w:themeColor="accent1" w:themeShade="BF"/>
          <w:sz w:val="24"/>
          <w:szCs w:val="24"/>
          <w:lang w:val="sr-Cyrl-CS"/>
        </w:rPr>
      </w:pPr>
      <w:r w:rsidRPr="00F5596D">
        <w:rPr>
          <w:rFonts w:ascii="Calibri" w:eastAsia="Calibri" w:hAnsi="Calibri" w:cs="Calibri"/>
          <w:b/>
          <w:noProof/>
          <w:color w:val="2F5496" w:themeColor="accent1" w:themeShade="BF"/>
          <w:sz w:val="24"/>
          <w:szCs w:val="24"/>
        </w:rPr>
        <w:lastRenderedPageBreak/>
        <mc:AlternateContent>
          <mc:Choice Requires="wps">
            <w:drawing>
              <wp:anchor distT="0" distB="0" distL="114300" distR="114300" simplePos="0" relativeHeight="251702784" behindDoc="1" locked="0" layoutInCell="1" allowOverlap="1" wp14:anchorId="041F75FE" wp14:editId="45FE4EF0">
                <wp:simplePos x="0" y="0"/>
                <wp:positionH relativeFrom="margin">
                  <wp:posOffset>-265814</wp:posOffset>
                </wp:positionH>
                <wp:positionV relativeFrom="paragraph">
                  <wp:posOffset>-95694</wp:posOffset>
                </wp:positionV>
                <wp:extent cx="6480000" cy="8176437"/>
                <wp:effectExtent l="0" t="0" r="0" b="0"/>
                <wp:wrapNone/>
                <wp:docPr id="106" name="Rectangle 106"/>
                <wp:cNvGraphicFramePr/>
                <a:graphic xmlns:a="http://schemas.openxmlformats.org/drawingml/2006/main">
                  <a:graphicData uri="http://schemas.microsoft.com/office/word/2010/wordprocessingShape">
                    <wps:wsp>
                      <wps:cNvSpPr/>
                      <wps:spPr>
                        <a:xfrm>
                          <a:off x="0" y="0"/>
                          <a:ext cx="6480000" cy="8176437"/>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BC4A9" id="Rectangle 106" o:spid="_x0000_s1026" style="position:absolute;margin-left:-20.95pt;margin-top:-7.55pt;width:510.25pt;height:643.8pt;z-index:-25161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" fillcolor="#d9d9d9" stroked="f" strokeweight="1pt">
                <v:fill r:id="rId138" o:title="" color2="window" type="pattern"/>
                <w10:wrap anchorx="margin"/>
              </v:rect>
            </w:pict>
          </mc:Fallback>
        </mc:AlternateContent>
      </w:r>
      <w:r w:rsidRPr="00F5596D">
        <w:rPr>
          <w:rFonts w:ascii="Calibri" w:eastAsia="Calibri" w:hAnsi="Calibri" w:cs="Calibri"/>
          <w:b/>
          <w:color w:val="2F5496" w:themeColor="accent1" w:themeShade="BF"/>
          <w:sz w:val="24"/>
          <w:szCs w:val="24"/>
          <w:lang w:val="sr-Cyrl-CS"/>
        </w:rPr>
        <w:t>S0 индикатор краткорочне фискалне одрживости</w:t>
      </w:r>
    </w:p>
    <w:p w14:paraId="7C98FBCC" w14:textId="77777777" w:rsidR="00025AFA" w:rsidRPr="00F5596D" w:rsidRDefault="00025AFA" w:rsidP="00025AFA">
      <w:pPr>
        <w:spacing w:after="60"/>
        <w:rPr>
          <w:rFonts w:cstheme="minorHAnsi"/>
          <w:color w:val="auto"/>
          <w:szCs w:val="20"/>
          <w:lang w:val="sr-Cyrl-CS"/>
        </w:rPr>
      </w:pPr>
    </w:p>
    <w:p w14:paraId="1400C2AA" w14:textId="77777777" w:rsidR="00025AFA" w:rsidRPr="00F5596D" w:rsidRDefault="00025AFA" w:rsidP="00025AFA">
      <w:pPr>
        <w:spacing w:after="60"/>
        <w:rPr>
          <w:rFonts w:cstheme="minorHAnsi"/>
          <w:color w:val="auto"/>
          <w:szCs w:val="20"/>
          <w:lang w:val="sr-Cyrl-CS"/>
        </w:rPr>
        <w:sectPr w:rsidR="00025AFA" w:rsidRPr="00F5596D" w:rsidSect="00C95509">
          <w:headerReference w:type="even" r:id="rId139"/>
          <w:headerReference w:type="default" r:id="rId140"/>
          <w:footerReference w:type="even" r:id="rId141"/>
          <w:footerReference w:type="default" r:id="rId142"/>
          <w:headerReference w:type="first" r:id="rId143"/>
          <w:type w:val="continuous"/>
          <w:pgSz w:w="12240" w:h="15840"/>
          <w:pgMar w:top="1440" w:right="1440" w:bottom="1440" w:left="1440" w:header="720" w:footer="720" w:gutter="0"/>
          <w:cols w:space="720"/>
          <w:docGrid w:linePitch="360"/>
        </w:sectPr>
      </w:pPr>
    </w:p>
    <w:p w14:paraId="7C38A97A" w14:textId="77777777" w:rsidR="00025AFA" w:rsidRPr="00F5596D" w:rsidRDefault="00025AFA" w:rsidP="00025AFA">
      <w:pPr>
        <w:rPr>
          <w:rFonts w:cstheme="minorHAnsi"/>
          <w:szCs w:val="20"/>
          <w:lang w:val="sr-Cyrl-CS"/>
        </w:rPr>
      </w:pPr>
      <w:r w:rsidRPr="00F5596D">
        <w:rPr>
          <w:rFonts w:cstheme="minorHAnsi"/>
          <w:szCs w:val="20"/>
          <w:lang w:val="sr-Cyrl-C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да антиципира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24CAB697" w14:textId="77777777" w:rsidR="00025AFA" w:rsidRPr="00F5596D" w:rsidRDefault="00025AFA" w:rsidP="00025AFA">
      <w:pPr>
        <w:rPr>
          <w:rFonts w:cstheme="minorHAnsi"/>
          <w:szCs w:val="20"/>
          <w:lang w:val="sr-Cyrl-CS"/>
        </w:rPr>
      </w:pPr>
      <w:r w:rsidRPr="00F5596D">
        <w:rPr>
          <w:rFonts w:cstheme="minorHAnsi"/>
          <w:szCs w:val="20"/>
          <w:lang w:val="sr-Cyrl-CS"/>
        </w:rPr>
        <w:t>У 2024. години вредности фискалног (0,12) и финансијског подиндекса (0,31) су унутар за њих дефинисаног прага, као и вредност целокупног S0 индикатора за Републику Србију (0,24), што начелно указује да не постоји опасност од појаве макроекономске нестабилности у наредном средњорочном периоду. Успешно очувана макроекономска и фискална стабилност успостављена у претходном периоду обезбедила је простор за брзе и значајне мере подршке фискалне и монетарне политике.</w:t>
      </w:r>
    </w:p>
    <w:p w14:paraId="0FCB8FB5" w14:textId="203F96A8" w:rsidR="00025AFA" w:rsidRPr="00F5596D" w:rsidRDefault="00FA7460" w:rsidP="00025AFA">
      <w:pPr>
        <w:rPr>
          <w:rFonts w:cstheme="minorHAnsi"/>
          <w:szCs w:val="20"/>
          <w:lang w:val="sr-Cyrl-CS"/>
        </w:rPr>
      </w:pPr>
      <w:r w:rsidRPr="00F5596D">
        <w:rPr>
          <w:noProof/>
        </w:rPr>
        <w:drawing>
          <wp:inline distT="0" distB="0" distL="0" distR="0" wp14:anchorId="42836ADF" wp14:editId="05E5D388">
            <wp:extent cx="3067050" cy="4756785"/>
            <wp:effectExtent l="0" t="0" r="0" b="571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F54C5DC" w14:textId="77777777" w:rsidR="00025AFA" w:rsidRPr="00F5596D" w:rsidRDefault="00025AFA" w:rsidP="00025AFA">
      <w:pPr>
        <w:rPr>
          <w:rFonts w:cstheme="minorHAnsi"/>
          <w:color w:val="auto"/>
          <w:szCs w:val="20"/>
          <w:lang w:val="sr-Cyrl-CS"/>
        </w:rPr>
      </w:pPr>
    </w:p>
    <w:p w14:paraId="423737C1" w14:textId="77777777" w:rsidR="00025AFA" w:rsidRPr="00F5596D" w:rsidRDefault="00025AFA" w:rsidP="00025AFA">
      <w:pPr>
        <w:rPr>
          <w:rFonts w:eastAsia="Calibri" w:cstheme="minorHAnsi"/>
          <w:b/>
          <w:color w:val="auto"/>
          <w:sz w:val="24"/>
          <w:szCs w:val="26"/>
          <w:lang w:val="sr-Cyrl-CS"/>
        </w:rPr>
        <w:sectPr w:rsidR="00025AFA" w:rsidRPr="00F5596D" w:rsidSect="00C95509">
          <w:type w:val="continuous"/>
          <w:pgSz w:w="12240" w:h="15840"/>
          <w:pgMar w:top="1440" w:right="1440" w:bottom="1440" w:left="1440" w:header="720" w:footer="720" w:gutter="0"/>
          <w:cols w:num="2" w:space="720"/>
          <w:docGrid w:linePitch="360"/>
        </w:sectPr>
      </w:pPr>
    </w:p>
    <w:p w14:paraId="5B62AEBE" w14:textId="15E1B896" w:rsidR="00025AFA" w:rsidRPr="00F5596D" w:rsidRDefault="009540A9" w:rsidP="00025AFA">
      <w:pPr>
        <w:jc w:val="center"/>
        <w:rPr>
          <w:rFonts w:cstheme="minorHAnsi"/>
          <w:color w:val="auto"/>
          <w:szCs w:val="20"/>
          <w:lang w:val="sr-Cyrl-CS"/>
        </w:rPr>
      </w:pPr>
      <w:r w:rsidRPr="00F5596D">
        <w:rPr>
          <w:noProof/>
        </w:rPr>
        <w:drawing>
          <wp:inline distT="0" distB="0" distL="0" distR="0" wp14:anchorId="0F72FCC1" wp14:editId="7E56BA72">
            <wp:extent cx="5943600" cy="2573655"/>
            <wp:effectExtent l="0" t="0" r="0" b="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3D6A1BC" w14:textId="77777777" w:rsidR="00025AFA" w:rsidRPr="00F5596D" w:rsidRDefault="00025AFA" w:rsidP="00025AFA">
      <w:pPr>
        <w:rPr>
          <w:rFonts w:cstheme="minorHAnsi"/>
          <w:color w:val="auto"/>
          <w:szCs w:val="20"/>
          <w:lang w:val="sr-Cyrl-CS"/>
        </w:rPr>
      </w:pPr>
    </w:p>
    <w:p w14:paraId="0C07AD06" w14:textId="77777777" w:rsidR="00025AFA" w:rsidRPr="00F5596D" w:rsidRDefault="00025AFA" w:rsidP="00025AFA">
      <w:pPr>
        <w:rPr>
          <w:rFonts w:cstheme="minorHAnsi"/>
          <w:color w:val="auto"/>
          <w:szCs w:val="20"/>
          <w:lang w:val="sr-Cyrl-CS"/>
        </w:rPr>
        <w:sectPr w:rsidR="00025AFA" w:rsidRPr="00F5596D" w:rsidSect="00C95509">
          <w:type w:val="continuous"/>
          <w:pgSz w:w="12240" w:h="15840"/>
          <w:pgMar w:top="1440" w:right="1440" w:bottom="1440" w:left="1440" w:header="720" w:footer="720" w:gutter="0"/>
          <w:cols w:space="720"/>
          <w:docGrid w:linePitch="360"/>
        </w:sectPr>
      </w:pPr>
      <w:r w:rsidRPr="00F5596D">
        <w:rPr>
          <w:noProof/>
        </w:rPr>
        <w:drawing>
          <wp:inline distT="0" distB="0" distL="0" distR="0" wp14:anchorId="55122608" wp14:editId="3449D401">
            <wp:extent cx="6123008" cy="2552065"/>
            <wp:effectExtent l="0" t="0" r="0" b="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r w:rsidRPr="00F5596D">
        <w:rPr>
          <w:rFonts w:cstheme="minorHAnsi"/>
          <w:noProof/>
          <w:color w:val="auto"/>
        </w:rPr>
        <mc:AlternateContent>
          <mc:Choice Requires="wps">
            <w:drawing>
              <wp:anchor distT="0" distB="0" distL="114300" distR="114300" simplePos="0" relativeHeight="251703808" behindDoc="1" locked="0" layoutInCell="1" allowOverlap="1" wp14:anchorId="0F56EEB4" wp14:editId="151015AF">
                <wp:simplePos x="0" y="0"/>
                <wp:positionH relativeFrom="margin">
                  <wp:posOffset>-244549</wp:posOffset>
                </wp:positionH>
                <wp:positionV relativeFrom="paragraph">
                  <wp:posOffset>10633</wp:posOffset>
                </wp:positionV>
                <wp:extent cx="6479540" cy="7704395"/>
                <wp:effectExtent l="0" t="0" r="0" b="0"/>
                <wp:wrapNone/>
                <wp:docPr id="93" name="Rectangle 93"/>
                <wp:cNvGraphicFramePr/>
                <a:graphic xmlns:a="http://schemas.openxmlformats.org/drawingml/2006/main">
                  <a:graphicData uri="http://schemas.microsoft.com/office/word/2010/wordprocessingShape">
                    <wps:wsp>
                      <wps:cNvSpPr/>
                      <wps:spPr>
                        <a:xfrm>
                          <a:off x="0" y="0"/>
                          <a:ext cx="6479540" cy="770439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B2B7D" id="Rectangle 93" o:spid="_x0000_s1026" style="position:absolute;margin-left:-19.25pt;margin-top:.85pt;width:510.2pt;height:606.65pt;z-index:-25161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" fillcolor="#d9d9d9" stroked="f" strokeweight="1pt">
                <v:fill r:id="rId138" o:title="" color2="window" type="pattern"/>
                <w10:wrap anchorx="margin"/>
              </v:rect>
            </w:pict>
          </mc:Fallback>
        </mc:AlternateContent>
      </w:r>
    </w:p>
    <w:p w14:paraId="1D857F3F" w14:textId="77777777" w:rsidR="00025AFA" w:rsidRPr="00F5596D" w:rsidRDefault="00025AFA" w:rsidP="00025AFA">
      <w:pPr>
        <w:rPr>
          <w:rFonts w:cstheme="minorHAnsi"/>
          <w:szCs w:val="20"/>
          <w:lang w:val="sr-Cyrl-CS"/>
        </w:rPr>
      </w:pPr>
    </w:p>
    <w:p w14:paraId="256F52FA" w14:textId="77777777" w:rsidR="00025AFA" w:rsidRPr="00F5596D" w:rsidRDefault="00025AFA" w:rsidP="00025AFA">
      <w:pPr>
        <w:rPr>
          <w:rFonts w:cstheme="minorHAnsi"/>
          <w:szCs w:val="20"/>
          <w:lang w:val="sr-Cyrl-CS"/>
        </w:rPr>
      </w:pPr>
      <w:r w:rsidRPr="00F5596D">
        <w:rPr>
          <w:rFonts w:cstheme="minorHAnsi"/>
          <w:szCs w:val="20"/>
          <w:lang w:val="sr-Cyrl-CS"/>
        </w:rPr>
        <w:t>Обрачун S0 индикатора за Републику Србију, урађен је од стране Министарства финансија и базира се на методологији ЕК.</w:t>
      </w:r>
    </w:p>
    <w:p w14:paraId="3ACF186A" w14:textId="77777777" w:rsidR="00025AFA" w:rsidRPr="00F5596D" w:rsidRDefault="00025AFA" w:rsidP="00025AFA">
      <w:pPr>
        <w:rPr>
          <w:rFonts w:cstheme="minorHAnsi"/>
          <w:szCs w:val="20"/>
          <w:lang w:val="sr-Cyrl-CS"/>
        </w:rPr>
      </w:pPr>
      <w:r w:rsidRPr="00F5596D">
        <w:rPr>
          <w:rFonts w:cstheme="minorHAnsi"/>
          <w:szCs w:val="20"/>
          <w:lang w:val="sr-Cyrl-CS"/>
        </w:rPr>
        <w:t xml:space="preserve">На основу података ЕК за земље ЕУ за 2024. годину и обрачуна Министарства финансија за Републику Србију, закључујемо да већина посматраних земаља, као и Србија, није била изложена краткорочном ризику реализације фискалног стреса, будући да вредност S0 нигде не премашује дефинисани праг. </w:t>
      </w:r>
    </w:p>
    <w:p w14:paraId="35E85AF2" w14:textId="77777777" w:rsidR="00025AFA" w:rsidRPr="00F5596D" w:rsidRDefault="00025AFA" w:rsidP="00025AFA">
      <w:pPr>
        <w:rPr>
          <w:rFonts w:cstheme="minorHAnsi"/>
          <w:color w:val="auto"/>
          <w:szCs w:val="20"/>
          <w:lang w:val="sr-Cyrl-CS"/>
        </w:rPr>
        <w:sectPr w:rsidR="00025AFA" w:rsidRPr="00F5596D" w:rsidSect="00E61B34">
          <w:headerReference w:type="even" r:id="rId147"/>
          <w:headerReference w:type="default" r:id="rId148"/>
          <w:footerReference w:type="even" r:id="rId149"/>
          <w:footerReference w:type="default" r:id="rId150"/>
          <w:headerReference w:type="first" r:id="rId151"/>
          <w:type w:val="continuous"/>
          <w:pgSz w:w="12240" w:h="15840" w:code="1"/>
          <w:pgMar w:top="1440" w:right="1440" w:bottom="1440" w:left="1440" w:header="720" w:footer="720" w:gutter="0"/>
          <w:cols w:num="2" w:space="332"/>
          <w:docGrid w:linePitch="360"/>
        </w:sectPr>
      </w:pPr>
    </w:p>
    <w:p w14:paraId="2DF5D7D9" w14:textId="77777777" w:rsidR="00025AFA" w:rsidRPr="00F5596D" w:rsidRDefault="00025AFA" w:rsidP="00025AFA">
      <w:pPr>
        <w:rPr>
          <w:lang w:val="sr-Cyrl-CS"/>
        </w:rPr>
      </w:pPr>
      <w:bookmarkStart w:id="46" w:name="_Toc530635107"/>
    </w:p>
    <w:p w14:paraId="4B6662D1" w14:textId="77777777" w:rsidR="00025AFA" w:rsidRPr="00F5596D" w:rsidRDefault="00025AFA" w:rsidP="00025AFA">
      <w:pPr>
        <w:rPr>
          <w:rFonts w:ascii="Calibri" w:eastAsia="Calibri" w:hAnsi="Calibri" w:cs="Calibri"/>
          <w:color w:val="auto"/>
          <w:szCs w:val="20"/>
          <w:lang w:val="sr-Cyrl-CS"/>
        </w:rPr>
        <w:sectPr w:rsidR="00025AFA" w:rsidRPr="00F5596D" w:rsidSect="00E61B34">
          <w:headerReference w:type="even" r:id="rId152"/>
          <w:footerReference w:type="even" r:id="rId153"/>
          <w:footerReference w:type="default" r:id="rId154"/>
          <w:headerReference w:type="first" r:id="rId155"/>
          <w:type w:val="continuous"/>
          <w:pgSz w:w="12240" w:h="15840"/>
          <w:pgMar w:top="1440" w:right="1440" w:bottom="1440" w:left="1440" w:header="720" w:footer="720" w:gutter="0"/>
          <w:cols w:space="720"/>
          <w:docGrid w:linePitch="360"/>
        </w:sectPr>
      </w:pPr>
    </w:p>
    <w:bookmarkEnd w:id="45"/>
    <w:bookmarkEnd w:id="46"/>
    <w:p w14:paraId="31E9D49A" w14:textId="77777777" w:rsidR="00025AFA" w:rsidRPr="00F5596D" w:rsidRDefault="00025AFA" w:rsidP="00025AFA">
      <w:pPr>
        <w:rPr>
          <w:lang w:val="sr-Cyrl-CS"/>
        </w:rPr>
      </w:pPr>
    </w:p>
    <w:p w14:paraId="728DE844" w14:textId="77777777" w:rsidR="00025AFA" w:rsidRPr="00F5596D" w:rsidRDefault="00025AFA" w:rsidP="00025AFA">
      <w:pPr>
        <w:spacing w:after="0" w:line="240" w:lineRule="auto"/>
        <w:rPr>
          <w:rFonts w:eastAsia="MS PGothic" w:cstheme="minorHAnsi"/>
          <w:sz w:val="16"/>
          <w:szCs w:val="16"/>
          <w:lang w:val="sr-Cyrl-CS" w:eastAsia="ja-JP"/>
        </w:rPr>
      </w:pPr>
    </w:p>
    <w:p w14:paraId="49146E1E" w14:textId="77777777" w:rsidR="00025AFA" w:rsidRPr="00F5596D" w:rsidRDefault="00025AFA" w:rsidP="00025AFA">
      <w:pPr>
        <w:spacing w:after="0" w:line="240" w:lineRule="auto"/>
        <w:rPr>
          <w:rFonts w:eastAsia="MS PGothic" w:cstheme="minorHAnsi"/>
          <w:sz w:val="16"/>
          <w:szCs w:val="16"/>
          <w:lang w:val="sr-Cyrl-CS" w:eastAsia="ja-JP"/>
        </w:rPr>
      </w:pPr>
    </w:p>
    <w:p w14:paraId="2FD140A7" w14:textId="77777777" w:rsidR="00025AFA" w:rsidRPr="00F5596D" w:rsidRDefault="00025AFA" w:rsidP="00025AFA">
      <w:pPr>
        <w:spacing w:after="0" w:line="240" w:lineRule="auto"/>
        <w:rPr>
          <w:rFonts w:eastAsia="MS PGothic" w:cstheme="minorHAnsi"/>
          <w:sz w:val="16"/>
          <w:szCs w:val="16"/>
          <w:lang w:val="sr-Cyrl-CS" w:eastAsia="ja-JP"/>
        </w:rPr>
      </w:pPr>
    </w:p>
    <w:p w14:paraId="09AA12A6" w14:textId="77777777" w:rsidR="00025AFA" w:rsidRPr="00F5596D" w:rsidRDefault="00025AFA" w:rsidP="00025AFA">
      <w:pPr>
        <w:spacing w:after="0" w:line="240" w:lineRule="auto"/>
        <w:rPr>
          <w:rFonts w:eastAsia="MS PGothic" w:cstheme="minorHAnsi"/>
          <w:sz w:val="16"/>
          <w:szCs w:val="16"/>
          <w:lang w:val="sr-Cyrl-CS" w:eastAsia="ja-JP"/>
        </w:rPr>
      </w:pPr>
    </w:p>
    <w:p w14:paraId="5C9A24D3" w14:textId="77777777" w:rsidR="00025AFA" w:rsidRPr="00F5596D" w:rsidRDefault="00025AFA" w:rsidP="00025AFA">
      <w:pPr>
        <w:spacing w:after="0" w:line="240" w:lineRule="auto"/>
        <w:rPr>
          <w:lang w:val="sr-Cyrl-CS" w:eastAsia="ja-JP"/>
        </w:rPr>
        <w:sectPr w:rsidR="00025AFA" w:rsidRPr="00F5596D" w:rsidSect="00E61B34">
          <w:type w:val="continuous"/>
          <w:pgSz w:w="12240" w:h="15840" w:code="1"/>
          <w:pgMar w:top="1440" w:right="1440" w:bottom="1440" w:left="1440" w:header="720" w:footer="720" w:gutter="0"/>
          <w:cols w:space="720"/>
          <w:docGrid w:linePitch="360"/>
        </w:sectPr>
      </w:pPr>
    </w:p>
    <w:p w14:paraId="2083872C" w14:textId="77777777" w:rsidR="00025AFA" w:rsidRPr="00F5596D" w:rsidRDefault="00025AFA" w:rsidP="00025AFA">
      <w:pPr>
        <w:tabs>
          <w:tab w:val="left" w:pos="284"/>
        </w:tabs>
        <w:rPr>
          <w:rFonts w:ascii="Calibri" w:eastAsia="Calibri" w:hAnsi="Calibri" w:cs="Calibri"/>
          <w:bCs/>
          <w:szCs w:val="72"/>
          <w:lang w:val="sr-Cyrl-CS"/>
        </w:rPr>
        <w:sectPr w:rsidR="00025AFA" w:rsidRPr="00F5596D" w:rsidSect="00E61B34">
          <w:headerReference w:type="even" r:id="rId156"/>
          <w:footerReference w:type="even" r:id="rId157"/>
          <w:footerReference w:type="default" r:id="rId158"/>
          <w:footerReference w:type="first" r:id="rId159"/>
          <w:type w:val="continuous"/>
          <w:pgSz w:w="12240" w:h="15840" w:code="1"/>
          <w:pgMar w:top="1440" w:right="1440" w:bottom="1440" w:left="1440" w:header="720" w:footer="720" w:gutter="0"/>
          <w:cols w:num="2" w:space="720"/>
          <w:titlePg/>
          <w:docGrid w:linePitch="360"/>
        </w:sectPr>
      </w:pPr>
    </w:p>
    <w:p w14:paraId="70E578A0" w14:textId="77777777" w:rsidR="00025AFA" w:rsidRPr="00F5596D" w:rsidRDefault="00025AFA" w:rsidP="00025AFA">
      <w:pPr>
        <w:jc w:val="left"/>
        <w:rPr>
          <w:rFonts w:eastAsiaTheme="majorEastAsia" w:cstheme="minorHAnsi"/>
          <w:b/>
          <w:color w:val="2F5496" w:themeColor="accent1" w:themeShade="BF"/>
          <w:sz w:val="24"/>
          <w:szCs w:val="26"/>
          <w:lang w:val="sr-Cyrl-CS"/>
        </w:rPr>
      </w:pPr>
      <w:r w:rsidRPr="00F5596D">
        <w:rPr>
          <w:rFonts w:cstheme="minorHAnsi"/>
          <w:b/>
          <w:sz w:val="24"/>
          <w:lang w:val="sr-Cyrl-CS"/>
        </w:rPr>
        <w:br w:type="page"/>
      </w:r>
    </w:p>
    <w:p w14:paraId="2F214512" w14:textId="41296D9A" w:rsidR="00DE7B2C" w:rsidRPr="00F5596D" w:rsidRDefault="007262BE" w:rsidP="00DE7B2C">
      <w:pPr>
        <w:pStyle w:val="Heading2"/>
        <w:rPr>
          <w:rFonts w:asciiTheme="minorHAnsi" w:hAnsiTheme="minorHAnsi" w:cstheme="minorHAnsi"/>
          <w:b w:val="0"/>
          <w:lang w:val="sr-Cyrl-CS"/>
        </w:rPr>
      </w:pPr>
      <w:bookmarkStart w:id="47" w:name="_Toc200117997"/>
      <w:r w:rsidRPr="00F5596D">
        <w:rPr>
          <w:rFonts w:asciiTheme="minorHAnsi" w:hAnsiTheme="minorHAnsi" w:cstheme="minorHAnsi"/>
          <w:lang w:val="sr-Cyrl-CS"/>
        </w:rPr>
        <w:lastRenderedPageBreak/>
        <w:t>4</w:t>
      </w:r>
      <w:r w:rsidR="00DE7B2C" w:rsidRPr="00F5596D">
        <w:rPr>
          <w:rFonts w:asciiTheme="minorHAnsi" w:hAnsiTheme="minorHAnsi" w:cstheme="minorHAnsi"/>
          <w:lang w:val="sr-Cyrl-CS"/>
        </w:rPr>
        <w:t>. Фискалне пројекције у периоду 2026 – 2028. године</w:t>
      </w:r>
      <w:bookmarkEnd w:id="43"/>
      <w:bookmarkEnd w:id="44"/>
      <w:bookmarkEnd w:id="47"/>
    </w:p>
    <w:p w14:paraId="2A639D61" w14:textId="77777777" w:rsidR="00DE7B2C" w:rsidRPr="00F5596D" w:rsidRDefault="00DE7B2C" w:rsidP="00DE7B2C">
      <w:pPr>
        <w:rPr>
          <w:lang w:val="sr-Cyrl-CS" w:eastAsia="ja-JP"/>
        </w:rPr>
      </w:pPr>
    </w:p>
    <w:p w14:paraId="4A9963E9" w14:textId="77777777" w:rsidR="00DE7B2C" w:rsidRPr="00F5596D" w:rsidRDefault="00DE7B2C" w:rsidP="00DE7B2C">
      <w:pPr>
        <w:rPr>
          <w:lang w:val="sr-Cyrl-CS" w:eastAsia="ja-JP"/>
        </w:rPr>
        <w:sectPr w:rsidR="00DE7B2C" w:rsidRPr="00F5596D" w:rsidSect="00E61B34">
          <w:footerReference w:type="even" r:id="rId160"/>
          <w:footerReference w:type="default" r:id="rId161"/>
          <w:headerReference w:type="first" r:id="rId162"/>
          <w:type w:val="continuous"/>
          <w:pgSz w:w="12240" w:h="15840" w:code="1"/>
          <w:pgMar w:top="1440" w:right="1440" w:bottom="1440" w:left="1440" w:header="720" w:footer="720" w:gutter="0"/>
          <w:cols w:space="720"/>
          <w:titlePg/>
          <w:docGrid w:linePitch="360"/>
        </w:sectPr>
      </w:pPr>
    </w:p>
    <w:p w14:paraId="799ABB08" w14:textId="77777777" w:rsidR="00DE7B2C" w:rsidRPr="00F5596D" w:rsidRDefault="00DE7B2C" w:rsidP="00DE7B2C">
      <w:pPr>
        <w:spacing w:after="120"/>
        <w:rPr>
          <w:lang w:val="sr-Cyrl-CS" w:eastAsia="ja-JP"/>
        </w:rPr>
      </w:pPr>
      <w:r w:rsidRPr="00F5596D">
        <w:rPr>
          <w:lang w:val="sr-Cyrl-CS" w:eastAsia="ja-JP"/>
        </w:rPr>
        <w:t>Основни циљеви фискалне политике су усмерени на одржање фискалне стабилности и смањивање учешћа јавног дуга у БДП. Пројекције фискалних агрегата у периоду од 2026. до 2028.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унапређење пословања великих државних предузећа.</w:t>
      </w:r>
    </w:p>
    <w:p w14:paraId="4499D1E4" w14:textId="3BBCB47E" w:rsidR="00DE7B2C" w:rsidRPr="00F5596D" w:rsidRDefault="00DE7B2C" w:rsidP="00400C34">
      <w:pPr>
        <w:spacing w:after="600"/>
        <w:rPr>
          <w:lang w:val="sr-Cyrl-CS" w:eastAsia="ja-JP"/>
        </w:rPr>
        <w:sectPr w:rsidR="00DE7B2C" w:rsidRPr="00F5596D" w:rsidSect="00E61B34">
          <w:type w:val="continuous"/>
          <w:pgSz w:w="12240" w:h="15840" w:code="1"/>
          <w:pgMar w:top="1440" w:right="1440" w:bottom="1440" w:left="1440" w:header="720" w:footer="720" w:gutter="0"/>
          <w:cols w:num="2" w:space="720"/>
          <w:docGrid w:linePitch="360"/>
        </w:sectPr>
      </w:pPr>
      <w:r w:rsidRPr="00F5596D">
        <w:rPr>
          <w:lang w:val="sr-Cyrl-CS" w:eastAsia="ja-JP"/>
        </w:rPr>
        <w:t>Наредни средњорочни период обележић</w:t>
      </w:r>
      <w:r w:rsidR="00400C34" w:rsidRPr="00F5596D">
        <w:rPr>
          <w:lang w:val="sr-Cyrl-CS" w:eastAsia="ja-JP"/>
        </w:rPr>
        <w:t xml:space="preserve">е инвестиције у програм ''Скок </w:t>
      </w:r>
      <w:r w:rsidRPr="00F5596D">
        <w:rPr>
          <w:lang w:val="sr-Cyrl-CS" w:eastAsia="ja-JP"/>
        </w:rPr>
        <w:t xml:space="preserve">у будућност'' и </w:t>
      </w:r>
      <w:r w:rsidR="009F4767">
        <w:rPr>
          <w:lang w:val="sr-Cyrl-CS" w:eastAsia="ja-JP"/>
        </w:rPr>
        <w:t>EXPO</w:t>
      </w:r>
      <w:r w:rsidRPr="00F5596D">
        <w:rPr>
          <w:lang w:val="sr-Cyrl-CS" w:eastAsia="ja-JP"/>
        </w:rPr>
        <w:t xml:space="preserve"> 2027. године што ће подржати издашнија фискална политика уз стриктну контролу падајућег нивоа дуга. Дефицити на годишњем нивоу су планирани на 3% БДП закључно са 2027. годином, након чега следи прилагођавање у складу са фискалним правилом чија ће примена почети од 2029. године.  </w:t>
      </w:r>
    </w:p>
    <w:p w14:paraId="5C15E3CE" w14:textId="77777777" w:rsidR="00DE7B2C" w:rsidRPr="00F5596D" w:rsidRDefault="00DE7B2C" w:rsidP="00DE7B2C">
      <w:pPr>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9. Фискални агрегати у периоду 2024–2028. године, % БДП</w:t>
      </w:r>
    </w:p>
    <w:tbl>
      <w:tblPr>
        <w:tblStyle w:val="LightShading-Accent12214"/>
        <w:tblW w:w="5000" w:type="pct"/>
        <w:tblBorders>
          <w:top w:val="none" w:sz="0" w:space="0" w:color="auto"/>
          <w:bottom w:val="none" w:sz="0" w:space="0" w:color="auto"/>
        </w:tblBorders>
        <w:tblLook w:val="0420" w:firstRow="1" w:lastRow="0" w:firstColumn="0" w:lastColumn="0" w:noHBand="0" w:noVBand="1"/>
      </w:tblPr>
      <w:tblGrid>
        <w:gridCol w:w="3971"/>
        <w:gridCol w:w="1133"/>
        <w:gridCol w:w="1133"/>
        <w:gridCol w:w="1041"/>
        <w:gridCol w:w="1041"/>
        <w:gridCol w:w="1041"/>
      </w:tblGrid>
      <w:tr w:rsidR="00DE7B2C" w:rsidRPr="00F5596D" w14:paraId="1679EAA0" w14:textId="77777777" w:rsidTr="001B5D96">
        <w:trPr>
          <w:cnfStyle w:val="100000000000" w:firstRow="1" w:lastRow="0" w:firstColumn="0" w:lastColumn="0" w:oddVBand="0" w:evenVBand="0" w:oddHBand="0" w:evenHBand="0" w:firstRowFirstColumn="0" w:firstRowLastColumn="0" w:lastRowFirstColumn="0" w:lastRowLastColumn="0"/>
          <w:trHeight w:val="20"/>
        </w:trPr>
        <w:tc>
          <w:tcPr>
            <w:tcW w:w="2121" w:type="pct"/>
            <w:tcBorders>
              <w:top w:val="single" w:sz="4" w:space="0" w:color="002060"/>
              <w:bottom w:val="single" w:sz="4" w:space="0" w:color="002060"/>
            </w:tcBorders>
            <w:shd w:val="clear" w:color="auto" w:fill="auto"/>
            <w:noWrap/>
            <w:vAlign w:val="center"/>
          </w:tcPr>
          <w:p w14:paraId="4ED136B8" w14:textId="77777777" w:rsidR="00DE7B2C" w:rsidRPr="00F5596D" w:rsidRDefault="00DE7B2C" w:rsidP="00E61B34">
            <w:pPr>
              <w:rPr>
                <w:rFonts w:asciiTheme="minorHAnsi" w:hAnsiTheme="minorHAnsi" w:cstheme="minorHAnsi"/>
                <w:b w:val="0"/>
                <w:color w:val="002060"/>
                <w:sz w:val="18"/>
                <w:lang w:val="sr-Cyrl-CS"/>
              </w:rPr>
            </w:pPr>
            <w:r w:rsidRPr="00F5596D">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shd w:val="clear" w:color="auto" w:fill="auto"/>
            <w:vAlign w:val="center"/>
          </w:tcPr>
          <w:p w14:paraId="4B2D055D" w14:textId="77777777" w:rsidR="00DE7B2C" w:rsidRPr="00F5596D" w:rsidRDefault="00DE7B2C" w:rsidP="00E61B34">
            <w:pPr>
              <w:jc w:val="center"/>
              <w:rPr>
                <w:rFonts w:asciiTheme="minorHAnsi" w:hAnsiTheme="minorHAnsi" w:cstheme="minorHAnsi"/>
                <w:b w:val="0"/>
                <w:color w:val="002060"/>
                <w:sz w:val="18"/>
                <w:lang w:val="sr-Cyrl-CS"/>
              </w:rPr>
            </w:pPr>
            <w:r w:rsidRPr="00F5596D">
              <w:rPr>
                <w:rFonts w:asciiTheme="minorHAnsi" w:hAnsiTheme="minorHAnsi" w:cstheme="minorHAnsi"/>
                <w:b w:val="0"/>
                <w:color w:val="002060"/>
                <w:sz w:val="18"/>
                <w:lang w:val="sr-Cyrl-CS"/>
              </w:rPr>
              <w:t>Извршење</w:t>
            </w:r>
          </w:p>
        </w:tc>
        <w:tc>
          <w:tcPr>
            <w:tcW w:w="605" w:type="pct"/>
            <w:tcBorders>
              <w:top w:val="single" w:sz="4" w:space="0" w:color="002060"/>
              <w:bottom w:val="single" w:sz="4" w:space="0" w:color="002060"/>
            </w:tcBorders>
            <w:shd w:val="clear" w:color="auto" w:fill="auto"/>
            <w:vAlign w:val="center"/>
          </w:tcPr>
          <w:p w14:paraId="1933966E" w14:textId="77777777" w:rsidR="00DE7B2C" w:rsidRPr="00F5596D" w:rsidRDefault="00DE7B2C" w:rsidP="00E61B34">
            <w:pPr>
              <w:jc w:val="center"/>
              <w:rPr>
                <w:rFonts w:asciiTheme="minorHAnsi" w:hAnsiTheme="minorHAnsi" w:cstheme="minorHAnsi"/>
                <w:b w:val="0"/>
                <w:color w:val="002060"/>
                <w:sz w:val="18"/>
                <w:lang w:val="sr-Cyrl-CS"/>
              </w:rPr>
            </w:pPr>
            <w:r w:rsidRPr="00F5596D">
              <w:rPr>
                <w:rFonts w:asciiTheme="minorHAnsi" w:hAnsiTheme="minorHAnsi" w:cstheme="minorHAnsi"/>
                <w:b w:val="0"/>
                <w:color w:val="002060"/>
                <w:sz w:val="18"/>
                <w:lang w:val="sr-Cyrl-CS"/>
              </w:rPr>
              <w:t>Процена</w:t>
            </w:r>
          </w:p>
        </w:tc>
        <w:tc>
          <w:tcPr>
            <w:tcW w:w="1668" w:type="pct"/>
            <w:gridSpan w:val="3"/>
            <w:tcBorders>
              <w:top w:val="single" w:sz="4" w:space="0" w:color="002060"/>
              <w:bottom w:val="single" w:sz="4" w:space="0" w:color="002060"/>
            </w:tcBorders>
            <w:shd w:val="clear" w:color="auto" w:fill="auto"/>
            <w:vAlign w:val="center"/>
          </w:tcPr>
          <w:p w14:paraId="6B1EC509" w14:textId="77777777" w:rsidR="00DE7B2C" w:rsidRPr="00F5596D" w:rsidRDefault="00DE7B2C" w:rsidP="00E61B34">
            <w:pPr>
              <w:jc w:val="center"/>
              <w:rPr>
                <w:rFonts w:asciiTheme="minorHAnsi" w:hAnsiTheme="minorHAnsi" w:cstheme="minorHAnsi"/>
                <w:b w:val="0"/>
                <w:color w:val="002060"/>
                <w:sz w:val="18"/>
                <w:lang w:val="sr-Cyrl-CS"/>
              </w:rPr>
            </w:pPr>
            <w:r w:rsidRPr="00F5596D">
              <w:rPr>
                <w:rFonts w:asciiTheme="minorHAnsi" w:hAnsiTheme="minorHAnsi" w:cstheme="minorHAnsi"/>
                <w:b w:val="0"/>
                <w:color w:val="002060"/>
                <w:sz w:val="18"/>
                <w:lang w:val="sr-Cyrl-CS"/>
              </w:rPr>
              <w:t>Пројекција</w:t>
            </w:r>
          </w:p>
        </w:tc>
      </w:tr>
      <w:tr w:rsidR="00DE7B2C" w:rsidRPr="00F5596D" w14:paraId="0002BA35"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121" w:type="pct"/>
            <w:tcBorders>
              <w:top w:val="single" w:sz="4" w:space="0" w:color="002060"/>
            </w:tcBorders>
            <w:shd w:val="clear" w:color="auto" w:fill="auto"/>
            <w:noWrap/>
            <w:vAlign w:val="center"/>
          </w:tcPr>
          <w:p w14:paraId="5E2AB572"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 </w:t>
            </w:r>
          </w:p>
        </w:tc>
        <w:tc>
          <w:tcPr>
            <w:tcW w:w="605" w:type="pct"/>
            <w:tcBorders>
              <w:top w:val="single" w:sz="4" w:space="0" w:color="002060"/>
              <w:bottom w:val="single" w:sz="4" w:space="0" w:color="002060"/>
            </w:tcBorders>
            <w:shd w:val="clear" w:color="auto" w:fill="auto"/>
            <w:vAlign w:val="center"/>
          </w:tcPr>
          <w:p w14:paraId="277FAE88"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2024</w:t>
            </w:r>
          </w:p>
        </w:tc>
        <w:tc>
          <w:tcPr>
            <w:tcW w:w="605" w:type="pct"/>
            <w:tcBorders>
              <w:top w:val="single" w:sz="4" w:space="0" w:color="002060"/>
              <w:bottom w:val="single" w:sz="4" w:space="0" w:color="002060"/>
            </w:tcBorders>
            <w:shd w:val="clear" w:color="auto" w:fill="auto"/>
            <w:vAlign w:val="center"/>
          </w:tcPr>
          <w:p w14:paraId="68576242"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2025</w:t>
            </w:r>
          </w:p>
        </w:tc>
        <w:tc>
          <w:tcPr>
            <w:tcW w:w="556" w:type="pct"/>
            <w:tcBorders>
              <w:top w:val="single" w:sz="4" w:space="0" w:color="002060"/>
              <w:bottom w:val="single" w:sz="4" w:space="0" w:color="002060"/>
            </w:tcBorders>
            <w:shd w:val="clear" w:color="auto" w:fill="auto"/>
            <w:vAlign w:val="center"/>
          </w:tcPr>
          <w:p w14:paraId="7B61696C"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2026</w:t>
            </w:r>
          </w:p>
        </w:tc>
        <w:tc>
          <w:tcPr>
            <w:tcW w:w="556" w:type="pct"/>
            <w:tcBorders>
              <w:top w:val="single" w:sz="4" w:space="0" w:color="002060"/>
              <w:bottom w:val="single" w:sz="4" w:space="0" w:color="002060"/>
            </w:tcBorders>
            <w:shd w:val="clear" w:color="auto" w:fill="auto"/>
            <w:vAlign w:val="center"/>
          </w:tcPr>
          <w:p w14:paraId="63164034"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2027</w:t>
            </w:r>
          </w:p>
        </w:tc>
        <w:tc>
          <w:tcPr>
            <w:tcW w:w="556" w:type="pct"/>
            <w:tcBorders>
              <w:top w:val="single" w:sz="4" w:space="0" w:color="002060"/>
              <w:bottom w:val="single" w:sz="4" w:space="0" w:color="002060"/>
            </w:tcBorders>
            <w:shd w:val="clear" w:color="auto" w:fill="auto"/>
            <w:vAlign w:val="center"/>
          </w:tcPr>
          <w:p w14:paraId="67AA015A"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2028</w:t>
            </w:r>
          </w:p>
        </w:tc>
      </w:tr>
      <w:tr w:rsidR="00DE7B2C" w:rsidRPr="00F5596D" w14:paraId="3165E90F" w14:textId="77777777" w:rsidTr="001B5D96">
        <w:trPr>
          <w:trHeight w:val="20"/>
        </w:trPr>
        <w:tc>
          <w:tcPr>
            <w:tcW w:w="2121" w:type="pct"/>
            <w:shd w:val="clear" w:color="auto" w:fill="auto"/>
            <w:vAlign w:val="center"/>
          </w:tcPr>
          <w:p w14:paraId="03AE34EF"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Јавни приходи</w:t>
            </w:r>
          </w:p>
        </w:tc>
        <w:tc>
          <w:tcPr>
            <w:tcW w:w="605" w:type="pct"/>
            <w:tcBorders>
              <w:top w:val="single" w:sz="4" w:space="0" w:color="002060"/>
            </w:tcBorders>
            <w:shd w:val="clear" w:color="auto" w:fill="auto"/>
            <w:vAlign w:val="center"/>
          </w:tcPr>
          <w:p w14:paraId="4D3178B6"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40,9</w:t>
            </w:r>
          </w:p>
        </w:tc>
        <w:tc>
          <w:tcPr>
            <w:tcW w:w="605" w:type="pct"/>
            <w:tcBorders>
              <w:top w:val="single" w:sz="4" w:space="0" w:color="002060"/>
            </w:tcBorders>
            <w:shd w:val="clear" w:color="auto" w:fill="auto"/>
            <w:vAlign w:val="center"/>
          </w:tcPr>
          <w:p w14:paraId="7DF0B527"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40,9</w:t>
            </w:r>
          </w:p>
        </w:tc>
        <w:tc>
          <w:tcPr>
            <w:tcW w:w="556" w:type="pct"/>
            <w:tcBorders>
              <w:top w:val="single" w:sz="4" w:space="0" w:color="002060"/>
            </w:tcBorders>
            <w:shd w:val="clear" w:color="auto" w:fill="auto"/>
            <w:vAlign w:val="center"/>
          </w:tcPr>
          <w:p w14:paraId="16629481"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40,4</w:t>
            </w:r>
          </w:p>
        </w:tc>
        <w:tc>
          <w:tcPr>
            <w:tcW w:w="556" w:type="pct"/>
            <w:tcBorders>
              <w:top w:val="single" w:sz="4" w:space="0" w:color="002060"/>
            </w:tcBorders>
            <w:shd w:val="clear" w:color="auto" w:fill="auto"/>
            <w:vAlign w:val="center"/>
          </w:tcPr>
          <w:p w14:paraId="5EE7CBBD"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40,1</w:t>
            </w:r>
          </w:p>
        </w:tc>
        <w:tc>
          <w:tcPr>
            <w:tcW w:w="556" w:type="pct"/>
            <w:tcBorders>
              <w:top w:val="single" w:sz="4" w:space="0" w:color="002060"/>
            </w:tcBorders>
            <w:shd w:val="clear" w:color="auto" w:fill="auto"/>
            <w:vAlign w:val="center"/>
          </w:tcPr>
          <w:p w14:paraId="7D7FF84F"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39,9</w:t>
            </w:r>
          </w:p>
        </w:tc>
      </w:tr>
      <w:tr w:rsidR="00DE7B2C" w:rsidRPr="00F5596D" w14:paraId="6AD6FF73"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121" w:type="pct"/>
            <w:shd w:val="clear" w:color="auto" w:fill="auto"/>
            <w:vAlign w:val="center"/>
          </w:tcPr>
          <w:p w14:paraId="2DAAAFC1"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Јавни расходи</w:t>
            </w:r>
          </w:p>
        </w:tc>
        <w:tc>
          <w:tcPr>
            <w:tcW w:w="605" w:type="pct"/>
            <w:shd w:val="clear" w:color="auto" w:fill="auto"/>
            <w:vAlign w:val="center"/>
          </w:tcPr>
          <w:p w14:paraId="082547A6"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42,9</w:t>
            </w:r>
          </w:p>
        </w:tc>
        <w:tc>
          <w:tcPr>
            <w:tcW w:w="605" w:type="pct"/>
            <w:shd w:val="clear" w:color="auto" w:fill="auto"/>
            <w:vAlign w:val="center"/>
          </w:tcPr>
          <w:p w14:paraId="193A5830"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43,9</w:t>
            </w:r>
          </w:p>
        </w:tc>
        <w:tc>
          <w:tcPr>
            <w:tcW w:w="556" w:type="pct"/>
            <w:shd w:val="clear" w:color="auto" w:fill="auto"/>
            <w:vAlign w:val="center"/>
          </w:tcPr>
          <w:p w14:paraId="6E55FBB5"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43,4</w:t>
            </w:r>
          </w:p>
        </w:tc>
        <w:tc>
          <w:tcPr>
            <w:tcW w:w="556" w:type="pct"/>
            <w:shd w:val="clear" w:color="auto" w:fill="auto"/>
            <w:vAlign w:val="center"/>
          </w:tcPr>
          <w:p w14:paraId="73A63986"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43,1</w:t>
            </w:r>
          </w:p>
        </w:tc>
        <w:tc>
          <w:tcPr>
            <w:tcW w:w="556" w:type="pct"/>
            <w:shd w:val="clear" w:color="auto" w:fill="auto"/>
            <w:vAlign w:val="center"/>
          </w:tcPr>
          <w:p w14:paraId="4AF9C3BD"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42,4</w:t>
            </w:r>
          </w:p>
        </w:tc>
      </w:tr>
      <w:tr w:rsidR="00DE7B2C" w:rsidRPr="00F5596D" w14:paraId="62597D0E" w14:textId="77777777" w:rsidTr="001B5D96">
        <w:trPr>
          <w:trHeight w:val="20"/>
        </w:trPr>
        <w:tc>
          <w:tcPr>
            <w:tcW w:w="2121" w:type="pct"/>
            <w:shd w:val="clear" w:color="auto" w:fill="auto"/>
            <w:vAlign w:val="center"/>
          </w:tcPr>
          <w:p w14:paraId="5512DE28" w14:textId="77777777" w:rsidR="00DE7B2C" w:rsidRPr="00F5596D" w:rsidRDefault="00DE7B2C" w:rsidP="00E61B34">
            <w:pPr>
              <w:rPr>
                <w:rFonts w:asciiTheme="minorHAnsi" w:hAnsiTheme="minorHAnsi" w:cstheme="minorHAnsi"/>
                <w:color w:val="002060"/>
                <w:sz w:val="18"/>
                <w:szCs w:val="18"/>
                <w:lang w:val="sr-Cyrl-CS"/>
              </w:rPr>
            </w:pPr>
          </w:p>
        </w:tc>
        <w:tc>
          <w:tcPr>
            <w:tcW w:w="605" w:type="pct"/>
            <w:shd w:val="clear" w:color="auto" w:fill="auto"/>
            <w:vAlign w:val="center"/>
          </w:tcPr>
          <w:p w14:paraId="4FE17647" w14:textId="77777777" w:rsidR="00DE7B2C" w:rsidRPr="00F5596D" w:rsidRDefault="00DE7B2C" w:rsidP="00E61B34">
            <w:pPr>
              <w:jc w:val="center"/>
              <w:rPr>
                <w:rFonts w:asciiTheme="minorHAnsi" w:hAnsiTheme="minorHAnsi" w:cstheme="minorHAnsi"/>
                <w:color w:val="002060"/>
                <w:sz w:val="18"/>
                <w:szCs w:val="18"/>
                <w:lang w:val="sr-Cyrl-CS"/>
              </w:rPr>
            </w:pPr>
          </w:p>
        </w:tc>
        <w:tc>
          <w:tcPr>
            <w:tcW w:w="605" w:type="pct"/>
            <w:shd w:val="clear" w:color="auto" w:fill="auto"/>
            <w:vAlign w:val="center"/>
          </w:tcPr>
          <w:p w14:paraId="17836227" w14:textId="77777777" w:rsidR="00DE7B2C" w:rsidRPr="00F5596D" w:rsidRDefault="00DE7B2C" w:rsidP="00E61B34">
            <w:pPr>
              <w:jc w:val="center"/>
              <w:rPr>
                <w:rFonts w:asciiTheme="minorHAnsi" w:hAnsiTheme="minorHAnsi" w:cstheme="minorHAnsi"/>
                <w:sz w:val="18"/>
                <w:szCs w:val="18"/>
                <w:lang w:val="sr-Cyrl-CS"/>
              </w:rPr>
            </w:pPr>
          </w:p>
        </w:tc>
        <w:tc>
          <w:tcPr>
            <w:tcW w:w="556" w:type="pct"/>
            <w:shd w:val="clear" w:color="auto" w:fill="auto"/>
            <w:vAlign w:val="center"/>
          </w:tcPr>
          <w:p w14:paraId="26593C46"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p>
        </w:tc>
        <w:tc>
          <w:tcPr>
            <w:tcW w:w="556" w:type="pct"/>
            <w:shd w:val="clear" w:color="auto" w:fill="auto"/>
            <w:vAlign w:val="center"/>
          </w:tcPr>
          <w:p w14:paraId="486A158F"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p>
        </w:tc>
        <w:tc>
          <w:tcPr>
            <w:tcW w:w="556" w:type="pct"/>
            <w:shd w:val="clear" w:color="auto" w:fill="auto"/>
            <w:vAlign w:val="center"/>
          </w:tcPr>
          <w:p w14:paraId="28C9D768"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p>
        </w:tc>
      </w:tr>
      <w:tr w:rsidR="00DE7B2C" w:rsidRPr="00F5596D" w14:paraId="417A5A5E"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121" w:type="pct"/>
            <w:shd w:val="clear" w:color="auto" w:fill="auto"/>
            <w:vAlign w:val="center"/>
          </w:tcPr>
          <w:p w14:paraId="1E1F7ED8"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Консолидовани фискални резултат</w:t>
            </w:r>
          </w:p>
        </w:tc>
        <w:tc>
          <w:tcPr>
            <w:tcW w:w="605" w:type="pct"/>
            <w:shd w:val="clear" w:color="auto" w:fill="auto"/>
            <w:vAlign w:val="center"/>
          </w:tcPr>
          <w:p w14:paraId="3951E881"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w:t>
            </w:r>
          </w:p>
        </w:tc>
        <w:tc>
          <w:tcPr>
            <w:tcW w:w="605" w:type="pct"/>
            <w:shd w:val="clear" w:color="auto" w:fill="auto"/>
            <w:vAlign w:val="center"/>
          </w:tcPr>
          <w:p w14:paraId="16517402"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-3,0</w:t>
            </w:r>
          </w:p>
        </w:tc>
        <w:tc>
          <w:tcPr>
            <w:tcW w:w="556" w:type="pct"/>
            <w:shd w:val="clear" w:color="auto" w:fill="auto"/>
            <w:vAlign w:val="center"/>
          </w:tcPr>
          <w:p w14:paraId="4DDC2DB8"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-3,0</w:t>
            </w:r>
          </w:p>
        </w:tc>
        <w:tc>
          <w:tcPr>
            <w:tcW w:w="556" w:type="pct"/>
            <w:shd w:val="clear" w:color="auto" w:fill="auto"/>
            <w:vAlign w:val="center"/>
          </w:tcPr>
          <w:p w14:paraId="12D2C024"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-3,0</w:t>
            </w:r>
          </w:p>
        </w:tc>
        <w:tc>
          <w:tcPr>
            <w:tcW w:w="556" w:type="pct"/>
            <w:shd w:val="clear" w:color="auto" w:fill="auto"/>
            <w:vAlign w:val="center"/>
          </w:tcPr>
          <w:p w14:paraId="3A21E5D1"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-2,5</w:t>
            </w:r>
          </w:p>
        </w:tc>
      </w:tr>
      <w:tr w:rsidR="00DE7B2C" w:rsidRPr="00F5596D" w14:paraId="4DEB11D6" w14:textId="77777777" w:rsidTr="001B5D96">
        <w:trPr>
          <w:trHeight w:val="20"/>
        </w:trPr>
        <w:tc>
          <w:tcPr>
            <w:tcW w:w="2121" w:type="pct"/>
            <w:shd w:val="clear" w:color="auto" w:fill="auto"/>
            <w:vAlign w:val="center"/>
          </w:tcPr>
          <w:p w14:paraId="0DE9A104"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Примарни консолидовани резултат</w:t>
            </w:r>
          </w:p>
        </w:tc>
        <w:tc>
          <w:tcPr>
            <w:tcW w:w="605" w:type="pct"/>
            <w:shd w:val="clear" w:color="auto" w:fill="auto"/>
            <w:vAlign w:val="center"/>
          </w:tcPr>
          <w:p w14:paraId="56D2DA43"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-0,3</w:t>
            </w:r>
          </w:p>
        </w:tc>
        <w:tc>
          <w:tcPr>
            <w:tcW w:w="605" w:type="pct"/>
            <w:shd w:val="clear" w:color="auto" w:fill="auto"/>
            <w:vAlign w:val="center"/>
          </w:tcPr>
          <w:p w14:paraId="720C24F0"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-1,0</w:t>
            </w:r>
          </w:p>
        </w:tc>
        <w:tc>
          <w:tcPr>
            <w:tcW w:w="556" w:type="pct"/>
            <w:shd w:val="clear" w:color="auto" w:fill="auto"/>
            <w:vAlign w:val="center"/>
          </w:tcPr>
          <w:p w14:paraId="56F1FAE8"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-1,0</w:t>
            </w:r>
          </w:p>
        </w:tc>
        <w:tc>
          <w:tcPr>
            <w:tcW w:w="556" w:type="pct"/>
            <w:shd w:val="clear" w:color="auto" w:fill="auto"/>
            <w:vAlign w:val="center"/>
          </w:tcPr>
          <w:p w14:paraId="1C336987"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-1,1</w:t>
            </w:r>
          </w:p>
        </w:tc>
        <w:tc>
          <w:tcPr>
            <w:tcW w:w="556" w:type="pct"/>
            <w:shd w:val="clear" w:color="auto" w:fill="auto"/>
            <w:vAlign w:val="center"/>
          </w:tcPr>
          <w:p w14:paraId="7B643250"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-0,7</w:t>
            </w:r>
          </w:p>
        </w:tc>
      </w:tr>
      <w:tr w:rsidR="00DE7B2C" w:rsidRPr="00F5596D" w14:paraId="74E9F221"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121" w:type="pct"/>
            <w:shd w:val="clear" w:color="auto" w:fill="auto"/>
            <w:vAlign w:val="center"/>
          </w:tcPr>
          <w:p w14:paraId="4E181270" w14:textId="77777777" w:rsidR="00DE7B2C" w:rsidRPr="00F5596D" w:rsidRDefault="00DE7B2C" w:rsidP="00E61B34">
            <w:pPr>
              <w:rPr>
                <w:rFonts w:asciiTheme="minorHAnsi" w:hAnsiTheme="minorHAnsi" w:cstheme="minorHAnsi"/>
                <w:color w:val="002060"/>
                <w:sz w:val="18"/>
                <w:szCs w:val="18"/>
                <w:lang w:val="sr-Cyrl-CS"/>
              </w:rPr>
            </w:pPr>
          </w:p>
        </w:tc>
        <w:tc>
          <w:tcPr>
            <w:tcW w:w="605" w:type="pct"/>
            <w:shd w:val="clear" w:color="auto" w:fill="auto"/>
            <w:vAlign w:val="center"/>
          </w:tcPr>
          <w:p w14:paraId="0C882869" w14:textId="77777777" w:rsidR="00DE7B2C" w:rsidRPr="00F5596D" w:rsidRDefault="00DE7B2C" w:rsidP="00E61B34">
            <w:pPr>
              <w:jc w:val="center"/>
              <w:rPr>
                <w:rFonts w:asciiTheme="minorHAnsi" w:hAnsiTheme="minorHAnsi" w:cstheme="minorHAnsi"/>
                <w:color w:val="002060"/>
                <w:sz w:val="18"/>
                <w:szCs w:val="18"/>
                <w:lang w:val="sr-Cyrl-CS"/>
              </w:rPr>
            </w:pPr>
          </w:p>
        </w:tc>
        <w:tc>
          <w:tcPr>
            <w:tcW w:w="605" w:type="pct"/>
            <w:shd w:val="clear" w:color="auto" w:fill="auto"/>
            <w:vAlign w:val="center"/>
          </w:tcPr>
          <w:p w14:paraId="5E82EFD4" w14:textId="77777777" w:rsidR="00DE7B2C" w:rsidRPr="00F5596D" w:rsidRDefault="00DE7B2C" w:rsidP="00E61B34">
            <w:pPr>
              <w:jc w:val="center"/>
              <w:rPr>
                <w:rFonts w:asciiTheme="minorHAnsi" w:hAnsiTheme="minorHAnsi" w:cstheme="minorHAnsi"/>
                <w:color w:val="002060"/>
                <w:sz w:val="18"/>
                <w:szCs w:val="18"/>
                <w:lang w:val="sr-Cyrl-CS"/>
              </w:rPr>
            </w:pPr>
          </w:p>
        </w:tc>
        <w:tc>
          <w:tcPr>
            <w:tcW w:w="556" w:type="pct"/>
            <w:shd w:val="clear" w:color="auto" w:fill="auto"/>
            <w:vAlign w:val="center"/>
          </w:tcPr>
          <w:p w14:paraId="60376DE2" w14:textId="77777777" w:rsidR="00DE7B2C" w:rsidRPr="00F5596D" w:rsidRDefault="00DE7B2C" w:rsidP="00E61B34">
            <w:pPr>
              <w:jc w:val="center"/>
              <w:rPr>
                <w:rFonts w:asciiTheme="minorHAnsi" w:hAnsiTheme="minorHAnsi" w:cstheme="minorHAnsi"/>
                <w:color w:val="002060"/>
                <w:sz w:val="18"/>
                <w:szCs w:val="18"/>
                <w:lang w:val="sr-Cyrl-CS"/>
              </w:rPr>
            </w:pPr>
          </w:p>
        </w:tc>
        <w:tc>
          <w:tcPr>
            <w:tcW w:w="556" w:type="pct"/>
            <w:shd w:val="clear" w:color="auto" w:fill="auto"/>
            <w:vAlign w:val="center"/>
          </w:tcPr>
          <w:p w14:paraId="497F5716" w14:textId="77777777" w:rsidR="00DE7B2C" w:rsidRPr="00F5596D" w:rsidRDefault="00DE7B2C" w:rsidP="00E61B34">
            <w:pPr>
              <w:jc w:val="center"/>
              <w:rPr>
                <w:rFonts w:asciiTheme="minorHAnsi" w:hAnsiTheme="minorHAnsi" w:cstheme="minorHAnsi"/>
                <w:color w:val="002060"/>
                <w:sz w:val="18"/>
                <w:szCs w:val="18"/>
                <w:lang w:val="sr-Cyrl-CS"/>
              </w:rPr>
            </w:pPr>
          </w:p>
        </w:tc>
        <w:tc>
          <w:tcPr>
            <w:tcW w:w="556" w:type="pct"/>
            <w:shd w:val="clear" w:color="auto" w:fill="auto"/>
            <w:vAlign w:val="center"/>
          </w:tcPr>
          <w:p w14:paraId="353CB49E" w14:textId="77777777" w:rsidR="00DE7B2C" w:rsidRPr="00F5596D" w:rsidRDefault="00DE7B2C" w:rsidP="00E61B34">
            <w:pPr>
              <w:jc w:val="center"/>
              <w:rPr>
                <w:rFonts w:asciiTheme="minorHAnsi" w:hAnsiTheme="minorHAnsi" w:cstheme="minorHAnsi"/>
                <w:color w:val="002060"/>
                <w:sz w:val="18"/>
                <w:szCs w:val="18"/>
                <w:lang w:val="sr-Cyrl-CS"/>
              </w:rPr>
            </w:pPr>
          </w:p>
        </w:tc>
      </w:tr>
      <w:tr w:rsidR="00DE7B2C" w:rsidRPr="00F5596D" w14:paraId="0EA6F727" w14:textId="77777777" w:rsidTr="001B5D96">
        <w:trPr>
          <w:trHeight w:val="20"/>
        </w:trPr>
        <w:tc>
          <w:tcPr>
            <w:tcW w:w="2121" w:type="pct"/>
            <w:shd w:val="clear" w:color="auto" w:fill="auto"/>
            <w:vAlign w:val="center"/>
          </w:tcPr>
          <w:p w14:paraId="4DFAC8EF"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Дуг сектора државе</w:t>
            </w:r>
          </w:p>
        </w:tc>
        <w:tc>
          <w:tcPr>
            <w:tcW w:w="605" w:type="pct"/>
            <w:shd w:val="clear" w:color="auto" w:fill="auto"/>
            <w:vAlign w:val="center"/>
          </w:tcPr>
          <w:p w14:paraId="28FB56DC"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47,5</w:t>
            </w:r>
          </w:p>
        </w:tc>
        <w:tc>
          <w:tcPr>
            <w:tcW w:w="605" w:type="pct"/>
            <w:shd w:val="clear" w:color="auto" w:fill="auto"/>
            <w:vAlign w:val="center"/>
          </w:tcPr>
          <w:p w14:paraId="4D400E30"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46,8</w:t>
            </w:r>
          </w:p>
        </w:tc>
        <w:tc>
          <w:tcPr>
            <w:tcW w:w="556" w:type="pct"/>
            <w:shd w:val="clear" w:color="auto" w:fill="auto"/>
            <w:vAlign w:val="center"/>
          </w:tcPr>
          <w:p w14:paraId="2D6D203B"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46,5</w:t>
            </w:r>
          </w:p>
        </w:tc>
        <w:tc>
          <w:tcPr>
            <w:tcW w:w="556" w:type="pct"/>
            <w:shd w:val="clear" w:color="auto" w:fill="auto"/>
            <w:vAlign w:val="center"/>
          </w:tcPr>
          <w:p w14:paraId="4E7A3446"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46,3</w:t>
            </w:r>
          </w:p>
        </w:tc>
        <w:tc>
          <w:tcPr>
            <w:tcW w:w="556" w:type="pct"/>
            <w:shd w:val="clear" w:color="auto" w:fill="auto"/>
            <w:vAlign w:val="center"/>
          </w:tcPr>
          <w:p w14:paraId="41344E27" w14:textId="77777777" w:rsidR="00DE7B2C" w:rsidRPr="00F5596D" w:rsidRDefault="00DE7B2C" w:rsidP="00E61B34">
            <w:pPr>
              <w:jc w:val="center"/>
              <w:rPr>
                <w:rFonts w:asciiTheme="minorHAnsi" w:hAnsiTheme="minorHAnsi" w:cstheme="minorHAnsi"/>
                <w:color w:val="1F3864" w:themeColor="accent1" w:themeShade="80"/>
                <w:sz w:val="18"/>
                <w:szCs w:val="18"/>
                <w:lang w:val="sr-Cyrl-CS"/>
              </w:rPr>
            </w:pPr>
            <w:r w:rsidRPr="00F5596D">
              <w:rPr>
                <w:rFonts w:asciiTheme="minorHAnsi" w:hAnsiTheme="minorHAnsi" w:cstheme="minorHAnsi"/>
                <w:color w:val="1F3864" w:themeColor="accent1" w:themeShade="80"/>
                <w:sz w:val="18"/>
                <w:szCs w:val="18"/>
                <w:lang w:val="sr-Cyrl-CS"/>
              </w:rPr>
              <w:t>46,2</w:t>
            </w:r>
          </w:p>
        </w:tc>
      </w:tr>
      <w:tr w:rsidR="00DE7B2C" w:rsidRPr="00F5596D" w14:paraId="735577DE"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121" w:type="pct"/>
            <w:tcBorders>
              <w:bottom w:val="single" w:sz="4" w:space="0" w:color="002060"/>
            </w:tcBorders>
            <w:shd w:val="clear" w:color="auto" w:fill="auto"/>
            <w:vAlign w:val="center"/>
          </w:tcPr>
          <w:p w14:paraId="3664437F" w14:textId="77777777" w:rsidR="00DE7B2C" w:rsidRPr="00F5596D" w:rsidRDefault="00DE7B2C" w:rsidP="00E61B34">
            <w:pP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Реална стопа раста БДП</w:t>
            </w:r>
          </w:p>
        </w:tc>
        <w:tc>
          <w:tcPr>
            <w:tcW w:w="605" w:type="pct"/>
            <w:tcBorders>
              <w:bottom w:val="single" w:sz="4" w:space="0" w:color="002060"/>
            </w:tcBorders>
            <w:shd w:val="clear" w:color="auto" w:fill="auto"/>
            <w:vAlign w:val="center"/>
          </w:tcPr>
          <w:p w14:paraId="3F7E3F0C"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3,9%</w:t>
            </w:r>
          </w:p>
        </w:tc>
        <w:tc>
          <w:tcPr>
            <w:tcW w:w="605" w:type="pct"/>
            <w:tcBorders>
              <w:bottom w:val="single" w:sz="4" w:space="0" w:color="002060"/>
            </w:tcBorders>
            <w:shd w:val="clear" w:color="auto" w:fill="auto"/>
            <w:vAlign w:val="center"/>
          </w:tcPr>
          <w:p w14:paraId="69457604"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3,2%</w:t>
            </w:r>
          </w:p>
        </w:tc>
        <w:tc>
          <w:tcPr>
            <w:tcW w:w="556" w:type="pct"/>
            <w:tcBorders>
              <w:bottom w:val="single" w:sz="4" w:space="0" w:color="002060"/>
            </w:tcBorders>
            <w:shd w:val="clear" w:color="auto" w:fill="auto"/>
            <w:vAlign w:val="center"/>
          </w:tcPr>
          <w:p w14:paraId="28CD5C4F"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w:t>
            </w:r>
          </w:p>
        </w:tc>
        <w:tc>
          <w:tcPr>
            <w:tcW w:w="556" w:type="pct"/>
            <w:tcBorders>
              <w:bottom w:val="single" w:sz="4" w:space="0" w:color="002060"/>
            </w:tcBorders>
            <w:shd w:val="clear" w:color="auto" w:fill="auto"/>
            <w:vAlign w:val="center"/>
          </w:tcPr>
          <w:p w14:paraId="695B08E8"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5,0%</w:t>
            </w:r>
          </w:p>
        </w:tc>
        <w:tc>
          <w:tcPr>
            <w:tcW w:w="556" w:type="pct"/>
            <w:tcBorders>
              <w:bottom w:val="single" w:sz="4" w:space="0" w:color="002060"/>
            </w:tcBorders>
            <w:shd w:val="clear" w:color="auto" w:fill="auto"/>
            <w:vAlign w:val="center"/>
          </w:tcPr>
          <w:p w14:paraId="64718DB0" w14:textId="77777777" w:rsidR="00DE7B2C" w:rsidRPr="00F5596D" w:rsidRDefault="00DE7B2C" w:rsidP="00E61B34">
            <w:pPr>
              <w:jc w:val="center"/>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3,5%</w:t>
            </w:r>
          </w:p>
        </w:tc>
      </w:tr>
    </w:tbl>
    <w:p w14:paraId="30E4852C" w14:textId="77777777" w:rsidR="00DE7B2C" w:rsidRPr="00F5596D" w:rsidRDefault="00DE7B2C" w:rsidP="00DE7B2C">
      <w:pPr>
        <w:spacing w:before="40" w:after="240" w:line="276" w:lineRule="auto"/>
        <w:rPr>
          <w:rFonts w:cstheme="minorHAnsi"/>
          <w:sz w:val="16"/>
          <w:szCs w:val="20"/>
          <w:lang w:val="sr-Cyrl-CS"/>
        </w:rPr>
      </w:pPr>
      <w:r w:rsidRPr="00F5596D">
        <w:rPr>
          <w:rFonts w:eastAsia="Calibri" w:cstheme="minorHAnsi"/>
          <w:bCs/>
          <w:sz w:val="16"/>
          <w:szCs w:val="20"/>
          <w:lang w:val="sr-Cyrl-CS" w:eastAsia="ja-JP"/>
        </w:rPr>
        <w:t xml:space="preserve">Извор: </w:t>
      </w:r>
      <w:r w:rsidRPr="00F5596D">
        <w:rPr>
          <w:rFonts w:cstheme="minorHAnsi"/>
          <w:sz w:val="16"/>
          <w:szCs w:val="20"/>
          <w:lang w:val="sr-Cyrl-CS"/>
        </w:rPr>
        <w:t>Министарство финансија</w:t>
      </w:r>
    </w:p>
    <w:p w14:paraId="49D5B6D6" w14:textId="77777777" w:rsidR="00DE7B2C" w:rsidRPr="00F5596D" w:rsidRDefault="00DE7B2C" w:rsidP="00DE7B2C">
      <w:pPr>
        <w:spacing w:before="40" w:after="240" w:line="276" w:lineRule="auto"/>
        <w:rPr>
          <w:rFonts w:eastAsia="MS PGothic" w:cstheme="minorHAnsi"/>
          <w:szCs w:val="20"/>
          <w:lang w:val="sr-Cyrl-CS" w:eastAsia="ja-JP"/>
        </w:rPr>
        <w:sectPr w:rsidR="00DE7B2C" w:rsidRPr="00F5596D" w:rsidSect="00E61B34">
          <w:type w:val="continuous"/>
          <w:pgSz w:w="12240" w:h="15840" w:code="1"/>
          <w:pgMar w:top="1440" w:right="1440" w:bottom="1440" w:left="1440" w:header="720" w:footer="720" w:gutter="0"/>
          <w:cols w:space="720"/>
          <w:docGrid w:linePitch="360"/>
        </w:sectPr>
      </w:pPr>
    </w:p>
    <w:p w14:paraId="26D3FF05" w14:textId="77777777" w:rsidR="00DE7B2C" w:rsidRPr="00F5596D" w:rsidRDefault="00DE7B2C" w:rsidP="00DE7B2C">
      <w:pPr>
        <w:spacing w:after="120"/>
        <w:rPr>
          <w:rFonts w:cstheme="minorHAnsi"/>
          <w:b/>
          <w:color w:val="002060"/>
          <w:lang w:val="sr-Cyrl-CS"/>
        </w:rPr>
      </w:pPr>
      <w:r w:rsidRPr="00F5596D">
        <w:rPr>
          <w:rFonts w:eastAsia="MS PGothic" w:cstheme="minorHAnsi"/>
          <w:szCs w:val="20"/>
          <w:lang w:val="sr-Cyrl-CS" w:eastAsia="ja-JP"/>
        </w:rPr>
        <w:t>Циљеви фискалне политике у наредном средњорочном периоду биће обезбеђење стабилне позиције јавних финансија и опадајућа путања јавног дуга. Смањење</w:t>
      </w:r>
      <w:r w:rsidRPr="00F5596D">
        <w:rPr>
          <w:rFonts w:cstheme="minorHAnsi"/>
          <w:lang w:val="sr-Cyrl-CS"/>
        </w:rPr>
        <w:t xml:space="preserve"> учешћа дуга је уско везано за динамику планираног дефицита као главног фактора задуживања. Кретање трошкова задуживања на међународном финансијском тржишту такође захтевају опрез при вођењу фискалне политике.</w:t>
      </w:r>
    </w:p>
    <w:p w14:paraId="2DEB1D0A" w14:textId="77777777" w:rsidR="00DE7B2C" w:rsidRPr="00F5596D" w:rsidRDefault="00DE7B2C" w:rsidP="00DE7B2C">
      <w:pPr>
        <w:spacing w:after="0"/>
        <w:rPr>
          <w:rFonts w:cstheme="minorHAnsi"/>
          <w:b/>
          <w:color w:val="002060"/>
          <w:lang w:val="sr-Cyrl-CS"/>
        </w:rPr>
      </w:pPr>
      <w:r w:rsidRPr="00F5596D">
        <w:rPr>
          <w:rFonts w:cstheme="minorHAnsi"/>
          <w:b/>
          <w:color w:val="002060"/>
          <w:lang w:val="sr-Cyrl-CS"/>
        </w:rPr>
        <w:t>Фискални резултат и дуг сектора државе, % БДП</w:t>
      </w:r>
    </w:p>
    <w:p w14:paraId="2FC5C148" w14:textId="77777777" w:rsidR="00DE7B2C" w:rsidRPr="00F5596D" w:rsidRDefault="00DE7B2C" w:rsidP="00DE7B2C">
      <w:pPr>
        <w:spacing w:after="120"/>
        <w:jc w:val="right"/>
        <w:rPr>
          <w:lang w:val="sr-Cyrl-CS"/>
        </w:rPr>
      </w:pPr>
      <w:r w:rsidRPr="00F5596D">
        <w:rPr>
          <w:noProof/>
        </w:rPr>
        <w:drawing>
          <wp:inline distT="0" distB="0" distL="0" distR="0" wp14:anchorId="6CD2919C" wp14:editId="6936E1A7">
            <wp:extent cx="2960914" cy="1654175"/>
            <wp:effectExtent l="0" t="0" r="0" b="3175"/>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45841663" w14:textId="77777777" w:rsidR="001B5D96" w:rsidRPr="00F5596D" w:rsidRDefault="001B5D96" w:rsidP="00DE7B2C">
      <w:pPr>
        <w:rPr>
          <w:rFonts w:eastAsia="MS PGothic" w:cstheme="minorHAnsi"/>
          <w:spacing w:val="-2"/>
          <w:szCs w:val="20"/>
          <w:lang w:val="sr-Cyrl-CS" w:eastAsia="ja-JP"/>
        </w:rPr>
      </w:pPr>
    </w:p>
    <w:p w14:paraId="5094A6EB" w14:textId="2E27BCD5" w:rsidR="00DE7B2C" w:rsidRPr="00F5596D" w:rsidRDefault="00DE7B2C" w:rsidP="00DE7B2C">
      <w:pPr>
        <w:rPr>
          <w:rFonts w:eastAsia="MS PGothic" w:cstheme="minorHAnsi"/>
          <w:spacing w:val="-2"/>
          <w:szCs w:val="20"/>
          <w:lang w:val="sr-Cyrl-CS" w:eastAsia="ja-JP"/>
        </w:rPr>
      </w:pPr>
      <w:r w:rsidRPr="00F5596D">
        <w:rPr>
          <w:rFonts w:eastAsia="MS PGothic" w:cstheme="minorHAnsi"/>
          <w:spacing w:val="-2"/>
          <w:szCs w:val="20"/>
          <w:lang w:val="sr-Cyrl-CS" w:eastAsia="ja-JP"/>
        </w:rPr>
        <w:t>Почетком 2024. године започете су активности на реализацији развојног плана „Скок у будућност”. У наредном периоду фискални импулс ће бити усмерен на повећање јавних инвестиција са фокусом на оне приоритетне и продуктивне, а реформом управљања јавним инвестицијама ће се додатно подржати висок квалитет инвестиционих улагања.</w:t>
      </w:r>
    </w:p>
    <w:p w14:paraId="71D47550" w14:textId="77777777" w:rsidR="00DE7B2C" w:rsidRPr="00F5596D" w:rsidRDefault="00DE7B2C" w:rsidP="00DE7B2C">
      <w:pPr>
        <w:rPr>
          <w:rFonts w:eastAsia="Times New Roman" w:cstheme="minorHAnsi"/>
          <w:b/>
          <w:bCs/>
          <w:spacing w:val="-2"/>
          <w:szCs w:val="20"/>
          <w:lang w:val="sr-Cyrl-CS" w:eastAsia="ja-JP"/>
        </w:rPr>
      </w:pPr>
      <w:r w:rsidRPr="00F5596D">
        <w:rPr>
          <w:rFonts w:eastAsia="Calibri" w:cstheme="minorHAnsi"/>
          <w:spacing w:val="-2"/>
          <w:szCs w:val="20"/>
          <w:lang w:val="sr-Cyrl-CS" w:eastAsia="ja-JP"/>
        </w:rPr>
        <w:t>На приходној страни приоритет ће остати даље смањење пореског оптерећења зарада и наставак борбе против пореске евазије и сиве економије.</w:t>
      </w:r>
    </w:p>
    <w:p w14:paraId="7EA56622" w14:textId="77777777" w:rsidR="00DE7B2C" w:rsidRPr="00F5596D" w:rsidRDefault="00DE7B2C" w:rsidP="00DE7B2C">
      <w:pPr>
        <w:keepNext/>
        <w:spacing w:after="120"/>
        <w:rPr>
          <w:rFonts w:eastAsia="MS PGothic" w:cstheme="minorHAnsi"/>
          <w:szCs w:val="20"/>
          <w:lang w:val="sr-Cyrl-CS" w:eastAsia="ja-JP"/>
        </w:rPr>
      </w:pPr>
      <w:r w:rsidRPr="00F5596D">
        <w:rPr>
          <w:rFonts w:eastAsia="MS PGothic" w:cstheme="minorHAnsi"/>
          <w:szCs w:val="20"/>
          <w:lang w:val="sr-Cyrl-CS" w:eastAsia="ja-JP"/>
        </w:rPr>
        <w:t>Пројекција прихода у периоду од 2026. до 2028. године израђена је на основу:</w:t>
      </w:r>
    </w:p>
    <w:p w14:paraId="2A4C3218" w14:textId="77777777" w:rsidR="00DE7B2C" w:rsidRPr="00F5596D" w:rsidRDefault="00DE7B2C" w:rsidP="00DE7B2C">
      <w:pPr>
        <w:numPr>
          <w:ilvl w:val="0"/>
          <w:numId w:val="1"/>
        </w:numPr>
        <w:spacing w:after="120"/>
        <w:ind w:left="181" w:hanging="181"/>
        <w:contextualSpacing/>
        <w:rPr>
          <w:rFonts w:eastAsia="Calibri" w:cstheme="minorHAnsi"/>
          <w:lang w:val="sr-Cyrl-CS"/>
        </w:rPr>
      </w:pPr>
      <w:r w:rsidRPr="00F5596D">
        <w:rPr>
          <w:rFonts w:eastAsia="Calibri" w:cstheme="minorHAnsi"/>
          <w:lang w:val="sr-Cyrl-CS"/>
        </w:rPr>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482A936B" w14:textId="77777777" w:rsidR="00DE7B2C" w:rsidRPr="00F5596D" w:rsidRDefault="00DE7B2C" w:rsidP="00DE7B2C">
      <w:pPr>
        <w:numPr>
          <w:ilvl w:val="0"/>
          <w:numId w:val="1"/>
        </w:numPr>
        <w:spacing w:after="120"/>
        <w:ind w:left="181" w:hanging="181"/>
        <w:contextualSpacing/>
        <w:rPr>
          <w:rFonts w:eastAsia="Calibri" w:cstheme="minorHAnsi"/>
          <w:lang w:val="sr-Cyrl-CS"/>
        </w:rPr>
      </w:pPr>
      <w:r w:rsidRPr="00F5596D">
        <w:rPr>
          <w:rFonts w:eastAsia="Calibri" w:cstheme="minorHAnsi"/>
          <w:lang w:val="sr-Cyrl-CS"/>
        </w:rPr>
        <w:t>важеће и планиране измене пореске политике;</w:t>
      </w:r>
    </w:p>
    <w:p w14:paraId="24663B67" w14:textId="77777777" w:rsidR="00DE7B2C" w:rsidRPr="00F5596D" w:rsidRDefault="00DE7B2C" w:rsidP="00DE7B2C">
      <w:pPr>
        <w:numPr>
          <w:ilvl w:val="0"/>
          <w:numId w:val="1"/>
        </w:numPr>
        <w:spacing w:after="120"/>
        <w:ind w:left="181" w:hanging="181"/>
        <w:rPr>
          <w:rFonts w:eastAsia="Calibri" w:cstheme="minorHAnsi"/>
          <w:lang w:val="sr-Cyrl-CS"/>
        </w:rPr>
      </w:pPr>
      <w:r w:rsidRPr="00F5596D">
        <w:rPr>
          <w:rFonts w:eastAsia="Calibri" w:cstheme="minorHAnsi"/>
          <w:lang w:val="sr-Cyrl-CS"/>
        </w:rPr>
        <w:t>процењених ефеката фискалних и структурних мера у наредном периоду.</w:t>
      </w:r>
    </w:p>
    <w:p w14:paraId="0101957F" w14:textId="77777777" w:rsidR="00DE7B2C" w:rsidRPr="00F5596D" w:rsidRDefault="00DE7B2C" w:rsidP="00DE7B2C">
      <w:pPr>
        <w:spacing w:before="240" w:after="120" w:line="276" w:lineRule="auto"/>
        <w:jc w:val="center"/>
        <w:rPr>
          <w:rFonts w:eastAsia="MS PGothic" w:cstheme="minorHAnsi"/>
          <w:b/>
          <w:color w:val="002060"/>
          <w:szCs w:val="20"/>
          <w:lang w:val="sr-Cyrl-CS" w:eastAsia="ja-JP"/>
        </w:rPr>
        <w:sectPr w:rsidR="00DE7B2C" w:rsidRPr="00F5596D" w:rsidSect="00E61B34">
          <w:type w:val="continuous"/>
          <w:pgSz w:w="12240" w:h="15840" w:code="1"/>
          <w:pgMar w:top="1440" w:right="1440" w:bottom="1440" w:left="1440" w:header="720" w:footer="720" w:gutter="0"/>
          <w:cols w:num="2" w:space="720"/>
          <w:docGrid w:linePitch="360"/>
        </w:sectPr>
      </w:pPr>
    </w:p>
    <w:p w14:paraId="34D0C9A8" w14:textId="77777777" w:rsidR="00DE7B2C" w:rsidRPr="00F5596D" w:rsidRDefault="00DE7B2C" w:rsidP="00DE7B2C">
      <w:pPr>
        <w:spacing w:before="120" w:after="120" w:line="276" w:lineRule="auto"/>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lastRenderedPageBreak/>
        <w:t>Табела 10. Укупни приходи и донације у периоду 2024 – 2028. године, % БДП</w:t>
      </w:r>
    </w:p>
    <w:tbl>
      <w:tblPr>
        <w:tblStyle w:val="LightShading-Accent12114"/>
        <w:tblW w:w="5000" w:type="pct"/>
        <w:tblBorders>
          <w:top w:val="none" w:sz="0" w:space="0" w:color="auto"/>
          <w:bottom w:val="none" w:sz="0" w:space="0" w:color="auto"/>
        </w:tblBorders>
        <w:tblLook w:val="0420" w:firstRow="1" w:lastRow="0" w:firstColumn="0" w:lastColumn="0" w:noHBand="0" w:noVBand="1"/>
      </w:tblPr>
      <w:tblGrid>
        <w:gridCol w:w="3824"/>
        <w:gridCol w:w="1133"/>
        <w:gridCol w:w="1134"/>
        <w:gridCol w:w="1088"/>
        <w:gridCol w:w="1090"/>
        <w:gridCol w:w="1091"/>
      </w:tblGrid>
      <w:tr w:rsidR="00DE7B2C" w:rsidRPr="00F5596D" w14:paraId="6A804146" w14:textId="77777777" w:rsidTr="001B5D96">
        <w:trPr>
          <w:cnfStyle w:val="100000000000" w:firstRow="1" w:lastRow="0" w:firstColumn="0" w:lastColumn="0" w:oddVBand="0" w:evenVBand="0" w:oddHBand="0" w:evenHBand="0" w:firstRowFirstColumn="0" w:firstRowLastColumn="0" w:lastRowFirstColumn="0" w:lastRowLastColumn="0"/>
          <w:trHeight w:val="20"/>
        </w:trPr>
        <w:tc>
          <w:tcPr>
            <w:tcW w:w="2043" w:type="pct"/>
            <w:tcBorders>
              <w:top w:val="single" w:sz="4" w:space="0" w:color="002060"/>
              <w:bottom w:val="single" w:sz="4" w:space="0" w:color="002060"/>
            </w:tcBorders>
            <w:noWrap/>
            <w:vAlign w:val="center"/>
          </w:tcPr>
          <w:p w14:paraId="48D5056D"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Опис</w:t>
            </w:r>
          </w:p>
        </w:tc>
        <w:tc>
          <w:tcPr>
            <w:tcW w:w="605" w:type="pct"/>
            <w:tcBorders>
              <w:top w:val="single" w:sz="4" w:space="0" w:color="002060"/>
              <w:bottom w:val="single" w:sz="4" w:space="0" w:color="002060"/>
            </w:tcBorders>
            <w:vAlign w:val="center"/>
          </w:tcPr>
          <w:p w14:paraId="2F3E124F"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Извршење</w:t>
            </w:r>
          </w:p>
        </w:tc>
        <w:tc>
          <w:tcPr>
            <w:tcW w:w="606" w:type="pct"/>
            <w:tcBorders>
              <w:top w:val="single" w:sz="4" w:space="0" w:color="002060"/>
              <w:bottom w:val="single" w:sz="4" w:space="0" w:color="002060"/>
            </w:tcBorders>
            <w:vAlign w:val="center"/>
          </w:tcPr>
          <w:p w14:paraId="7B512B79"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Процена</w:t>
            </w:r>
          </w:p>
        </w:tc>
        <w:tc>
          <w:tcPr>
            <w:tcW w:w="1746" w:type="pct"/>
            <w:gridSpan w:val="3"/>
            <w:tcBorders>
              <w:top w:val="single" w:sz="4" w:space="0" w:color="002060"/>
              <w:bottom w:val="single" w:sz="4" w:space="0" w:color="002060"/>
            </w:tcBorders>
            <w:vAlign w:val="center"/>
          </w:tcPr>
          <w:p w14:paraId="73FDCBCC" w14:textId="77777777" w:rsidR="00DE7B2C" w:rsidRPr="00F5596D" w:rsidRDefault="00DE7B2C" w:rsidP="00E61B34">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Пројекција</w:t>
            </w:r>
          </w:p>
        </w:tc>
      </w:tr>
      <w:tr w:rsidR="00DE7B2C" w:rsidRPr="00F5596D" w14:paraId="638B9B73"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top w:val="single" w:sz="4" w:space="0" w:color="002060"/>
            </w:tcBorders>
            <w:shd w:val="clear" w:color="auto" w:fill="FFFFFF" w:themeFill="background1"/>
            <w:noWrap/>
          </w:tcPr>
          <w:p w14:paraId="5555177C"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05" w:type="pct"/>
            <w:tcBorders>
              <w:top w:val="single" w:sz="4" w:space="0" w:color="002060"/>
              <w:bottom w:val="single" w:sz="4" w:space="0" w:color="002060"/>
            </w:tcBorders>
            <w:shd w:val="clear" w:color="auto" w:fill="FFFFFF" w:themeFill="background1"/>
          </w:tcPr>
          <w:p w14:paraId="3C72CFF5"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2024</w:t>
            </w:r>
          </w:p>
        </w:tc>
        <w:tc>
          <w:tcPr>
            <w:tcW w:w="606" w:type="pct"/>
            <w:tcBorders>
              <w:top w:val="single" w:sz="4" w:space="0" w:color="002060"/>
              <w:bottom w:val="single" w:sz="4" w:space="0" w:color="002060"/>
            </w:tcBorders>
            <w:shd w:val="clear" w:color="auto" w:fill="FFFFFF" w:themeFill="background1"/>
          </w:tcPr>
          <w:p w14:paraId="1BA0B0AA"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2025</w:t>
            </w:r>
          </w:p>
        </w:tc>
        <w:tc>
          <w:tcPr>
            <w:tcW w:w="581" w:type="pct"/>
            <w:tcBorders>
              <w:top w:val="single" w:sz="4" w:space="0" w:color="002060"/>
              <w:bottom w:val="single" w:sz="4" w:space="0" w:color="002060"/>
            </w:tcBorders>
            <w:shd w:val="clear" w:color="auto" w:fill="FFFFFF" w:themeFill="background1"/>
          </w:tcPr>
          <w:p w14:paraId="7EA6283F"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2026</w:t>
            </w:r>
          </w:p>
        </w:tc>
        <w:tc>
          <w:tcPr>
            <w:tcW w:w="582" w:type="pct"/>
            <w:tcBorders>
              <w:top w:val="single" w:sz="4" w:space="0" w:color="002060"/>
              <w:bottom w:val="single" w:sz="4" w:space="0" w:color="002060"/>
            </w:tcBorders>
            <w:shd w:val="clear" w:color="auto" w:fill="FFFFFF" w:themeFill="background1"/>
          </w:tcPr>
          <w:p w14:paraId="4762E575"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2027</w:t>
            </w:r>
          </w:p>
        </w:tc>
        <w:tc>
          <w:tcPr>
            <w:tcW w:w="583" w:type="pct"/>
            <w:tcBorders>
              <w:top w:val="single" w:sz="4" w:space="0" w:color="002060"/>
              <w:bottom w:val="single" w:sz="4" w:space="0" w:color="002060"/>
            </w:tcBorders>
            <w:shd w:val="clear" w:color="auto" w:fill="FFFFFF" w:themeFill="background1"/>
          </w:tcPr>
          <w:p w14:paraId="38099AFD"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2028</w:t>
            </w:r>
          </w:p>
        </w:tc>
      </w:tr>
      <w:tr w:rsidR="00DE7B2C" w:rsidRPr="00F5596D" w14:paraId="643FECE2" w14:textId="77777777" w:rsidTr="001B5D96">
        <w:trPr>
          <w:trHeight w:val="20"/>
        </w:trPr>
        <w:tc>
          <w:tcPr>
            <w:tcW w:w="2043" w:type="pct"/>
            <w:shd w:val="clear" w:color="auto" w:fill="FFFFFF" w:themeFill="background1"/>
          </w:tcPr>
          <w:p w14:paraId="7DD765D0"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ЈАВНИ ПРИХОДИ</w:t>
            </w:r>
          </w:p>
        </w:tc>
        <w:tc>
          <w:tcPr>
            <w:tcW w:w="605" w:type="pct"/>
            <w:tcBorders>
              <w:top w:val="single" w:sz="4" w:space="0" w:color="002060"/>
            </w:tcBorders>
            <w:shd w:val="clear" w:color="auto" w:fill="auto"/>
            <w:vAlign w:val="center"/>
          </w:tcPr>
          <w:p w14:paraId="4B69D10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40,9</w:t>
            </w:r>
          </w:p>
        </w:tc>
        <w:tc>
          <w:tcPr>
            <w:tcW w:w="606" w:type="pct"/>
            <w:tcBorders>
              <w:top w:val="single" w:sz="4" w:space="0" w:color="002060"/>
            </w:tcBorders>
            <w:shd w:val="clear" w:color="auto" w:fill="auto"/>
            <w:noWrap/>
            <w:vAlign w:val="center"/>
          </w:tcPr>
          <w:p w14:paraId="3583D15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40,9</w:t>
            </w:r>
          </w:p>
        </w:tc>
        <w:tc>
          <w:tcPr>
            <w:tcW w:w="581" w:type="pct"/>
            <w:tcBorders>
              <w:top w:val="single" w:sz="4" w:space="0" w:color="002060"/>
            </w:tcBorders>
            <w:shd w:val="clear" w:color="auto" w:fill="auto"/>
            <w:noWrap/>
            <w:vAlign w:val="center"/>
          </w:tcPr>
          <w:p w14:paraId="1D0265A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40,4</w:t>
            </w:r>
          </w:p>
        </w:tc>
        <w:tc>
          <w:tcPr>
            <w:tcW w:w="582" w:type="pct"/>
            <w:tcBorders>
              <w:top w:val="single" w:sz="4" w:space="0" w:color="002060"/>
            </w:tcBorders>
            <w:shd w:val="clear" w:color="auto" w:fill="auto"/>
            <w:noWrap/>
            <w:vAlign w:val="center"/>
          </w:tcPr>
          <w:p w14:paraId="00034F6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40,1</w:t>
            </w:r>
          </w:p>
        </w:tc>
        <w:tc>
          <w:tcPr>
            <w:tcW w:w="583" w:type="pct"/>
            <w:tcBorders>
              <w:top w:val="single" w:sz="4" w:space="0" w:color="002060"/>
            </w:tcBorders>
            <w:shd w:val="clear" w:color="auto" w:fill="auto"/>
            <w:noWrap/>
            <w:vAlign w:val="center"/>
          </w:tcPr>
          <w:p w14:paraId="1A08F23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39,9</w:t>
            </w:r>
          </w:p>
        </w:tc>
      </w:tr>
      <w:tr w:rsidR="00DE7B2C" w:rsidRPr="00F5596D" w14:paraId="542C2BCB"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shd w:val="clear" w:color="auto" w:fill="FFFFFF" w:themeFill="background1"/>
          </w:tcPr>
          <w:p w14:paraId="036F92C7"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Текући приходи</w:t>
            </w:r>
          </w:p>
        </w:tc>
        <w:tc>
          <w:tcPr>
            <w:tcW w:w="605" w:type="pct"/>
            <w:shd w:val="clear" w:color="auto" w:fill="FFFFFF" w:themeFill="background1"/>
          </w:tcPr>
          <w:p w14:paraId="6A5E910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40,7</w:t>
            </w:r>
          </w:p>
        </w:tc>
        <w:tc>
          <w:tcPr>
            <w:tcW w:w="606" w:type="pct"/>
            <w:shd w:val="clear" w:color="auto" w:fill="FFFFFF" w:themeFill="background1"/>
            <w:noWrap/>
          </w:tcPr>
          <w:p w14:paraId="48EF280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40,6</w:t>
            </w:r>
          </w:p>
        </w:tc>
        <w:tc>
          <w:tcPr>
            <w:tcW w:w="581" w:type="pct"/>
            <w:shd w:val="clear" w:color="auto" w:fill="FFFFFF" w:themeFill="background1"/>
            <w:noWrap/>
          </w:tcPr>
          <w:p w14:paraId="19DFE7B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40,0</w:t>
            </w:r>
          </w:p>
        </w:tc>
        <w:tc>
          <w:tcPr>
            <w:tcW w:w="582" w:type="pct"/>
            <w:shd w:val="clear" w:color="auto" w:fill="FFFFFF" w:themeFill="background1"/>
            <w:noWrap/>
          </w:tcPr>
          <w:p w14:paraId="3DC845E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39,8</w:t>
            </w:r>
          </w:p>
        </w:tc>
        <w:tc>
          <w:tcPr>
            <w:tcW w:w="583" w:type="pct"/>
            <w:shd w:val="clear" w:color="auto" w:fill="FFFFFF" w:themeFill="background1"/>
            <w:noWrap/>
          </w:tcPr>
          <w:p w14:paraId="472E3EC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39,5</w:t>
            </w:r>
          </w:p>
        </w:tc>
      </w:tr>
      <w:tr w:rsidR="00DE7B2C" w:rsidRPr="00F5596D" w14:paraId="10FA7BFA" w14:textId="77777777" w:rsidTr="001B5D96">
        <w:trPr>
          <w:trHeight w:val="20"/>
        </w:trPr>
        <w:tc>
          <w:tcPr>
            <w:tcW w:w="2043" w:type="pct"/>
            <w:shd w:val="clear" w:color="auto" w:fill="FFFFFF" w:themeFill="background1"/>
          </w:tcPr>
          <w:p w14:paraId="3D98E51C"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Порески приходи</w:t>
            </w:r>
          </w:p>
        </w:tc>
        <w:tc>
          <w:tcPr>
            <w:tcW w:w="605" w:type="pct"/>
            <w:shd w:val="clear" w:color="auto" w:fill="FFFFFF" w:themeFill="background1"/>
          </w:tcPr>
          <w:p w14:paraId="2D9A3F4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36,3</w:t>
            </w:r>
          </w:p>
        </w:tc>
        <w:tc>
          <w:tcPr>
            <w:tcW w:w="606" w:type="pct"/>
            <w:shd w:val="clear" w:color="auto" w:fill="FFFFFF" w:themeFill="background1"/>
            <w:noWrap/>
          </w:tcPr>
          <w:p w14:paraId="1179A9E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36,3</w:t>
            </w:r>
          </w:p>
        </w:tc>
        <w:tc>
          <w:tcPr>
            <w:tcW w:w="581" w:type="pct"/>
            <w:shd w:val="clear" w:color="auto" w:fill="FFFFFF" w:themeFill="background1"/>
            <w:noWrap/>
          </w:tcPr>
          <w:p w14:paraId="037713F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36,2</w:t>
            </w:r>
          </w:p>
        </w:tc>
        <w:tc>
          <w:tcPr>
            <w:tcW w:w="582" w:type="pct"/>
            <w:shd w:val="clear" w:color="auto" w:fill="FFFFFF" w:themeFill="background1"/>
            <w:noWrap/>
          </w:tcPr>
          <w:p w14:paraId="0A452AB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36,3</w:t>
            </w:r>
          </w:p>
        </w:tc>
        <w:tc>
          <w:tcPr>
            <w:tcW w:w="583" w:type="pct"/>
            <w:shd w:val="clear" w:color="auto" w:fill="FFFFFF" w:themeFill="background1"/>
            <w:noWrap/>
          </w:tcPr>
          <w:p w14:paraId="1A859038"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36,2</w:t>
            </w:r>
          </w:p>
        </w:tc>
      </w:tr>
      <w:tr w:rsidR="00DE7B2C" w:rsidRPr="00F5596D" w14:paraId="7F8B32E2"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shd w:val="clear" w:color="auto" w:fill="FFFFFF" w:themeFill="background1"/>
          </w:tcPr>
          <w:p w14:paraId="7472F22B"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Порез на доходак грађана</w:t>
            </w:r>
          </w:p>
        </w:tc>
        <w:tc>
          <w:tcPr>
            <w:tcW w:w="605" w:type="pct"/>
            <w:shd w:val="clear" w:color="auto" w:fill="FFFFFF" w:themeFill="background1"/>
          </w:tcPr>
          <w:p w14:paraId="78C15F58"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w:t>
            </w:r>
          </w:p>
        </w:tc>
        <w:tc>
          <w:tcPr>
            <w:tcW w:w="606" w:type="pct"/>
            <w:shd w:val="clear" w:color="auto" w:fill="FFFFFF" w:themeFill="background1"/>
            <w:noWrap/>
          </w:tcPr>
          <w:p w14:paraId="2D739966"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w:t>
            </w:r>
          </w:p>
        </w:tc>
        <w:tc>
          <w:tcPr>
            <w:tcW w:w="581" w:type="pct"/>
            <w:shd w:val="clear" w:color="auto" w:fill="FFFFFF" w:themeFill="background1"/>
            <w:noWrap/>
          </w:tcPr>
          <w:p w14:paraId="46D09D38"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w:t>
            </w:r>
          </w:p>
        </w:tc>
        <w:tc>
          <w:tcPr>
            <w:tcW w:w="582" w:type="pct"/>
            <w:shd w:val="clear" w:color="auto" w:fill="FFFFFF" w:themeFill="background1"/>
            <w:noWrap/>
          </w:tcPr>
          <w:p w14:paraId="4C2C4BE7"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w:t>
            </w:r>
          </w:p>
        </w:tc>
        <w:tc>
          <w:tcPr>
            <w:tcW w:w="583" w:type="pct"/>
            <w:shd w:val="clear" w:color="auto" w:fill="FFFFFF" w:themeFill="background1"/>
            <w:noWrap/>
          </w:tcPr>
          <w:p w14:paraId="5A68BF9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w:t>
            </w:r>
          </w:p>
        </w:tc>
      </w:tr>
      <w:tr w:rsidR="00DE7B2C" w:rsidRPr="00F5596D" w14:paraId="2EC3937C" w14:textId="77777777" w:rsidTr="001B5D96">
        <w:trPr>
          <w:trHeight w:val="20"/>
        </w:trPr>
        <w:tc>
          <w:tcPr>
            <w:tcW w:w="2043" w:type="pct"/>
            <w:shd w:val="clear" w:color="auto" w:fill="FFFFFF" w:themeFill="background1"/>
          </w:tcPr>
          <w:p w14:paraId="1A2C144C"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Порез на добит правних лица</w:t>
            </w:r>
          </w:p>
        </w:tc>
        <w:tc>
          <w:tcPr>
            <w:tcW w:w="605" w:type="pct"/>
            <w:shd w:val="clear" w:color="auto" w:fill="FFFFFF" w:themeFill="background1"/>
          </w:tcPr>
          <w:p w14:paraId="2813556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3,1</w:t>
            </w:r>
          </w:p>
        </w:tc>
        <w:tc>
          <w:tcPr>
            <w:tcW w:w="606" w:type="pct"/>
            <w:shd w:val="clear" w:color="auto" w:fill="FFFFFF" w:themeFill="background1"/>
            <w:noWrap/>
          </w:tcPr>
          <w:p w14:paraId="08BFB67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2,8</w:t>
            </w:r>
          </w:p>
        </w:tc>
        <w:tc>
          <w:tcPr>
            <w:tcW w:w="581" w:type="pct"/>
            <w:shd w:val="clear" w:color="auto" w:fill="FFFFFF" w:themeFill="background1"/>
            <w:noWrap/>
          </w:tcPr>
          <w:p w14:paraId="3DC8DF7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2,8</w:t>
            </w:r>
          </w:p>
        </w:tc>
        <w:tc>
          <w:tcPr>
            <w:tcW w:w="582" w:type="pct"/>
            <w:shd w:val="clear" w:color="auto" w:fill="FFFFFF" w:themeFill="background1"/>
            <w:noWrap/>
          </w:tcPr>
          <w:p w14:paraId="5E31639E"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2,7</w:t>
            </w:r>
          </w:p>
        </w:tc>
        <w:tc>
          <w:tcPr>
            <w:tcW w:w="583" w:type="pct"/>
            <w:shd w:val="clear" w:color="auto" w:fill="FFFFFF" w:themeFill="background1"/>
            <w:noWrap/>
          </w:tcPr>
          <w:p w14:paraId="27C7959E"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2,7</w:t>
            </w:r>
          </w:p>
        </w:tc>
      </w:tr>
      <w:tr w:rsidR="00DE7B2C" w:rsidRPr="00F5596D" w14:paraId="3C71B1B6"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shd w:val="clear" w:color="auto" w:fill="FFFFFF" w:themeFill="background1"/>
          </w:tcPr>
          <w:p w14:paraId="1FFDC1A8"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ПДВ</w:t>
            </w:r>
          </w:p>
        </w:tc>
        <w:tc>
          <w:tcPr>
            <w:tcW w:w="605" w:type="pct"/>
            <w:shd w:val="clear" w:color="auto" w:fill="FFFFFF" w:themeFill="background1"/>
          </w:tcPr>
          <w:p w14:paraId="64FB1A0E"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9,9</w:t>
            </w:r>
          </w:p>
        </w:tc>
        <w:tc>
          <w:tcPr>
            <w:tcW w:w="606" w:type="pct"/>
            <w:shd w:val="clear" w:color="auto" w:fill="FFFFFF" w:themeFill="background1"/>
            <w:noWrap/>
          </w:tcPr>
          <w:p w14:paraId="102364A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9,9</w:t>
            </w:r>
          </w:p>
        </w:tc>
        <w:tc>
          <w:tcPr>
            <w:tcW w:w="581" w:type="pct"/>
            <w:shd w:val="clear" w:color="auto" w:fill="FFFFFF" w:themeFill="background1"/>
            <w:noWrap/>
          </w:tcPr>
          <w:p w14:paraId="38D82A4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9,9</w:t>
            </w:r>
          </w:p>
        </w:tc>
        <w:tc>
          <w:tcPr>
            <w:tcW w:w="582" w:type="pct"/>
            <w:shd w:val="clear" w:color="auto" w:fill="FFFFFF" w:themeFill="background1"/>
            <w:noWrap/>
          </w:tcPr>
          <w:p w14:paraId="57DB1C6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10,0</w:t>
            </w:r>
          </w:p>
        </w:tc>
        <w:tc>
          <w:tcPr>
            <w:tcW w:w="583" w:type="pct"/>
            <w:shd w:val="clear" w:color="auto" w:fill="FFFFFF" w:themeFill="background1"/>
            <w:noWrap/>
          </w:tcPr>
          <w:p w14:paraId="0BDD1B6C"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10,0</w:t>
            </w:r>
          </w:p>
        </w:tc>
      </w:tr>
      <w:tr w:rsidR="00DE7B2C" w:rsidRPr="00F5596D" w14:paraId="6CBBC2B4" w14:textId="77777777" w:rsidTr="001B5D96">
        <w:trPr>
          <w:trHeight w:val="20"/>
        </w:trPr>
        <w:tc>
          <w:tcPr>
            <w:tcW w:w="2043" w:type="pct"/>
            <w:shd w:val="clear" w:color="auto" w:fill="FFFFFF" w:themeFill="background1"/>
          </w:tcPr>
          <w:p w14:paraId="70BB64C9"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Акцизе</w:t>
            </w:r>
          </w:p>
        </w:tc>
        <w:tc>
          <w:tcPr>
            <w:tcW w:w="605" w:type="pct"/>
            <w:shd w:val="clear" w:color="auto" w:fill="FFFFFF" w:themeFill="background1"/>
          </w:tcPr>
          <w:p w14:paraId="601672C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w:t>
            </w:r>
          </w:p>
        </w:tc>
        <w:tc>
          <w:tcPr>
            <w:tcW w:w="606" w:type="pct"/>
            <w:shd w:val="clear" w:color="auto" w:fill="FFFFFF" w:themeFill="background1"/>
            <w:noWrap/>
          </w:tcPr>
          <w:p w14:paraId="583DE43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4,1</w:t>
            </w:r>
          </w:p>
        </w:tc>
        <w:tc>
          <w:tcPr>
            <w:tcW w:w="581" w:type="pct"/>
            <w:shd w:val="clear" w:color="auto" w:fill="FFFFFF" w:themeFill="background1"/>
            <w:noWrap/>
          </w:tcPr>
          <w:p w14:paraId="59697E27"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4,0</w:t>
            </w:r>
          </w:p>
        </w:tc>
        <w:tc>
          <w:tcPr>
            <w:tcW w:w="582" w:type="pct"/>
            <w:shd w:val="clear" w:color="auto" w:fill="FFFFFF" w:themeFill="background1"/>
            <w:noWrap/>
          </w:tcPr>
          <w:p w14:paraId="3F198C6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3,8</w:t>
            </w:r>
          </w:p>
        </w:tc>
        <w:tc>
          <w:tcPr>
            <w:tcW w:w="583" w:type="pct"/>
            <w:shd w:val="clear" w:color="auto" w:fill="FFFFFF" w:themeFill="background1"/>
            <w:noWrap/>
          </w:tcPr>
          <w:p w14:paraId="522B933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w:t>
            </w:r>
          </w:p>
        </w:tc>
      </w:tr>
      <w:tr w:rsidR="00DE7B2C" w:rsidRPr="00F5596D" w14:paraId="351C0A1E"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shd w:val="clear" w:color="auto" w:fill="FFFFFF" w:themeFill="background1"/>
          </w:tcPr>
          <w:p w14:paraId="7A295ACA"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Царине</w:t>
            </w:r>
          </w:p>
        </w:tc>
        <w:tc>
          <w:tcPr>
            <w:tcW w:w="605" w:type="pct"/>
            <w:shd w:val="clear" w:color="auto" w:fill="FFFFFF" w:themeFill="background1"/>
          </w:tcPr>
          <w:p w14:paraId="1F8CEAB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0,9</w:t>
            </w:r>
          </w:p>
        </w:tc>
        <w:tc>
          <w:tcPr>
            <w:tcW w:w="606" w:type="pct"/>
            <w:shd w:val="clear" w:color="auto" w:fill="FFFFFF" w:themeFill="background1"/>
            <w:noWrap/>
          </w:tcPr>
          <w:p w14:paraId="7C149D7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0,9</w:t>
            </w:r>
          </w:p>
        </w:tc>
        <w:tc>
          <w:tcPr>
            <w:tcW w:w="581" w:type="pct"/>
            <w:shd w:val="clear" w:color="auto" w:fill="FFFFFF" w:themeFill="background1"/>
            <w:noWrap/>
          </w:tcPr>
          <w:p w14:paraId="3DEA6A5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0,9</w:t>
            </w:r>
          </w:p>
        </w:tc>
        <w:tc>
          <w:tcPr>
            <w:tcW w:w="582" w:type="pct"/>
            <w:shd w:val="clear" w:color="auto" w:fill="FFFFFF" w:themeFill="background1"/>
            <w:noWrap/>
          </w:tcPr>
          <w:p w14:paraId="64FDC8B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0,9</w:t>
            </w:r>
          </w:p>
        </w:tc>
        <w:tc>
          <w:tcPr>
            <w:tcW w:w="583" w:type="pct"/>
            <w:shd w:val="clear" w:color="auto" w:fill="FFFFFF" w:themeFill="background1"/>
            <w:noWrap/>
          </w:tcPr>
          <w:p w14:paraId="770926A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0,9</w:t>
            </w:r>
          </w:p>
        </w:tc>
      </w:tr>
      <w:tr w:rsidR="00DE7B2C" w:rsidRPr="00F5596D" w14:paraId="50E43ACE" w14:textId="77777777" w:rsidTr="001B5D96">
        <w:trPr>
          <w:trHeight w:val="20"/>
        </w:trPr>
        <w:tc>
          <w:tcPr>
            <w:tcW w:w="2043" w:type="pct"/>
            <w:shd w:val="clear" w:color="auto" w:fill="FFFFFF" w:themeFill="background1"/>
          </w:tcPr>
          <w:p w14:paraId="0FBCDEB8"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Остали порески приходи</w:t>
            </w:r>
          </w:p>
        </w:tc>
        <w:tc>
          <w:tcPr>
            <w:tcW w:w="605" w:type="pct"/>
            <w:shd w:val="clear" w:color="auto" w:fill="FFFFFF" w:themeFill="background1"/>
          </w:tcPr>
          <w:p w14:paraId="5BB8E6B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w:t>
            </w:r>
          </w:p>
        </w:tc>
        <w:tc>
          <w:tcPr>
            <w:tcW w:w="606" w:type="pct"/>
            <w:shd w:val="clear" w:color="auto" w:fill="FFFFFF" w:themeFill="background1"/>
            <w:noWrap/>
          </w:tcPr>
          <w:p w14:paraId="5F77412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w:t>
            </w:r>
          </w:p>
        </w:tc>
        <w:tc>
          <w:tcPr>
            <w:tcW w:w="581" w:type="pct"/>
            <w:shd w:val="clear" w:color="auto" w:fill="FFFFFF" w:themeFill="background1"/>
            <w:noWrap/>
          </w:tcPr>
          <w:p w14:paraId="7D0B9D7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1,1</w:t>
            </w:r>
          </w:p>
        </w:tc>
        <w:tc>
          <w:tcPr>
            <w:tcW w:w="582" w:type="pct"/>
            <w:shd w:val="clear" w:color="auto" w:fill="FFFFFF" w:themeFill="background1"/>
            <w:noWrap/>
          </w:tcPr>
          <w:p w14:paraId="41A469F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1,1</w:t>
            </w:r>
          </w:p>
        </w:tc>
        <w:tc>
          <w:tcPr>
            <w:tcW w:w="583" w:type="pct"/>
            <w:shd w:val="clear" w:color="auto" w:fill="FFFFFF" w:themeFill="background1"/>
            <w:noWrap/>
          </w:tcPr>
          <w:p w14:paraId="5B83230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w:t>
            </w:r>
          </w:p>
        </w:tc>
      </w:tr>
      <w:tr w:rsidR="00DE7B2C" w:rsidRPr="00F5596D" w14:paraId="24D38409"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shd w:val="clear" w:color="auto" w:fill="FFFFFF" w:themeFill="background1"/>
          </w:tcPr>
          <w:p w14:paraId="5EB0DA8F" w14:textId="77777777" w:rsidR="00DE7B2C" w:rsidRPr="00F5596D" w:rsidRDefault="00DE7B2C" w:rsidP="00E61B34">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Доприноси</w:t>
            </w:r>
          </w:p>
        </w:tc>
        <w:tc>
          <w:tcPr>
            <w:tcW w:w="605" w:type="pct"/>
            <w:shd w:val="clear" w:color="auto" w:fill="FFFFFF" w:themeFill="background1"/>
          </w:tcPr>
          <w:p w14:paraId="41BD851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12,7</w:t>
            </w:r>
          </w:p>
        </w:tc>
        <w:tc>
          <w:tcPr>
            <w:tcW w:w="606" w:type="pct"/>
            <w:shd w:val="clear" w:color="auto" w:fill="FFFFFF" w:themeFill="background1"/>
            <w:noWrap/>
          </w:tcPr>
          <w:p w14:paraId="1EA81887"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13,2</w:t>
            </w:r>
          </w:p>
        </w:tc>
        <w:tc>
          <w:tcPr>
            <w:tcW w:w="581" w:type="pct"/>
            <w:shd w:val="clear" w:color="auto" w:fill="FFFFFF" w:themeFill="background1"/>
            <w:noWrap/>
          </w:tcPr>
          <w:p w14:paraId="31C1C3F7"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13,4</w:t>
            </w:r>
          </w:p>
        </w:tc>
        <w:tc>
          <w:tcPr>
            <w:tcW w:w="582" w:type="pct"/>
            <w:shd w:val="clear" w:color="auto" w:fill="FFFFFF" w:themeFill="background1"/>
            <w:noWrap/>
          </w:tcPr>
          <w:p w14:paraId="7187BB2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13,5</w:t>
            </w:r>
          </w:p>
        </w:tc>
        <w:tc>
          <w:tcPr>
            <w:tcW w:w="583" w:type="pct"/>
            <w:shd w:val="clear" w:color="auto" w:fill="FFFFFF" w:themeFill="background1"/>
            <w:noWrap/>
          </w:tcPr>
          <w:p w14:paraId="7F240B5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13,7</w:t>
            </w:r>
          </w:p>
        </w:tc>
      </w:tr>
      <w:tr w:rsidR="00DE7B2C" w:rsidRPr="00F5596D" w14:paraId="472093CD" w14:textId="77777777" w:rsidTr="001B5D96">
        <w:trPr>
          <w:trHeight w:val="20"/>
        </w:trPr>
        <w:tc>
          <w:tcPr>
            <w:tcW w:w="2043" w:type="pct"/>
            <w:shd w:val="clear" w:color="auto" w:fill="FFFFFF" w:themeFill="background1"/>
          </w:tcPr>
          <w:p w14:paraId="617D241C"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Непорески приходи</w:t>
            </w:r>
          </w:p>
        </w:tc>
        <w:tc>
          <w:tcPr>
            <w:tcW w:w="605" w:type="pct"/>
            <w:shd w:val="clear" w:color="auto" w:fill="FFFFFF" w:themeFill="background1"/>
          </w:tcPr>
          <w:p w14:paraId="18DF340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4,4</w:t>
            </w:r>
          </w:p>
        </w:tc>
        <w:tc>
          <w:tcPr>
            <w:tcW w:w="606" w:type="pct"/>
            <w:shd w:val="clear" w:color="auto" w:fill="FFFFFF" w:themeFill="background1"/>
            <w:noWrap/>
          </w:tcPr>
          <w:p w14:paraId="45DB623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w:t>
            </w:r>
          </w:p>
        </w:tc>
        <w:tc>
          <w:tcPr>
            <w:tcW w:w="581" w:type="pct"/>
            <w:shd w:val="clear" w:color="auto" w:fill="FFFFFF" w:themeFill="background1"/>
            <w:noWrap/>
          </w:tcPr>
          <w:p w14:paraId="0C54570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3,8</w:t>
            </w:r>
          </w:p>
        </w:tc>
        <w:tc>
          <w:tcPr>
            <w:tcW w:w="582" w:type="pct"/>
            <w:shd w:val="clear" w:color="auto" w:fill="FFFFFF" w:themeFill="background1"/>
            <w:noWrap/>
          </w:tcPr>
          <w:p w14:paraId="1A9BD9C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3,5</w:t>
            </w:r>
          </w:p>
        </w:tc>
        <w:tc>
          <w:tcPr>
            <w:tcW w:w="583" w:type="pct"/>
            <w:shd w:val="clear" w:color="auto" w:fill="FFFFFF" w:themeFill="background1"/>
            <w:noWrap/>
          </w:tcPr>
          <w:p w14:paraId="67FF45A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3,4</w:t>
            </w:r>
          </w:p>
        </w:tc>
      </w:tr>
      <w:tr w:rsidR="00DE7B2C" w:rsidRPr="00F5596D" w14:paraId="34B73283" w14:textId="77777777" w:rsidTr="001B5D96">
        <w:trPr>
          <w:cnfStyle w:val="000000100000" w:firstRow="0" w:lastRow="0" w:firstColumn="0" w:lastColumn="0" w:oddVBand="0" w:evenVBand="0" w:oddHBand="1" w:evenHBand="0" w:firstRowFirstColumn="0" w:firstRowLastColumn="0" w:lastRowFirstColumn="0" w:lastRowLastColumn="0"/>
          <w:trHeight w:val="20"/>
        </w:trPr>
        <w:tc>
          <w:tcPr>
            <w:tcW w:w="2043" w:type="pct"/>
            <w:tcBorders>
              <w:bottom w:val="single" w:sz="4" w:space="0" w:color="002060"/>
            </w:tcBorders>
            <w:shd w:val="clear" w:color="auto" w:fill="FFFFFF" w:themeFill="background1"/>
          </w:tcPr>
          <w:p w14:paraId="47D301C7" w14:textId="77777777" w:rsidR="00DE7B2C" w:rsidRPr="00F5596D" w:rsidRDefault="00DE7B2C" w:rsidP="00E61B34">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Донације</w:t>
            </w:r>
          </w:p>
        </w:tc>
        <w:tc>
          <w:tcPr>
            <w:tcW w:w="605" w:type="pct"/>
            <w:tcBorders>
              <w:bottom w:val="single" w:sz="4" w:space="0" w:color="002060"/>
            </w:tcBorders>
            <w:shd w:val="clear" w:color="auto" w:fill="FFFFFF" w:themeFill="background1"/>
          </w:tcPr>
          <w:p w14:paraId="04F8152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606" w:type="pct"/>
            <w:tcBorders>
              <w:bottom w:val="single" w:sz="4" w:space="0" w:color="002060"/>
            </w:tcBorders>
            <w:shd w:val="clear" w:color="auto" w:fill="FFFFFF" w:themeFill="background1"/>
            <w:noWrap/>
          </w:tcPr>
          <w:p w14:paraId="3C4F1A5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0,4</w:t>
            </w:r>
          </w:p>
        </w:tc>
        <w:tc>
          <w:tcPr>
            <w:tcW w:w="581" w:type="pct"/>
            <w:tcBorders>
              <w:bottom w:val="single" w:sz="4" w:space="0" w:color="002060"/>
            </w:tcBorders>
            <w:shd w:val="clear" w:color="auto" w:fill="FFFFFF" w:themeFill="background1"/>
            <w:noWrap/>
          </w:tcPr>
          <w:p w14:paraId="41B2011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0,4</w:t>
            </w:r>
          </w:p>
        </w:tc>
        <w:tc>
          <w:tcPr>
            <w:tcW w:w="582" w:type="pct"/>
            <w:tcBorders>
              <w:bottom w:val="single" w:sz="4" w:space="0" w:color="002060"/>
            </w:tcBorders>
            <w:shd w:val="clear" w:color="auto" w:fill="FFFFFF" w:themeFill="background1"/>
            <w:noWrap/>
          </w:tcPr>
          <w:p w14:paraId="64E019B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0,4</w:t>
            </w:r>
          </w:p>
        </w:tc>
        <w:tc>
          <w:tcPr>
            <w:tcW w:w="583" w:type="pct"/>
            <w:tcBorders>
              <w:bottom w:val="single" w:sz="4" w:space="0" w:color="002060"/>
            </w:tcBorders>
            <w:shd w:val="clear" w:color="auto" w:fill="FFFFFF" w:themeFill="background1"/>
            <w:noWrap/>
          </w:tcPr>
          <w:p w14:paraId="04470C8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0,3</w:t>
            </w:r>
          </w:p>
        </w:tc>
      </w:tr>
    </w:tbl>
    <w:p w14:paraId="7319A547" w14:textId="77777777" w:rsidR="00DE7B2C" w:rsidRPr="00F5596D" w:rsidRDefault="00DE7B2C" w:rsidP="00DE7B2C">
      <w:pPr>
        <w:spacing w:before="40" w:after="120" w:line="276" w:lineRule="auto"/>
        <w:jc w:val="left"/>
        <w:rPr>
          <w:rFonts w:cstheme="minorHAnsi"/>
          <w:sz w:val="16"/>
          <w:szCs w:val="20"/>
          <w:lang w:val="sr-Cyrl-CS"/>
        </w:rPr>
        <w:sectPr w:rsidR="00DE7B2C" w:rsidRPr="00F5596D" w:rsidSect="00E61B34">
          <w:type w:val="continuous"/>
          <w:pgSz w:w="12240" w:h="15840" w:code="1"/>
          <w:pgMar w:top="1440" w:right="1440" w:bottom="1440" w:left="1440" w:header="720" w:footer="720" w:gutter="0"/>
          <w:cols w:space="720"/>
          <w:docGrid w:linePitch="360"/>
        </w:sectPr>
      </w:pPr>
      <w:r w:rsidRPr="00F5596D">
        <w:rPr>
          <w:rFonts w:eastAsia="Calibri" w:cstheme="minorHAnsi"/>
          <w:bCs/>
          <w:sz w:val="16"/>
          <w:szCs w:val="20"/>
          <w:lang w:val="sr-Cyrl-CS" w:eastAsia="ja-JP"/>
        </w:rPr>
        <w:t xml:space="preserve">Извор: </w:t>
      </w:r>
      <w:r w:rsidRPr="00F5596D">
        <w:rPr>
          <w:rFonts w:cstheme="minorHAnsi"/>
          <w:sz w:val="16"/>
          <w:szCs w:val="20"/>
          <w:lang w:val="sr-Cyrl-CS"/>
        </w:rPr>
        <w:t>Министарство финансија</w:t>
      </w:r>
    </w:p>
    <w:p w14:paraId="39E67EE4"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Благо опадајући тренд укупних јавних прихода у посматраном периоду, у смислу учешћа у БДП, је очекиван с обзиром на пројектовану структуру средњорочног раста српске привреде. Пројекција пореских прихода подразумева одржавање постојећег степена наплате.</w:t>
      </w:r>
    </w:p>
    <w:p w14:paraId="5A9ED275"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 xml:space="preserve">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С обзиром на кретање ове две компоненте очекује се благи пораст учешћа пореза на зараде у БДП. </w:t>
      </w:r>
    </w:p>
    <w:p w14:paraId="19FCC658"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Остали облици пореза на доходак (порез на дивиденде, порез на приходе од камата, годишњи порез на доходак, итд.) ће расти спорије, то јест у складу са кретањем опште економске активности.</w:t>
      </w:r>
    </w:p>
    <w:p w14:paraId="1151F0C5"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Комбинација динамике пореза на зараде и осталих облика пореза на доходак креира слику стабилног учешћа пореза на доходак у БДП кроз цео период.</w:t>
      </w:r>
    </w:p>
    <w:p w14:paraId="0F8E5E08" w14:textId="77777777" w:rsidR="00DE7B2C" w:rsidRPr="00F5596D" w:rsidRDefault="00DE7B2C" w:rsidP="00DE7B2C">
      <w:pPr>
        <w:spacing w:after="120"/>
        <w:rPr>
          <w:rFonts w:eastAsia="MS PGothic" w:cstheme="minorHAnsi"/>
          <w:color w:val="FF0000"/>
          <w:szCs w:val="20"/>
          <w:lang w:val="sr-Cyrl-CS" w:eastAsia="ja-JP"/>
        </w:rPr>
      </w:pPr>
      <w:r w:rsidRPr="00F5596D">
        <w:rPr>
          <w:rFonts w:eastAsia="MS PGothic" w:cstheme="minorHAnsi"/>
          <w:szCs w:val="20"/>
          <w:lang w:val="sr-Cyrl-CS" w:eastAsia="ja-JP"/>
        </w:rPr>
        <w:t xml:space="preserve">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зарада и запослености. С обзиром на очекивано брже кретање масе зарада, и последично пореза и доприноса на зараде, у односу на номинални БДП, предвиђа се раст нивоа доприноса у односу на БДП. </w:t>
      </w:r>
    </w:p>
    <w:p w14:paraId="63BA0FAD"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Приходи од пореза на добит правних лица у периоду 2026 – 2028. године зависиће од путање привредног раста, релативне стабилности курса динара и опште профитабилности привреде. Процена прихода по овом основу је неизвесна како због економских фактора, тако и због могућности коришћења пореског кредита или повраћаја, као и разлика између рачуноводствених и пореских биланса. Очекује се да се у периоду до 2028. године наплата пореза на добит стабилизује у складу са кретањем БДП.</w:t>
      </w:r>
    </w:p>
    <w:p w14:paraId="005FD284" w14:textId="5D77A5C5"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пензија, социјалне помоћи и осталих облика доходака, укључујући и дознаке, као и од динамике кредитне активности банака према становништву.</w:t>
      </w:r>
      <w:r w:rsidR="001B5D96" w:rsidRPr="00F5596D">
        <w:rPr>
          <w:rFonts w:eastAsia="MS PGothic" w:cstheme="minorHAnsi"/>
          <w:szCs w:val="20"/>
          <w:lang w:val="sr-Cyrl-CS" w:eastAsia="ja-JP"/>
        </w:rPr>
        <w:t xml:space="preserve"> </w:t>
      </w:r>
      <w:r w:rsidRPr="00F5596D">
        <w:rPr>
          <w:rFonts w:eastAsia="MS PGothic" w:cstheme="minorHAnsi"/>
          <w:szCs w:val="20"/>
          <w:lang w:val="sr-Cyrl-CS" w:eastAsia="ja-JP"/>
        </w:rPr>
        <w:t>Као и код пореза на доходак грађана, ризици за остварење пројекције ПДВ у наредном периоду, поред опште неизвесности међународног економског окружења, односе се и на кретање зарада у приватном сектору, раст привредне активности, као и на степен сиве економије, односно ефикасност у њеном смањењу.</w:t>
      </w:r>
      <w:r w:rsidR="001B5D96" w:rsidRPr="00F5596D">
        <w:rPr>
          <w:rFonts w:eastAsia="MS PGothic" w:cstheme="minorHAnsi"/>
          <w:szCs w:val="20"/>
          <w:lang w:val="sr-Cyrl-CS" w:eastAsia="ja-JP"/>
        </w:rPr>
        <w:t xml:space="preserve"> </w:t>
      </w:r>
      <w:r w:rsidRPr="00F5596D">
        <w:rPr>
          <w:rFonts w:eastAsia="MS PGothic" w:cstheme="minorHAnsi"/>
          <w:szCs w:val="20"/>
          <w:lang w:val="sr-Cyrl-CS" w:eastAsia="ja-JP"/>
        </w:rPr>
        <w:t>У овој години наплата ПДВ-а заостала је за пројекцијом упркос кретању расположивих доходака. У наредном периоду очекује се опоравак ПД</w:t>
      </w:r>
      <w:r w:rsidR="000D01C4" w:rsidRPr="00F5596D">
        <w:rPr>
          <w:rFonts w:eastAsia="MS PGothic" w:cstheme="minorHAnsi"/>
          <w:szCs w:val="20"/>
          <w:lang w:val="sr-Cyrl-CS" w:eastAsia="ja-JP"/>
        </w:rPr>
        <w:t>В</w:t>
      </w:r>
      <w:r w:rsidRPr="00F5596D">
        <w:rPr>
          <w:rFonts w:eastAsia="MS PGothic" w:cstheme="minorHAnsi"/>
          <w:szCs w:val="20"/>
          <w:lang w:val="sr-Cyrl-CS" w:eastAsia="ja-JP"/>
        </w:rPr>
        <w:t>, уз пројектовано благо повећање учешћа у БДП-у.</w:t>
      </w:r>
    </w:p>
    <w:p w14:paraId="771BBCCF"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lastRenderedPageBreak/>
        <w:t>Подизање ефикасности наплате и контроле пореских обвезника ће бити настављено у наредном периоду, с тим што ефекти борбе против сиве економије нису експлицитно укључени у средњорочну пројекцију јавних прихода. У овом сегменту простор за даља побољшања створиће се јачањем и модернизацијом пореске администрације.</w:t>
      </w:r>
    </w:p>
    <w:p w14:paraId="4482C68C" w14:textId="0AF7D77F"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Пројекција прихода од акциза сачињена је на основу важеће акцизне политике и пројектоване потрошње акцизних производа. У наредним годинама, услед опрезности, није претпостављен раст потрошње нафтних деривата. У оквиру акцизне политике код дуванских производа предвиђен је даљи очекивани пад тржишта дуванских производа.</w:t>
      </w:r>
      <w:r w:rsidR="001B5D96" w:rsidRPr="00F5596D">
        <w:rPr>
          <w:rFonts w:eastAsia="MS PGothic" w:cstheme="minorHAnsi"/>
          <w:szCs w:val="20"/>
          <w:lang w:val="sr-Cyrl-CS" w:eastAsia="ja-JP"/>
        </w:rPr>
        <w:t xml:space="preserve"> </w:t>
      </w:r>
      <w:r w:rsidRPr="00F5596D">
        <w:rPr>
          <w:rFonts w:eastAsia="MS PGothic" w:cstheme="minorHAnsi"/>
          <w:szCs w:val="20"/>
          <w:lang w:val="sr-Cyrl-CS" w:eastAsia="ja-JP"/>
        </w:rPr>
        <w:t>Приходи од акциза на алкохолна пића, кафу и електричну енергију су пројектовани у складу са постојећом структуром потрошње и важећом акцизном политиком, а од 2026. године предвиђено је увођење акцизе на природни гас који се користи за грејање и погон моторних возила.</w:t>
      </w:r>
      <w:r w:rsidR="001B5D96" w:rsidRPr="00F5596D">
        <w:rPr>
          <w:rFonts w:eastAsia="MS PGothic" w:cstheme="minorHAnsi"/>
          <w:szCs w:val="20"/>
          <w:lang w:val="sr-Cyrl-CS" w:eastAsia="ja-JP"/>
        </w:rPr>
        <w:t xml:space="preserve"> </w:t>
      </w:r>
      <w:r w:rsidRPr="00F5596D">
        <w:rPr>
          <w:rFonts w:eastAsia="MS PGothic" w:cstheme="minorHAnsi"/>
          <w:szCs w:val="20"/>
          <w:lang w:val="sr-Cyrl-CS" w:eastAsia="ja-JP"/>
        </w:rPr>
        <w:t xml:space="preserve">Опадајући тренд наплате укупних акциза у наредном периоду природна је последица чињенице да ће инфлација – као кључни фактор формирања акцизног терета – расти спорије од бруто домаћег производа. </w:t>
      </w:r>
    </w:p>
    <w:p w14:paraId="6807B4D6"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Приходи од царина ће се стабилизовати на нивоу од 0,9% БДП у наредном периоду, а пројектовани су у складу са очекиваним кретањем увоза, девизног курса и потрошње.</w:t>
      </w:r>
    </w:p>
    <w:p w14:paraId="0AB156A1"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50550CA5"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Висок ниво непореских прихода у 2024. и 2025. години резултат је реализованих и очекиваних ванредних прихода. У 2025. години очекује се приход од аукције лиценци за 5G технологију. Пошто се у наредним годинама не предвиђају приходи сличног обима, учешће непореских прихода у БДП-у постепено ће се смањивати и до 2028. достићи око 3,4 %.</w:t>
      </w:r>
    </w:p>
    <w:p w14:paraId="69D2EB95"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Ванредни непорески приходи су углавном једнократни, у одређеној мери неизвесни, како по питању износа, тако и по питању тренутка уплате. Највећи део ових прихода представљају ванредне уплате добити јавних предузећа и агенција, дивиденде буџета, приходи по основу наплаћених потраживања АОД,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Овај тип непореских прихода индексира се са оствареном инфлацијом у претходној години, или пак прати промену у вредности основице на коју се примењују, и услед тога се коригује пројектованом инфлацијом.</w:t>
      </w:r>
    </w:p>
    <w:p w14:paraId="5BA4A492" w14:textId="77777777"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Процесом приближавања државе чланству у ЕУ повећавају се 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Приходи по основу донација су неутрални у односу на резултат, с обзиром да су једнаки расходима по овом основу.</w:t>
      </w:r>
    </w:p>
    <w:p w14:paraId="564A4F07" w14:textId="428C7BFB" w:rsidR="00DE7B2C" w:rsidRPr="00F5596D" w:rsidRDefault="00DE7B2C" w:rsidP="00DE7B2C">
      <w:pPr>
        <w:spacing w:after="120"/>
        <w:rPr>
          <w:rFonts w:eastAsia="MS PGothic" w:cstheme="minorHAnsi"/>
          <w:szCs w:val="20"/>
          <w:lang w:val="sr-Cyrl-CS" w:eastAsia="ja-JP"/>
        </w:rPr>
      </w:pPr>
      <w:r w:rsidRPr="00F5596D">
        <w:rPr>
          <w:rFonts w:eastAsia="MS PGothic" w:cstheme="minorHAnsi"/>
          <w:szCs w:val="20"/>
          <w:lang w:val="sr-Cyrl-CS" w:eastAsia="ja-JP"/>
        </w:rPr>
        <w:t xml:space="preserve">Одговорном фискалном политиком у комбинацији са добрим макроекономским перформансама у протеклом периоду обезбеђено је релаксирање политике плата и пензија и значајно повећање капиталних инвестиција као битне компоненте развоја привреде. Посебна пажња је посвећена 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Плате и пензије заједно чине преко </w:t>
      </w:r>
      <w:r w:rsidRPr="00F5596D">
        <w:rPr>
          <w:rFonts w:eastAsia="MS PGothic" w:cstheme="minorHAnsi"/>
          <w:szCs w:val="20"/>
          <w:shd w:val="clear" w:color="auto" w:fill="FFFFFF" w:themeFill="background1"/>
          <w:lang w:val="sr-Cyrl-CS" w:eastAsia="ja-JP"/>
        </w:rPr>
        <w:t>45%</w:t>
      </w:r>
      <w:r w:rsidRPr="00F5596D">
        <w:rPr>
          <w:rFonts w:eastAsia="MS PGothic" w:cstheme="minorHAnsi"/>
          <w:szCs w:val="20"/>
          <w:lang w:val="sr-Cyrl-CS" w:eastAsia="ja-JP"/>
        </w:rPr>
        <w:t xml:space="preserve"> расхода на нивоу сектора државе и њихова стабилизација је од пресудног значаја за одрживост јавних финансија.</w:t>
      </w:r>
    </w:p>
    <w:p w14:paraId="0DD46C52" w14:textId="2FCBBD9D" w:rsidR="00DE7B2C" w:rsidRPr="00F5596D" w:rsidRDefault="00DE7B2C" w:rsidP="00DE7B2C">
      <w:pPr>
        <w:spacing w:after="120"/>
        <w:rPr>
          <w:rFonts w:eastAsia="MS PGothic" w:cstheme="minorHAnsi"/>
          <w:szCs w:val="20"/>
          <w:lang w:val="sr-Cyrl-CS" w:eastAsia="ja-JP"/>
        </w:rPr>
        <w:sectPr w:rsidR="00DE7B2C" w:rsidRPr="00F5596D" w:rsidSect="00E61B34">
          <w:type w:val="continuous"/>
          <w:pgSz w:w="12240" w:h="15840" w:code="1"/>
          <w:pgMar w:top="1440" w:right="1440" w:bottom="1440" w:left="1440" w:header="720" w:footer="720" w:gutter="0"/>
          <w:cols w:num="2" w:space="720"/>
          <w:docGrid w:linePitch="360"/>
        </w:sectPr>
      </w:pPr>
    </w:p>
    <w:p w14:paraId="294C2E7A" w14:textId="77777777" w:rsidR="00DE7B2C" w:rsidRPr="00F5596D" w:rsidRDefault="00DE7B2C" w:rsidP="001B5D96">
      <w:pPr>
        <w:jc w:val="center"/>
        <w:rPr>
          <w:lang w:val="sr-Cyrl-CS" w:eastAsia="ja-JP"/>
        </w:rPr>
      </w:pPr>
      <w:r w:rsidRPr="00F5596D">
        <w:rPr>
          <w:rFonts w:eastAsia="MS PGothic" w:cstheme="minorHAnsi"/>
          <w:b/>
          <w:color w:val="002060"/>
          <w:szCs w:val="20"/>
          <w:lang w:val="sr-Cyrl-CS" w:eastAsia="ja-JP"/>
        </w:rPr>
        <w:lastRenderedPageBreak/>
        <w:t>Табела 11. Укупни расходи у периоду 2024 – 2028. године, % БДП</w:t>
      </w:r>
    </w:p>
    <w:tbl>
      <w:tblPr>
        <w:tblStyle w:val="LightShading-Accent12214"/>
        <w:tblW w:w="4952" w:type="pct"/>
        <w:tblLook w:val="0420" w:firstRow="1" w:lastRow="0" w:firstColumn="0" w:lastColumn="0" w:noHBand="0" w:noVBand="1"/>
      </w:tblPr>
      <w:tblGrid>
        <w:gridCol w:w="3647"/>
        <w:gridCol w:w="1194"/>
        <w:gridCol w:w="1194"/>
        <w:gridCol w:w="1077"/>
        <w:gridCol w:w="1077"/>
        <w:gridCol w:w="1081"/>
      </w:tblGrid>
      <w:tr w:rsidR="00DE7B2C" w:rsidRPr="00F5596D" w14:paraId="09AD466F" w14:textId="77777777" w:rsidTr="00E61B34">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bottom w:val="single" w:sz="4" w:space="0" w:color="002060"/>
            </w:tcBorders>
            <w:noWrap/>
            <w:vAlign w:val="center"/>
          </w:tcPr>
          <w:p w14:paraId="6A9FC9FF"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Опис</w:t>
            </w:r>
          </w:p>
        </w:tc>
        <w:tc>
          <w:tcPr>
            <w:tcW w:w="644" w:type="pct"/>
            <w:tcBorders>
              <w:top w:val="single" w:sz="4" w:space="0" w:color="002060"/>
              <w:bottom w:val="single" w:sz="4" w:space="0" w:color="002060"/>
            </w:tcBorders>
            <w:vAlign w:val="center"/>
          </w:tcPr>
          <w:p w14:paraId="0F152703"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Извршење</w:t>
            </w:r>
          </w:p>
        </w:tc>
        <w:tc>
          <w:tcPr>
            <w:tcW w:w="644" w:type="pct"/>
            <w:tcBorders>
              <w:top w:val="single" w:sz="4" w:space="0" w:color="002060"/>
              <w:bottom w:val="single" w:sz="4" w:space="0" w:color="002060"/>
            </w:tcBorders>
            <w:vAlign w:val="center"/>
          </w:tcPr>
          <w:p w14:paraId="39865CBB"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Процена</w:t>
            </w:r>
          </w:p>
        </w:tc>
        <w:tc>
          <w:tcPr>
            <w:tcW w:w="1745" w:type="pct"/>
            <w:gridSpan w:val="3"/>
            <w:tcBorders>
              <w:top w:val="single" w:sz="4" w:space="0" w:color="002060"/>
              <w:bottom w:val="single" w:sz="4" w:space="0" w:color="002060"/>
            </w:tcBorders>
            <w:vAlign w:val="center"/>
          </w:tcPr>
          <w:p w14:paraId="72A04613" w14:textId="77777777" w:rsidR="00DE7B2C" w:rsidRPr="00F5596D" w:rsidRDefault="00DE7B2C" w:rsidP="00E61B34">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CS"/>
              </w:rPr>
            </w:pPr>
            <w:r w:rsidRPr="00F5596D">
              <w:rPr>
                <w:rFonts w:asciiTheme="minorHAnsi" w:hAnsiTheme="minorHAnsi" w:cstheme="minorHAnsi"/>
                <w:b w:val="0"/>
                <w:color w:val="002060"/>
                <w:sz w:val="18"/>
                <w:lang w:val="sr-Cyrl-CS"/>
              </w:rPr>
              <w:t>Пројекција</w:t>
            </w:r>
          </w:p>
        </w:tc>
      </w:tr>
      <w:tr w:rsidR="00DE7B2C" w:rsidRPr="00F5596D" w14:paraId="5134DAA0"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bottom w:val="nil"/>
            </w:tcBorders>
            <w:shd w:val="clear" w:color="auto" w:fill="FFFFFF" w:themeFill="background1"/>
            <w:noWrap/>
          </w:tcPr>
          <w:p w14:paraId="5773C9CB"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p>
        </w:tc>
        <w:tc>
          <w:tcPr>
            <w:tcW w:w="644" w:type="pct"/>
            <w:tcBorders>
              <w:top w:val="single" w:sz="4" w:space="0" w:color="002060"/>
              <w:bottom w:val="single" w:sz="4" w:space="0" w:color="002060"/>
            </w:tcBorders>
            <w:shd w:val="clear" w:color="auto" w:fill="FFFFFF" w:themeFill="background1"/>
          </w:tcPr>
          <w:p w14:paraId="101156CD"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2024</w:t>
            </w:r>
          </w:p>
        </w:tc>
        <w:tc>
          <w:tcPr>
            <w:tcW w:w="644" w:type="pct"/>
            <w:tcBorders>
              <w:top w:val="single" w:sz="4" w:space="0" w:color="002060"/>
              <w:bottom w:val="single" w:sz="4" w:space="0" w:color="002060"/>
            </w:tcBorders>
            <w:shd w:val="clear" w:color="auto" w:fill="FFFFFF" w:themeFill="background1"/>
          </w:tcPr>
          <w:p w14:paraId="043BB916"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2025</w:t>
            </w:r>
          </w:p>
        </w:tc>
        <w:tc>
          <w:tcPr>
            <w:tcW w:w="581" w:type="pct"/>
            <w:tcBorders>
              <w:top w:val="single" w:sz="4" w:space="0" w:color="002060"/>
              <w:bottom w:val="single" w:sz="4" w:space="0" w:color="002060"/>
            </w:tcBorders>
            <w:shd w:val="clear" w:color="auto" w:fill="FFFFFF" w:themeFill="background1"/>
          </w:tcPr>
          <w:p w14:paraId="023846D4"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2026</w:t>
            </w:r>
          </w:p>
        </w:tc>
        <w:tc>
          <w:tcPr>
            <w:tcW w:w="581" w:type="pct"/>
            <w:tcBorders>
              <w:top w:val="single" w:sz="4" w:space="0" w:color="002060"/>
              <w:bottom w:val="single" w:sz="4" w:space="0" w:color="002060"/>
            </w:tcBorders>
            <w:shd w:val="clear" w:color="auto" w:fill="FFFFFF" w:themeFill="background1"/>
          </w:tcPr>
          <w:p w14:paraId="4401F195"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2027</w:t>
            </w:r>
          </w:p>
        </w:tc>
        <w:tc>
          <w:tcPr>
            <w:tcW w:w="583" w:type="pct"/>
            <w:tcBorders>
              <w:top w:val="single" w:sz="4" w:space="0" w:color="002060"/>
              <w:bottom w:val="single" w:sz="4" w:space="0" w:color="002060"/>
            </w:tcBorders>
            <w:shd w:val="clear" w:color="auto" w:fill="FFFFFF" w:themeFill="background1"/>
          </w:tcPr>
          <w:p w14:paraId="199DAE4F" w14:textId="77777777" w:rsidR="00DE7B2C" w:rsidRPr="00F5596D" w:rsidRDefault="00DE7B2C" w:rsidP="00E61B34">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2028</w:t>
            </w:r>
          </w:p>
        </w:tc>
      </w:tr>
      <w:tr w:rsidR="00DE7B2C" w:rsidRPr="00F5596D" w14:paraId="23F0F4B1" w14:textId="77777777" w:rsidTr="00E61B34">
        <w:trPr>
          <w:trHeight w:val="49"/>
        </w:trPr>
        <w:tc>
          <w:tcPr>
            <w:tcW w:w="1967" w:type="pct"/>
            <w:tcBorders>
              <w:top w:val="nil"/>
            </w:tcBorders>
            <w:shd w:val="clear" w:color="auto" w:fill="FFFFFF" w:themeFill="background1"/>
          </w:tcPr>
          <w:p w14:paraId="73B4025D" w14:textId="77777777" w:rsidR="00DE7B2C" w:rsidRPr="00F5596D" w:rsidRDefault="00DE7B2C" w:rsidP="00E61B34">
            <w:pPr>
              <w:widowControl w:val="0"/>
              <w:shd w:val="clear" w:color="auto" w:fill="FFFFFF" w:themeFill="background1"/>
              <w:spacing w:line="276" w:lineRule="auto"/>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ЈАВНИ РАСХОДИ</w:t>
            </w:r>
          </w:p>
        </w:tc>
        <w:tc>
          <w:tcPr>
            <w:tcW w:w="644" w:type="pct"/>
            <w:tcBorders>
              <w:top w:val="single" w:sz="4" w:space="0" w:color="002060"/>
            </w:tcBorders>
            <w:shd w:val="clear" w:color="auto" w:fill="FFFFFF" w:themeFill="background1"/>
          </w:tcPr>
          <w:p w14:paraId="5BCBAC9C"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42,9</w:t>
            </w:r>
          </w:p>
        </w:tc>
        <w:tc>
          <w:tcPr>
            <w:tcW w:w="644" w:type="pct"/>
            <w:tcBorders>
              <w:top w:val="single" w:sz="4" w:space="0" w:color="002060"/>
            </w:tcBorders>
            <w:shd w:val="clear" w:color="auto" w:fill="FFFFFF" w:themeFill="background1"/>
            <w:noWrap/>
          </w:tcPr>
          <w:p w14:paraId="2FA9BC3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43,9</w:t>
            </w:r>
          </w:p>
        </w:tc>
        <w:tc>
          <w:tcPr>
            <w:tcW w:w="581" w:type="pct"/>
            <w:tcBorders>
              <w:top w:val="single" w:sz="4" w:space="0" w:color="002060"/>
            </w:tcBorders>
            <w:shd w:val="clear" w:color="auto" w:fill="FFFFFF" w:themeFill="background1"/>
            <w:noWrap/>
          </w:tcPr>
          <w:p w14:paraId="1DA6076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43,4</w:t>
            </w:r>
          </w:p>
        </w:tc>
        <w:tc>
          <w:tcPr>
            <w:tcW w:w="581" w:type="pct"/>
            <w:tcBorders>
              <w:top w:val="single" w:sz="4" w:space="0" w:color="002060"/>
            </w:tcBorders>
            <w:shd w:val="clear" w:color="auto" w:fill="FFFFFF" w:themeFill="background1"/>
            <w:noWrap/>
          </w:tcPr>
          <w:p w14:paraId="0578006C"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43,1</w:t>
            </w:r>
          </w:p>
        </w:tc>
        <w:tc>
          <w:tcPr>
            <w:tcW w:w="583" w:type="pct"/>
            <w:tcBorders>
              <w:top w:val="single" w:sz="4" w:space="0" w:color="002060"/>
            </w:tcBorders>
            <w:shd w:val="clear" w:color="auto" w:fill="FFFFFF" w:themeFill="background1"/>
            <w:noWrap/>
          </w:tcPr>
          <w:p w14:paraId="67B4F39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42,4</w:t>
            </w:r>
          </w:p>
        </w:tc>
      </w:tr>
      <w:tr w:rsidR="00DE7B2C" w:rsidRPr="00F5596D" w14:paraId="14F008F9"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6DE7FD2B"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Текући расходи</w:t>
            </w:r>
          </w:p>
        </w:tc>
        <w:tc>
          <w:tcPr>
            <w:tcW w:w="644" w:type="pct"/>
            <w:shd w:val="clear" w:color="auto" w:fill="FFFFFF" w:themeFill="background1"/>
          </w:tcPr>
          <w:p w14:paraId="77E856C6"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35,1</w:t>
            </w:r>
          </w:p>
        </w:tc>
        <w:tc>
          <w:tcPr>
            <w:tcW w:w="644" w:type="pct"/>
            <w:shd w:val="clear" w:color="auto" w:fill="FFFFFF" w:themeFill="background1"/>
            <w:noWrap/>
          </w:tcPr>
          <w:p w14:paraId="2755E96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36,3</w:t>
            </w:r>
          </w:p>
        </w:tc>
        <w:tc>
          <w:tcPr>
            <w:tcW w:w="581" w:type="pct"/>
            <w:shd w:val="clear" w:color="auto" w:fill="FFFFFF" w:themeFill="background1"/>
            <w:noWrap/>
          </w:tcPr>
          <w:p w14:paraId="25E72D65"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36,0</w:t>
            </w:r>
          </w:p>
        </w:tc>
        <w:tc>
          <w:tcPr>
            <w:tcW w:w="581" w:type="pct"/>
            <w:shd w:val="clear" w:color="auto" w:fill="FFFFFF" w:themeFill="background1"/>
            <w:noWrap/>
          </w:tcPr>
          <w:p w14:paraId="30C5388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35,5</w:t>
            </w:r>
          </w:p>
        </w:tc>
        <w:tc>
          <w:tcPr>
            <w:tcW w:w="583" w:type="pct"/>
            <w:shd w:val="clear" w:color="auto" w:fill="FFFFFF" w:themeFill="background1"/>
            <w:noWrap/>
          </w:tcPr>
          <w:p w14:paraId="1916A62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35,1</w:t>
            </w:r>
          </w:p>
        </w:tc>
      </w:tr>
      <w:tr w:rsidR="00DE7B2C" w:rsidRPr="00F5596D" w14:paraId="0ED3BC1A" w14:textId="77777777" w:rsidTr="00E61B34">
        <w:trPr>
          <w:trHeight w:val="49"/>
        </w:trPr>
        <w:tc>
          <w:tcPr>
            <w:tcW w:w="1967" w:type="pct"/>
            <w:shd w:val="clear" w:color="auto" w:fill="FFFFFF" w:themeFill="background1"/>
          </w:tcPr>
          <w:p w14:paraId="5794E8C9"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Расходи за запослене</w:t>
            </w:r>
          </w:p>
        </w:tc>
        <w:tc>
          <w:tcPr>
            <w:tcW w:w="644" w:type="pct"/>
            <w:shd w:val="clear" w:color="auto" w:fill="FFFFFF" w:themeFill="background1"/>
          </w:tcPr>
          <w:p w14:paraId="06B346EE"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9,4</w:t>
            </w:r>
          </w:p>
        </w:tc>
        <w:tc>
          <w:tcPr>
            <w:tcW w:w="644" w:type="pct"/>
            <w:shd w:val="clear" w:color="auto" w:fill="FFFFFF" w:themeFill="background1"/>
            <w:noWrap/>
          </w:tcPr>
          <w:p w14:paraId="26B4DF1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9,9</w:t>
            </w:r>
          </w:p>
        </w:tc>
        <w:tc>
          <w:tcPr>
            <w:tcW w:w="581" w:type="pct"/>
            <w:shd w:val="clear" w:color="auto" w:fill="FFFFFF" w:themeFill="background1"/>
            <w:noWrap/>
          </w:tcPr>
          <w:p w14:paraId="03E066C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10,0</w:t>
            </w:r>
          </w:p>
        </w:tc>
        <w:tc>
          <w:tcPr>
            <w:tcW w:w="581" w:type="pct"/>
            <w:shd w:val="clear" w:color="auto" w:fill="FFFFFF" w:themeFill="background1"/>
            <w:noWrap/>
          </w:tcPr>
          <w:p w14:paraId="52D2C05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10,0</w:t>
            </w:r>
          </w:p>
        </w:tc>
        <w:tc>
          <w:tcPr>
            <w:tcW w:w="583" w:type="pct"/>
            <w:shd w:val="clear" w:color="auto" w:fill="FFFFFF" w:themeFill="background1"/>
            <w:noWrap/>
          </w:tcPr>
          <w:p w14:paraId="7A28EB3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10,0</w:t>
            </w:r>
          </w:p>
        </w:tc>
      </w:tr>
      <w:tr w:rsidR="00DE7B2C" w:rsidRPr="00F5596D" w14:paraId="08C7DD28"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6BE3EA50"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Куповина робе и услуга</w:t>
            </w:r>
          </w:p>
        </w:tc>
        <w:tc>
          <w:tcPr>
            <w:tcW w:w="644" w:type="pct"/>
            <w:shd w:val="clear" w:color="auto" w:fill="FFFFFF" w:themeFill="background1"/>
          </w:tcPr>
          <w:p w14:paraId="21A0FA1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7,0</w:t>
            </w:r>
          </w:p>
        </w:tc>
        <w:tc>
          <w:tcPr>
            <w:tcW w:w="644" w:type="pct"/>
            <w:shd w:val="clear" w:color="auto" w:fill="FFFFFF" w:themeFill="background1"/>
            <w:noWrap/>
          </w:tcPr>
          <w:p w14:paraId="37A74E7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7,6</w:t>
            </w:r>
          </w:p>
        </w:tc>
        <w:tc>
          <w:tcPr>
            <w:tcW w:w="581" w:type="pct"/>
            <w:shd w:val="clear" w:color="auto" w:fill="FFFFFF" w:themeFill="background1"/>
            <w:noWrap/>
          </w:tcPr>
          <w:p w14:paraId="2879628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7,5</w:t>
            </w:r>
          </w:p>
        </w:tc>
        <w:tc>
          <w:tcPr>
            <w:tcW w:w="581" w:type="pct"/>
            <w:shd w:val="clear" w:color="auto" w:fill="FFFFFF" w:themeFill="background1"/>
            <w:noWrap/>
          </w:tcPr>
          <w:p w14:paraId="53C68DB8"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7,3</w:t>
            </w:r>
          </w:p>
        </w:tc>
        <w:tc>
          <w:tcPr>
            <w:tcW w:w="583" w:type="pct"/>
            <w:shd w:val="clear" w:color="auto" w:fill="FFFFFF" w:themeFill="background1"/>
            <w:noWrap/>
          </w:tcPr>
          <w:p w14:paraId="0337A52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7,1</w:t>
            </w:r>
          </w:p>
        </w:tc>
      </w:tr>
      <w:tr w:rsidR="00DE7B2C" w:rsidRPr="00F5596D" w14:paraId="1C8008A9" w14:textId="77777777" w:rsidTr="00E61B34">
        <w:trPr>
          <w:trHeight w:val="49"/>
        </w:trPr>
        <w:tc>
          <w:tcPr>
            <w:tcW w:w="1967" w:type="pct"/>
            <w:shd w:val="clear" w:color="auto" w:fill="FFFFFF" w:themeFill="background1"/>
          </w:tcPr>
          <w:p w14:paraId="767BF10A"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Отплата камата</w:t>
            </w:r>
          </w:p>
        </w:tc>
        <w:tc>
          <w:tcPr>
            <w:tcW w:w="644" w:type="pct"/>
            <w:shd w:val="clear" w:color="auto" w:fill="FFFFFF" w:themeFill="background1"/>
          </w:tcPr>
          <w:p w14:paraId="0BDB159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1,9</w:t>
            </w:r>
          </w:p>
        </w:tc>
        <w:tc>
          <w:tcPr>
            <w:tcW w:w="644" w:type="pct"/>
            <w:shd w:val="clear" w:color="auto" w:fill="FFFFFF" w:themeFill="background1"/>
            <w:noWrap/>
          </w:tcPr>
          <w:p w14:paraId="6ED8346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2,2</w:t>
            </w:r>
          </w:p>
        </w:tc>
        <w:tc>
          <w:tcPr>
            <w:tcW w:w="581" w:type="pct"/>
            <w:shd w:val="clear" w:color="auto" w:fill="FFFFFF" w:themeFill="background1"/>
            <w:noWrap/>
          </w:tcPr>
          <w:p w14:paraId="775FE2A8"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2,1</w:t>
            </w:r>
          </w:p>
        </w:tc>
        <w:tc>
          <w:tcPr>
            <w:tcW w:w="581" w:type="pct"/>
            <w:shd w:val="clear" w:color="auto" w:fill="FFFFFF" w:themeFill="background1"/>
            <w:noWrap/>
          </w:tcPr>
          <w:p w14:paraId="3487358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2,0</w:t>
            </w:r>
          </w:p>
        </w:tc>
        <w:tc>
          <w:tcPr>
            <w:tcW w:w="583" w:type="pct"/>
            <w:shd w:val="clear" w:color="auto" w:fill="FFFFFF" w:themeFill="background1"/>
            <w:noWrap/>
          </w:tcPr>
          <w:p w14:paraId="421E391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1,9</w:t>
            </w:r>
          </w:p>
        </w:tc>
      </w:tr>
      <w:tr w:rsidR="00DE7B2C" w:rsidRPr="00F5596D" w14:paraId="0C1472C8"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76D8F9CF"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Субвенције</w:t>
            </w:r>
          </w:p>
        </w:tc>
        <w:tc>
          <w:tcPr>
            <w:tcW w:w="644" w:type="pct"/>
            <w:shd w:val="clear" w:color="auto" w:fill="FFFFFF" w:themeFill="background1"/>
          </w:tcPr>
          <w:p w14:paraId="7CF45FCC"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2,5</w:t>
            </w:r>
          </w:p>
        </w:tc>
        <w:tc>
          <w:tcPr>
            <w:tcW w:w="644" w:type="pct"/>
            <w:shd w:val="clear" w:color="auto" w:fill="FFFFFF" w:themeFill="background1"/>
            <w:noWrap/>
          </w:tcPr>
          <w:p w14:paraId="460C210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2,3</w:t>
            </w:r>
          </w:p>
        </w:tc>
        <w:tc>
          <w:tcPr>
            <w:tcW w:w="581" w:type="pct"/>
            <w:shd w:val="clear" w:color="auto" w:fill="FFFFFF" w:themeFill="background1"/>
            <w:noWrap/>
          </w:tcPr>
          <w:p w14:paraId="5A5ADBA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2,2</w:t>
            </w:r>
          </w:p>
        </w:tc>
        <w:tc>
          <w:tcPr>
            <w:tcW w:w="581" w:type="pct"/>
            <w:shd w:val="clear" w:color="auto" w:fill="FFFFFF" w:themeFill="background1"/>
            <w:noWrap/>
          </w:tcPr>
          <w:p w14:paraId="6AA8BF8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2,2</w:t>
            </w:r>
          </w:p>
        </w:tc>
        <w:tc>
          <w:tcPr>
            <w:tcW w:w="583" w:type="pct"/>
            <w:shd w:val="clear" w:color="auto" w:fill="FFFFFF" w:themeFill="background1"/>
            <w:noWrap/>
          </w:tcPr>
          <w:p w14:paraId="66C76FA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2,1</w:t>
            </w:r>
          </w:p>
        </w:tc>
      </w:tr>
      <w:tr w:rsidR="00DE7B2C" w:rsidRPr="00F5596D" w14:paraId="369E0E9E" w14:textId="77777777" w:rsidTr="00E61B34">
        <w:trPr>
          <w:trHeight w:val="49"/>
        </w:trPr>
        <w:tc>
          <w:tcPr>
            <w:tcW w:w="1967" w:type="pct"/>
            <w:shd w:val="clear" w:color="auto" w:fill="FFFFFF" w:themeFill="background1"/>
          </w:tcPr>
          <w:p w14:paraId="07840CD8"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Социјална помоћ и трансфери</w:t>
            </w:r>
          </w:p>
        </w:tc>
        <w:tc>
          <w:tcPr>
            <w:tcW w:w="644" w:type="pct"/>
            <w:shd w:val="clear" w:color="auto" w:fill="FFFFFF" w:themeFill="background1"/>
          </w:tcPr>
          <w:p w14:paraId="6FED780F"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13,1</w:t>
            </w:r>
          </w:p>
        </w:tc>
        <w:tc>
          <w:tcPr>
            <w:tcW w:w="644" w:type="pct"/>
            <w:shd w:val="clear" w:color="auto" w:fill="FFFFFF" w:themeFill="background1"/>
            <w:noWrap/>
          </w:tcPr>
          <w:p w14:paraId="0423BD2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13,1</w:t>
            </w:r>
          </w:p>
        </w:tc>
        <w:tc>
          <w:tcPr>
            <w:tcW w:w="581" w:type="pct"/>
            <w:shd w:val="clear" w:color="auto" w:fill="FFFFFF" w:themeFill="background1"/>
            <w:noWrap/>
          </w:tcPr>
          <w:p w14:paraId="6A1B613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13,2</w:t>
            </w:r>
          </w:p>
        </w:tc>
        <w:tc>
          <w:tcPr>
            <w:tcW w:w="581" w:type="pct"/>
            <w:shd w:val="clear" w:color="auto" w:fill="FFFFFF" w:themeFill="background1"/>
            <w:noWrap/>
          </w:tcPr>
          <w:p w14:paraId="376C9C9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13,0</w:t>
            </w:r>
          </w:p>
        </w:tc>
        <w:tc>
          <w:tcPr>
            <w:tcW w:w="583" w:type="pct"/>
            <w:shd w:val="clear" w:color="auto" w:fill="FFFFFF" w:themeFill="background1"/>
            <w:noWrap/>
          </w:tcPr>
          <w:p w14:paraId="5CBF6BF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12,9</w:t>
            </w:r>
          </w:p>
        </w:tc>
      </w:tr>
      <w:tr w:rsidR="00DE7B2C" w:rsidRPr="00F5596D" w14:paraId="4090D27A" w14:textId="77777777" w:rsidTr="00E61B34">
        <w:trPr>
          <w:cnfStyle w:val="000000100000" w:firstRow="0" w:lastRow="0" w:firstColumn="0" w:lastColumn="0" w:oddVBand="0" w:evenVBand="0" w:oddHBand="1" w:evenHBand="0" w:firstRowFirstColumn="0" w:firstRowLastColumn="0" w:lastRowFirstColumn="0" w:lastRowLastColumn="0"/>
          <w:trHeight w:val="104"/>
        </w:trPr>
        <w:tc>
          <w:tcPr>
            <w:tcW w:w="1967" w:type="pct"/>
            <w:shd w:val="clear" w:color="auto" w:fill="FFFFFF" w:themeFill="background1"/>
          </w:tcPr>
          <w:p w14:paraId="68A39119" w14:textId="77777777" w:rsidR="00DE7B2C" w:rsidRPr="00F5596D" w:rsidRDefault="00DE7B2C" w:rsidP="00E61B34">
            <w:pPr>
              <w:widowControl w:val="0"/>
              <w:shd w:val="clear" w:color="auto" w:fill="FFFFFF" w:themeFill="background1"/>
              <w:spacing w:line="276" w:lineRule="auto"/>
              <w:ind w:left="397"/>
              <w:rPr>
                <w:rFonts w:asciiTheme="minorHAnsi" w:eastAsia="Times New Roman" w:hAnsiTheme="minorHAnsi" w:cstheme="minorHAnsi"/>
                <w:bCs/>
                <w:i/>
                <w:color w:val="002060"/>
                <w:sz w:val="18"/>
                <w:szCs w:val="18"/>
                <w:lang w:val="sr-Cyrl-CS"/>
              </w:rPr>
            </w:pPr>
            <w:r w:rsidRPr="00F5596D">
              <w:rPr>
                <w:rFonts w:asciiTheme="minorHAnsi" w:eastAsia="Times New Roman" w:hAnsiTheme="minorHAnsi" w:cstheme="minorHAnsi"/>
                <w:bCs/>
                <w:i/>
                <w:color w:val="002060"/>
                <w:sz w:val="18"/>
                <w:szCs w:val="18"/>
                <w:lang w:val="sr-Cyrl-CS"/>
              </w:rPr>
              <w:t>од чега пензије</w:t>
            </w:r>
          </w:p>
        </w:tc>
        <w:tc>
          <w:tcPr>
            <w:tcW w:w="644" w:type="pct"/>
            <w:shd w:val="clear" w:color="auto" w:fill="FFFFFF" w:themeFill="background1"/>
          </w:tcPr>
          <w:p w14:paraId="660253C8" w14:textId="77777777" w:rsidR="00DE7B2C" w:rsidRPr="00F5596D" w:rsidRDefault="00DE7B2C" w:rsidP="00E61B34">
            <w:pPr>
              <w:shd w:val="clear" w:color="auto" w:fill="FFFFFF" w:themeFill="background1"/>
              <w:spacing w:line="276" w:lineRule="auto"/>
              <w:jc w:val="right"/>
              <w:rPr>
                <w:rFonts w:asciiTheme="minorHAnsi" w:hAnsiTheme="minorHAnsi" w:cstheme="minorHAnsi"/>
                <w:i/>
                <w:color w:val="002060"/>
                <w:sz w:val="18"/>
                <w:szCs w:val="18"/>
                <w:lang w:val="sr-Cyrl-CS"/>
              </w:rPr>
            </w:pPr>
            <w:r w:rsidRPr="00F5596D">
              <w:rPr>
                <w:rFonts w:asciiTheme="minorHAnsi" w:hAnsiTheme="minorHAnsi" w:cstheme="minorHAnsi"/>
                <w:i/>
                <w:color w:val="002060"/>
                <w:sz w:val="18"/>
                <w:szCs w:val="18"/>
                <w:lang w:val="sr-Cyrl-CS"/>
              </w:rPr>
              <w:t>9,6</w:t>
            </w:r>
          </w:p>
        </w:tc>
        <w:tc>
          <w:tcPr>
            <w:tcW w:w="644" w:type="pct"/>
            <w:shd w:val="clear" w:color="auto" w:fill="FFFFFF" w:themeFill="background1"/>
            <w:noWrap/>
          </w:tcPr>
          <w:p w14:paraId="0255087C" w14:textId="77777777" w:rsidR="00DE7B2C" w:rsidRPr="00F5596D" w:rsidRDefault="00DE7B2C" w:rsidP="00E61B34">
            <w:pPr>
              <w:shd w:val="clear" w:color="auto" w:fill="FFFFFF" w:themeFill="background1"/>
              <w:spacing w:line="276" w:lineRule="auto"/>
              <w:jc w:val="right"/>
              <w:rPr>
                <w:rFonts w:asciiTheme="minorHAnsi" w:hAnsiTheme="minorHAnsi" w:cstheme="minorHAnsi"/>
                <w:i/>
                <w:color w:val="002060"/>
                <w:sz w:val="18"/>
                <w:szCs w:val="18"/>
                <w:lang w:val="sr-Cyrl-CS"/>
              </w:rPr>
            </w:pPr>
            <w:r w:rsidRPr="00F5596D">
              <w:rPr>
                <w:rFonts w:asciiTheme="minorHAnsi" w:hAnsiTheme="minorHAnsi" w:cstheme="minorHAnsi"/>
                <w:i/>
                <w:color w:val="002060"/>
                <w:sz w:val="18"/>
                <w:szCs w:val="18"/>
                <w:lang w:val="sr-Cyrl-CS"/>
              </w:rPr>
              <w:t>10,1</w:t>
            </w:r>
          </w:p>
        </w:tc>
        <w:tc>
          <w:tcPr>
            <w:tcW w:w="581" w:type="pct"/>
            <w:shd w:val="clear" w:color="auto" w:fill="FFFFFF" w:themeFill="background1"/>
            <w:noWrap/>
          </w:tcPr>
          <w:p w14:paraId="133334F2" w14:textId="77777777" w:rsidR="00DE7B2C" w:rsidRPr="00F5596D" w:rsidRDefault="00DE7B2C" w:rsidP="00E61B34">
            <w:pPr>
              <w:shd w:val="clear" w:color="auto" w:fill="FFFFFF" w:themeFill="background1"/>
              <w:spacing w:line="276" w:lineRule="auto"/>
              <w:jc w:val="right"/>
              <w:rPr>
                <w:rFonts w:asciiTheme="minorHAnsi" w:hAnsiTheme="minorHAnsi" w:cstheme="minorHAnsi"/>
                <w:i/>
                <w:color w:val="002060"/>
                <w:sz w:val="18"/>
                <w:szCs w:val="18"/>
                <w:lang w:val="sr-Cyrl-CS"/>
              </w:rPr>
            </w:pPr>
            <w:r w:rsidRPr="00F5596D">
              <w:rPr>
                <w:rFonts w:asciiTheme="minorHAnsi" w:hAnsiTheme="minorHAnsi" w:cstheme="minorHAnsi"/>
                <w:i/>
                <w:color w:val="002060"/>
                <w:sz w:val="18"/>
                <w:szCs w:val="18"/>
                <w:lang w:val="sr-Cyrl-CS"/>
              </w:rPr>
              <w:t>10,2</w:t>
            </w:r>
          </w:p>
        </w:tc>
        <w:tc>
          <w:tcPr>
            <w:tcW w:w="581" w:type="pct"/>
            <w:shd w:val="clear" w:color="auto" w:fill="FFFFFF" w:themeFill="background1"/>
            <w:noWrap/>
          </w:tcPr>
          <w:p w14:paraId="2E82EEBA" w14:textId="77777777" w:rsidR="00DE7B2C" w:rsidRPr="00F5596D" w:rsidRDefault="00DE7B2C" w:rsidP="00E61B34">
            <w:pPr>
              <w:shd w:val="clear" w:color="auto" w:fill="FFFFFF" w:themeFill="background1"/>
              <w:spacing w:line="276" w:lineRule="auto"/>
              <w:jc w:val="right"/>
              <w:rPr>
                <w:rFonts w:asciiTheme="minorHAnsi" w:hAnsiTheme="minorHAnsi" w:cstheme="minorHAnsi"/>
                <w:i/>
                <w:color w:val="002060"/>
                <w:sz w:val="18"/>
                <w:szCs w:val="18"/>
                <w:lang w:val="sr-Cyrl-CS"/>
              </w:rPr>
            </w:pPr>
            <w:r w:rsidRPr="00F5596D">
              <w:rPr>
                <w:rFonts w:asciiTheme="minorHAnsi" w:hAnsiTheme="minorHAnsi" w:cstheme="minorHAnsi"/>
                <w:i/>
                <w:color w:val="002060"/>
                <w:sz w:val="18"/>
                <w:szCs w:val="18"/>
                <w:lang w:val="sr-Cyrl-CS"/>
              </w:rPr>
              <w:t>10,0</w:t>
            </w:r>
          </w:p>
        </w:tc>
        <w:tc>
          <w:tcPr>
            <w:tcW w:w="583" w:type="pct"/>
            <w:shd w:val="clear" w:color="auto" w:fill="FFFFFF" w:themeFill="background1"/>
            <w:noWrap/>
          </w:tcPr>
          <w:p w14:paraId="700D12A2" w14:textId="77777777" w:rsidR="00DE7B2C" w:rsidRPr="00F5596D" w:rsidRDefault="00DE7B2C" w:rsidP="00E61B34">
            <w:pPr>
              <w:shd w:val="clear" w:color="auto" w:fill="FFFFFF" w:themeFill="background1"/>
              <w:spacing w:line="276" w:lineRule="auto"/>
              <w:jc w:val="right"/>
              <w:rPr>
                <w:rFonts w:asciiTheme="minorHAnsi" w:hAnsiTheme="minorHAnsi" w:cstheme="minorHAnsi"/>
                <w:i/>
                <w:color w:val="002060"/>
                <w:sz w:val="18"/>
                <w:szCs w:val="18"/>
                <w:lang w:val="sr-Cyrl-CS"/>
              </w:rPr>
            </w:pPr>
            <w:r w:rsidRPr="00F5596D">
              <w:rPr>
                <w:rFonts w:asciiTheme="minorHAnsi" w:hAnsiTheme="minorHAnsi" w:cstheme="minorHAnsi"/>
                <w:i/>
                <w:color w:val="002060"/>
                <w:sz w:val="18"/>
                <w:szCs w:val="18"/>
                <w:lang w:val="sr-Cyrl-CS"/>
              </w:rPr>
              <w:t>10,0</w:t>
            </w:r>
          </w:p>
        </w:tc>
      </w:tr>
      <w:tr w:rsidR="00DE7B2C" w:rsidRPr="00F5596D" w14:paraId="23A7FB67" w14:textId="77777777" w:rsidTr="00E61B34">
        <w:trPr>
          <w:trHeight w:val="49"/>
        </w:trPr>
        <w:tc>
          <w:tcPr>
            <w:tcW w:w="1967" w:type="pct"/>
            <w:shd w:val="clear" w:color="auto" w:fill="FFFFFF" w:themeFill="background1"/>
          </w:tcPr>
          <w:p w14:paraId="0EE77574" w14:textId="77777777" w:rsidR="00DE7B2C" w:rsidRPr="00F5596D" w:rsidRDefault="00DE7B2C" w:rsidP="00E61B34">
            <w:pPr>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Остали текући расходи</w:t>
            </w:r>
          </w:p>
        </w:tc>
        <w:tc>
          <w:tcPr>
            <w:tcW w:w="644" w:type="pct"/>
            <w:shd w:val="clear" w:color="auto" w:fill="FFFFFF" w:themeFill="background1"/>
          </w:tcPr>
          <w:p w14:paraId="6091A287"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w:t>
            </w:r>
          </w:p>
        </w:tc>
        <w:tc>
          <w:tcPr>
            <w:tcW w:w="644" w:type="pct"/>
            <w:shd w:val="clear" w:color="auto" w:fill="FFFFFF" w:themeFill="background1"/>
            <w:noWrap/>
          </w:tcPr>
          <w:p w14:paraId="4E15088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1,2</w:t>
            </w:r>
          </w:p>
        </w:tc>
        <w:tc>
          <w:tcPr>
            <w:tcW w:w="581" w:type="pct"/>
            <w:shd w:val="clear" w:color="auto" w:fill="FFFFFF" w:themeFill="background1"/>
            <w:noWrap/>
          </w:tcPr>
          <w:p w14:paraId="17F4398C"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1,1</w:t>
            </w:r>
          </w:p>
        </w:tc>
        <w:tc>
          <w:tcPr>
            <w:tcW w:w="581" w:type="pct"/>
            <w:shd w:val="clear" w:color="auto" w:fill="FFFFFF" w:themeFill="background1"/>
            <w:noWrap/>
          </w:tcPr>
          <w:p w14:paraId="0F506CEE"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1,1</w:t>
            </w:r>
          </w:p>
        </w:tc>
        <w:tc>
          <w:tcPr>
            <w:tcW w:w="583" w:type="pct"/>
            <w:shd w:val="clear" w:color="auto" w:fill="FFFFFF" w:themeFill="background1"/>
            <w:noWrap/>
          </w:tcPr>
          <w:p w14:paraId="1B6F9B5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1,1</w:t>
            </w:r>
          </w:p>
        </w:tc>
      </w:tr>
      <w:tr w:rsidR="00DE7B2C" w:rsidRPr="00F5596D" w14:paraId="465F4A18" w14:textId="77777777" w:rsidTr="00E61B34">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7E64763B"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Капитални расходи</w:t>
            </w:r>
          </w:p>
        </w:tc>
        <w:tc>
          <w:tcPr>
            <w:tcW w:w="644" w:type="pct"/>
            <w:shd w:val="clear" w:color="auto" w:fill="FFFFFF" w:themeFill="background1"/>
          </w:tcPr>
          <w:p w14:paraId="6F18B123"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7,3</w:t>
            </w:r>
          </w:p>
        </w:tc>
        <w:tc>
          <w:tcPr>
            <w:tcW w:w="644" w:type="pct"/>
            <w:shd w:val="clear" w:color="auto" w:fill="FFFFFF" w:themeFill="background1"/>
            <w:noWrap/>
          </w:tcPr>
          <w:p w14:paraId="215087B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7,2</w:t>
            </w:r>
          </w:p>
        </w:tc>
        <w:tc>
          <w:tcPr>
            <w:tcW w:w="581" w:type="pct"/>
            <w:shd w:val="clear" w:color="auto" w:fill="FFFFFF" w:themeFill="background1"/>
            <w:noWrap/>
          </w:tcPr>
          <w:p w14:paraId="29738F5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7,0</w:t>
            </w:r>
          </w:p>
        </w:tc>
        <w:tc>
          <w:tcPr>
            <w:tcW w:w="581" w:type="pct"/>
            <w:shd w:val="clear" w:color="auto" w:fill="FFFFFF" w:themeFill="background1"/>
            <w:noWrap/>
          </w:tcPr>
          <w:p w14:paraId="514F9D61"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7,2</w:t>
            </w:r>
          </w:p>
        </w:tc>
        <w:tc>
          <w:tcPr>
            <w:tcW w:w="583" w:type="pct"/>
            <w:shd w:val="clear" w:color="auto" w:fill="FFFFFF" w:themeFill="background1"/>
            <w:noWrap/>
          </w:tcPr>
          <w:p w14:paraId="76556DB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6,9</w:t>
            </w:r>
          </w:p>
        </w:tc>
      </w:tr>
      <w:tr w:rsidR="00DE7B2C" w:rsidRPr="00F5596D" w14:paraId="03E45C8F" w14:textId="77777777" w:rsidTr="00E61B34">
        <w:trPr>
          <w:trHeight w:val="49"/>
        </w:trPr>
        <w:tc>
          <w:tcPr>
            <w:tcW w:w="1967" w:type="pct"/>
            <w:tcBorders>
              <w:bottom w:val="nil"/>
            </w:tcBorders>
            <w:shd w:val="clear" w:color="auto" w:fill="FFFFFF" w:themeFill="background1"/>
            <w:noWrap/>
          </w:tcPr>
          <w:p w14:paraId="50AA462C"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Нето буџетске позајмице</w:t>
            </w:r>
          </w:p>
        </w:tc>
        <w:tc>
          <w:tcPr>
            <w:tcW w:w="644" w:type="pct"/>
            <w:tcBorders>
              <w:bottom w:val="nil"/>
            </w:tcBorders>
            <w:shd w:val="clear" w:color="auto" w:fill="FFFFFF" w:themeFill="background1"/>
          </w:tcPr>
          <w:p w14:paraId="2F52DC74"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644" w:type="pct"/>
            <w:tcBorders>
              <w:bottom w:val="nil"/>
            </w:tcBorders>
            <w:shd w:val="clear" w:color="auto" w:fill="FFFFFF" w:themeFill="background1"/>
            <w:noWrap/>
          </w:tcPr>
          <w:p w14:paraId="18E01926"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0,3</w:t>
            </w:r>
          </w:p>
        </w:tc>
        <w:tc>
          <w:tcPr>
            <w:tcW w:w="581" w:type="pct"/>
            <w:tcBorders>
              <w:bottom w:val="nil"/>
            </w:tcBorders>
            <w:shd w:val="clear" w:color="auto" w:fill="FFFFFF" w:themeFill="background1"/>
            <w:noWrap/>
          </w:tcPr>
          <w:p w14:paraId="68317376"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581" w:type="pct"/>
            <w:tcBorders>
              <w:bottom w:val="nil"/>
            </w:tcBorders>
            <w:shd w:val="clear" w:color="auto" w:fill="FFFFFF" w:themeFill="background1"/>
            <w:noWrap/>
          </w:tcPr>
          <w:p w14:paraId="4C27599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583" w:type="pct"/>
            <w:tcBorders>
              <w:bottom w:val="nil"/>
            </w:tcBorders>
            <w:shd w:val="clear" w:color="auto" w:fill="FFFFFF" w:themeFill="background1"/>
            <w:noWrap/>
          </w:tcPr>
          <w:p w14:paraId="1CA5135B"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r>
      <w:tr w:rsidR="00DE7B2C" w:rsidRPr="00F5596D" w14:paraId="338026CF" w14:textId="77777777" w:rsidTr="00E61B34">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bottom w:val="single" w:sz="4" w:space="0" w:color="002060"/>
            </w:tcBorders>
            <w:shd w:val="clear" w:color="auto" w:fill="FFFFFF" w:themeFill="background1"/>
            <w:noWrap/>
          </w:tcPr>
          <w:p w14:paraId="6ABF8CE6" w14:textId="77777777" w:rsidR="00DE7B2C" w:rsidRPr="00F5596D" w:rsidRDefault="00DE7B2C" w:rsidP="00E61B34">
            <w:pPr>
              <w:widowControl w:val="0"/>
              <w:shd w:val="clear" w:color="auto" w:fill="FFFFFF" w:themeFill="background1"/>
              <w:spacing w:line="276" w:lineRule="auto"/>
              <w:rPr>
                <w:rFonts w:asciiTheme="minorHAnsi" w:eastAsia="Times New Roman" w:hAnsiTheme="minorHAnsi" w:cstheme="minorHAnsi"/>
                <w:bCs/>
                <w:color w:val="002060"/>
                <w:sz w:val="18"/>
                <w:szCs w:val="18"/>
                <w:lang w:val="sr-Cyrl-CS"/>
              </w:rPr>
            </w:pPr>
            <w:r w:rsidRPr="00F5596D">
              <w:rPr>
                <w:rFonts w:asciiTheme="minorHAnsi" w:eastAsia="Times New Roman" w:hAnsiTheme="minorHAnsi" w:cstheme="minorHAnsi"/>
                <w:bCs/>
                <w:color w:val="002060"/>
                <w:sz w:val="18"/>
                <w:szCs w:val="18"/>
                <w:lang w:val="sr-Cyrl-CS"/>
              </w:rPr>
              <w:t xml:space="preserve"> Отплата по основу гаранција</w:t>
            </w:r>
          </w:p>
        </w:tc>
        <w:tc>
          <w:tcPr>
            <w:tcW w:w="644" w:type="pct"/>
            <w:tcBorders>
              <w:top w:val="nil"/>
              <w:bottom w:val="single" w:sz="4" w:space="0" w:color="002060"/>
            </w:tcBorders>
            <w:shd w:val="clear" w:color="auto" w:fill="FFFFFF" w:themeFill="background1"/>
          </w:tcPr>
          <w:p w14:paraId="518D412D"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0,3</w:t>
            </w:r>
          </w:p>
        </w:tc>
        <w:tc>
          <w:tcPr>
            <w:tcW w:w="644" w:type="pct"/>
            <w:tcBorders>
              <w:top w:val="nil"/>
              <w:bottom w:val="single" w:sz="4" w:space="0" w:color="002060"/>
            </w:tcBorders>
            <w:shd w:val="clear" w:color="auto" w:fill="FFFFFF" w:themeFill="background1"/>
            <w:noWrap/>
          </w:tcPr>
          <w:p w14:paraId="330A2B39"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581" w:type="pct"/>
            <w:tcBorders>
              <w:top w:val="nil"/>
              <w:bottom w:val="single" w:sz="4" w:space="0" w:color="002060"/>
            </w:tcBorders>
            <w:shd w:val="clear" w:color="auto" w:fill="FFFFFF" w:themeFill="background1"/>
            <w:noWrap/>
          </w:tcPr>
          <w:p w14:paraId="2828F550"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581" w:type="pct"/>
            <w:tcBorders>
              <w:top w:val="nil"/>
              <w:bottom w:val="single" w:sz="4" w:space="0" w:color="002060"/>
            </w:tcBorders>
            <w:shd w:val="clear" w:color="auto" w:fill="FFFFFF" w:themeFill="background1"/>
            <w:noWrap/>
          </w:tcPr>
          <w:p w14:paraId="4657BC1A"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c>
          <w:tcPr>
            <w:tcW w:w="583" w:type="pct"/>
            <w:tcBorders>
              <w:top w:val="nil"/>
              <w:bottom w:val="single" w:sz="4" w:space="0" w:color="002060"/>
            </w:tcBorders>
            <w:shd w:val="clear" w:color="auto" w:fill="FFFFFF" w:themeFill="background1"/>
            <w:noWrap/>
          </w:tcPr>
          <w:p w14:paraId="2ED81A92" w14:textId="77777777" w:rsidR="00DE7B2C" w:rsidRPr="00F5596D" w:rsidRDefault="00DE7B2C" w:rsidP="00E61B34">
            <w:pPr>
              <w:shd w:val="clear" w:color="auto" w:fill="FFFFFF" w:themeFill="background1"/>
              <w:spacing w:line="276" w:lineRule="auto"/>
              <w:jc w:val="right"/>
              <w:rPr>
                <w:rFonts w:asciiTheme="minorHAnsi" w:hAnsiTheme="minorHAnsi" w:cstheme="minorHAnsi"/>
                <w:color w:val="002060"/>
                <w:sz w:val="18"/>
                <w:szCs w:val="18"/>
                <w:lang w:val="sr-Cyrl-CS"/>
              </w:rPr>
            </w:pPr>
            <w:r w:rsidRPr="00F5596D">
              <w:rPr>
                <w:rFonts w:asciiTheme="minorHAnsi" w:hAnsiTheme="minorHAnsi" w:cstheme="minorHAnsi"/>
                <w:color w:val="002060"/>
                <w:sz w:val="18"/>
                <w:szCs w:val="18"/>
                <w:lang w:val="sr-Cyrl-CS"/>
              </w:rPr>
              <w:t>0,2</w:t>
            </w:r>
          </w:p>
        </w:tc>
      </w:tr>
    </w:tbl>
    <w:p w14:paraId="565DAFE2" w14:textId="77777777" w:rsidR="00DE7B2C" w:rsidRPr="00F5596D" w:rsidRDefault="00DE7B2C" w:rsidP="00DE7B2C">
      <w:pPr>
        <w:spacing w:before="40" w:after="120" w:line="276" w:lineRule="auto"/>
        <w:jc w:val="left"/>
        <w:rPr>
          <w:rFonts w:cstheme="minorHAnsi"/>
          <w:sz w:val="16"/>
          <w:szCs w:val="20"/>
          <w:lang w:val="sr-Cyrl-CS"/>
        </w:rPr>
      </w:pPr>
      <w:r w:rsidRPr="00F5596D">
        <w:rPr>
          <w:rFonts w:eastAsia="Calibri" w:cstheme="minorHAnsi"/>
          <w:bCs/>
          <w:sz w:val="16"/>
          <w:szCs w:val="20"/>
          <w:lang w:val="sr-Cyrl-CS" w:eastAsia="ja-JP"/>
        </w:rPr>
        <w:t xml:space="preserve">Извор: </w:t>
      </w:r>
      <w:r w:rsidRPr="00F5596D">
        <w:rPr>
          <w:rFonts w:cstheme="minorHAnsi"/>
          <w:sz w:val="16"/>
          <w:szCs w:val="20"/>
          <w:lang w:val="sr-Cyrl-CS"/>
        </w:rPr>
        <w:t>Министарство финансија</w:t>
      </w:r>
    </w:p>
    <w:p w14:paraId="63316563" w14:textId="77777777" w:rsidR="00DE7B2C" w:rsidRPr="00F5596D" w:rsidRDefault="00DE7B2C" w:rsidP="00DE7B2C">
      <w:pPr>
        <w:spacing w:before="40" w:after="120" w:line="276" w:lineRule="auto"/>
        <w:rPr>
          <w:rFonts w:eastAsia="Calibri" w:cstheme="minorHAnsi"/>
          <w:szCs w:val="20"/>
          <w:lang w:val="sr-Cyrl-CS" w:eastAsia="ja-JP"/>
        </w:rPr>
        <w:sectPr w:rsidR="00DE7B2C" w:rsidRPr="00F5596D" w:rsidSect="00E61B34">
          <w:type w:val="continuous"/>
          <w:pgSz w:w="12240" w:h="15840" w:code="1"/>
          <w:pgMar w:top="1440" w:right="1440" w:bottom="1440" w:left="1440" w:header="720" w:footer="720" w:gutter="0"/>
          <w:cols w:space="720"/>
          <w:docGrid w:linePitch="360"/>
        </w:sectPr>
      </w:pPr>
    </w:p>
    <w:p w14:paraId="790B8391"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Фискални простор предвиђен за раст зарада, у наредном периоду, ће се повећавати умерено и контролисано, водећи рачуна о њиховом учешћу у БДП. Раст у 2025. години је последица проширења обухвата сектора државе и повећања зарада у образовању и здравству током године.</w:t>
      </w:r>
    </w:p>
    <w:p w14:paraId="49C35480"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Чланом 27е Закона о буџетском систему предвиђено је ограничење расхода за запослене сектора државе од 10% БДП. Усклађивање плата у свим институцијама (ентитетима) које чине сектор државе, ограничено је дефинисаним учешћем ових расхода у БДП. Надаље, ово ограничење коригује се навише у случају повећања обухвата сектора државе, односно укључивањем нових ентитета у сектор државе, односно наниже у случају искључивања ентитета из сектора државе</w:t>
      </w:r>
      <w:r w:rsidRPr="00F5596D">
        <w:rPr>
          <w:rFonts w:eastAsia="Calibri" w:cstheme="minorHAnsi"/>
          <w:szCs w:val="20"/>
          <w:vertAlign w:val="superscript"/>
          <w:lang w:val="sr-Cyrl-CS" w:eastAsia="ja-JP"/>
        </w:rPr>
        <w:footnoteReference w:id="3"/>
      </w:r>
      <w:r w:rsidRPr="00F5596D">
        <w:rPr>
          <w:rFonts w:eastAsia="Calibri" w:cstheme="minorHAnsi"/>
          <w:szCs w:val="20"/>
          <w:lang w:val="sr-Cyrl-CS" w:eastAsia="ja-JP"/>
        </w:rPr>
        <w:t>.</w:t>
      </w:r>
    </w:p>
    <w:p w14:paraId="658D9208" w14:textId="77777777" w:rsidR="00DE7B2C" w:rsidRPr="00F5596D" w:rsidRDefault="00DE7B2C" w:rsidP="00DE7B2C">
      <w:pPr>
        <w:widowControl w:val="0"/>
        <w:spacing w:after="120"/>
        <w:rPr>
          <w:rFonts w:eastAsia="Calibri" w:cstheme="minorHAnsi"/>
          <w:spacing w:val="2"/>
          <w:szCs w:val="20"/>
          <w:lang w:val="sr-Cyrl-CS" w:eastAsia="ja-JP"/>
        </w:rPr>
      </w:pPr>
      <w:r w:rsidRPr="00F5596D">
        <w:rPr>
          <w:rFonts w:eastAsia="Calibri" w:cstheme="minorHAnsi"/>
          <w:spacing w:val="2"/>
          <w:szCs w:val="20"/>
          <w:lang w:val="sr-Cyrl-CS" w:eastAsia="ja-JP"/>
        </w:rPr>
        <w:t>Како је у 2023. години фискални оквир сектора државе проширен за сопствена средства здравствених установа и средњих школа, а процењени ниво расхода за запослене из тих средстава је 0,2% БДП, п</w:t>
      </w:r>
      <w:r w:rsidRPr="00F5596D">
        <w:rPr>
          <w:rFonts w:eastAsia="Calibri" w:cstheme="minorHAnsi"/>
          <w:bCs/>
          <w:spacing w:val="2"/>
          <w:szCs w:val="20"/>
          <w:lang w:val="sr-Cyrl-CS" w:eastAsia="ja-JP"/>
        </w:rPr>
        <w:t>роширивање обухвата сектора државе, по овом основу, имплицира корекцију максималног лимита за расходе запослених у сектору државе на 10,2% БДП.</w:t>
      </w:r>
    </w:p>
    <w:p w14:paraId="03282D74" w14:textId="25A95838" w:rsidR="00DE7B2C" w:rsidRPr="00F5596D" w:rsidRDefault="00DE7B2C" w:rsidP="00DE7B2C">
      <w:pPr>
        <w:widowControl w:val="0"/>
        <w:spacing w:after="120"/>
        <w:rPr>
          <w:rFonts w:eastAsia="Calibri" w:cstheme="minorHAnsi"/>
          <w:szCs w:val="20"/>
          <w:lang w:val="sr-Cyrl-CS" w:eastAsia="ja-JP"/>
        </w:rPr>
      </w:pPr>
      <w:r w:rsidRPr="00F5596D">
        <w:rPr>
          <w:rFonts w:eastAsia="Calibri" w:cstheme="minorHAnsi"/>
          <w:szCs w:val="20"/>
          <w:lang w:val="sr-Cyrl-CS" w:eastAsia="ja-JP"/>
        </w:rPr>
        <w:t xml:space="preserve">У 2024. години обухват сектора државе се додатно проширио за један број ванбуџетских корисника (јавнe агенцијe, институти и други ентитети), те је и максимални лимит за расходе запослених у </w:t>
      </w:r>
      <w:r w:rsidRPr="00F5596D">
        <w:rPr>
          <w:rFonts w:eastAsia="Calibri" w:cstheme="minorHAnsi"/>
          <w:szCs w:val="20"/>
          <w:lang w:val="sr-Cyrl-CS" w:eastAsia="ja-JP"/>
        </w:rPr>
        <w:t>сектору државе подигнут на 10,4%, с обзиром да је ниво зарада у овим институцијама око 0,2% БДП. Укључивање сопствених прихода и расхода основних школа у обухват</w:t>
      </w:r>
      <w:r w:rsidR="00400C34" w:rsidRPr="00F5596D">
        <w:rPr>
          <w:rFonts w:eastAsia="Calibri" w:cstheme="minorHAnsi"/>
          <w:szCs w:val="20"/>
          <w:lang w:val="sr-Cyrl-CS" w:eastAsia="ja-JP"/>
        </w:rPr>
        <w:t xml:space="preserve"> сектора државе у 2025. години </w:t>
      </w:r>
      <w:r w:rsidRPr="00F5596D">
        <w:rPr>
          <w:rFonts w:eastAsia="Calibri" w:cstheme="minorHAnsi"/>
          <w:szCs w:val="20"/>
          <w:lang w:val="sr-Cyrl-CS" w:eastAsia="ja-JP"/>
        </w:rPr>
        <w:t>доводи до подизања лимита за расходе запослених на 10,5% БДП. У домену сопствених прихода индиректних буџетских корисника преостаје да се у фискални оквир обухвате и установе високог и вишег образовања, што је планирано за наредни период. До закључења овог документа ови сопствени приходи и расходи нису укључени у пројекције.</w:t>
      </w:r>
    </w:p>
    <w:p w14:paraId="376467E0" w14:textId="6661DBEC" w:rsidR="00DE7B2C" w:rsidRPr="00F5596D" w:rsidRDefault="00DE7B2C" w:rsidP="00DE7B2C">
      <w:pPr>
        <w:widowControl w:val="0"/>
        <w:spacing w:after="120"/>
        <w:rPr>
          <w:rFonts w:eastAsia="Calibri" w:cstheme="minorHAnsi"/>
          <w:szCs w:val="20"/>
          <w:lang w:val="sr-Cyrl-CS" w:eastAsia="ja-JP"/>
        </w:rPr>
      </w:pPr>
      <w:r w:rsidRPr="00F5596D">
        <w:rPr>
          <w:rFonts w:eastAsia="Calibri" w:cstheme="minorHAnsi"/>
          <w:szCs w:val="20"/>
          <w:lang w:val="sr-Cyrl-CS" w:eastAsia="ja-JP"/>
        </w:rPr>
        <w:t>Укључивање расхода из сопствених извора индиректних корисника је утицало на издатке за робе и услуге. Процењује се да је ефекат укључивања нових ентитета подигао ниво ових расхода за око 0,2% БДП. У средњорочном периоду њиховo учешће у БДП се постепено</w:t>
      </w:r>
      <w:r w:rsidR="001B087D" w:rsidRPr="00F5596D">
        <w:rPr>
          <w:rFonts w:eastAsia="Calibri" w:cstheme="minorHAnsi"/>
          <w:szCs w:val="20"/>
          <w:lang w:val="sr-Cyrl-CS" w:eastAsia="ja-JP"/>
        </w:rPr>
        <w:t xml:space="preserve"> </w:t>
      </w:r>
      <w:r w:rsidRPr="00F5596D">
        <w:rPr>
          <w:rFonts w:eastAsia="Calibri" w:cstheme="minorHAnsi"/>
          <w:szCs w:val="20"/>
          <w:lang w:val="sr-Cyrl-CS" w:eastAsia="ja-JP"/>
        </w:rPr>
        <w:t xml:space="preserve">смањује. </w:t>
      </w:r>
    </w:p>
    <w:p w14:paraId="21F1C0B7"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 xml:space="preserve">Социјална помоћ и трансфери становништву представљају највећу расходну категорију буџета државе. Највећа појединачна ставка ове групе расхода, а уједно и највећа ставка свих расхода, су пензије. Динамика пензија опредељује и путању кретања укупних расхода за трансфере становништву и социјалну заштиту кад је реч о учешћу у БДП. У 2024. години пензије су индексиране растом зарада, а у 2025. години је </w:t>
      </w:r>
      <w:r w:rsidRPr="00F5596D">
        <w:rPr>
          <w:rFonts w:eastAsia="Calibri" w:cstheme="minorHAnsi"/>
          <w:szCs w:val="20"/>
          <w:lang w:val="sr-Cyrl-CS" w:eastAsia="ja-JP"/>
        </w:rPr>
        <w:lastRenderedPageBreak/>
        <w:t>примењена швајцарска формула. Усклађивање швајцарском формулом претпоставка је пројекције пензија до краја средњорочног периода.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пројектованим бројем корисника.</w:t>
      </w:r>
    </w:p>
    <w:p w14:paraId="527AE9C5" w14:textId="11CDB0E4"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 xml:space="preserve">Током 2024. године бележи се привремени раст субвенција у смислу учешћа у БДП, узрокован </w:t>
      </w:r>
      <w:r w:rsidR="00400C34" w:rsidRPr="00F5596D">
        <w:rPr>
          <w:rFonts w:eastAsia="Calibri" w:cstheme="minorHAnsi"/>
          <w:szCs w:val="20"/>
          <w:lang w:val="sr-Cyrl-CS" w:eastAsia="ja-JP"/>
        </w:rPr>
        <w:t>додатним субвенцијама намењеним</w:t>
      </w:r>
      <w:r w:rsidRPr="00F5596D">
        <w:rPr>
          <w:rFonts w:eastAsia="Calibri" w:cstheme="minorHAnsi"/>
          <w:szCs w:val="20"/>
          <w:lang w:val="sr-Cyrl-CS" w:eastAsia="ja-JP"/>
        </w:rPr>
        <w:t xml:space="preserve"> пољопривреди, енергетици и саобраћајној инфраструктури. За наредни средњорочни период, предвиђа се благо смањење, док ће њихово учешће у БДП на крају 2028. године износити 2,1%.</w:t>
      </w:r>
    </w:p>
    <w:p w14:paraId="50671ABC"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 xml:space="preserve">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У наредном периоду се очекује непромењени износ ових расхода. </w:t>
      </w:r>
    </w:p>
    <w:p w14:paraId="1E7974EB" w14:textId="3001B5A1"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 xml:space="preserve">Упркос изазовима које су изазвали пандемија и енергетска криза, ефикасност реализације јавних инвестиција у претходним годинама значајно је унапређена. У средњорочном периоду предвиђа се даљи раст обима улагања у јавну инфраструктуру, подстакнут одлуком о одржавању међународне изложбе </w:t>
      </w:r>
      <w:r w:rsidR="009F4767">
        <w:rPr>
          <w:rFonts w:eastAsia="Calibri" w:cstheme="minorHAnsi"/>
          <w:b/>
          <w:bCs/>
          <w:szCs w:val="20"/>
          <w:lang w:val="sr-Cyrl-CS" w:eastAsia="ja-JP"/>
        </w:rPr>
        <w:t>EXPO</w:t>
      </w:r>
      <w:r w:rsidRPr="00F5596D">
        <w:rPr>
          <w:rFonts w:eastAsia="Calibri" w:cstheme="minorHAnsi"/>
          <w:b/>
          <w:bCs/>
          <w:szCs w:val="20"/>
          <w:lang w:val="sr-Cyrl-CS" w:eastAsia="ja-JP"/>
        </w:rPr>
        <w:t xml:space="preserve"> 2027</w:t>
      </w:r>
      <w:r w:rsidRPr="00F5596D">
        <w:rPr>
          <w:rFonts w:eastAsia="Calibri" w:cstheme="minorHAnsi"/>
          <w:szCs w:val="20"/>
          <w:lang w:val="sr-Cyrl-CS" w:eastAsia="ja-JP"/>
        </w:rPr>
        <w:t xml:space="preserve"> у Београду и спровођењем програмa „</w:t>
      </w:r>
      <w:r w:rsidRPr="00F5596D">
        <w:rPr>
          <w:rFonts w:eastAsia="Calibri" w:cstheme="minorHAnsi"/>
          <w:b/>
          <w:bCs/>
          <w:szCs w:val="20"/>
          <w:lang w:val="sr-Cyrl-CS" w:eastAsia="ja-JP"/>
        </w:rPr>
        <w:t>Скок у будућност – Србија 2027</w:t>
      </w:r>
      <w:r w:rsidRPr="00F5596D">
        <w:rPr>
          <w:rFonts w:eastAsia="Calibri" w:cstheme="minorHAnsi"/>
          <w:szCs w:val="20"/>
          <w:lang w:val="sr-Cyrl-CS" w:eastAsia="ja-JP"/>
        </w:rPr>
        <w:t>“. Највећи инвестициони циклус биће усмерен на путну, железничку, комуналну и водну инфраструктуру, док су, поред саобраћајних пројеката, обезбеђена средства и за капитална улагања у здравству, енергетици, заштити животне средине, образовању, култури, одбрани и другим приоритетним областима државе. Након 2027. године очекује се постепено снижавање износа капиталних издатака.</w:t>
      </w:r>
    </w:p>
    <w:p w14:paraId="34870DF3"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 xml:space="preserve">Стратешко опредељење фискалне политике у средњем року јесте повећање инфраструктурних улагања на свим нивоима власти. На локалном нивоу приоритет ће имати пројекти водоводне и </w:t>
      </w:r>
      <w:r w:rsidRPr="00F5596D">
        <w:rPr>
          <w:rFonts w:eastAsia="Calibri" w:cstheme="minorHAnsi"/>
          <w:szCs w:val="20"/>
          <w:lang w:val="sr-Cyrl-CS" w:eastAsia="ja-JP"/>
        </w:rPr>
        <w:t>канализационе мреже, управљања отпадом и унапређења локалне путне инфраструктуре, чиме се обезбеђује равномернији регионални развој и побољшава квалитет живота становништва.</w:t>
      </w:r>
    </w:p>
    <w:p w14:paraId="3C2EEE0E"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У оквиру средњорочног фискалног оквира предвиђа се да локалне самоуправе, посматрано збирно, задрже приближно балансиран буџет до краја 2028. године. Оваква пројекција заснива се на прошлогодишњим кретањима, у којима су јединице локалне самоуправе најчешће остваривале укупан суфицит, пре свега због динамике раздуживања у претходном периоду. Напомиње се да појединачне општине и градови могу исказати дефицит у складу са сопственом фискалном позицијом, водећи притом рачуна о поштовању важећих фискалних правила.</w:t>
      </w:r>
    </w:p>
    <w:p w14:paraId="6F6F7390"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Ниво буџетских позајмица и отплата по основу гарантованог дуга је, у целом периоду, на ниском и стабилном нивоу од по 0,2% БДП.</w:t>
      </w:r>
    </w:p>
    <w:p w14:paraId="21B14B68" w14:textId="77777777" w:rsidR="00DE7B2C" w:rsidRPr="00F5596D" w:rsidRDefault="00DE7B2C" w:rsidP="00DE7B2C">
      <w:pPr>
        <w:spacing w:after="120"/>
        <w:rPr>
          <w:rFonts w:cstheme="minorHAnsi"/>
          <w:b/>
          <w:bCs/>
          <w:color w:val="2F5496" w:themeColor="accent1" w:themeShade="BF"/>
          <w:sz w:val="22"/>
          <w:szCs w:val="20"/>
          <w:lang w:val="sr-Cyrl-CS"/>
        </w:rPr>
      </w:pPr>
      <w:r w:rsidRPr="00F5596D">
        <w:rPr>
          <w:rFonts w:cstheme="minorHAnsi"/>
          <w:b/>
          <w:bCs/>
          <w:color w:val="2F5496" w:themeColor="accent1" w:themeShade="BF"/>
          <w:sz w:val="22"/>
          <w:szCs w:val="20"/>
          <w:lang w:val="sr-Cyrl-CS"/>
        </w:rPr>
        <w:t>Поређење са претходним програмом</w:t>
      </w:r>
    </w:p>
    <w:p w14:paraId="29A6A46F" w14:textId="441DD735"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Средњорочни фискални оквир у основи задржава континуитет у односу на онај утврђен Ревидираном фискалном стратегијом за период 2025–2027. године. У односу на бруто домаћи производ, предвиђени нивои укупних прихода и расхода благо су кориговани наниже: на приходној страни, пре свега услед ревидиране пројекције пореза на додату вредност, а на расходној страни због слаб</w:t>
      </w:r>
      <w:r w:rsidR="00FA2A87" w:rsidRPr="00F5596D">
        <w:rPr>
          <w:rFonts w:eastAsia="Calibri" w:cstheme="minorHAnsi"/>
          <w:szCs w:val="20"/>
          <w:lang w:val="sr-Cyrl-CS" w:eastAsia="ja-JP"/>
        </w:rPr>
        <w:t>и</w:t>
      </w:r>
      <w:r w:rsidRPr="00F5596D">
        <w:rPr>
          <w:rFonts w:eastAsia="Calibri" w:cstheme="minorHAnsi"/>
          <w:szCs w:val="20"/>
          <w:lang w:val="sr-Cyrl-CS" w:eastAsia="ja-JP"/>
        </w:rPr>
        <w:t>jег извршења појединих ставки у 2024. години. Истовремено је планирано умерено повећање издатака за запослене, док су издаци за робе и услуге, субвенције и капиталне пројекте релативно умањени.</w:t>
      </w:r>
    </w:p>
    <w:p w14:paraId="78FEED05" w14:textId="77777777" w:rsidR="00DE7B2C" w:rsidRPr="00F5596D" w:rsidRDefault="00DE7B2C" w:rsidP="00DE7B2C">
      <w:pPr>
        <w:spacing w:after="120"/>
        <w:rPr>
          <w:rFonts w:eastAsia="Calibri" w:cstheme="minorHAnsi"/>
          <w:szCs w:val="20"/>
          <w:lang w:val="sr-Cyrl-CS" w:eastAsia="ja-JP"/>
        </w:rPr>
      </w:pPr>
      <w:r w:rsidRPr="00F5596D">
        <w:rPr>
          <w:rFonts w:eastAsia="Calibri" w:cstheme="minorHAnsi"/>
          <w:szCs w:val="20"/>
          <w:lang w:val="sr-Cyrl-CS" w:eastAsia="ja-JP"/>
        </w:rPr>
        <w:t>За 2028. годину пројектовано је додатно смањење фискалног дефицита, а од 2029. године планирано је враћање у границе утврђене фискалним правилом. Будући да је ниво јавног дуга на крају 2024. године био нижи од претходно очекиваног, ствара се додатан простор за убрзано смањење</w:t>
      </w:r>
      <w:r w:rsidRPr="00F5596D">
        <w:rPr>
          <w:rFonts w:cstheme="minorHAnsi"/>
          <w:bCs/>
          <w:color w:val="002060"/>
          <w:szCs w:val="20"/>
          <w:lang w:val="sr-Cyrl-CS"/>
        </w:rPr>
        <w:t xml:space="preserve"> </w:t>
      </w:r>
      <w:r w:rsidRPr="00F5596D">
        <w:rPr>
          <w:rFonts w:eastAsia="Calibri" w:cstheme="minorHAnsi"/>
          <w:szCs w:val="20"/>
          <w:lang w:val="sr-Cyrl-CS" w:eastAsia="ja-JP"/>
        </w:rPr>
        <w:t>овог агрегата и у наредном средњорочном периоду.</w:t>
      </w:r>
    </w:p>
    <w:p w14:paraId="66D7C995" w14:textId="77777777" w:rsidR="00DE7B2C" w:rsidRPr="00F5596D" w:rsidRDefault="00DE7B2C" w:rsidP="00DE7B2C">
      <w:pPr>
        <w:spacing w:after="120"/>
        <w:rPr>
          <w:rFonts w:eastAsia="Calibri" w:cstheme="minorHAnsi"/>
          <w:b/>
          <w:color w:val="2F5496" w:themeColor="accent1" w:themeShade="BF"/>
          <w:sz w:val="22"/>
          <w:szCs w:val="20"/>
          <w:lang w:val="sr-Cyrl-CS" w:eastAsia="ja-JP"/>
        </w:rPr>
        <w:sectPr w:rsidR="00DE7B2C" w:rsidRPr="00F5596D" w:rsidSect="00DE7B2C">
          <w:headerReference w:type="even" r:id="rId164"/>
          <w:footerReference w:type="even" r:id="rId165"/>
          <w:footerReference w:type="default" r:id="rId166"/>
          <w:footerReference w:type="first" r:id="rId167"/>
          <w:type w:val="continuous"/>
          <w:pgSz w:w="12240" w:h="15840" w:code="1"/>
          <w:pgMar w:top="1440" w:right="1440" w:bottom="1440" w:left="1440" w:header="720" w:footer="720" w:gutter="0"/>
          <w:cols w:num="2" w:space="720"/>
          <w:titlePg/>
          <w:docGrid w:linePitch="360"/>
        </w:sectPr>
      </w:pPr>
    </w:p>
    <w:p w14:paraId="5F16D88B" w14:textId="77777777" w:rsidR="001B5D96" w:rsidRPr="00F5596D" w:rsidRDefault="001B5D96" w:rsidP="00DE7B2C">
      <w:pPr>
        <w:spacing w:after="0"/>
        <w:jc w:val="center"/>
        <w:rPr>
          <w:rFonts w:eastAsia="Calibri" w:cstheme="minorHAnsi"/>
          <w:b/>
          <w:color w:val="002060"/>
          <w:sz w:val="22"/>
          <w:szCs w:val="20"/>
          <w:lang w:val="sr-Cyrl-CS" w:eastAsia="ja-JP"/>
        </w:rPr>
      </w:pPr>
    </w:p>
    <w:p w14:paraId="32EA6073" w14:textId="77777777" w:rsidR="001B5D96" w:rsidRPr="00F5596D" w:rsidRDefault="001B5D96" w:rsidP="00DE7B2C">
      <w:pPr>
        <w:spacing w:after="0"/>
        <w:jc w:val="center"/>
        <w:rPr>
          <w:rFonts w:eastAsia="Calibri" w:cstheme="minorHAnsi"/>
          <w:b/>
          <w:color w:val="002060"/>
          <w:sz w:val="22"/>
          <w:szCs w:val="20"/>
          <w:lang w:val="sr-Cyrl-CS" w:eastAsia="ja-JP"/>
        </w:rPr>
      </w:pPr>
    </w:p>
    <w:p w14:paraId="388671D2" w14:textId="77777777" w:rsidR="001B5D96" w:rsidRPr="00F5596D" w:rsidRDefault="001B5D96" w:rsidP="00DE7B2C">
      <w:pPr>
        <w:spacing w:after="0"/>
        <w:jc w:val="center"/>
        <w:rPr>
          <w:rFonts w:eastAsia="Calibri" w:cstheme="minorHAnsi"/>
          <w:b/>
          <w:color w:val="002060"/>
          <w:sz w:val="22"/>
          <w:szCs w:val="20"/>
          <w:lang w:val="sr-Cyrl-CS" w:eastAsia="ja-JP"/>
        </w:rPr>
      </w:pPr>
    </w:p>
    <w:p w14:paraId="7F5D4133" w14:textId="60019A39" w:rsidR="00DE7B2C" w:rsidRPr="00F5596D" w:rsidRDefault="00F14A11" w:rsidP="00DE7B2C">
      <w:pPr>
        <w:spacing w:after="0"/>
        <w:jc w:val="center"/>
        <w:rPr>
          <w:rFonts w:eastAsia="Calibri" w:cstheme="minorHAnsi"/>
          <w:b/>
          <w:color w:val="002060"/>
          <w:sz w:val="22"/>
          <w:szCs w:val="20"/>
          <w:lang w:val="sr-Cyrl-CS" w:eastAsia="ja-JP"/>
        </w:rPr>
        <w:sectPr w:rsidR="00DE7B2C" w:rsidRPr="00F5596D" w:rsidSect="00DE7B2C">
          <w:type w:val="continuous"/>
          <w:pgSz w:w="12240" w:h="15840" w:code="1"/>
          <w:pgMar w:top="1440" w:right="1440" w:bottom="1440" w:left="1440" w:header="720" w:footer="720" w:gutter="0"/>
          <w:cols w:space="720"/>
          <w:titlePg/>
          <w:docGrid w:linePitch="360"/>
        </w:sectPr>
      </w:pPr>
      <w:r w:rsidRPr="00F5596D">
        <w:rPr>
          <w:rFonts w:eastAsia="Calibri" w:cstheme="minorHAnsi"/>
          <w:b/>
          <w:color w:val="002060"/>
          <w:sz w:val="22"/>
          <w:szCs w:val="20"/>
          <w:lang w:val="sr-Cyrl-CS" w:eastAsia="ja-JP"/>
        </w:rPr>
        <w:lastRenderedPageBreak/>
        <w:t>Табела 12</w:t>
      </w:r>
      <w:r w:rsidR="00DE7B2C" w:rsidRPr="00F5596D">
        <w:rPr>
          <w:rFonts w:eastAsia="Calibri" w:cstheme="minorHAnsi"/>
          <w:b/>
          <w:color w:val="002060"/>
          <w:sz w:val="22"/>
          <w:szCs w:val="20"/>
          <w:lang w:val="sr-Cyrl-CS" w:eastAsia="ja-JP"/>
        </w:rPr>
        <w:t>. Поређење фискалних показатеља два програма, у % БДП</w:t>
      </w:r>
    </w:p>
    <w:p w14:paraId="379B4D32" w14:textId="77777777" w:rsidR="00DE7B2C" w:rsidRPr="00F5596D" w:rsidRDefault="00DE7B2C" w:rsidP="00DE7B2C">
      <w:pPr>
        <w:spacing w:after="0"/>
        <w:rPr>
          <w:rFonts w:eastAsia="Calibri" w:cstheme="minorHAnsi"/>
          <w:b/>
          <w:color w:val="2F5496" w:themeColor="accent1" w:themeShade="BF"/>
          <w:sz w:val="22"/>
          <w:szCs w:val="20"/>
          <w:lang w:val="sr-Cyrl-CS" w:eastAsia="ja-JP"/>
        </w:rPr>
        <w:sectPr w:rsidR="00DE7B2C" w:rsidRPr="00F5596D" w:rsidSect="00DE7B2C">
          <w:type w:val="continuous"/>
          <w:pgSz w:w="12240" w:h="15840" w:code="1"/>
          <w:pgMar w:top="1440" w:right="1440" w:bottom="1440" w:left="1440" w:header="720" w:footer="720" w:gutter="0"/>
          <w:cols w:num="2" w:space="720"/>
          <w:titlePg/>
          <w:docGrid w:linePitch="360"/>
        </w:sectPr>
      </w:pPr>
    </w:p>
    <w:tbl>
      <w:tblPr>
        <w:tblStyle w:val="ListTable6Colorful-Accent610"/>
        <w:tblW w:w="5000" w:type="pct"/>
        <w:tblLook w:val="04A0" w:firstRow="1" w:lastRow="0" w:firstColumn="1" w:lastColumn="0" w:noHBand="0" w:noVBand="1"/>
      </w:tblPr>
      <w:tblGrid>
        <w:gridCol w:w="5224"/>
        <w:gridCol w:w="826"/>
        <w:gridCol w:w="826"/>
        <w:gridCol w:w="828"/>
        <w:gridCol w:w="827"/>
        <w:gridCol w:w="829"/>
      </w:tblGrid>
      <w:tr w:rsidR="00DE7B2C" w:rsidRPr="00F5596D" w14:paraId="7FD39FFA" w14:textId="77777777" w:rsidTr="00E61B3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tcBorders>
              <w:top w:val="single" w:sz="4" w:space="0" w:color="002060"/>
              <w:bottom w:val="single" w:sz="4" w:space="0" w:color="FFFFFF"/>
            </w:tcBorders>
            <w:shd w:val="clear" w:color="auto" w:fill="FFFFFF"/>
            <w:noWrap/>
            <w:hideMark/>
          </w:tcPr>
          <w:p w14:paraId="5BED40D1"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p>
        </w:tc>
        <w:tc>
          <w:tcPr>
            <w:tcW w:w="450" w:type="pct"/>
            <w:tcBorders>
              <w:top w:val="single" w:sz="4" w:space="0" w:color="002060"/>
              <w:bottom w:val="single" w:sz="4" w:space="0" w:color="002060"/>
            </w:tcBorders>
            <w:shd w:val="clear" w:color="auto" w:fill="FFFFFF"/>
            <w:noWrap/>
            <w:hideMark/>
          </w:tcPr>
          <w:p w14:paraId="37DC80F8" w14:textId="77777777" w:rsidR="00DE7B2C" w:rsidRPr="00F5596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2024</w:t>
            </w:r>
          </w:p>
        </w:tc>
        <w:tc>
          <w:tcPr>
            <w:tcW w:w="450" w:type="pct"/>
            <w:tcBorders>
              <w:top w:val="single" w:sz="4" w:space="0" w:color="002060"/>
              <w:bottom w:val="single" w:sz="4" w:space="0" w:color="002060"/>
            </w:tcBorders>
            <w:shd w:val="clear" w:color="auto" w:fill="FFFFFF"/>
            <w:noWrap/>
            <w:hideMark/>
          </w:tcPr>
          <w:p w14:paraId="214C8B47" w14:textId="77777777" w:rsidR="00DE7B2C" w:rsidRPr="00F5596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2025</w:t>
            </w:r>
          </w:p>
        </w:tc>
        <w:tc>
          <w:tcPr>
            <w:tcW w:w="451" w:type="pct"/>
            <w:tcBorders>
              <w:top w:val="single" w:sz="4" w:space="0" w:color="002060"/>
              <w:bottom w:val="single" w:sz="4" w:space="0" w:color="002060"/>
            </w:tcBorders>
            <w:shd w:val="clear" w:color="auto" w:fill="FFFFFF"/>
            <w:noWrap/>
            <w:hideMark/>
          </w:tcPr>
          <w:p w14:paraId="1087ECD3" w14:textId="77777777" w:rsidR="00DE7B2C" w:rsidRPr="00F5596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2026</w:t>
            </w:r>
          </w:p>
        </w:tc>
        <w:tc>
          <w:tcPr>
            <w:tcW w:w="450" w:type="pct"/>
            <w:tcBorders>
              <w:top w:val="single" w:sz="4" w:space="0" w:color="002060"/>
              <w:bottom w:val="single" w:sz="4" w:space="0" w:color="002060"/>
            </w:tcBorders>
            <w:shd w:val="clear" w:color="auto" w:fill="FFFFFF"/>
            <w:noWrap/>
            <w:hideMark/>
          </w:tcPr>
          <w:p w14:paraId="49951FD0" w14:textId="77777777" w:rsidR="00DE7B2C" w:rsidRPr="00F5596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2027</w:t>
            </w:r>
          </w:p>
        </w:tc>
        <w:tc>
          <w:tcPr>
            <w:tcW w:w="451" w:type="pct"/>
            <w:tcBorders>
              <w:top w:val="single" w:sz="4" w:space="0" w:color="002060"/>
              <w:bottom w:val="single" w:sz="4" w:space="0" w:color="002060"/>
            </w:tcBorders>
            <w:shd w:val="clear" w:color="auto" w:fill="FFFFFF"/>
            <w:noWrap/>
            <w:hideMark/>
          </w:tcPr>
          <w:p w14:paraId="78F23B23" w14:textId="77777777" w:rsidR="00DE7B2C" w:rsidRPr="00F5596D" w:rsidRDefault="00DE7B2C" w:rsidP="00E61B34">
            <w:pPr>
              <w:keepNext/>
              <w:widowControl w:val="0"/>
              <w:shd w:val="clear" w:color="auto" w:fill="FFFFFF"/>
              <w:spacing w:line="276"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2028</w:t>
            </w:r>
          </w:p>
        </w:tc>
      </w:tr>
      <w:tr w:rsidR="00DE7B2C" w:rsidRPr="00F5596D" w14:paraId="0231446C"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74AD3A2B"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Ревидирана Фискална стратегија за период 2025 – 2027. године</w:t>
            </w:r>
          </w:p>
        </w:tc>
        <w:tc>
          <w:tcPr>
            <w:tcW w:w="450" w:type="pct"/>
            <w:tcBorders>
              <w:top w:val="single" w:sz="4" w:space="0" w:color="002060"/>
            </w:tcBorders>
            <w:shd w:val="clear" w:color="auto" w:fill="FFFFFF"/>
            <w:noWrap/>
            <w:hideMark/>
          </w:tcPr>
          <w:p w14:paraId="349D89AB"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tcBorders>
              <w:top w:val="single" w:sz="4" w:space="0" w:color="002060"/>
            </w:tcBorders>
            <w:shd w:val="clear" w:color="auto" w:fill="FFFFFF"/>
            <w:noWrap/>
            <w:hideMark/>
          </w:tcPr>
          <w:p w14:paraId="1AB73D50"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tcBorders>
              <w:top w:val="single" w:sz="4" w:space="0" w:color="002060"/>
            </w:tcBorders>
            <w:shd w:val="clear" w:color="auto" w:fill="FFFFFF"/>
            <w:noWrap/>
            <w:hideMark/>
          </w:tcPr>
          <w:p w14:paraId="02B7F7E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tcBorders>
              <w:top w:val="single" w:sz="4" w:space="0" w:color="002060"/>
            </w:tcBorders>
            <w:shd w:val="clear" w:color="auto" w:fill="FFFFFF"/>
            <w:noWrap/>
            <w:hideMark/>
          </w:tcPr>
          <w:p w14:paraId="66AD806D"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tcBorders>
              <w:top w:val="single" w:sz="4" w:space="0" w:color="002060"/>
            </w:tcBorders>
            <w:shd w:val="clear" w:color="auto" w:fill="FFFFFF"/>
            <w:noWrap/>
            <w:hideMark/>
          </w:tcPr>
          <w:p w14:paraId="2924C1F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r>
      <w:tr w:rsidR="00DE7B2C" w:rsidRPr="00F5596D" w14:paraId="36AA617E"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371A9F1A"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Приходи</w:t>
            </w:r>
          </w:p>
        </w:tc>
        <w:tc>
          <w:tcPr>
            <w:tcW w:w="450" w:type="pct"/>
            <w:tcBorders>
              <w:top w:val="nil"/>
              <w:bottom w:val="nil"/>
            </w:tcBorders>
            <w:shd w:val="clear" w:color="auto" w:fill="auto"/>
            <w:noWrap/>
            <w:vAlign w:val="center"/>
            <w:hideMark/>
          </w:tcPr>
          <w:p w14:paraId="1356874F"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40,8</w:t>
            </w:r>
          </w:p>
        </w:tc>
        <w:tc>
          <w:tcPr>
            <w:tcW w:w="450" w:type="pct"/>
            <w:tcBorders>
              <w:top w:val="nil"/>
              <w:bottom w:val="nil"/>
            </w:tcBorders>
            <w:shd w:val="clear" w:color="auto" w:fill="auto"/>
            <w:noWrap/>
            <w:vAlign w:val="center"/>
            <w:hideMark/>
          </w:tcPr>
          <w:p w14:paraId="7991AA87"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41,3</w:t>
            </w:r>
          </w:p>
        </w:tc>
        <w:tc>
          <w:tcPr>
            <w:tcW w:w="451" w:type="pct"/>
            <w:tcBorders>
              <w:top w:val="nil"/>
              <w:bottom w:val="nil"/>
            </w:tcBorders>
            <w:shd w:val="clear" w:color="auto" w:fill="auto"/>
            <w:noWrap/>
            <w:vAlign w:val="center"/>
            <w:hideMark/>
          </w:tcPr>
          <w:p w14:paraId="6447EC29"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40,9</w:t>
            </w:r>
          </w:p>
        </w:tc>
        <w:tc>
          <w:tcPr>
            <w:tcW w:w="450" w:type="pct"/>
            <w:tcBorders>
              <w:top w:val="nil"/>
              <w:bottom w:val="nil"/>
            </w:tcBorders>
            <w:shd w:val="clear" w:color="auto" w:fill="auto"/>
            <w:noWrap/>
            <w:vAlign w:val="center"/>
            <w:hideMark/>
          </w:tcPr>
          <w:p w14:paraId="363BC91F"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40,5</w:t>
            </w:r>
          </w:p>
        </w:tc>
        <w:tc>
          <w:tcPr>
            <w:tcW w:w="451" w:type="pct"/>
            <w:tcBorders>
              <w:top w:val="nil"/>
              <w:bottom w:val="nil"/>
            </w:tcBorders>
            <w:shd w:val="clear" w:color="auto" w:fill="auto"/>
            <w:noWrap/>
            <w:vAlign w:val="center"/>
            <w:hideMark/>
          </w:tcPr>
          <w:p w14:paraId="2E9F7724"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w:t>
            </w:r>
          </w:p>
        </w:tc>
      </w:tr>
      <w:tr w:rsidR="00DE7B2C" w:rsidRPr="00F5596D" w14:paraId="74157DC0"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416AE834"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Расходи</w:t>
            </w:r>
          </w:p>
        </w:tc>
        <w:tc>
          <w:tcPr>
            <w:tcW w:w="450" w:type="pct"/>
            <w:tcBorders>
              <w:top w:val="nil"/>
            </w:tcBorders>
            <w:shd w:val="clear" w:color="auto" w:fill="auto"/>
            <w:noWrap/>
            <w:vAlign w:val="center"/>
            <w:hideMark/>
          </w:tcPr>
          <w:p w14:paraId="3D5AED08"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43,6</w:t>
            </w:r>
          </w:p>
        </w:tc>
        <w:tc>
          <w:tcPr>
            <w:tcW w:w="450" w:type="pct"/>
            <w:tcBorders>
              <w:top w:val="nil"/>
            </w:tcBorders>
            <w:shd w:val="clear" w:color="auto" w:fill="auto"/>
            <w:noWrap/>
            <w:vAlign w:val="center"/>
            <w:hideMark/>
          </w:tcPr>
          <w:p w14:paraId="64441316"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44,3</w:t>
            </w:r>
          </w:p>
        </w:tc>
        <w:tc>
          <w:tcPr>
            <w:tcW w:w="451" w:type="pct"/>
            <w:tcBorders>
              <w:top w:val="nil"/>
            </w:tcBorders>
            <w:shd w:val="clear" w:color="auto" w:fill="auto"/>
            <w:noWrap/>
            <w:vAlign w:val="center"/>
            <w:hideMark/>
          </w:tcPr>
          <w:p w14:paraId="229D224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43,9</w:t>
            </w:r>
          </w:p>
        </w:tc>
        <w:tc>
          <w:tcPr>
            <w:tcW w:w="450" w:type="pct"/>
            <w:tcBorders>
              <w:top w:val="nil"/>
            </w:tcBorders>
            <w:shd w:val="clear" w:color="auto" w:fill="auto"/>
            <w:noWrap/>
            <w:vAlign w:val="center"/>
            <w:hideMark/>
          </w:tcPr>
          <w:p w14:paraId="01383411"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43,5</w:t>
            </w:r>
          </w:p>
        </w:tc>
        <w:tc>
          <w:tcPr>
            <w:tcW w:w="451" w:type="pct"/>
            <w:tcBorders>
              <w:top w:val="nil"/>
            </w:tcBorders>
            <w:shd w:val="clear" w:color="auto" w:fill="auto"/>
            <w:noWrap/>
            <w:vAlign w:val="center"/>
            <w:hideMark/>
          </w:tcPr>
          <w:p w14:paraId="64322DD7"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w:t>
            </w:r>
          </w:p>
        </w:tc>
      </w:tr>
      <w:tr w:rsidR="00DE7B2C" w:rsidRPr="00F5596D" w14:paraId="67781BDD"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77862296"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Фискални резултат</w:t>
            </w:r>
          </w:p>
        </w:tc>
        <w:tc>
          <w:tcPr>
            <w:tcW w:w="450" w:type="pct"/>
            <w:shd w:val="clear" w:color="auto" w:fill="FFFFFF"/>
            <w:noWrap/>
            <w:hideMark/>
          </w:tcPr>
          <w:p w14:paraId="6FE9CDCC"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w:t>
            </w:r>
          </w:p>
        </w:tc>
        <w:tc>
          <w:tcPr>
            <w:tcW w:w="450" w:type="pct"/>
            <w:tcBorders>
              <w:top w:val="nil"/>
            </w:tcBorders>
            <w:shd w:val="clear" w:color="auto" w:fill="FFFFFF"/>
            <w:noWrap/>
            <w:hideMark/>
          </w:tcPr>
          <w:p w14:paraId="77890E4E"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1" w:type="pct"/>
            <w:tcBorders>
              <w:top w:val="nil"/>
            </w:tcBorders>
            <w:shd w:val="clear" w:color="auto" w:fill="FFFFFF"/>
            <w:noWrap/>
            <w:hideMark/>
          </w:tcPr>
          <w:p w14:paraId="5FF6C8A2"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0" w:type="pct"/>
            <w:tcBorders>
              <w:top w:val="nil"/>
            </w:tcBorders>
            <w:shd w:val="clear" w:color="auto" w:fill="FFFFFF"/>
            <w:noWrap/>
            <w:hideMark/>
          </w:tcPr>
          <w:p w14:paraId="197BEA43"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1" w:type="pct"/>
            <w:shd w:val="clear" w:color="auto" w:fill="FFFFFF"/>
            <w:noWrap/>
            <w:hideMark/>
          </w:tcPr>
          <w:p w14:paraId="41D6C609"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w:t>
            </w:r>
          </w:p>
        </w:tc>
      </w:tr>
      <w:tr w:rsidR="00DE7B2C" w:rsidRPr="00F5596D" w14:paraId="6CB94015"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tcPr>
          <w:p w14:paraId="05D1C9E7"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Дуг сектора државе</w:t>
            </w:r>
          </w:p>
        </w:tc>
        <w:tc>
          <w:tcPr>
            <w:tcW w:w="450" w:type="pct"/>
            <w:tcBorders>
              <w:top w:val="nil"/>
              <w:bottom w:val="nil"/>
            </w:tcBorders>
            <w:shd w:val="clear" w:color="auto" w:fill="FFFFFF"/>
            <w:noWrap/>
          </w:tcPr>
          <w:p w14:paraId="5C3B438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47,9</w:t>
            </w:r>
          </w:p>
        </w:tc>
        <w:tc>
          <w:tcPr>
            <w:tcW w:w="450" w:type="pct"/>
            <w:tcBorders>
              <w:top w:val="nil"/>
              <w:bottom w:val="nil"/>
            </w:tcBorders>
            <w:shd w:val="clear" w:color="auto" w:fill="FFFFFF"/>
            <w:noWrap/>
          </w:tcPr>
          <w:p w14:paraId="6899D2F4"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47,5</w:t>
            </w:r>
          </w:p>
        </w:tc>
        <w:tc>
          <w:tcPr>
            <w:tcW w:w="451" w:type="pct"/>
            <w:tcBorders>
              <w:top w:val="nil"/>
              <w:bottom w:val="nil"/>
            </w:tcBorders>
            <w:shd w:val="clear" w:color="auto" w:fill="FFFFFF"/>
            <w:noWrap/>
          </w:tcPr>
          <w:p w14:paraId="703EB6BA"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47,0</w:t>
            </w:r>
          </w:p>
        </w:tc>
        <w:tc>
          <w:tcPr>
            <w:tcW w:w="450" w:type="pct"/>
            <w:tcBorders>
              <w:top w:val="nil"/>
              <w:bottom w:val="nil"/>
            </w:tcBorders>
            <w:shd w:val="clear" w:color="auto" w:fill="FFFFFF"/>
            <w:noWrap/>
          </w:tcPr>
          <w:p w14:paraId="30F4E07A"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46,5</w:t>
            </w:r>
          </w:p>
        </w:tc>
        <w:tc>
          <w:tcPr>
            <w:tcW w:w="451" w:type="pct"/>
            <w:tcBorders>
              <w:top w:val="nil"/>
              <w:bottom w:val="nil"/>
            </w:tcBorders>
            <w:shd w:val="clear" w:color="auto" w:fill="FFFFFF"/>
            <w:noWrap/>
          </w:tcPr>
          <w:p w14:paraId="3D54792B"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w:t>
            </w:r>
          </w:p>
        </w:tc>
      </w:tr>
      <w:tr w:rsidR="00DE7B2C" w:rsidRPr="00F5596D" w14:paraId="621EC373"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19DC6130"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Фискална стратегија за период 2026 – 2028. године</w:t>
            </w:r>
          </w:p>
        </w:tc>
        <w:tc>
          <w:tcPr>
            <w:tcW w:w="450" w:type="pct"/>
            <w:tcBorders>
              <w:top w:val="nil"/>
              <w:bottom w:val="nil"/>
            </w:tcBorders>
            <w:shd w:val="clear" w:color="auto" w:fill="FFFFFF"/>
            <w:noWrap/>
            <w:hideMark/>
          </w:tcPr>
          <w:p w14:paraId="36893625"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tcBorders>
              <w:top w:val="nil"/>
              <w:bottom w:val="nil"/>
            </w:tcBorders>
            <w:shd w:val="clear" w:color="auto" w:fill="FFFFFF"/>
            <w:noWrap/>
            <w:hideMark/>
          </w:tcPr>
          <w:p w14:paraId="48EEFCC3"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tcBorders>
              <w:top w:val="nil"/>
              <w:bottom w:val="nil"/>
            </w:tcBorders>
            <w:shd w:val="clear" w:color="auto" w:fill="FFFFFF"/>
            <w:noWrap/>
            <w:hideMark/>
          </w:tcPr>
          <w:p w14:paraId="13639E15"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tcBorders>
              <w:top w:val="nil"/>
              <w:bottom w:val="nil"/>
            </w:tcBorders>
            <w:shd w:val="clear" w:color="auto" w:fill="FFFFFF"/>
            <w:noWrap/>
            <w:hideMark/>
          </w:tcPr>
          <w:p w14:paraId="6FB44BEA"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tcBorders>
              <w:top w:val="nil"/>
              <w:bottom w:val="nil"/>
            </w:tcBorders>
            <w:shd w:val="clear" w:color="auto" w:fill="FFFFFF"/>
            <w:noWrap/>
            <w:hideMark/>
          </w:tcPr>
          <w:p w14:paraId="72D14A5D"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p>
        </w:tc>
      </w:tr>
      <w:tr w:rsidR="00DE7B2C" w:rsidRPr="00F5596D" w14:paraId="05F82F3C"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513D01BF"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Приходи</w:t>
            </w:r>
          </w:p>
        </w:tc>
        <w:tc>
          <w:tcPr>
            <w:tcW w:w="450" w:type="pct"/>
            <w:tcBorders>
              <w:top w:val="nil"/>
              <w:bottom w:val="nil"/>
            </w:tcBorders>
            <w:shd w:val="clear" w:color="auto" w:fill="auto"/>
            <w:noWrap/>
            <w:vAlign w:val="center"/>
            <w:hideMark/>
          </w:tcPr>
          <w:p w14:paraId="2C78D69A"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40,9</w:t>
            </w:r>
          </w:p>
        </w:tc>
        <w:tc>
          <w:tcPr>
            <w:tcW w:w="450" w:type="pct"/>
            <w:tcBorders>
              <w:top w:val="nil"/>
              <w:bottom w:val="nil"/>
            </w:tcBorders>
            <w:shd w:val="clear" w:color="auto" w:fill="auto"/>
            <w:noWrap/>
            <w:vAlign w:val="center"/>
            <w:hideMark/>
          </w:tcPr>
          <w:p w14:paraId="32CDA019"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40,9</w:t>
            </w:r>
          </w:p>
        </w:tc>
        <w:tc>
          <w:tcPr>
            <w:tcW w:w="451" w:type="pct"/>
            <w:tcBorders>
              <w:top w:val="nil"/>
              <w:bottom w:val="nil"/>
            </w:tcBorders>
            <w:shd w:val="clear" w:color="auto" w:fill="auto"/>
            <w:noWrap/>
            <w:vAlign w:val="center"/>
            <w:hideMark/>
          </w:tcPr>
          <w:p w14:paraId="1583A3DE"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40,4</w:t>
            </w:r>
          </w:p>
        </w:tc>
        <w:tc>
          <w:tcPr>
            <w:tcW w:w="450" w:type="pct"/>
            <w:tcBorders>
              <w:top w:val="nil"/>
              <w:bottom w:val="nil"/>
            </w:tcBorders>
            <w:shd w:val="clear" w:color="auto" w:fill="auto"/>
            <w:noWrap/>
            <w:vAlign w:val="center"/>
            <w:hideMark/>
          </w:tcPr>
          <w:p w14:paraId="76324BBE"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40,1</w:t>
            </w:r>
          </w:p>
        </w:tc>
        <w:tc>
          <w:tcPr>
            <w:tcW w:w="451" w:type="pct"/>
            <w:tcBorders>
              <w:top w:val="nil"/>
              <w:bottom w:val="nil"/>
            </w:tcBorders>
            <w:shd w:val="clear" w:color="auto" w:fill="auto"/>
            <w:noWrap/>
            <w:vAlign w:val="center"/>
            <w:hideMark/>
          </w:tcPr>
          <w:p w14:paraId="0290BEE6"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39,9</w:t>
            </w:r>
          </w:p>
        </w:tc>
      </w:tr>
      <w:tr w:rsidR="00DE7B2C" w:rsidRPr="00F5596D" w14:paraId="728238C3"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1D38D4B0"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Расходи</w:t>
            </w:r>
          </w:p>
        </w:tc>
        <w:tc>
          <w:tcPr>
            <w:tcW w:w="450" w:type="pct"/>
            <w:tcBorders>
              <w:top w:val="nil"/>
              <w:bottom w:val="nil"/>
            </w:tcBorders>
            <w:shd w:val="clear" w:color="auto" w:fill="FFFFFF" w:themeFill="background1"/>
            <w:noWrap/>
            <w:hideMark/>
          </w:tcPr>
          <w:p w14:paraId="28441DC6"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42,9</w:t>
            </w:r>
          </w:p>
        </w:tc>
        <w:tc>
          <w:tcPr>
            <w:tcW w:w="450" w:type="pct"/>
            <w:tcBorders>
              <w:top w:val="nil"/>
              <w:bottom w:val="nil"/>
            </w:tcBorders>
            <w:shd w:val="clear" w:color="auto" w:fill="FFFFFF" w:themeFill="background1"/>
            <w:noWrap/>
            <w:hideMark/>
          </w:tcPr>
          <w:p w14:paraId="58370836"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43,9</w:t>
            </w:r>
          </w:p>
        </w:tc>
        <w:tc>
          <w:tcPr>
            <w:tcW w:w="451" w:type="pct"/>
            <w:tcBorders>
              <w:top w:val="nil"/>
              <w:bottom w:val="nil"/>
            </w:tcBorders>
            <w:shd w:val="clear" w:color="auto" w:fill="FFFFFF" w:themeFill="background1"/>
            <w:noWrap/>
            <w:hideMark/>
          </w:tcPr>
          <w:p w14:paraId="5242E88E"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43,4</w:t>
            </w:r>
          </w:p>
        </w:tc>
        <w:tc>
          <w:tcPr>
            <w:tcW w:w="450" w:type="pct"/>
            <w:tcBorders>
              <w:top w:val="nil"/>
              <w:bottom w:val="nil"/>
            </w:tcBorders>
            <w:shd w:val="clear" w:color="auto" w:fill="FFFFFF" w:themeFill="background1"/>
            <w:noWrap/>
            <w:hideMark/>
          </w:tcPr>
          <w:p w14:paraId="6BE06527"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43,1</w:t>
            </w:r>
          </w:p>
        </w:tc>
        <w:tc>
          <w:tcPr>
            <w:tcW w:w="451" w:type="pct"/>
            <w:tcBorders>
              <w:top w:val="nil"/>
              <w:bottom w:val="nil"/>
            </w:tcBorders>
            <w:shd w:val="clear" w:color="auto" w:fill="FFFFFF" w:themeFill="background1"/>
            <w:noWrap/>
            <w:hideMark/>
          </w:tcPr>
          <w:p w14:paraId="1A9573A5"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42,4</w:t>
            </w:r>
          </w:p>
        </w:tc>
      </w:tr>
      <w:tr w:rsidR="00DE7B2C" w:rsidRPr="00F5596D" w14:paraId="46D8ACB9"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08C8770C"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Фискални резултат</w:t>
            </w:r>
          </w:p>
        </w:tc>
        <w:tc>
          <w:tcPr>
            <w:tcW w:w="450" w:type="pct"/>
            <w:tcBorders>
              <w:top w:val="nil"/>
            </w:tcBorders>
            <w:shd w:val="clear" w:color="auto" w:fill="FFFFFF"/>
            <w:noWrap/>
            <w:hideMark/>
          </w:tcPr>
          <w:p w14:paraId="0D8BB18C"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w:t>
            </w:r>
          </w:p>
        </w:tc>
        <w:tc>
          <w:tcPr>
            <w:tcW w:w="450" w:type="pct"/>
            <w:tcBorders>
              <w:top w:val="nil"/>
            </w:tcBorders>
            <w:shd w:val="clear" w:color="auto" w:fill="FFFFFF"/>
            <w:noWrap/>
            <w:hideMark/>
          </w:tcPr>
          <w:p w14:paraId="4327057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1" w:type="pct"/>
            <w:tcBorders>
              <w:top w:val="nil"/>
            </w:tcBorders>
            <w:shd w:val="clear" w:color="auto" w:fill="FFFFFF"/>
            <w:noWrap/>
            <w:hideMark/>
          </w:tcPr>
          <w:p w14:paraId="4B08F274"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0" w:type="pct"/>
            <w:tcBorders>
              <w:top w:val="nil"/>
            </w:tcBorders>
            <w:shd w:val="clear" w:color="auto" w:fill="FFFFFF"/>
            <w:noWrap/>
            <w:hideMark/>
          </w:tcPr>
          <w:p w14:paraId="314A38A3"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w:t>
            </w:r>
          </w:p>
        </w:tc>
        <w:tc>
          <w:tcPr>
            <w:tcW w:w="451" w:type="pct"/>
            <w:tcBorders>
              <w:top w:val="nil"/>
            </w:tcBorders>
            <w:shd w:val="clear" w:color="auto" w:fill="FFFFFF"/>
            <w:noWrap/>
            <w:hideMark/>
          </w:tcPr>
          <w:p w14:paraId="076B9FA8"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-2,5</w:t>
            </w:r>
          </w:p>
        </w:tc>
      </w:tr>
      <w:tr w:rsidR="00DE7B2C" w:rsidRPr="00F5596D" w14:paraId="204EB9B6"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tcPr>
          <w:p w14:paraId="016713FF"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Дуг сектора државе</w:t>
            </w:r>
          </w:p>
        </w:tc>
        <w:tc>
          <w:tcPr>
            <w:tcW w:w="450" w:type="pct"/>
            <w:shd w:val="clear" w:color="auto" w:fill="auto"/>
            <w:noWrap/>
            <w:vAlign w:val="center"/>
          </w:tcPr>
          <w:p w14:paraId="6A76C87E"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002060"/>
                <w:sz w:val="18"/>
                <w:szCs w:val="18"/>
                <w:lang w:val="sr-Cyrl-CS"/>
              </w:rPr>
              <w:t>47,5</w:t>
            </w:r>
          </w:p>
        </w:tc>
        <w:tc>
          <w:tcPr>
            <w:tcW w:w="450" w:type="pct"/>
            <w:shd w:val="clear" w:color="auto" w:fill="auto"/>
            <w:noWrap/>
            <w:vAlign w:val="center"/>
          </w:tcPr>
          <w:p w14:paraId="69F68614"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1F3864" w:themeColor="accent1" w:themeShade="80"/>
                <w:sz w:val="18"/>
                <w:szCs w:val="18"/>
                <w:lang w:val="sr-Cyrl-CS"/>
              </w:rPr>
              <w:t>46,8</w:t>
            </w:r>
          </w:p>
        </w:tc>
        <w:tc>
          <w:tcPr>
            <w:tcW w:w="451" w:type="pct"/>
            <w:shd w:val="clear" w:color="auto" w:fill="auto"/>
            <w:noWrap/>
            <w:vAlign w:val="center"/>
          </w:tcPr>
          <w:p w14:paraId="31829FAF"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1F3864" w:themeColor="accent1" w:themeShade="80"/>
                <w:sz w:val="18"/>
                <w:szCs w:val="18"/>
                <w:lang w:val="sr-Cyrl-CS"/>
              </w:rPr>
              <w:t>46,5</w:t>
            </w:r>
          </w:p>
        </w:tc>
        <w:tc>
          <w:tcPr>
            <w:tcW w:w="450" w:type="pct"/>
            <w:shd w:val="clear" w:color="auto" w:fill="auto"/>
            <w:noWrap/>
            <w:vAlign w:val="center"/>
          </w:tcPr>
          <w:p w14:paraId="7B34BE0F"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1F3864" w:themeColor="accent1" w:themeShade="80"/>
                <w:sz w:val="18"/>
                <w:szCs w:val="18"/>
                <w:lang w:val="sr-Cyrl-CS"/>
              </w:rPr>
              <w:t>46,3</w:t>
            </w:r>
          </w:p>
        </w:tc>
        <w:tc>
          <w:tcPr>
            <w:tcW w:w="451" w:type="pct"/>
            <w:shd w:val="clear" w:color="auto" w:fill="auto"/>
            <w:noWrap/>
            <w:vAlign w:val="center"/>
          </w:tcPr>
          <w:p w14:paraId="316C3C36"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cstheme="minorHAnsi"/>
                <w:color w:val="1F3864" w:themeColor="accent1" w:themeShade="80"/>
                <w:sz w:val="18"/>
                <w:szCs w:val="18"/>
                <w:lang w:val="sr-Cyrl-CS"/>
              </w:rPr>
              <w:t>46,2</w:t>
            </w:r>
          </w:p>
        </w:tc>
      </w:tr>
      <w:tr w:rsidR="00DE7B2C" w:rsidRPr="00F5596D" w14:paraId="102C174C"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073749A5"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Разлика два програма </w:t>
            </w:r>
          </w:p>
        </w:tc>
        <w:tc>
          <w:tcPr>
            <w:tcW w:w="450" w:type="pct"/>
            <w:shd w:val="clear" w:color="auto" w:fill="FFFFFF"/>
            <w:noWrap/>
            <w:hideMark/>
          </w:tcPr>
          <w:p w14:paraId="6F110034"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shd w:val="clear" w:color="auto" w:fill="FFFFFF"/>
            <w:noWrap/>
            <w:hideMark/>
          </w:tcPr>
          <w:p w14:paraId="7A41ACBE"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shd w:val="clear" w:color="auto" w:fill="FFFFFF"/>
            <w:noWrap/>
            <w:hideMark/>
          </w:tcPr>
          <w:p w14:paraId="448CFDEB"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0" w:type="pct"/>
            <w:shd w:val="clear" w:color="auto" w:fill="FFFFFF"/>
            <w:noWrap/>
            <w:hideMark/>
          </w:tcPr>
          <w:p w14:paraId="6FF5F4D0"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c>
          <w:tcPr>
            <w:tcW w:w="451" w:type="pct"/>
            <w:shd w:val="clear" w:color="auto" w:fill="FFFFFF"/>
            <w:noWrap/>
            <w:hideMark/>
          </w:tcPr>
          <w:p w14:paraId="49BDC49A"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p>
        </w:tc>
      </w:tr>
      <w:tr w:rsidR="00DE7B2C" w:rsidRPr="00F5596D" w14:paraId="54EF2866"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shd w:val="clear" w:color="auto" w:fill="FFFFFF"/>
            <w:noWrap/>
            <w:hideMark/>
          </w:tcPr>
          <w:p w14:paraId="06867FCD"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Приходи</w:t>
            </w:r>
          </w:p>
        </w:tc>
        <w:tc>
          <w:tcPr>
            <w:tcW w:w="450" w:type="pct"/>
            <w:shd w:val="clear" w:color="auto" w:fill="FFFFFF"/>
            <w:noWrap/>
            <w:hideMark/>
          </w:tcPr>
          <w:p w14:paraId="70E18FFF"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0,1</w:t>
            </w:r>
          </w:p>
        </w:tc>
        <w:tc>
          <w:tcPr>
            <w:tcW w:w="450" w:type="pct"/>
            <w:shd w:val="clear" w:color="auto" w:fill="FFFFFF"/>
            <w:noWrap/>
            <w:hideMark/>
          </w:tcPr>
          <w:p w14:paraId="185E1024"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-0,4</w:t>
            </w:r>
          </w:p>
        </w:tc>
        <w:tc>
          <w:tcPr>
            <w:tcW w:w="451" w:type="pct"/>
            <w:shd w:val="clear" w:color="auto" w:fill="FFFFFF"/>
            <w:noWrap/>
            <w:hideMark/>
          </w:tcPr>
          <w:p w14:paraId="6B9DFB22"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2060"/>
                <w:sz w:val="18"/>
                <w:szCs w:val="18"/>
                <w:lang w:val="sr-Cyrl-CS"/>
              </w:rPr>
            </w:pPr>
            <w:r w:rsidRPr="00F5596D">
              <w:rPr>
                <w:rFonts w:ascii="Calibri" w:eastAsia="Times New Roman" w:hAnsi="Calibri" w:cs="Calibri"/>
                <w:bCs/>
                <w:color w:val="002060"/>
                <w:sz w:val="18"/>
                <w:szCs w:val="18"/>
                <w:lang w:val="sr-Cyrl-CS"/>
              </w:rPr>
              <w:t>-0,5</w:t>
            </w:r>
          </w:p>
        </w:tc>
        <w:tc>
          <w:tcPr>
            <w:tcW w:w="450" w:type="pct"/>
            <w:shd w:val="clear" w:color="auto" w:fill="FFFFFF"/>
            <w:noWrap/>
            <w:hideMark/>
          </w:tcPr>
          <w:p w14:paraId="26B84130"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Cs/>
                <w:color w:val="002060"/>
                <w:sz w:val="18"/>
                <w:szCs w:val="18"/>
                <w:lang w:val="sr-Cyrl-CS"/>
              </w:rPr>
            </w:pPr>
            <w:r w:rsidRPr="00F5596D">
              <w:rPr>
                <w:rFonts w:ascii="Calibri" w:eastAsia="Times New Roman" w:hAnsi="Calibri" w:cs="Calibri"/>
                <w:bCs/>
                <w:color w:val="002060"/>
                <w:sz w:val="18"/>
                <w:szCs w:val="18"/>
                <w:lang w:val="sr-Cyrl-CS"/>
              </w:rPr>
              <w:t>-0,6</w:t>
            </w:r>
          </w:p>
        </w:tc>
        <w:tc>
          <w:tcPr>
            <w:tcW w:w="451" w:type="pct"/>
            <w:tcBorders>
              <w:top w:val="nil"/>
              <w:bottom w:val="nil"/>
            </w:tcBorders>
            <w:shd w:val="clear" w:color="auto" w:fill="auto"/>
            <w:noWrap/>
            <w:vAlign w:val="center"/>
            <w:hideMark/>
          </w:tcPr>
          <w:p w14:paraId="05A98F67"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w:t>
            </w:r>
          </w:p>
        </w:tc>
      </w:tr>
      <w:tr w:rsidR="00DE7B2C" w:rsidRPr="00F5596D" w14:paraId="24EE7C33"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tcBorders>
              <w:bottom w:val="nil"/>
            </w:tcBorders>
            <w:shd w:val="clear" w:color="auto" w:fill="FFFFFF"/>
            <w:noWrap/>
            <w:hideMark/>
          </w:tcPr>
          <w:p w14:paraId="75EDC3EB"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Расходи</w:t>
            </w:r>
          </w:p>
        </w:tc>
        <w:tc>
          <w:tcPr>
            <w:tcW w:w="450" w:type="pct"/>
            <w:tcBorders>
              <w:bottom w:val="nil"/>
            </w:tcBorders>
            <w:shd w:val="clear" w:color="auto" w:fill="FFFFFF"/>
            <w:noWrap/>
            <w:hideMark/>
          </w:tcPr>
          <w:p w14:paraId="3D81F9AB"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-0,7</w:t>
            </w:r>
          </w:p>
        </w:tc>
        <w:tc>
          <w:tcPr>
            <w:tcW w:w="450" w:type="pct"/>
            <w:tcBorders>
              <w:bottom w:val="nil"/>
            </w:tcBorders>
            <w:shd w:val="clear" w:color="auto" w:fill="FFFFFF"/>
            <w:noWrap/>
            <w:hideMark/>
          </w:tcPr>
          <w:p w14:paraId="3E53F328"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-0,4</w:t>
            </w:r>
          </w:p>
        </w:tc>
        <w:tc>
          <w:tcPr>
            <w:tcW w:w="451" w:type="pct"/>
            <w:tcBorders>
              <w:bottom w:val="nil"/>
            </w:tcBorders>
            <w:shd w:val="clear" w:color="auto" w:fill="FFFFFF"/>
            <w:noWrap/>
            <w:hideMark/>
          </w:tcPr>
          <w:p w14:paraId="35A41DCC"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F5596D">
              <w:rPr>
                <w:rFonts w:ascii="Calibri" w:eastAsia="Times New Roman" w:hAnsi="Calibri" w:cs="Calibri"/>
                <w:bCs/>
                <w:color w:val="002060"/>
                <w:sz w:val="18"/>
                <w:szCs w:val="18"/>
                <w:lang w:val="sr-Cyrl-CS"/>
              </w:rPr>
              <w:t>-0,5</w:t>
            </w:r>
          </w:p>
        </w:tc>
        <w:tc>
          <w:tcPr>
            <w:tcW w:w="450" w:type="pct"/>
            <w:tcBorders>
              <w:bottom w:val="nil"/>
            </w:tcBorders>
            <w:shd w:val="clear" w:color="auto" w:fill="FFFFFF"/>
            <w:noWrap/>
            <w:hideMark/>
          </w:tcPr>
          <w:p w14:paraId="7417F3E6"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sidRPr="00F5596D">
              <w:rPr>
                <w:rFonts w:ascii="Calibri" w:eastAsia="Times New Roman" w:hAnsi="Calibri" w:cs="Calibri"/>
                <w:bCs/>
                <w:color w:val="002060"/>
                <w:sz w:val="18"/>
                <w:szCs w:val="18"/>
                <w:lang w:val="sr-Cyrl-CS"/>
              </w:rPr>
              <w:t>-0,6</w:t>
            </w:r>
          </w:p>
        </w:tc>
        <w:tc>
          <w:tcPr>
            <w:tcW w:w="451" w:type="pct"/>
            <w:tcBorders>
              <w:top w:val="nil"/>
            </w:tcBorders>
            <w:shd w:val="clear" w:color="auto" w:fill="auto"/>
            <w:noWrap/>
            <w:vAlign w:val="center"/>
            <w:hideMark/>
          </w:tcPr>
          <w:p w14:paraId="55F4A1C2"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w:t>
            </w:r>
          </w:p>
        </w:tc>
      </w:tr>
      <w:tr w:rsidR="00DE7B2C" w:rsidRPr="00F5596D" w14:paraId="7F8DE030" w14:textId="77777777" w:rsidTr="00E61B34">
        <w:trPr>
          <w:trHeight w:val="20"/>
        </w:trPr>
        <w:tc>
          <w:tcPr>
            <w:cnfStyle w:val="001000000000" w:firstRow="0" w:lastRow="0" w:firstColumn="1" w:lastColumn="0" w:oddVBand="0" w:evenVBand="0" w:oddHBand="0" w:evenHBand="0" w:firstRowFirstColumn="0" w:firstRowLastColumn="0" w:lastRowFirstColumn="0" w:lastRowLastColumn="0"/>
            <w:tcW w:w="2748" w:type="pct"/>
            <w:tcBorders>
              <w:top w:val="nil"/>
              <w:bottom w:val="nil"/>
            </w:tcBorders>
            <w:shd w:val="clear" w:color="auto" w:fill="FFFFFF"/>
            <w:noWrap/>
            <w:hideMark/>
          </w:tcPr>
          <w:p w14:paraId="6C1F7981"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Фискални резултат</w:t>
            </w:r>
          </w:p>
        </w:tc>
        <w:tc>
          <w:tcPr>
            <w:tcW w:w="450" w:type="pct"/>
            <w:tcBorders>
              <w:top w:val="nil"/>
              <w:bottom w:val="nil"/>
            </w:tcBorders>
            <w:shd w:val="clear" w:color="auto" w:fill="FFFFFF"/>
            <w:noWrap/>
            <w:hideMark/>
          </w:tcPr>
          <w:p w14:paraId="0E8546EC"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0,7</w:t>
            </w:r>
          </w:p>
        </w:tc>
        <w:tc>
          <w:tcPr>
            <w:tcW w:w="450" w:type="pct"/>
            <w:tcBorders>
              <w:top w:val="nil"/>
              <w:bottom w:val="nil"/>
            </w:tcBorders>
            <w:shd w:val="clear" w:color="auto" w:fill="FFFFFF"/>
            <w:noWrap/>
            <w:hideMark/>
          </w:tcPr>
          <w:p w14:paraId="29FE855B"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0,0</w:t>
            </w:r>
          </w:p>
        </w:tc>
        <w:tc>
          <w:tcPr>
            <w:tcW w:w="451" w:type="pct"/>
            <w:tcBorders>
              <w:top w:val="nil"/>
              <w:bottom w:val="nil"/>
            </w:tcBorders>
            <w:shd w:val="clear" w:color="auto" w:fill="FFFFFF"/>
            <w:noWrap/>
            <w:hideMark/>
          </w:tcPr>
          <w:p w14:paraId="244EC1B0"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0,0</w:t>
            </w:r>
          </w:p>
        </w:tc>
        <w:tc>
          <w:tcPr>
            <w:tcW w:w="450" w:type="pct"/>
            <w:tcBorders>
              <w:top w:val="nil"/>
              <w:bottom w:val="nil"/>
            </w:tcBorders>
            <w:shd w:val="clear" w:color="auto" w:fill="FFFFFF"/>
            <w:noWrap/>
            <w:hideMark/>
          </w:tcPr>
          <w:p w14:paraId="7C69374E"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bCs/>
                <w:color w:val="002060"/>
                <w:sz w:val="18"/>
                <w:szCs w:val="18"/>
                <w:lang w:val="sr-Cyrl-CS"/>
              </w:rPr>
              <w:t>0,0</w:t>
            </w:r>
          </w:p>
        </w:tc>
        <w:tc>
          <w:tcPr>
            <w:tcW w:w="451" w:type="pct"/>
            <w:tcBorders>
              <w:bottom w:val="nil"/>
            </w:tcBorders>
            <w:shd w:val="clear" w:color="auto" w:fill="FFFFFF"/>
            <w:noWrap/>
            <w:hideMark/>
          </w:tcPr>
          <w:p w14:paraId="6B7B9848" w14:textId="77777777" w:rsidR="00DE7B2C" w:rsidRPr="00F5596D" w:rsidRDefault="00DE7B2C" w:rsidP="00E61B34">
            <w:pPr>
              <w:keepNext/>
              <w:widowControl w:val="0"/>
              <w:shd w:val="clear" w:color="auto" w:fill="FFFFFF"/>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w:t>
            </w:r>
          </w:p>
        </w:tc>
      </w:tr>
      <w:tr w:rsidR="00DE7B2C" w:rsidRPr="00F5596D" w14:paraId="18C8004F" w14:textId="77777777" w:rsidTr="00E61B3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748" w:type="pct"/>
            <w:tcBorders>
              <w:top w:val="nil"/>
              <w:bottom w:val="single" w:sz="4" w:space="0" w:color="002060"/>
            </w:tcBorders>
            <w:shd w:val="clear" w:color="auto" w:fill="FFFFFF"/>
            <w:noWrap/>
          </w:tcPr>
          <w:p w14:paraId="00DE9025" w14:textId="77777777" w:rsidR="00DE7B2C" w:rsidRPr="00F5596D" w:rsidRDefault="00DE7B2C" w:rsidP="00E61B34">
            <w:pPr>
              <w:keepNext/>
              <w:widowControl w:val="0"/>
              <w:shd w:val="clear" w:color="auto" w:fill="FFFFFF"/>
              <w:spacing w:line="276" w:lineRule="auto"/>
              <w:rPr>
                <w:rFonts w:ascii="Calibri" w:eastAsia="Times New Roman" w:hAnsi="Calibri" w:cs="Calibri"/>
                <w:color w:val="002060"/>
                <w:sz w:val="18"/>
                <w:szCs w:val="18"/>
                <w:lang w:val="sr-Cyrl-CS"/>
              </w:rPr>
            </w:pPr>
            <w:r w:rsidRPr="00F5596D">
              <w:rPr>
                <w:rFonts w:ascii="Calibri" w:eastAsia="Calibri" w:hAnsi="Calibri" w:cs="Calibri"/>
                <w:color w:val="002060"/>
                <w:sz w:val="18"/>
                <w:szCs w:val="18"/>
                <w:lang w:val="sr-Cyrl-CS"/>
              </w:rPr>
              <w:t>Дуг сектора државе</w:t>
            </w:r>
          </w:p>
        </w:tc>
        <w:tc>
          <w:tcPr>
            <w:tcW w:w="450" w:type="pct"/>
            <w:tcBorders>
              <w:top w:val="nil"/>
              <w:bottom w:val="single" w:sz="4" w:space="0" w:color="002060"/>
            </w:tcBorders>
            <w:shd w:val="clear" w:color="auto" w:fill="FFFFFF"/>
            <w:noWrap/>
          </w:tcPr>
          <w:p w14:paraId="754C94E9" w14:textId="476A8700" w:rsidR="00DE7B2C" w:rsidRPr="00F5596D" w:rsidRDefault="00272719"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Pr>
                <w:rFonts w:ascii="Calibri" w:eastAsia="Times New Roman" w:hAnsi="Calibri" w:cs="Calibri"/>
                <w:bCs/>
                <w:color w:val="002060"/>
                <w:sz w:val="18"/>
                <w:szCs w:val="18"/>
                <w:lang w:val="sr-Cyrl-CS"/>
              </w:rPr>
              <w:t>-</w:t>
            </w:r>
            <w:r w:rsidR="00DE7B2C" w:rsidRPr="00F5596D">
              <w:rPr>
                <w:rFonts w:ascii="Calibri" w:eastAsia="Times New Roman" w:hAnsi="Calibri" w:cs="Calibri"/>
                <w:bCs/>
                <w:color w:val="002060"/>
                <w:sz w:val="18"/>
                <w:szCs w:val="18"/>
                <w:lang w:val="sr-Cyrl-CS"/>
              </w:rPr>
              <w:t>0,4</w:t>
            </w:r>
          </w:p>
        </w:tc>
        <w:tc>
          <w:tcPr>
            <w:tcW w:w="450" w:type="pct"/>
            <w:tcBorders>
              <w:top w:val="nil"/>
              <w:bottom w:val="single" w:sz="4" w:space="0" w:color="002060"/>
            </w:tcBorders>
            <w:shd w:val="clear" w:color="auto" w:fill="FFFFFF"/>
            <w:noWrap/>
          </w:tcPr>
          <w:p w14:paraId="15F994B3" w14:textId="39166A88" w:rsidR="00DE7B2C" w:rsidRPr="00F5596D" w:rsidRDefault="00272719"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Pr>
                <w:rFonts w:ascii="Calibri" w:eastAsia="Times New Roman" w:hAnsi="Calibri" w:cs="Calibri"/>
                <w:bCs/>
                <w:color w:val="002060"/>
                <w:sz w:val="18"/>
                <w:szCs w:val="18"/>
                <w:lang w:val="sr-Cyrl-CS"/>
              </w:rPr>
              <w:t>-</w:t>
            </w:r>
            <w:r w:rsidR="00DE7B2C" w:rsidRPr="00F5596D">
              <w:rPr>
                <w:rFonts w:ascii="Calibri" w:eastAsia="Times New Roman" w:hAnsi="Calibri" w:cs="Calibri"/>
                <w:bCs/>
                <w:color w:val="002060"/>
                <w:sz w:val="18"/>
                <w:szCs w:val="18"/>
                <w:lang w:val="sr-Cyrl-CS"/>
              </w:rPr>
              <w:t>0,7</w:t>
            </w:r>
          </w:p>
        </w:tc>
        <w:tc>
          <w:tcPr>
            <w:tcW w:w="451" w:type="pct"/>
            <w:tcBorders>
              <w:top w:val="nil"/>
              <w:bottom w:val="single" w:sz="4" w:space="0" w:color="002060"/>
            </w:tcBorders>
            <w:shd w:val="clear" w:color="auto" w:fill="FFFFFF"/>
            <w:noWrap/>
          </w:tcPr>
          <w:p w14:paraId="22CA652E" w14:textId="62FB5157" w:rsidR="00DE7B2C" w:rsidRPr="00F5596D" w:rsidRDefault="00272719"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Pr>
                <w:rFonts w:ascii="Calibri" w:eastAsia="Times New Roman" w:hAnsi="Calibri" w:cs="Calibri"/>
                <w:bCs/>
                <w:color w:val="002060"/>
                <w:sz w:val="18"/>
                <w:szCs w:val="18"/>
                <w:lang w:val="sr-Cyrl-CS"/>
              </w:rPr>
              <w:t>-</w:t>
            </w:r>
            <w:r w:rsidR="00DE7B2C" w:rsidRPr="00F5596D">
              <w:rPr>
                <w:rFonts w:ascii="Calibri" w:eastAsia="Times New Roman" w:hAnsi="Calibri" w:cs="Calibri"/>
                <w:bCs/>
                <w:color w:val="002060"/>
                <w:sz w:val="18"/>
                <w:szCs w:val="18"/>
                <w:lang w:val="sr-Cyrl-CS"/>
              </w:rPr>
              <w:t>0,5</w:t>
            </w:r>
          </w:p>
        </w:tc>
        <w:tc>
          <w:tcPr>
            <w:tcW w:w="450" w:type="pct"/>
            <w:tcBorders>
              <w:top w:val="nil"/>
              <w:bottom w:val="single" w:sz="4" w:space="0" w:color="002060"/>
            </w:tcBorders>
            <w:shd w:val="clear" w:color="auto" w:fill="FFFFFF"/>
            <w:noWrap/>
          </w:tcPr>
          <w:p w14:paraId="49985A7F" w14:textId="09F59D97" w:rsidR="00DE7B2C" w:rsidRPr="00F5596D" w:rsidRDefault="00272719"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2060"/>
                <w:sz w:val="18"/>
                <w:szCs w:val="18"/>
                <w:lang w:val="sr-Cyrl-CS"/>
              </w:rPr>
            </w:pPr>
            <w:r>
              <w:rPr>
                <w:rFonts w:ascii="Calibri" w:eastAsia="Times New Roman" w:hAnsi="Calibri" w:cs="Calibri"/>
                <w:bCs/>
                <w:color w:val="002060"/>
                <w:sz w:val="18"/>
                <w:szCs w:val="18"/>
                <w:lang w:val="sr-Cyrl-CS"/>
              </w:rPr>
              <w:t>-</w:t>
            </w:r>
            <w:r w:rsidR="00DE7B2C" w:rsidRPr="00F5596D">
              <w:rPr>
                <w:rFonts w:ascii="Calibri" w:eastAsia="Times New Roman" w:hAnsi="Calibri" w:cs="Calibri"/>
                <w:bCs/>
                <w:color w:val="002060"/>
                <w:sz w:val="18"/>
                <w:szCs w:val="18"/>
                <w:lang w:val="sr-Cyrl-CS"/>
              </w:rPr>
              <w:t>0,2</w:t>
            </w:r>
          </w:p>
        </w:tc>
        <w:tc>
          <w:tcPr>
            <w:tcW w:w="451" w:type="pct"/>
            <w:tcBorders>
              <w:top w:val="nil"/>
              <w:bottom w:val="single" w:sz="4" w:space="0" w:color="002060"/>
            </w:tcBorders>
            <w:shd w:val="clear" w:color="auto" w:fill="FFFFFF"/>
            <w:noWrap/>
          </w:tcPr>
          <w:p w14:paraId="74D48A3B" w14:textId="77777777" w:rsidR="00DE7B2C" w:rsidRPr="00F5596D" w:rsidRDefault="00DE7B2C" w:rsidP="00E61B34">
            <w:pPr>
              <w:keepNext/>
              <w:widowControl w:val="0"/>
              <w:shd w:val="clear" w:color="auto" w:fill="FFFFFF"/>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w:t>
            </w:r>
          </w:p>
        </w:tc>
      </w:tr>
    </w:tbl>
    <w:p w14:paraId="4BC08860" w14:textId="77777777" w:rsidR="00DE7B2C" w:rsidRPr="00F5596D" w:rsidRDefault="00DE7B2C" w:rsidP="00DE7B2C">
      <w:pPr>
        <w:spacing w:after="120"/>
        <w:rPr>
          <w:rFonts w:eastAsia="Calibri" w:cstheme="minorHAnsi"/>
          <w:b/>
          <w:color w:val="2F5496" w:themeColor="accent1" w:themeShade="BF"/>
          <w:sz w:val="22"/>
          <w:szCs w:val="20"/>
          <w:lang w:val="sr-Cyrl-CS" w:eastAsia="ja-JP"/>
        </w:rPr>
      </w:pPr>
    </w:p>
    <w:p w14:paraId="343CB520" w14:textId="77777777" w:rsidR="00DE7B2C" w:rsidRPr="00F5596D" w:rsidRDefault="00DE7B2C" w:rsidP="00DE7B2C">
      <w:pPr>
        <w:spacing w:after="120"/>
        <w:rPr>
          <w:rFonts w:eastAsia="Calibri" w:cstheme="minorHAnsi"/>
          <w:b/>
          <w:color w:val="CC00CC"/>
          <w:sz w:val="22"/>
          <w:szCs w:val="20"/>
          <w:lang w:val="sr-Cyrl-CS" w:eastAsia="ja-JP"/>
        </w:rPr>
        <w:sectPr w:rsidR="00DE7B2C" w:rsidRPr="00F5596D" w:rsidSect="00DE7B2C">
          <w:type w:val="continuous"/>
          <w:pgSz w:w="12240" w:h="15840" w:code="1"/>
          <w:pgMar w:top="1440" w:right="1440" w:bottom="1440" w:left="1440" w:header="720" w:footer="720" w:gutter="0"/>
          <w:cols w:space="720"/>
          <w:titlePg/>
          <w:docGrid w:linePitch="360"/>
        </w:sectPr>
      </w:pPr>
    </w:p>
    <w:p w14:paraId="5285D86C" w14:textId="733423A5" w:rsidR="002003A4" w:rsidRPr="00F5596D" w:rsidRDefault="002003A4" w:rsidP="002003A4">
      <w:pPr>
        <w:spacing w:after="120"/>
        <w:rPr>
          <w:rFonts w:eastAsia="Calibri" w:cstheme="minorHAnsi"/>
          <w:b/>
          <w:color w:val="2F5496" w:themeColor="accent1" w:themeShade="BF"/>
          <w:sz w:val="22"/>
          <w:szCs w:val="20"/>
          <w:lang w:val="sr-Cyrl-CS" w:eastAsia="ja-JP"/>
        </w:rPr>
      </w:pPr>
      <w:bookmarkStart w:id="48" w:name="_Toc146277919"/>
      <w:bookmarkStart w:id="49" w:name="_Toc148431272"/>
      <w:r w:rsidRPr="00F5596D">
        <w:rPr>
          <w:rFonts w:eastAsia="Calibri" w:cstheme="minorHAnsi"/>
          <w:b/>
          <w:color w:val="2F5496" w:themeColor="accent1" w:themeShade="BF"/>
          <w:sz w:val="22"/>
          <w:szCs w:val="20"/>
          <w:lang w:val="sr-Cyrl-CS" w:eastAsia="ja-JP"/>
        </w:rPr>
        <w:t>Структурне мере за унапређење стабилности и одрживости јавних финансија</w:t>
      </w:r>
    </w:p>
    <w:p w14:paraId="32486049" w14:textId="5032F879" w:rsidR="00371295" w:rsidRPr="00F5596D" w:rsidRDefault="00371295" w:rsidP="002003A4">
      <w:pPr>
        <w:spacing w:after="120"/>
        <w:rPr>
          <w:i/>
          <w:color w:val="2F5496" w:themeColor="accent1" w:themeShade="BF"/>
          <w:lang w:val="sr-Cyrl-CS"/>
        </w:rPr>
      </w:pPr>
      <w:r w:rsidRPr="00F5596D">
        <w:rPr>
          <w:rFonts w:eastAsia="Calibri" w:cstheme="minorHAnsi"/>
          <w:i/>
          <w:color w:val="2F5496" w:themeColor="accent1" w:themeShade="BF"/>
          <w:sz w:val="22"/>
          <w:szCs w:val="20"/>
          <w:lang w:val="sr-Cyrl-CS" w:eastAsia="ja-JP"/>
        </w:rPr>
        <w:t>Макроекономска стабилност и убрзање структурних реформи</w:t>
      </w:r>
    </w:p>
    <w:p w14:paraId="73CC79F4" w14:textId="77777777" w:rsidR="002003A4" w:rsidRPr="00F5596D" w:rsidRDefault="002003A4" w:rsidP="002003A4">
      <w:pPr>
        <w:rPr>
          <w:rFonts w:ascii="Calibri" w:eastAsia="Calibri" w:hAnsi="Calibri" w:cs="Calibri"/>
          <w:color w:val="44546A"/>
          <w:spacing w:val="-2"/>
          <w:szCs w:val="20"/>
          <w:lang w:val="sr-Cyrl-CS" w:eastAsia="ja-JP"/>
        </w:rPr>
      </w:pPr>
      <w:r w:rsidRPr="00F5596D">
        <w:rPr>
          <w:rFonts w:ascii="Calibri" w:eastAsia="Calibri" w:hAnsi="Calibri" w:cs="Calibri"/>
          <w:color w:val="44546A"/>
          <w:spacing w:val="-2"/>
          <w:szCs w:val="20"/>
          <w:lang w:val="sr-Cyrl-CS" w:eastAsia="ja-JP"/>
        </w:rPr>
        <w:t>Репуб</w:t>
      </w:r>
      <w:r w:rsidRPr="00F5596D">
        <w:rPr>
          <w:rFonts w:ascii="Calibri" w:eastAsia="Calibri" w:hAnsi="Calibri" w:cs="Calibri"/>
          <w:spacing w:val="-2"/>
          <w:szCs w:val="20"/>
          <w:lang w:val="sr-Cyrl-CS" w:eastAsia="ja-JP"/>
        </w:rPr>
        <w:t>лик</w:t>
      </w:r>
      <w:r w:rsidRPr="00F5596D">
        <w:rPr>
          <w:rFonts w:ascii="Calibri" w:eastAsia="Calibri" w:hAnsi="Calibri" w:cs="Calibri"/>
          <w:color w:val="44546A"/>
          <w:spacing w:val="-2"/>
          <w:szCs w:val="20"/>
          <w:lang w:val="sr-Cyrl-CS" w:eastAsia="ja-JP"/>
        </w:rPr>
        <w:t>а Србија је 9. децембра 2024. године закључила са ММФ нови аранжман - Инструмент за координацију политика (PCI) који је нефинансијског карактера и који ће трајати наредне три године. Договорени програм има за циљ очување макроекономске и финансијске стабилности, наставак спровођења јавних инвестиција, уз задржавање фискалне дисциплине и даље смањење јавног дуга, као и подстицање инклузивног и одрживог раста у средњем року, спровођењем амбициозног програма структурних реформи. Посебан акценат стављен је на даље јачање отпорности енергетског сектора и стварање услова за реализацију значајних инвестиција у тој области.</w:t>
      </w:r>
    </w:p>
    <w:p w14:paraId="066F73DD" w14:textId="77777777" w:rsidR="002003A4" w:rsidRPr="00F5596D" w:rsidRDefault="002003A4" w:rsidP="002003A4">
      <w:pPr>
        <w:rPr>
          <w:rFonts w:ascii="Calibri" w:eastAsia="Calibri" w:hAnsi="Calibri" w:cs="Calibri"/>
          <w:color w:val="44546A"/>
          <w:spacing w:val="-2"/>
          <w:szCs w:val="20"/>
          <w:lang w:val="sr-Cyrl-CS" w:eastAsia="ja-JP"/>
        </w:rPr>
      </w:pPr>
      <w:r w:rsidRPr="00F5596D">
        <w:rPr>
          <w:rFonts w:ascii="Calibri" w:eastAsia="Calibri" w:hAnsi="Calibri" w:cs="Calibri"/>
          <w:color w:val="44546A"/>
          <w:spacing w:val="-2"/>
          <w:szCs w:val="20"/>
          <w:lang w:val="sr-Cyrl-CS" w:eastAsia="ja-JP"/>
        </w:rPr>
        <w:t xml:space="preserve">Приликом доношења одлуке о одобрењу трогодишњег Инструмента за координацију политика, ММФ је похвалио успешно спроведене мере у оквиру претходног стенд-бај аранжмана, које су допринеле остваривању одличних макроекономских резултата Србије. Оцењено је да су одговорна фискална политика, одржива монетарна стабилност и значајан напредак у спровођењу кључних реформи показатељи снажне </w:t>
      </w:r>
      <w:r w:rsidRPr="00F5596D">
        <w:rPr>
          <w:rFonts w:ascii="Calibri" w:eastAsia="Calibri" w:hAnsi="Calibri" w:cs="Calibri"/>
          <w:color w:val="44546A"/>
          <w:spacing w:val="-2"/>
          <w:szCs w:val="20"/>
          <w:lang w:val="sr-Cyrl-CS" w:eastAsia="ja-JP"/>
        </w:rPr>
        <w:t>посвећености Републике Србије одрживом економском развоју. Упркос изазовним околностима, фискални дефицит и јавни дуг су смањени, док је инфлација враћена у оквире дозвољеног одступања од циља НБС. Истовремено, забележен је снажан привредни раст, стабилност тржишта рада и рекордни нивои девизних резерви. Финансијска позиција државног енергетског сектора значајно је ојачана, док су реформе у управљању јавним инвестицијама и државним предузећима постигле значајан напредак. Такође, финансијски систем оцењен је као стабилан, што је, заједно с постигнутим економским резултатима, допринело да Србија први пут добије инвестициони кредитни рејтинг од агенције S&amp;P Global Ratings у октобру 2024. године.</w:t>
      </w:r>
    </w:p>
    <w:p w14:paraId="7CBCA040" w14:textId="67B9C5D7" w:rsidR="002003A4" w:rsidRPr="00F5596D" w:rsidRDefault="002003A4" w:rsidP="002003A4">
      <w:pPr>
        <w:rPr>
          <w:rFonts w:ascii="Calibri" w:eastAsia="Calibri" w:hAnsi="Calibri" w:cs="Calibri"/>
          <w:color w:val="44546A"/>
          <w:szCs w:val="20"/>
          <w:lang w:val="sr-Cyrl-CS" w:eastAsia="ja-JP"/>
        </w:rPr>
      </w:pPr>
      <w:r w:rsidRPr="00F5596D">
        <w:rPr>
          <w:rFonts w:ascii="Calibri" w:eastAsia="Calibri" w:hAnsi="Calibri" w:cs="Calibri"/>
          <w:color w:val="44546A"/>
          <w:spacing w:val="-2"/>
          <w:szCs w:val="20"/>
          <w:lang w:val="sr-Cyrl-CS"/>
        </w:rPr>
        <w:t>Фискална правила измењена су Законом о изменама и допунама Закона о буџетском систему у децембру 2022. године</w:t>
      </w:r>
      <w:r w:rsidRPr="00F5596D">
        <w:rPr>
          <w:rFonts w:ascii="Calibri" w:eastAsia="Calibri" w:hAnsi="Calibri" w:cs="Calibri"/>
          <w:color w:val="44546A"/>
          <w:szCs w:val="20"/>
          <w:lang w:val="sr-Cyrl-CS" w:eastAsia="ja-JP"/>
        </w:rPr>
        <w:t>. Компонента ограничења дефицита у односу на висину јавног дуга одложена је до 2029. године, а у међувремену ће се примењивати циљеви у</w:t>
      </w:r>
      <w:r w:rsidR="00400C34" w:rsidRPr="00F5596D">
        <w:rPr>
          <w:rFonts w:ascii="Calibri" w:eastAsia="Calibri" w:hAnsi="Calibri" w:cs="Calibri"/>
          <w:color w:val="44546A"/>
          <w:szCs w:val="20"/>
          <w:lang w:val="sr-Cyrl-CS" w:eastAsia="ja-JP"/>
        </w:rPr>
        <w:t xml:space="preserve">тврђени Фискалном стратегијом. </w:t>
      </w:r>
      <w:r w:rsidRPr="00F5596D">
        <w:rPr>
          <w:rFonts w:ascii="Calibri" w:eastAsia="Calibri" w:hAnsi="Calibri" w:cs="Calibri"/>
          <w:color w:val="44546A"/>
          <w:szCs w:val="20"/>
          <w:lang w:val="sr-Cyrl-CS" w:eastAsia="ja-JP"/>
        </w:rPr>
        <w:t xml:space="preserve">Ово је нужно услед новог инвестиционог циклуса у наредном средњорочном периоду (програм „Скок у будућност – Србија 2027”), којим су предвиђена значајна нова улагања у саобраћајну инфраструктуру, енергетику, пољопривреду, здравство, образовање, културу, заштиту животне </w:t>
      </w:r>
      <w:r w:rsidRPr="00F5596D">
        <w:rPr>
          <w:rFonts w:ascii="Calibri" w:eastAsia="Calibri" w:hAnsi="Calibri" w:cs="Calibri"/>
          <w:color w:val="44546A"/>
          <w:szCs w:val="20"/>
          <w:lang w:val="sr-Cyrl-CS" w:eastAsia="ja-JP"/>
        </w:rPr>
        <w:lastRenderedPageBreak/>
        <w:t xml:space="preserve">средине, регионални развој, безбедност итд. Програмом ће се спровести свеобухватна модернизација државе и повећати животни стандард грађана, истовремено обезбеђујући више стопе раста БДП. Средњорочним планом је предвиђено да дефицити сектора државе износе </w:t>
      </w:r>
      <w:r w:rsidRPr="00F5596D">
        <w:rPr>
          <w:rFonts w:ascii="Calibri" w:eastAsia="Calibri" w:hAnsi="Calibri" w:cs="Calibri"/>
          <w:szCs w:val="20"/>
          <w:lang w:val="sr-Cyrl-CS" w:eastAsia="ja-JP"/>
        </w:rPr>
        <w:t xml:space="preserve">3% БДП годишње у периоду од 2025-2027. године, односно 2,5% БДП у 2028. години, што обезбеђује да јавни дуг остане на силазној путањи (са 46,8% БДП колико је предвиђено на крају ове године на 46,2% БДП </w:t>
      </w:r>
      <w:r w:rsidRPr="00F5596D">
        <w:rPr>
          <w:rFonts w:ascii="Calibri" w:eastAsia="Calibri" w:hAnsi="Calibri" w:cs="Calibri"/>
          <w:color w:val="44546A"/>
          <w:szCs w:val="20"/>
          <w:lang w:val="sr-Cyrl-CS" w:eastAsia="ja-JP"/>
        </w:rPr>
        <w:t>на крају 2028. године) и далеко испод границе од 60% БДП (укључујући обавезе по основу реституције), колико је одређено фискалним правилом. Посебна фискална правила којима се уређује раст плата у сектору државе и пензија на снази су од 2023. године и у складу с тим су планирана повећања плата и пензија у буџету за 2025. годину. С обзиром да се фискална правила односе на сектор државе, било је потребно уредити и поступак и динами</w:t>
      </w:r>
      <w:r w:rsidR="00400C34" w:rsidRPr="00F5596D">
        <w:rPr>
          <w:rFonts w:ascii="Calibri" w:eastAsia="Calibri" w:hAnsi="Calibri" w:cs="Calibri"/>
          <w:color w:val="44546A"/>
          <w:szCs w:val="20"/>
          <w:lang w:val="sr-Cyrl-CS" w:eastAsia="ja-JP"/>
        </w:rPr>
        <w:t xml:space="preserve">ку укључивања нових ентитета у </w:t>
      </w:r>
      <w:r w:rsidRPr="00F5596D">
        <w:rPr>
          <w:rFonts w:ascii="Calibri" w:eastAsia="Calibri" w:hAnsi="Calibri" w:cs="Calibri"/>
          <w:color w:val="44546A"/>
          <w:szCs w:val="20"/>
          <w:lang w:val="sr-Cyrl-CS" w:eastAsia="ja-JP"/>
        </w:rPr>
        <w:t>обухват сектора државе, у складу с посебном методологијом секторске класификације, коју је утврдио РЗС, у складу с</w:t>
      </w:r>
      <w:r w:rsidR="00400C34" w:rsidRPr="00F5596D">
        <w:rPr>
          <w:rFonts w:ascii="Calibri" w:eastAsia="Calibri" w:hAnsi="Calibri" w:cs="Calibri"/>
          <w:color w:val="44546A"/>
          <w:szCs w:val="20"/>
          <w:lang w:val="sr-Cyrl-CS" w:eastAsia="ja-JP"/>
        </w:rPr>
        <w:t xml:space="preserve">а споразумом између РЗС, НБС и </w:t>
      </w:r>
      <w:r w:rsidRPr="00F5596D">
        <w:rPr>
          <w:rFonts w:ascii="Calibri" w:eastAsia="Calibri" w:hAnsi="Calibri" w:cs="Calibri"/>
          <w:color w:val="44546A"/>
          <w:szCs w:val="20"/>
          <w:lang w:val="sr-Cyrl-CS" w:eastAsia="ja-JP"/>
        </w:rPr>
        <w:t xml:space="preserve">Министарства финансија. Такође, фискална правила за локалну власт настављају да се примењују на исти начин како је то дефинисано 2010. године, кад су фискална правила у Републици Србији први пут уведена. </w:t>
      </w:r>
    </w:p>
    <w:p w14:paraId="63969EF9" w14:textId="6FFF489C" w:rsidR="00371295" w:rsidRPr="00F5596D" w:rsidRDefault="00371295" w:rsidP="00371295">
      <w:pPr>
        <w:rPr>
          <w:rFonts w:ascii="Calibri" w:eastAsia="Calibri" w:hAnsi="Calibri" w:cs="Calibri"/>
          <w:i/>
          <w:color w:val="2F5496" w:themeColor="accent1" w:themeShade="BF"/>
          <w:sz w:val="22"/>
          <w:lang w:val="sr-Cyrl-CS" w:eastAsia="ja-JP"/>
        </w:rPr>
      </w:pPr>
      <w:r w:rsidRPr="00F5596D">
        <w:rPr>
          <w:rFonts w:ascii="Calibri" w:eastAsia="Calibri" w:hAnsi="Calibri" w:cs="Calibri"/>
          <w:i/>
          <w:color w:val="2F5496" w:themeColor="accent1" w:themeShade="BF"/>
          <w:sz w:val="22"/>
          <w:lang w:val="sr-Cyrl-CS" w:eastAsia="ja-JP"/>
        </w:rPr>
        <w:t>Дугорочна одрживост јавних финансија</w:t>
      </w:r>
    </w:p>
    <w:p w14:paraId="770B9266" w14:textId="74E72C2D" w:rsidR="00371295" w:rsidRPr="00F5596D" w:rsidRDefault="00371295" w:rsidP="00371295">
      <w:pPr>
        <w:rPr>
          <w:rFonts w:ascii="Calibri" w:eastAsia="Calibri" w:hAnsi="Calibri" w:cs="Calibri"/>
          <w:color w:val="44546A"/>
          <w:szCs w:val="20"/>
          <w:lang w:val="sr-Cyrl-CS" w:eastAsia="ja-JP"/>
        </w:rPr>
      </w:pPr>
      <w:r w:rsidRPr="00F5596D">
        <w:rPr>
          <w:rFonts w:ascii="Calibri" w:eastAsia="Calibri" w:hAnsi="Calibri" w:cs="Calibri"/>
          <w:color w:val="44546A"/>
          <w:szCs w:val="20"/>
          <w:lang w:val="sr-Cyrl-CS" w:eastAsia="ja-JP"/>
        </w:rPr>
        <w:t>У току је свеобухватна актуарска анализа пензијског система у Републици Србији, чија је објава планирана до краја марта 2026. године. Анализа ће проценити дугорочну финансијску одрживост система и његову способност да обезбеди адекватан животни стандард пензионера, уз истовремено управљање фискалним притисцима који произилазе из старења становништва. Биће обухваћени различити макроекономски и демографски сценарији. Паралелно с тим, развија се пензијски модел који ће моћи да се ажурира новим подацима, како би се проценио утицај економских и демографских промена, као и измена параметара система, на актуарску перспективу пензијског система.</w:t>
      </w:r>
    </w:p>
    <w:p w14:paraId="0E769D99" w14:textId="4046A97D" w:rsidR="00371295" w:rsidRPr="00F5596D" w:rsidRDefault="00371295" w:rsidP="002003A4">
      <w:pPr>
        <w:rPr>
          <w:rFonts w:ascii="Calibri" w:eastAsia="Calibri" w:hAnsi="Calibri" w:cs="Calibri"/>
          <w:i/>
          <w:color w:val="2F5496" w:themeColor="accent1" w:themeShade="BF"/>
          <w:sz w:val="22"/>
          <w:lang w:val="sr-Cyrl-CS" w:eastAsia="ja-JP"/>
        </w:rPr>
      </w:pPr>
      <w:r w:rsidRPr="00F5596D">
        <w:rPr>
          <w:rFonts w:ascii="Calibri" w:eastAsia="Calibri" w:hAnsi="Calibri" w:cs="Calibri"/>
          <w:i/>
          <w:color w:val="2F5496" w:themeColor="accent1" w:themeShade="BF"/>
          <w:sz w:val="22"/>
          <w:lang w:val="sr-Cyrl-CS" w:eastAsia="ja-JP"/>
        </w:rPr>
        <w:t>Управљање људским ресурсима у јавном сектору</w:t>
      </w:r>
    </w:p>
    <w:p w14:paraId="6B5CB594" w14:textId="21756C76" w:rsidR="002003A4" w:rsidRPr="00F5596D" w:rsidRDefault="002003A4" w:rsidP="002003A4">
      <w:pPr>
        <w:rPr>
          <w:rFonts w:ascii="Calibri" w:eastAsia="Calibri" w:hAnsi="Calibri" w:cs="Calibri"/>
          <w:color w:val="44546A"/>
          <w:szCs w:val="20"/>
          <w:lang w:val="sr-Cyrl-CS" w:eastAsia="ja-JP"/>
        </w:rPr>
      </w:pPr>
      <w:r w:rsidRPr="00F5596D">
        <w:rPr>
          <w:rFonts w:ascii="Calibri" w:eastAsia="Calibri" w:hAnsi="Calibri" w:cs="Calibri"/>
          <w:color w:val="44546A"/>
          <w:szCs w:val="20"/>
          <w:lang w:val="sr-Cyrl-CS" w:eastAsia="ja-JP"/>
        </w:rPr>
        <w:t xml:space="preserve">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односно све док нови систем не буде у потпуности оперативан. Крајем 2020. године усвојене су измене Закона о буџетском систему како би било омогућено да у прелазном периоду (до краја 2026. године) институције могу да ангажују нова лица до нивоа од </w:t>
      </w:r>
      <w:r w:rsidRPr="00F5596D">
        <w:rPr>
          <w:rFonts w:ascii="Calibri" w:eastAsia="Calibri" w:hAnsi="Calibri" w:cs="Calibri"/>
          <w:szCs w:val="20"/>
          <w:lang w:val="sr-Cyrl-CS" w:eastAsia="ja-JP"/>
        </w:rPr>
        <w:t>70</w:t>
      </w:r>
      <w:r w:rsidRPr="00F5596D">
        <w:rPr>
          <w:rFonts w:ascii="Calibri" w:eastAsia="Calibri" w:hAnsi="Calibri" w:cs="Calibri"/>
          <w:color w:val="44546A"/>
          <w:szCs w:val="20"/>
          <w:lang w:val="sr-Cyrl-CS" w:eastAsia="ja-JP"/>
        </w:rPr>
        <w:t xml:space="preserve">% оних који напуштају институцију или одлазе у пензију, док је дозвола Комисије потребна уколико број новозапослених пређе 70%. Смисао ове мере је да се обезбеди већа флексибилност у запошљавању на нивоу самих институција, у складу с њиховим потребама за новим кадровима. Централни информациони систем за обрачун примања запослених у јавном сектору „Искра” тренутно обухвата све директне кориснике буџета, институције из области културе, правосуђа, рада и социјалне заштите и просвете </w:t>
      </w:r>
      <w:r w:rsidRPr="00F5596D">
        <w:rPr>
          <w:rFonts w:ascii="Calibri" w:eastAsia="Calibri" w:hAnsi="Calibri" w:cs="Calibri"/>
          <w:szCs w:val="20"/>
          <w:lang w:val="sr-Cyrl-CS" w:eastAsia="ja-JP"/>
        </w:rPr>
        <w:t>(осим установа вишег и високог образовања</w:t>
      </w:r>
      <w:r w:rsidRPr="00F5596D">
        <w:rPr>
          <w:rFonts w:ascii="Calibri" w:eastAsia="Calibri" w:hAnsi="Calibri" w:cs="Calibri"/>
          <w:color w:val="44546A"/>
          <w:szCs w:val="20"/>
          <w:lang w:val="sr-Cyrl-CS" w:eastAsia="ja-JP"/>
        </w:rPr>
        <w:t xml:space="preserve">), институције из области здравства и јединице локалне самоуправе са индиректним корисницима (предшколске установе, установе културе, спорта и социјалне заштите). Суштина овог система је боље планирање, извршење и контрола расхода за плате запослених, већа транспарентност и боље управљање људским ресурсима у условима све јаче конкуренције из приватног сектора, што има негативан утицај на привлачење и задржавање запослених у јавном сектору, поготово имајући у виду атрактивност зарада у приватном сектору, што може довести до значајног одлива кадрова уколико се ове реформе не спроведу. Ван система у овој фази ће остати само запослени у сектору одбране, безбедности и унутрашњих послова и институције вишег и високог образовања. Планирано је да се и ове институције укључе у </w:t>
      </w:r>
      <w:r w:rsidRPr="00F5596D">
        <w:rPr>
          <w:rFonts w:ascii="Calibri" w:eastAsia="Calibri" w:hAnsi="Calibri" w:cs="Calibri"/>
          <w:color w:val="44546A"/>
          <w:szCs w:val="20"/>
          <w:lang w:val="sr-Cyrl-CS" w:eastAsia="ja-JP"/>
        </w:rPr>
        <w:lastRenderedPageBreak/>
        <w:t xml:space="preserve">систем до 2027. године. На основу овог система израђен је извештај у којем су објављени подаци о броју запослених и распону зарада, што ће помоћи у вођењу будућих политика запошљавања у јавном сектору. Извештај садржи податке како о попуњености систематизованих радних места, тако и о износима самих плата по платним разредима, по специфичним типовима посла, функцијама (државна управа, образовање, здравство и сл.), као и остале податке од статистичког значаја (медијалне, максималне, минималне зараде, зараде по перцентилима, историјске серије података), што све може помоћи реформама у овој области. </w:t>
      </w:r>
    </w:p>
    <w:p w14:paraId="30CEAB75" w14:textId="0353D77F" w:rsidR="008202E3" w:rsidRPr="00F5596D" w:rsidRDefault="008202E3" w:rsidP="002003A4">
      <w:pPr>
        <w:rPr>
          <w:rFonts w:ascii="Calibri" w:eastAsia="Calibri" w:hAnsi="Calibri" w:cs="Calibri"/>
          <w:i/>
          <w:color w:val="2F5496" w:themeColor="accent1" w:themeShade="BF"/>
          <w:sz w:val="22"/>
          <w:lang w:val="sr-Cyrl-CS" w:eastAsia="ja-JP"/>
        </w:rPr>
      </w:pPr>
      <w:r w:rsidRPr="00F5596D">
        <w:rPr>
          <w:rFonts w:ascii="Calibri" w:eastAsia="Calibri" w:hAnsi="Calibri" w:cs="Calibri"/>
          <w:i/>
          <w:color w:val="2F5496" w:themeColor="accent1" w:themeShade="BF"/>
          <w:sz w:val="22"/>
          <w:lang w:val="sr-Cyrl-CS" w:eastAsia="ja-JP"/>
        </w:rPr>
        <w:t>Енергетска реформа и зелена транзиција</w:t>
      </w:r>
    </w:p>
    <w:p w14:paraId="73C2A380" w14:textId="36CC0C55"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szCs w:val="20"/>
          <w:lang w:val="sr-Cyrl-CS" w:eastAsia="ja-JP"/>
        </w:rPr>
        <w:t xml:space="preserve">Криза у Украјини је кроз негативан утицај на тржишту енергената нарочито истакла све изазове и проблеме с којима се суочава енергетски сектор у Србији. Идентификовани проблеми могу се решити само спровођењем свеобухватних реформи, које су услов како за обезбеђивање енергетске безбедности тако и за фискалну и екстерну одрживост. Приоритет има реструктурирање великих енергетских компанија у власништву државе како би се повећала њихова ефикасност и смањила буџетска подршка и фискални ризици који произилазе из њиховог пословања. Фазно подизање цена енергената (гаса и електричне енергије) било је нужна мера како би се надоместили егзогено условљени високи трошкови њихове набавке. Oд 1. маја прошле године су обезбеђене ниже цене електричне енергије за комерцијалне купце за око 20%, што је у складу са кретањем цена електричне енергије у региону. Измењена је методологија, којом се обезбеђује заштита купаца од изненадних ценовних шокова на тржишту електричне енергије, истовремено комбинујући нивое цена за регулисане и нерегулисане секторе како би у укупном износу приходи могли да покрију укупне трошкове, укључујући и средства потребна за инвестиције у нове производне капацитете. Обезбеђивање приступачности енергије за становништво остаје приоритет. Примена блок тарифа наставља се како би се омогућиле повољније цене електричне енергије за потрошњу испод одређеног прага. Узевши у </w:t>
      </w:r>
      <w:r w:rsidRPr="00F5596D">
        <w:rPr>
          <w:rFonts w:ascii="Calibri" w:eastAsia="Calibri" w:hAnsi="Calibri" w:cs="Calibri"/>
          <w:szCs w:val="20"/>
          <w:lang w:val="sr-Cyrl-CS" w:eastAsia="ja-JP"/>
        </w:rPr>
        <w:t>обзир реално повећање расположивог дохотка и стабилност регулисаних цена енергије у протеклих 18 месеци, планирано је да подршка буде усмерена на приближно 75.000 најугроженијих домаћинстава. Наставља се спровођење плана реструктурирања ЕПС, који обухвата унапређење управљања, организационе структуре, ревизорских процеса, унутрашњих контрола и усаглашености са прописима. План садржи и финансијске пројекције засноване на претпоставкама о прилагођавању регулисаних тарифа. Предвиђено је убрзање реализације овог плана реструктурирања. У складу с начелом транспарентности биће објављени финансијски планови за ЕПС а.д. и ЈП „Србијагас”. Такође, уместо 20, убудуће ће бити објављивани подаци о 50 највећих дужника овим двема компанијама на месечном нивоу. Ради унапређења финансијске позиције „Електродистрибуције Србије“ (ЕДС), у мају 2025. године завршена је анализа накнада за коришћење мреже које плаћа ЕДС, као и накнада које ЕДС и ЕМС плаћају ЕПС за губитке на мрежи. Интегрисани национални енергетски и климатски план Србије за период до 2030. године са пројекцијама до 2050. године усвојен је у јулу прошле године чиме</w:t>
      </w:r>
      <w:r w:rsidRPr="00F5596D">
        <w:rPr>
          <w:lang w:val="sr-Cyrl-CS"/>
        </w:rPr>
        <w:t xml:space="preserve"> </w:t>
      </w:r>
      <w:r w:rsidRPr="00F5596D">
        <w:rPr>
          <w:rFonts w:ascii="Calibri" w:eastAsia="Calibri" w:hAnsi="Calibri" w:cs="Calibri"/>
          <w:szCs w:val="20"/>
          <w:lang w:val="sr-Cyrl-CS" w:eastAsia="ja-JP"/>
        </w:rPr>
        <w:t>отпочиње нова етапа у развоју енергетског сектора Републике Србије, која треба да допринесе већој сигурности снабдевања, уз повећање учешћа чистих извора енергије и већу заштиту животне средине. Интегрисани национални енергетски и климатски план је кључни стратешки документ којим се дефинишу стратешки циљеви и динамика њиховог остваривања у процесу енергетске транзиције. Политике и мере за остваривање циљева овог плана груписане су у пет кључних димензија: декарбонизација, енергетска ефикасност, енергетска сигурност, унутрашње енергетско тржиште и истраживање, иновације и конкурентност. Крајем новембра 2024. године усвојена је Стратегија развоја енергетике Републике Србије</w:t>
      </w:r>
      <w:r w:rsidRPr="00F5596D">
        <w:rPr>
          <w:rFonts w:ascii="Calibri" w:eastAsia="Calibri" w:hAnsi="Calibri" w:cs="Calibri"/>
          <w:color w:val="FF0000"/>
          <w:szCs w:val="20"/>
          <w:lang w:val="sr-Cyrl-CS" w:eastAsia="ja-JP"/>
        </w:rPr>
        <w:t xml:space="preserve"> </w:t>
      </w:r>
      <w:r w:rsidRPr="00F5596D">
        <w:rPr>
          <w:rFonts w:ascii="Calibri" w:eastAsia="Calibri" w:hAnsi="Calibri" w:cs="Calibri"/>
          <w:szCs w:val="20"/>
          <w:lang w:val="sr-Cyrl-CS" w:eastAsia="ja-JP"/>
        </w:rPr>
        <w:t xml:space="preserve">до 2040. године са пројекцијама до 2050. године. Енергетика Републике Србије налази се пред темељним структурним променама које су условљене како глобалним тако и националним околностима, односно економским, технолошким и еколошким променама и међународно и национално прихваћеним развојним циљевима. У мају 2025. </w:t>
      </w:r>
      <w:r w:rsidRPr="00F5596D">
        <w:rPr>
          <w:rFonts w:ascii="Calibri" w:eastAsia="Calibri" w:hAnsi="Calibri" w:cs="Calibri"/>
          <w:szCs w:val="20"/>
          <w:lang w:val="sr-Cyrl-CS" w:eastAsia="ja-JP"/>
        </w:rPr>
        <w:lastRenderedPageBreak/>
        <w:t xml:space="preserve">године Влада је усвојила ажуриран План који дефинише приоритетне инвестиције у енергетском сектору за период од 2025. до 2027. године и даље. За пројекте чија вредност прелази 20 милиона евра, обухвата кључне информације као што су очекивани приноси, доприноси зеленој транзицији, потенцијални извори финансирања и друге битне карактеристике пројекта. Повећања цена гаса током 2022. и 2023. године допринела су стабилизацији финансијске ситуације код ЈП „Србијагас”. Та компанија је у 2024. години забележила позитиван финансијски резултат. На почетку грејне сезоне 2024/25, „Србијагас“ је применио нови систем цена за нерегулисано тржиште. Ова реформа обухватила је увођење нових врста уговора и повећање марже „Србијагаса“, у циљу подршке будућим инвестиционим потребама. У оквиру процеса реструктурирања, успешно је завршен процес сертификације предузећа „Транспортгас Србија“ као независног оператора транспортног система гаса, чиме је формално остварено раздвајање од „Србијагаса“. Завршетак овог процеса представља важан корак ка пуној усаглашености са обавезама преузетим у оквиру европских енергетских прописа. Смањење цена гаса за привреду за око 15% је на снази од 1. маја прошле године. У мају 2025. године продужен је постојећи уговор о снабдевању гасом са компанијом „Гаспром“ до октобра, док преговори о новом дугорочном уговору напредују. Истовремено се улаже у кључну енергетску инфраструктуру, укључујући нове гасне и електроенергетске интерконекције са суседним земљама. Нафтна индустрија Србије (НИС), као макроекономски значајна компанија, и даље је изложена ризику од америчких санкција због фактора који нису под директном контролом. Наставља се праћење ових ризика и развој планова за ванредне ситуације, уз спремност на брзу реакцију уколико околности то захтевају. Наставља се спровођење агенде зеленог раста као подршка одрживом развоју. У циљу припрема за примену механизма CBAM (EU Carbon Border Adjustment Mechanism), у току је анализа економских утицаја и могућих политика, а резултати ће бити основа за националну стратегију. Усвојен је Интегрисани национални план за енергију и климу, којим се дефинишу </w:t>
      </w:r>
      <w:r w:rsidRPr="00F5596D">
        <w:rPr>
          <w:rFonts w:ascii="Calibri" w:eastAsia="Calibri" w:hAnsi="Calibri" w:cs="Calibri"/>
          <w:szCs w:val="20"/>
          <w:lang w:val="sr-Cyrl-CS" w:eastAsia="ja-JP"/>
        </w:rPr>
        <w:t>циљеви у области смањења емисија, обновљивих извора и енергетске ефикасности. Планира се наставак подстицања приватних инвестиција у обновљ</w:t>
      </w:r>
      <w:r w:rsidR="002D4F3F" w:rsidRPr="00F5596D">
        <w:rPr>
          <w:rFonts w:ascii="Calibri" w:eastAsia="Calibri" w:hAnsi="Calibri" w:cs="Calibri"/>
          <w:szCs w:val="20"/>
          <w:lang w:val="sr-Cyrl-CS" w:eastAsia="ja-JP"/>
        </w:rPr>
        <w:t>иве изворе енергије</w:t>
      </w:r>
      <w:r w:rsidRPr="00F5596D">
        <w:rPr>
          <w:rFonts w:ascii="Calibri" w:eastAsia="Calibri" w:hAnsi="Calibri" w:cs="Calibri"/>
          <w:szCs w:val="20"/>
          <w:lang w:val="sr-Cyrl-CS" w:eastAsia="ja-JP"/>
        </w:rPr>
        <w:t>.</w:t>
      </w:r>
      <w:r w:rsidR="002D4F3F" w:rsidRPr="00F5596D">
        <w:rPr>
          <w:rFonts w:ascii="Calibri" w:eastAsia="Calibri" w:hAnsi="Calibri" w:cs="Calibri"/>
          <w:szCs w:val="20"/>
          <w:lang w:val="sr-Cyrl-CS" w:eastAsia="ja-JP"/>
        </w:rPr>
        <w:t xml:space="preserve"> Напомиње се да су 2025. године одржане друге аукције које, са првим аукцијама укупно доносе 1,2 GW нових приватних инвестиција. С тим у вези, истиче се да је Акционарско друштво Електропривреда Србије Београд ушло у снажан циклус зелених ин</w:t>
      </w:r>
      <w:r w:rsidR="00F5596D">
        <w:rPr>
          <w:rFonts w:ascii="Calibri" w:eastAsia="Calibri" w:hAnsi="Calibri" w:cs="Calibri"/>
          <w:szCs w:val="20"/>
          <w:lang w:val="sr-Cyrl-CS" w:eastAsia="ja-JP"/>
        </w:rPr>
        <w:t>в</w:t>
      </w:r>
      <w:r w:rsidR="002D4F3F" w:rsidRPr="00F5596D">
        <w:rPr>
          <w:rFonts w:ascii="Calibri" w:eastAsia="Calibri" w:hAnsi="Calibri" w:cs="Calibri"/>
          <w:szCs w:val="20"/>
          <w:lang w:val="sr-Cyrl-CS" w:eastAsia="ja-JP"/>
        </w:rPr>
        <w:t>естиција са својим портфолиом од 1,2 GW.</w:t>
      </w:r>
    </w:p>
    <w:p w14:paraId="502B5E7E" w14:textId="6C8B3765" w:rsidR="008202E3" w:rsidRPr="00F5596D" w:rsidRDefault="008202E3" w:rsidP="002003A4">
      <w:pPr>
        <w:rPr>
          <w:rFonts w:ascii="Calibri" w:eastAsia="Calibri" w:hAnsi="Calibri" w:cs="Calibri"/>
          <w:i/>
          <w:color w:val="2F5496" w:themeColor="accent1" w:themeShade="BF"/>
          <w:sz w:val="22"/>
          <w:lang w:val="sr-Cyrl-CS" w:eastAsia="ja-JP"/>
        </w:rPr>
      </w:pPr>
      <w:r w:rsidRPr="00F5596D">
        <w:rPr>
          <w:rFonts w:ascii="Calibri" w:eastAsia="Calibri" w:hAnsi="Calibri" w:cs="Calibri"/>
          <w:i/>
          <w:color w:val="2F5496" w:themeColor="accent1" w:themeShade="BF"/>
          <w:sz w:val="22"/>
          <w:lang w:val="sr-Cyrl-CS" w:eastAsia="ja-JP"/>
        </w:rPr>
        <w:t>Управљање државним власништвом и реструктурирање државних предузећа</w:t>
      </w:r>
    </w:p>
    <w:p w14:paraId="0D074F74" w14:textId="77777777"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szCs w:val="20"/>
          <w:lang w:val="sr-Cyrl-CS" w:eastAsia="ja-JP"/>
        </w:rPr>
        <w:t xml:space="preserve">Влада је, уз подршку </w:t>
      </w:r>
      <w:r w:rsidRPr="00F5596D">
        <w:rPr>
          <w:rFonts w:eastAsia="MS PGothic" w:cstheme="minorHAnsi"/>
          <w:szCs w:val="20"/>
          <w:lang w:val="sr-Cyrl-CS" w:eastAsia="ja-JP"/>
        </w:rPr>
        <w:t>Европске банке за обнову и развој (у даљем тексту: ЕБРД)</w:t>
      </w:r>
      <w:r w:rsidRPr="00F5596D">
        <w:rPr>
          <w:rFonts w:ascii="Calibri" w:eastAsia="Calibri" w:hAnsi="Calibri" w:cs="Calibri"/>
          <w:szCs w:val="20"/>
          <w:lang w:val="sr-Cyrl-CS" w:eastAsia="ja-JP"/>
        </w:rPr>
        <w:t>, усвојила Стратегију државног власништва и управљања привредним субјектима који су у власништву Републике Србије за период од 2021. до 2027. године као јединствени акт који пружа стратешку визију и упутства у вези са циљевима власничког управљања, циљевима финансијских и јавних политика, као и принципима корпоративног управљања и надзора у складу са међународним стандардима и најбољом праксом. У априлу прошле године усвојен је Акциони план за имплементацију ове стратегије. Закон о управљању привредним друштвима која су у власништву Републике Србије почео је да се примењује у септембру 2024. године, а ступио је на снагу у септембру 2023. године.</w:t>
      </w:r>
    </w:p>
    <w:p w14:paraId="6C7FC29F" w14:textId="77777777"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szCs w:val="20"/>
          <w:lang w:val="sr-Cyrl-CS" w:eastAsia="ja-JP"/>
        </w:rPr>
        <w:t>Влада остаје посвећена ограничавању издавања државних гаранција. Не планира се издавање нових гаранција за ликвидносну подршку јавним предузећима нити за предузећа која су била под надлежношћу Агенције за приватизацију. Издавање гаранција биће ограничено на пројектне зајмове од мултилатералних институција који су у складу са инвестиционим и реформским приоритетима.</w:t>
      </w:r>
    </w:p>
    <w:p w14:paraId="7C5A316A" w14:textId="73116E2C"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szCs w:val="20"/>
          <w:lang w:val="sr-Cyrl-C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У буџету су обезбеђена довољна средства за подршку ЈП ПЕУ „Ресавица” на транспарентан начин и обезбеђено је да у будућности не долази до даљег гомилања доцњи у плаћањима према</w:t>
      </w:r>
      <w:r w:rsidRPr="00F5596D">
        <w:rPr>
          <w:lang w:val="sr-Cyrl-CS"/>
        </w:rPr>
        <w:t xml:space="preserve"> </w:t>
      </w:r>
      <w:r w:rsidRPr="00F5596D">
        <w:rPr>
          <w:rFonts w:ascii="Calibri" w:eastAsia="Calibri" w:hAnsi="Calibri" w:cs="Calibri"/>
          <w:szCs w:val="20"/>
          <w:lang w:val="sr-Cyrl-CS" w:eastAsia="ja-JP"/>
        </w:rPr>
        <w:t xml:space="preserve">ЕПС а.д. док пред самом </w:t>
      </w:r>
      <w:r w:rsidRPr="00F5596D">
        <w:rPr>
          <w:rFonts w:ascii="Calibri" w:eastAsia="Calibri" w:hAnsi="Calibri" w:cs="Calibri"/>
          <w:szCs w:val="20"/>
          <w:lang w:val="sr-Cyrl-CS" w:eastAsia="ja-JP"/>
        </w:rPr>
        <w:lastRenderedPageBreak/>
        <w:t xml:space="preserve">компанијом стоји изазов проналажења решења за економски неодрживе руднике који су пред исцрпљењем преосталих резерви угља, као и план рационализације производње и пословања у деловима система у којима анализа покаже да могу да буду економски одрживи, уз наговештај приватизације неких њених делова. Уколико приватизација не буде прихватљива, компанијом ће се управљати у складу са новим Законом о управљању привредним друштвима која су у власништву Републике Србије. </w:t>
      </w:r>
    </w:p>
    <w:p w14:paraId="7EBC8411" w14:textId="34AC2923" w:rsidR="008202E3" w:rsidRPr="00F5596D" w:rsidRDefault="008202E3" w:rsidP="002003A4">
      <w:pPr>
        <w:rPr>
          <w:rFonts w:ascii="Calibri" w:eastAsia="Calibri" w:hAnsi="Calibri" w:cs="Calibri"/>
          <w:i/>
          <w:color w:val="2F5496" w:themeColor="accent1" w:themeShade="BF"/>
          <w:sz w:val="22"/>
          <w:lang w:val="sr-Cyrl-CS" w:eastAsia="ja-JP"/>
        </w:rPr>
      </w:pPr>
      <w:r w:rsidRPr="00F5596D">
        <w:rPr>
          <w:rFonts w:ascii="Calibri" w:eastAsia="Calibri" w:hAnsi="Calibri" w:cs="Calibri"/>
          <w:i/>
          <w:color w:val="2F5496" w:themeColor="accent1" w:themeShade="BF"/>
          <w:sz w:val="22"/>
          <w:lang w:val="sr-Cyrl-CS" w:eastAsia="ja-JP"/>
        </w:rPr>
        <w:t>Управљање јавним финансијама</w:t>
      </w:r>
    </w:p>
    <w:p w14:paraId="2B269FD4" w14:textId="77777777" w:rsidR="002003A4" w:rsidRPr="00F5596D" w:rsidRDefault="002003A4" w:rsidP="002003A4">
      <w:pPr>
        <w:rPr>
          <w:rFonts w:ascii="Calibri" w:eastAsia="Calibri" w:hAnsi="Calibri" w:cs="Calibri"/>
          <w:color w:val="44546A"/>
          <w:szCs w:val="20"/>
          <w:lang w:val="sr-Cyrl-CS" w:eastAsia="ja-JP"/>
        </w:rPr>
      </w:pPr>
      <w:r w:rsidRPr="00F5596D">
        <w:rPr>
          <w:rFonts w:ascii="Calibri" w:eastAsia="Calibri" w:hAnsi="Calibri" w:cs="Calibri"/>
          <w:szCs w:val="20"/>
          <w:lang w:val="sr-Cyrl-CS" w:eastAsia="ja-JP"/>
        </w:rPr>
        <w:t xml:space="preserve">Побољшање управљања јавним финансијама </w:t>
      </w:r>
      <w:r w:rsidRPr="00F5596D">
        <w:rPr>
          <w:rFonts w:ascii="Calibri" w:eastAsia="Calibri" w:hAnsi="Calibri" w:cs="Calibri"/>
          <w:color w:val="44546A"/>
          <w:szCs w:val="20"/>
          <w:lang w:val="sr-Cyrl-CS" w:eastAsia="ja-JP"/>
        </w:rPr>
        <w:t xml:space="preserve">је нужно, не само као подршка мерама фискалне стабилизације и структурним реформама, већ као процес који подиже квалитет државне управе и осигурава привлачан амбијент за инвеститоре. У току писања овог документа донето је решење о формирању Радне групе за израду, праћење и извештавање о реализацији Програма реформе управљања јавним финансијама за период од 2026–2030. године. Наставља се процес јачања значаја средњорочног буџетског оквира, у складу са Акционим планом за унапређење средњорочног буџетског оквира, усвојеним у септембру 2023. године. Циљ овога је да се средњорочно буџетирање учини ефективнијим и више обавезујућим и да се повећа буџетска транспарентност. За буџетски циклус за 2025. годину од великог значаја су били средњорочни лимити постављени приликом претходног буџетског циклуса, који су служили као полазна тачка у разговорима са ресорним министарствима, а и сама министарства су све боље упозната са оваквим приступом буџетирању, што побољшава квалитет њихових процена и пројекција, а самим тим и укупног буџетског процеса. У мају 2025. године усвојена је методологија за израду baseline сценарија буџета, припремљена уз техничку помоћ ММФ, која ће бити примењена у буџетском циклусу за 2026. годину. Очекује се да ће процена фискалног простора постајати све поузданија како корисници буџета буду стицали искуство у примени нових процеса и како се буде побољшавао квалитет података. Након недавно спроведених тестирања, омогућена је размена података између система за прикупљање </w:t>
      </w:r>
      <w:r w:rsidRPr="00F5596D">
        <w:rPr>
          <w:rFonts w:ascii="Calibri" w:eastAsia="Calibri" w:hAnsi="Calibri" w:cs="Calibri"/>
          <w:color w:val="44546A"/>
          <w:szCs w:val="20"/>
          <w:lang w:val="sr-Cyrl-CS" w:eastAsia="ja-JP"/>
        </w:rPr>
        <w:t xml:space="preserve">финансијских планова буџетских корисника и аналитичке платформе за планирање и извештавање. Почев од буџета за 2026. годину, планирано је и укључивање табеле за усклађивање ради јаснијег приказа промена у буџетским оквирима. Уводи се концепт зеленог буџетирања. У буџетском циклусу за 2025. годину, по први пут је примењена нова методологија за означавање „зелених“ расхода, која је усвојена 2024. године и први пут је објављен „зелени буџет“. Наредни кораци обухватају интеграцију „зеленог анекса“ у систем SPIRI, примену зеленог означавања у буџетима јединица локалне самоуправе, као и додатну обуку буџетских корисника ради прецизнијег препознавања пројеката који се сматрају релевантним за климатске циљеве. </w:t>
      </w:r>
    </w:p>
    <w:p w14:paraId="03CE4649" w14:textId="0C45568C" w:rsidR="002003A4" w:rsidRPr="00F5596D" w:rsidRDefault="002003A4" w:rsidP="002003A4">
      <w:pPr>
        <w:rPr>
          <w:rFonts w:ascii="Calibri" w:eastAsia="Calibri" w:hAnsi="Calibri" w:cs="Calibri"/>
          <w:color w:val="44546A"/>
          <w:szCs w:val="20"/>
          <w:lang w:val="sr-Cyrl-CS" w:eastAsia="ja-JP"/>
        </w:rPr>
      </w:pPr>
      <w:r w:rsidRPr="00F5596D">
        <w:rPr>
          <w:rFonts w:ascii="Calibri" w:eastAsia="Calibri" w:hAnsi="Calibri" w:cs="Calibri"/>
          <w:color w:val="44546A"/>
          <w:szCs w:val="20"/>
          <w:lang w:val="sr-Cyrl-CS" w:eastAsia="ja-JP"/>
        </w:rPr>
        <w:t xml:space="preserve">Систем за припрему, извршење, рачуноводство и извештавање – СПИРИ је информациони систем који на јединствен начин подржава све активности Министарства финансија и Управе за трезор у вези са буџетом Републике Србије, чиме се поједностављује начин рада корисника и омогућава ефикаснији начин управљања системом јавних финансија. У систем су укључени сви директни корисници буџета, као и индиректни корисници Министарства културе, Министарства за рад, запошљавање, борачка и социјална питања и Управе за извршење кривичних санкција, као и индиректни корисници Министарства спорта, Министарства привреде, Министарства унутрашњих послова и Министарства просвете који нису били део претходног система (ИСИБ), којег је СПИРИ заменио почетком 2023. године. Почевши од ове године систем обухвата све индиректне кориснике (осим универзитетске установе ) – основне школе, , локалну самоуправу, АП Војводину и индиректне кориснике локалног нивоа власти. Ово је захтевало обимне тренинге и обуке за будуће кориснике, а биће потребна и додатна подршка током периода почетне имплементације. Захваљујући овим унапређењима значајно ће се побољшати квалитет извештавања о јавним финансијама током године, квалитет самих података због проширења обухвата, транспарентност буџетског процеса и поштовање буџетског календара. Од 2026. године, од буџетских корисника ће се </w:t>
      </w:r>
      <w:r w:rsidRPr="00F5596D">
        <w:rPr>
          <w:rFonts w:ascii="Calibri" w:eastAsia="Calibri" w:hAnsi="Calibri" w:cs="Calibri"/>
          <w:color w:val="44546A"/>
          <w:szCs w:val="20"/>
          <w:lang w:val="sr-Cyrl-CS" w:eastAsia="ja-JP"/>
        </w:rPr>
        <w:lastRenderedPageBreak/>
        <w:t xml:space="preserve">захтевати да планиране уговорне расходе унапред доставе Министарству финансија на одобрење, како би се омогућила процена расположивих новчаних средстава пре преузимања финансијских обавеза. Регистар вишегодишњих обавеза ће се редовно ажурирати, укључујући и податке о капиталним пројектима. Уз техничку подршку ММФ, спроводи се анализа пореских расхода, а први извештај на ту тему планирано је да буде завршен и објављен 2026. године. У фебруару 2025. године спроведена је Евалуација фискалне транспарентности (FTE) у сарадњи са ММФ. На основу добијених резултата, планирано је настављање консултација са ММФ у циљу унапређења транспарентности фискалних података. То обухвата објављивање додатних информација о финансијским односима између државе и јавних предузећа, фискалним подацима на нивоу општина, јавноприватним партнерствима (ЈПП), минералним ресурсима и државним депозитима. Такође се планира разјашњавање извора прихода и критеријума за коришћење буџетске резерве, као и унапређење квалитета и ажурности извештавања током године у вези са овим ставкама. Почев од Закона о буџету за 2026. годину, Анекси 2 и 3 (Извештаји о извршењу буџета Републике Србије) биће проширени тако да укључују податке о приходима, расходима и финансирању за претходне две године. Додатно, почев од Ревидиране фискалне стратегије за 2026. годину, документ ће представљати податке о приходима, расходима и финансирању за ниво </w:t>
      </w:r>
      <w:r w:rsidR="00337F06" w:rsidRPr="00F5596D">
        <w:rPr>
          <w:rFonts w:ascii="Calibri" w:eastAsia="Calibri" w:hAnsi="Calibri" w:cs="Calibri"/>
          <w:color w:val="44546A"/>
          <w:szCs w:val="20"/>
          <w:lang w:val="sr-Cyrl-CS" w:eastAsia="ja-JP"/>
        </w:rPr>
        <w:t>сектора</w:t>
      </w:r>
      <w:r w:rsidRPr="00F5596D">
        <w:rPr>
          <w:rFonts w:ascii="Calibri" w:eastAsia="Calibri" w:hAnsi="Calibri" w:cs="Calibri"/>
          <w:color w:val="44546A"/>
          <w:szCs w:val="20"/>
          <w:lang w:val="sr-Cyrl-CS" w:eastAsia="ja-JP"/>
        </w:rPr>
        <w:t xml:space="preserve"> државе и за републички буџет, обухватајући претходне две године као и средњорочне пројекције. </w:t>
      </w:r>
    </w:p>
    <w:p w14:paraId="1B6B0FD3" w14:textId="77777777" w:rsidR="002003A4" w:rsidRPr="00F5596D" w:rsidRDefault="002003A4" w:rsidP="002003A4">
      <w:pPr>
        <w:rPr>
          <w:rFonts w:eastAsia="MS PGothic" w:cstheme="minorHAnsi"/>
          <w:szCs w:val="20"/>
          <w:lang w:val="sr-Cyrl-CS" w:eastAsia="ja-JP"/>
        </w:rPr>
      </w:pPr>
      <w:r w:rsidRPr="00F5596D">
        <w:rPr>
          <w:rFonts w:eastAsia="MS PGothic" w:cstheme="minorHAnsi"/>
          <w:szCs w:val="20"/>
          <w:lang w:val="sr-Cyrl-CS" w:eastAsia="ja-JP"/>
        </w:rPr>
        <w:t xml:space="preserve">У циљу унапређења система управљања јавним инвестицијама, а имајући нарочито у виду развојни план „Скок у будућност 2027ˮ, који обухвата преко 320 пројеката укупне вредности од 17,8 млрд евра, Министарство финансија је током 2024. године наставило са применом успостављене правне регулативе са циљем да омогући спровођење пројектног циклуса, а све у циљу делотворног и ефикасног управљања јавним средствима. Важећи правни оквир креирао је предуслов за правилну селекцију и рангирање капиталних пројеката по приоритету, чиме се омогућује да у буџетске пројекције буду уврштени </w:t>
      </w:r>
      <w:r w:rsidRPr="00F5596D">
        <w:rPr>
          <w:rFonts w:eastAsia="MS PGothic" w:cstheme="minorHAnsi"/>
          <w:szCs w:val="20"/>
          <w:lang w:val="sr-Cyrl-CS" w:eastAsia="ja-JP"/>
        </w:rPr>
        <w:t xml:space="preserve">само спремни капитални пројекти, те се на тај начин постиже адекватно планирање и ефикасније трошење буџетских средстава. У складу са правном регулативом која обухвата Уредбу о капиталним пројектима, Министарство финансија је на основу предметне Уредбе донело и пет правилника којима се ближе уређује примена њених одредби и тиме је знатно олакшано спровођење пројектног циклуса за све актере. Предметна уредба предвиђа критеријуме за поделу и класификацију капиталних пројеката, узимајући у обзир процењене трошкове за његову реализацију, извор финансирања и ниво власти који спроводи капитални пројекат, а с циљем да сви капитални пројекти који могу имати значајне импликације на републичком, покрајинском или локалном нивоу буду на јединствен начин предложени, оцењени, селектовани и праћени. Ради успостављања система свеобухватног и јединственог управљања јавним инвестицијама, Уредбом о капиталним пројектима прописана је и обавеза евидентирања и праћења капиталних пројеката од посебног значаја за Републику Србију као и пројеката који се реализују путем јавно-приватног партнерства, односно концесије. </w:t>
      </w:r>
    </w:p>
    <w:p w14:paraId="754AD90E" w14:textId="77777777" w:rsidR="002003A4" w:rsidRPr="00F5596D" w:rsidRDefault="002003A4" w:rsidP="002003A4">
      <w:pPr>
        <w:rPr>
          <w:rFonts w:eastAsia="MS PGothic" w:cstheme="minorHAnsi"/>
          <w:szCs w:val="20"/>
          <w:lang w:val="sr-Cyrl-CS" w:eastAsia="ja-JP"/>
        </w:rPr>
      </w:pPr>
      <w:r w:rsidRPr="00F5596D">
        <w:rPr>
          <w:rFonts w:eastAsia="MS PGothic" w:cstheme="minorHAnsi"/>
          <w:szCs w:val="20"/>
          <w:lang w:val="sr-Cyrl-CS" w:eastAsia="ja-JP"/>
        </w:rPr>
        <w:t xml:space="preserve">Такође, одредбама Уредбе о капиталним пројектима, дефинисано је да Комисија за капиталне инвестиције и Поткомисија представљају радна тела која образује Влада. На заједничкој конститутивној седници ових тела усвојен је Пословник о раду Комисије за капиталне инвестиције којим је уређен њен начин рада и одлучивања, као и начин рада и одлучивања Поткомисије, чиме је створен неопходан предуслов за несметан рад ових радних тела. Поред наведеног, на конститутивној седници усвојена је јединствена листа пројектних идеја која ће бити предложена за финансирање из средстава Инвестиционог оквира за Западни Балкан. Ова тела су током прошле године усвојила Предлог јединствене листе пројектних идеја, Предлог листе пројеката у припреми и Предлог листе припремљених пројеката и Одлуку о рангирању капиталних пројеката предложених за финансирање из Инструмента за реформе и раст кроз Инвестициони оквир за Западни Балкан. Ове године усвојена је Одлука о индикативном рангирању капиталних пројеката чије се </w:t>
      </w:r>
      <w:r w:rsidRPr="00F5596D">
        <w:rPr>
          <w:rFonts w:eastAsia="MS PGothic" w:cstheme="minorHAnsi"/>
          <w:szCs w:val="20"/>
          <w:lang w:val="sr-Cyrl-CS" w:eastAsia="ja-JP"/>
        </w:rPr>
        <w:lastRenderedPageBreak/>
        <w:t>кандидовање планира за финансирање из Инструмента за реформе и раст кроз Инвестициони оквир за Западни Балкан 2024-2027.</w:t>
      </w:r>
    </w:p>
    <w:p w14:paraId="5375F242" w14:textId="77777777" w:rsidR="002003A4" w:rsidRPr="00F5596D" w:rsidRDefault="002003A4" w:rsidP="002003A4">
      <w:pPr>
        <w:rPr>
          <w:rFonts w:eastAsia="MS PGothic" w:cstheme="minorHAnsi"/>
          <w:szCs w:val="20"/>
          <w:lang w:val="sr-Cyrl-CS" w:eastAsia="ja-JP"/>
        </w:rPr>
      </w:pPr>
      <w:r w:rsidRPr="00F5596D">
        <w:rPr>
          <w:rFonts w:eastAsia="MS PGothic" w:cstheme="minorHAnsi"/>
          <w:szCs w:val="20"/>
          <w:lang w:val="sr-Cyrl-CS" w:eastAsia="ja-JP"/>
        </w:rPr>
        <w:t xml:space="preserve">У складу са закључцима одржаног Стратешког политичког дијалога о реформи јавне управе у октобру 2024. године са Европском Комисијом, Министарство финансија се обавезало да ће до децембра 2026. године, уз претходну консултацију са Европском комисијом, усвојити Документ о политикама и пратећи временски ограничени Акциони план за унапређење управљања јавним инвестицијама, као и да ће до краја децембра 2027. године, уз претходну консултацију са Европском комисијом, као и са најбољим међународним стандардима, имати усвојен унапређени правни оквир за управљање јавним инвестицијама, који успоставља јединствен, свеобухватан и транспарентан механизам за рангирање по приоритету свих јавних инвестиција без обзира на врсту и извор финансирања. </w:t>
      </w:r>
    </w:p>
    <w:p w14:paraId="6EDBB7B3" w14:textId="77777777" w:rsidR="002003A4" w:rsidRPr="00F5596D" w:rsidRDefault="002003A4" w:rsidP="002003A4">
      <w:pPr>
        <w:rPr>
          <w:rFonts w:eastAsia="MS PGothic" w:cstheme="minorHAnsi"/>
          <w:szCs w:val="20"/>
          <w:lang w:val="sr-Cyrl-CS" w:eastAsia="ja-JP"/>
        </w:rPr>
      </w:pPr>
      <w:r w:rsidRPr="00F5596D">
        <w:rPr>
          <w:rFonts w:eastAsia="MS PGothic" w:cstheme="minorHAnsi"/>
          <w:szCs w:val="20"/>
          <w:lang w:val="sr-Cyrl-CS" w:eastAsia="ja-JP"/>
        </w:rPr>
        <w:t xml:space="preserve">Паралелно са радом на унапређењу правног оквира, одвијао се рад на надоградњи Централизоване базе капиталних пројеката (Public Investment Management Information System - у даљем тексту: PIMIS) која је прилагођена новом правном оквиру. Креиран је информациони систем који ће омогућити свеобухватно и транспарентно спровођење пројектног циклуса дефинисаног Уредбом о капиталним пројектима. Успостављањем и операционализацијом PIMIS постигло се: побољшање брзине и ефикасности пословних процеса у области праћења капиталних пројеката, једноставнији приступ и систем одобрења, уз минимизирање грешака приликом уноса података и унос пројектне документације у свим фазама пројектног циклуса. </w:t>
      </w:r>
    </w:p>
    <w:p w14:paraId="7E23332D" w14:textId="77777777" w:rsidR="002003A4" w:rsidRPr="00F5596D" w:rsidRDefault="002003A4" w:rsidP="002003A4">
      <w:pPr>
        <w:rPr>
          <w:rFonts w:ascii="Calibri" w:eastAsia="Calibri" w:hAnsi="Calibri" w:cs="Calibri"/>
          <w:color w:val="44546A"/>
          <w:szCs w:val="20"/>
          <w:lang w:val="sr-Cyrl-CS" w:eastAsia="ja-JP"/>
        </w:rPr>
      </w:pPr>
      <w:r w:rsidRPr="00F5596D">
        <w:rPr>
          <w:rFonts w:ascii="Calibri" w:eastAsia="Calibri" w:hAnsi="Calibri" w:cs="Calibri"/>
          <w:color w:val="44546A"/>
          <w:szCs w:val="20"/>
          <w:lang w:val="sr-Cyrl-CS" w:eastAsia="ja-JP"/>
        </w:rPr>
        <w:t xml:space="preserve">Реформе у области управљања јавним набавкама су такође веома важне с обзиром на велики значај и вредност јавних инвестиција. Важећи Закон о јавним набавкама, припремљен уз подршку ЕУ, усклађен је са правним тековинама ЕУ и има за циљ да унапреди конкурентност и транспарентност у поступцима. С тим у вези </w:t>
      </w:r>
      <w:r w:rsidRPr="00F5596D">
        <w:rPr>
          <w:rFonts w:ascii="Calibri" w:eastAsia="Calibri" w:hAnsi="Calibri" w:cs="Calibri"/>
          <w:szCs w:val="20"/>
          <w:lang w:val="sr-Cyrl-CS" w:eastAsia="ja-JP"/>
        </w:rPr>
        <w:t xml:space="preserve">Управа за јавне набавке наставиће да прати и на годишњем нивоу извештава </w:t>
      </w:r>
      <w:r w:rsidRPr="00F5596D">
        <w:rPr>
          <w:rFonts w:ascii="Calibri" w:eastAsia="Calibri" w:hAnsi="Calibri" w:cs="Calibri"/>
          <w:color w:val="44546A"/>
          <w:szCs w:val="20"/>
          <w:lang w:val="sr-Cyrl-CS" w:eastAsia="ja-JP"/>
        </w:rPr>
        <w:t xml:space="preserve">о свим јавним набавкама укључујући оне које су изузете из </w:t>
      </w:r>
      <w:r w:rsidRPr="00F5596D">
        <w:rPr>
          <w:rFonts w:ascii="Calibri" w:eastAsia="Calibri" w:hAnsi="Calibri" w:cs="Calibri"/>
          <w:color w:val="44546A"/>
          <w:szCs w:val="20"/>
          <w:lang w:val="sr-Cyrl-CS" w:eastAsia="ja-JP"/>
        </w:rPr>
        <w:t>режима редовних набавки према овом закону, као и навођење по ком основу су та изузећа учињена. Убудуће је потребно обезбедити континуирано усклађивање целокупног оквира јавних набавки с правним тековинама ЕУ. Такође, потребно је обезбедити да се све трансакције набавки у јавном сектору одвијају путем портала е-набавке уз настојање да се створе услови за повећање броја понуда по поступку. Имајући то у виду, ради се на унапређењу функционалности Портала јавних набавки како би била олакшана примена одредби Закона о јавним набавкама. Такође, спроводе се обуке за службенике јавних набавки, као и за полицијске службенике у вези праћења јавних набавки и најчешћих неправилности у овој области.</w:t>
      </w:r>
    </w:p>
    <w:p w14:paraId="276F4DF2" w14:textId="77777777"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szCs w:val="20"/>
          <w:lang w:val="sr-Cyrl-CS" w:eastAsia="ja-JP"/>
        </w:rPr>
        <w:t xml:space="preserve">Успешно се спроводи нови Акциони план трансформације Пореске управе за период 2021–2025. године, који је усвојен у мају 2021. године и који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Реформа Пореске управе наставља се уз примену препорука ММФ и уз подршку Светске банке. У мају 2022. године уведен је нови модел фискализације (е-фискализација), на основу којег је извршен први круг ревизија. Нови систем је допринео смањењу неусклађености код пореских обвезника и мањем броју негативних мишљења ревизије. Систем за електронску размену фактура (е-фактура) је био следећи корак који је имплементиран почетком 2023. године. Ради побољшања пореске дисциплине и убрзања обраде повраћаја ПДВ, Министарство финансија ће размотрити могућности за омогућавање приступа Пореској управи систему е-фактура, у складу са међународно признатом добром праксом. Завршена је набавка новог комерцијалног софтверског система у оквиру пројекта модернизације Пореске управе који се спроводи уз подршку Светске банке. Рад система биће подржан новим информационим системом </w:t>
      </w:r>
      <w:r w:rsidRPr="00F5596D">
        <w:rPr>
          <w:rFonts w:ascii="Calibri" w:eastAsia="Calibri" w:hAnsi="Calibri" w:cs="Calibri"/>
          <w:szCs w:val="20"/>
          <w:lang w:val="sr-Cyrl-CS" w:eastAsia="ja-JP"/>
        </w:rPr>
        <w:lastRenderedPageBreak/>
        <w:t>за управљање људским ресурсима, чије се почетак увођења очекује од октобра 2025. године, као и системима за управљање документима и архивом. Континуално се ради на праћењу и анализи ПДВ јаза и јаза пореза на добит, где се тренутно врши анализа недостатака у подацима и прилагођавање аналитичких алата. Прелиминарни резултати сугеришу да је ПДВ јаз знатно смањен у односу на 2018. годину. Пореска управа објављује спискове највећих пореских дужника, односно обавештење о износу пореског дуга пореских обвезника чији дуг превазилази 20 милиона динара и наставиће са овом праксом бар једном годишње.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а први случајеви ревизије су завршени током прошле године. Наставиће се са јачањем ове организационе јединице. Решавање кадровских проблема у Пореској управи Србије представља хитан и важан задатак. Пореска управа се суочава са одливом запослених због пензионисања и потребом да припреми кадар за нови ИТ систем. У току су активности за повећање броја запослених у Пореској управи, укључујући јавне кампање и значајно већим квотама за 2025. годину и више покренутих конкурса. Поред тога, анализирају се процедуре запошљавања и изазови у том процесу, како би се донели средњорочни планови за боље управљање кадровима до 2028. године.</w:t>
      </w:r>
    </w:p>
    <w:p w14:paraId="740DF57B" w14:textId="77777777" w:rsidR="002003A4" w:rsidRPr="00F5596D" w:rsidRDefault="002003A4" w:rsidP="002003A4">
      <w:pPr>
        <w:rPr>
          <w:rFonts w:ascii="Calibri" w:eastAsia="Calibri" w:hAnsi="Calibri" w:cs="Calibri"/>
          <w:szCs w:val="20"/>
          <w:lang w:val="sr-Cyrl-CS" w:eastAsia="ja-JP"/>
        </w:rPr>
      </w:pPr>
      <w:r w:rsidRPr="00F5596D">
        <w:rPr>
          <w:rFonts w:ascii="Calibri" w:eastAsia="Calibri" w:hAnsi="Calibri" w:cs="Calibri"/>
          <w:color w:val="44546A"/>
          <w:szCs w:val="20"/>
          <w:lang w:val="sr-Cyrl-CS" w:eastAsia="ja-JP"/>
        </w:rPr>
        <w:t>Побољшање квалитета и транспарентности статистике државних финансија</w:t>
      </w:r>
      <w:r w:rsidRPr="00F5596D">
        <w:rPr>
          <w:rFonts w:ascii="Calibri" w:eastAsia="Calibri" w:hAnsi="Calibri" w:cs="Calibri"/>
          <w:b/>
          <w:bCs/>
          <w:color w:val="44546A"/>
          <w:szCs w:val="20"/>
          <w:lang w:val="sr-Cyrl-CS" w:eastAsia="ja-JP"/>
        </w:rPr>
        <w:t xml:space="preserve"> </w:t>
      </w:r>
      <w:r w:rsidRPr="00F5596D">
        <w:rPr>
          <w:rFonts w:ascii="Calibri" w:eastAsia="Calibri" w:hAnsi="Calibri" w:cs="Calibri"/>
          <w:color w:val="44546A"/>
          <w:szCs w:val="20"/>
          <w:lang w:val="sr-Cyrl-CS" w:eastAsia="ja-JP"/>
        </w:rPr>
        <w:t>врши</w:t>
      </w:r>
      <w:r w:rsidRPr="00F5596D">
        <w:rPr>
          <w:lang w:val="sr-Cyrl-CS"/>
        </w:rPr>
        <w:t xml:space="preserve"> </w:t>
      </w:r>
      <w:r w:rsidRPr="00F5596D">
        <w:rPr>
          <w:rFonts w:ascii="Calibri" w:eastAsia="Calibri" w:hAnsi="Calibri" w:cs="Calibri"/>
          <w:color w:val="44546A"/>
          <w:szCs w:val="20"/>
          <w:lang w:val="sr-Cyrl-CS" w:eastAsia="ja-JP"/>
        </w:rPr>
        <w:t xml:space="preserve">се кроз унапређење свеобухватне, правовремене и аутоматске размене података између надлежних институција – Републичког завода за статистику, Народне банке Србије и Министарства финансија, у складу са Споразумом о сарадњи у области статистике националних рачуна сектора државе и с њом повезаних статистика. У априлу 2018. године Републички завод за статистику је објавио листу институција које чине сектор државе, као и остале секторе, у складу са Европским системом националних и регионалних рачуна (ESA 2010), Системом националних рачуна (SNA 2008) и Приручником о дефициту и дугу сектора државе, која је урађена у сарадњи са Народном банком </w:t>
      </w:r>
      <w:r w:rsidRPr="00F5596D">
        <w:rPr>
          <w:rFonts w:ascii="Calibri" w:eastAsia="Calibri" w:hAnsi="Calibri" w:cs="Calibri"/>
          <w:color w:val="44546A"/>
          <w:szCs w:val="20"/>
          <w:lang w:val="sr-Cyrl-CS" w:eastAsia="ja-JP"/>
        </w:rPr>
        <w:t>Србије и Министарством финансија. Управа за јавни дуг од средине 2021. тромесечно објављује податке о мастришком дугу, који израђује Народна банка Србије у складу са ESA 2010</w:t>
      </w:r>
      <w:r w:rsidRPr="00F5596D">
        <w:rPr>
          <w:rFonts w:ascii="Calibri" w:eastAsia="Calibri" w:hAnsi="Calibri" w:cs="Calibri"/>
          <w:b/>
          <w:bCs/>
          <w:color w:val="44546A"/>
          <w:szCs w:val="20"/>
          <w:lang w:val="sr-Cyrl-CS" w:eastAsia="ja-JP"/>
        </w:rPr>
        <w:t>.</w:t>
      </w:r>
      <w:r w:rsidRPr="00F5596D">
        <w:rPr>
          <w:rFonts w:ascii="Calibri" w:eastAsia="Calibri" w:hAnsi="Calibri" w:cs="Calibri"/>
          <w:color w:val="44546A"/>
          <w:szCs w:val="20"/>
          <w:lang w:val="sr-Cyrl-CS" w:eastAsia="ja-JP"/>
        </w:rPr>
        <w:t xml:space="preserve"> У току је пројекат у сарадњи са ММФ који има за циљ да се у оквиру Управе за трезор, као централног информационог система и свеобухватне базе података изгради систем који ће омогућити прикупљање и консолидацију података за сектор државе како по националној методологији тако и по методологији GFSM 2014, укључујући и месечно извештавање о јавном дугу, кроз постепено увођење институција у његов обухват. Од ове године системом су обухваћени сви индиректни буџетски корисници, осим универзитетских установа, а у наредном периоду се очекује укључивање свих релевантних ванбуџетских корисника и јавних предузећа која припадају сектору државе. Ово ће бити праћено и месечним извештавањем и пројекцијама заснованим на новом обухвату, а имаће утицаја и на даље усклађивање лимита дефинисаних фискалним правилима кроз измене у Закону о буџетском систему, како би све било спремно за буџетски циклус за 2027. годину. Од маја 2009. године Република Србија је члан општег система за дисеминацију (достављање) података (</w:t>
      </w:r>
      <w:r w:rsidRPr="00F5596D">
        <w:rPr>
          <w:rFonts w:ascii="Calibri" w:eastAsia="Calibri" w:hAnsi="Calibri" w:cs="Calibri"/>
          <w:i/>
          <w:color w:val="44546A"/>
          <w:szCs w:val="20"/>
          <w:lang w:val="sr-Cyrl-CS" w:eastAsia="ja-JP"/>
        </w:rPr>
        <w:t>General Data Dissemination System</w:t>
      </w:r>
      <w:r w:rsidRPr="00F5596D">
        <w:rPr>
          <w:rFonts w:ascii="Calibri" w:eastAsia="Calibri" w:hAnsi="Calibri" w:cs="Calibri"/>
          <w:color w:val="44546A"/>
          <w:szCs w:val="20"/>
          <w:lang w:val="sr-Cyrl-CS" w:eastAsia="ja-JP"/>
        </w:rPr>
        <w:t xml:space="preserve"> – GDDS) Међународног монетарног фонда, односно члан проширеног општег система дисеминације података (</w:t>
      </w:r>
      <w:r w:rsidRPr="00F5596D">
        <w:rPr>
          <w:rFonts w:ascii="Calibri" w:eastAsia="Calibri" w:hAnsi="Calibri" w:cs="Calibri"/>
          <w:i/>
          <w:color w:val="44546A"/>
          <w:szCs w:val="20"/>
          <w:lang w:val="sr-Cyrl-CS" w:eastAsia="ja-JP"/>
        </w:rPr>
        <w:t>Enhanced General Data Dissemination System</w:t>
      </w:r>
      <w:r w:rsidRPr="00F5596D">
        <w:rPr>
          <w:rFonts w:ascii="Calibri" w:eastAsia="Calibri" w:hAnsi="Calibri" w:cs="Calibri"/>
          <w:color w:val="44546A"/>
          <w:szCs w:val="20"/>
          <w:lang w:val="sr-Cyrl-CS" w:eastAsia="ja-JP"/>
        </w:rPr>
        <w:t xml:space="preserve"> – у даљем тексту: e-GDDS) од 2015. године. Систем e-GDDS заменио је и наследио GDDS, те представља структурирани систем који има за циљ унапређење квалитета и дисеминације података из области економске, финансијске и социодемографске статистике држава чланица Међународног монетарног фонда. У сарадњи Републичког завода за статистику, Народне банке Србије, Министарства финансија и Београдске берзе, у оквиру e-GDDS, израђена је национална страница сумарних података (</w:t>
      </w:r>
      <w:r w:rsidRPr="00F5596D">
        <w:rPr>
          <w:rFonts w:ascii="Calibri" w:eastAsia="Calibri" w:hAnsi="Calibri" w:cs="Calibri"/>
          <w:i/>
          <w:color w:val="44546A"/>
          <w:szCs w:val="20"/>
          <w:lang w:val="sr-Cyrl-CS" w:eastAsia="ja-JP"/>
        </w:rPr>
        <w:t>National Summary Data Page</w:t>
      </w:r>
      <w:r w:rsidRPr="00F5596D">
        <w:rPr>
          <w:rFonts w:ascii="Calibri" w:eastAsia="Calibri" w:hAnsi="Calibri" w:cs="Calibri"/>
          <w:color w:val="44546A"/>
          <w:szCs w:val="20"/>
          <w:lang w:val="sr-Cyrl-CS" w:eastAsia="ja-JP"/>
        </w:rPr>
        <w:t xml:space="preserve"> – NSDP) за Републику Србију, која је постављена на веб-сајту Републичког завода за статистику. Страница примењује стандардизовани систем за размену података и метаподатака (</w:t>
      </w:r>
      <w:r w:rsidRPr="00F5596D">
        <w:rPr>
          <w:rFonts w:ascii="Calibri" w:eastAsia="Calibri" w:hAnsi="Calibri" w:cs="Calibri"/>
          <w:i/>
          <w:color w:val="44546A"/>
          <w:szCs w:val="20"/>
          <w:lang w:val="sr-Cyrl-CS" w:eastAsia="ja-JP"/>
        </w:rPr>
        <w:t>Statistical Data and Metadata Exchange</w:t>
      </w:r>
      <w:r w:rsidRPr="00F5596D">
        <w:rPr>
          <w:rFonts w:ascii="Calibri" w:eastAsia="Calibri" w:hAnsi="Calibri" w:cs="Calibri"/>
          <w:color w:val="44546A"/>
          <w:szCs w:val="20"/>
          <w:lang w:val="sr-Cyrl-CS" w:eastAsia="ja-JP"/>
        </w:rPr>
        <w:t xml:space="preserve"> – SDMX) у настојању да служи као јединствено средство публиковања за главне макроекономске и </w:t>
      </w:r>
      <w:r w:rsidRPr="00F5596D">
        <w:rPr>
          <w:rFonts w:ascii="Calibri" w:eastAsia="Calibri" w:hAnsi="Calibri" w:cs="Calibri"/>
          <w:color w:val="44546A"/>
          <w:szCs w:val="20"/>
          <w:lang w:val="sr-Cyrl-CS" w:eastAsia="ja-JP"/>
        </w:rPr>
        <w:lastRenderedPageBreak/>
        <w:t xml:space="preserve">финансијске податке Републике Србије. Републички завод за статистику је током прошле године извршио велику (бенчмарк) ревизију националних рачуна, током које су, између осталог, имплементирана методолошка унапређења акумулирана током периода након 2019. године у области макроекономских статистика и националних рачуна. РЗС и НБС заједно раде на састављању финансијских и </w:t>
      </w:r>
      <w:r w:rsidRPr="00F5596D">
        <w:rPr>
          <w:rFonts w:ascii="Calibri" w:eastAsia="Calibri" w:hAnsi="Calibri" w:cs="Calibri"/>
          <w:color w:val="44546A"/>
          <w:szCs w:val="20"/>
          <w:lang w:val="sr-Cyrl-CS" w:eastAsia="ja-JP"/>
        </w:rPr>
        <w:t xml:space="preserve">нефинансијских рачуна сектора државе у складу са GFSM 2014, са циљем да од 2026. године почну са достављањем података ММФ и Евростату. Имајући у виду остварен напредак у погледу националних рачуна и квалитета фискалне статистике </w:t>
      </w:r>
      <w:r w:rsidRPr="00F5596D">
        <w:rPr>
          <w:rFonts w:ascii="Calibri" w:eastAsia="Calibri" w:hAnsi="Calibri" w:cs="Calibri"/>
          <w:szCs w:val="20"/>
          <w:lang w:val="sr-Cyrl-CS" w:eastAsia="ja-JP"/>
        </w:rPr>
        <w:t>биће размотрено аплицирање за специјални систем дисеминације података (</w:t>
      </w:r>
      <w:r w:rsidRPr="00F5596D">
        <w:rPr>
          <w:rFonts w:ascii="Calibri" w:eastAsia="Calibri" w:hAnsi="Calibri" w:cs="Calibri"/>
          <w:i/>
          <w:szCs w:val="20"/>
          <w:lang w:val="sr-Cyrl-CS" w:eastAsia="ja-JP"/>
        </w:rPr>
        <w:t>Special Data Dissemination Standard</w:t>
      </w:r>
      <w:r w:rsidRPr="00F5596D">
        <w:rPr>
          <w:rFonts w:ascii="Calibri" w:eastAsia="Calibri" w:hAnsi="Calibri" w:cs="Calibri"/>
          <w:szCs w:val="20"/>
          <w:lang w:val="sr-Cyrl-CS" w:eastAsia="ja-JP"/>
        </w:rPr>
        <w:t xml:space="preserve"> – SDDS).</w:t>
      </w:r>
    </w:p>
    <w:p w14:paraId="568F7534" w14:textId="77777777" w:rsidR="002003A4" w:rsidRPr="00F5596D" w:rsidRDefault="002003A4" w:rsidP="00F07B16">
      <w:pPr>
        <w:keepNext/>
        <w:keepLines/>
        <w:spacing w:after="320"/>
        <w:outlineLvl w:val="1"/>
        <w:rPr>
          <w:rFonts w:eastAsia="MS PGothic" w:cstheme="minorHAnsi"/>
          <w:b/>
          <w:color w:val="2F5496" w:themeColor="accent1" w:themeShade="BF"/>
          <w:sz w:val="24"/>
          <w:szCs w:val="26"/>
          <w:lang w:val="sr-Cyrl-CS" w:eastAsia="ja-JP"/>
        </w:rPr>
        <w:sectPr w:rsidR="002003A4" w:rsidRPr="00F5596D" w:rsidSect="002003A4">
          <w:headerReference w:type="even" r:id="rId168"/>
          <w:footerReference w:type="even" r:id="rId169"/>
          <w:footerReference w:type="default" r:id="rId170"/>
          <w:headerReference w:type="first" r:id="rId171"/>
          <w:type w:val="continuous"/>
          <w:pgSz w:w="12240" w:h="15840" w:code="1"/>
          <w:pgMar w:top="1440" w:right="1440" w:bottom="1440" w:left="1440" w:header="720" w:footer="720" w:gutter="0"/>
          <w:cols w:num="2" w:space="720"/>
          <w:titlePg/>
          <w:docGrid w:linePitch="360"/>
        </w:sectPr>
      </w:pPr>
    </w:p>
    <w:p w14:paraId="3074DE74" w14:textId="2ACFEB73" w:rsidR="00330999" w:rsidRPr="00F5596D" w:rsidRDefault="007262BE" w:rsidP="00330999">
      <w:pPr>
        <w:keepNext/>
        <w:keepLines/>
        <w:spacing w:after="320"/>
        <w:jc w:val="center"/>
        <w:outlineLvl w:val="1"/>
        <w:rPr>
          <w:rFonts w:eastAsia="MS PGothic" w:cstheme="minorHAnsi"/>
          <w:b/>
          <w:color w:val="2F5496" w:themeColor="accent1" w:themeShade="BF"/>
          <w:sz w:val="24"/>
          <w:szCs w:val="26"/>
          <w:lang w:val="sr-Cyrl-CS" w:eastAsia="ja-JP"/>
        </w:rPr>
      </w:pPr>
      <w:bookmarkStart w:id="50" w:name="_Toc170722308"/>
      <w:bookmarkStart w:id="51" w:name="_Toc200117998"/>
      <w:bookmarkEnd w:id="48"/>
      <w:bookmarkEnd w:id="49"/>
      <w:r w:rsidRPr="00F5596D">
        <w:rPr>
          <w:rFonts w:eastAsia="MS PGothic" w:cstheme="minorHAnsi"/>
          <w:b/>
          <w:color w:val="2F5496" w:themeColor="accent1" w:themeShade="BF"/>
          <w:sz w:val="24"/>
          <w:szCs w:val="26"/>
          <w:lang w:val="sr-Cyrl-CS" w:eastAsia="ja-JP"/>
        </w:rPr>
        <w:t>5</w:t>
      </w:r>
      <w:r w:rsidR="00330999" w:rsidRPr="00F5596D">
        <w:rPr>
          <w:rFonts w:eastAsia="MS PGothic" w:cstheme="minorHAnsi"/>
          <w:b/>
          <w:color w:val="2F5496" w:themeColor="accent1" w:themeShade="BF"/>
          <w:sz w:val="24"/>
          <w:szCs w:val="26"/>
          <w:lang w:val="sr-Cyrl-CS" w:eastAsia="ja-JP"/>
        </w:rPr>
        <w:t>. Фискални ризици</w:t>
      </w:r>
      <w:bookmarkEnd w:id="50"/>
      <w:bookmarkEnd w:id="51"/>
    </w:p>
    <w:p w14:paraId="0E86E4C1" w14:textId="77777777" w:rsidR="00330999" w:rsidRPr="00F5596D" w:rsidRDefault="00330999" w:rsidP="00330999">
      <w:pPr>
        <w:spacing w:after="120"/>
        <w:rPr>
          <w:rFonts w:eastAsia="MS PGothic" w:cstheme="minorHAnsi"/>
          <w:szCs w:val="20"/>
          <w:lang w:val="sr-Cyrl-CS" w:eastAsia="ja-JP"/>
        </w:rPr>
        <w:sectPr w:rsidR="00330999" w:rsidRPr="00F5596D" w:rsidSect="00E61B34">
          <w:headerReference w:type="even" r:id="rId172"/>
          <w:footerReference w:type="even" r:id="rId173"/>
          <w:footerReference w:type="default" r:id="rId174"/>
          <w:headerReference w:type="first" r:id="rId175"/>
          <w:type w:val="continuous"/>
          <w:pgSz w:w="12240" w:h="15840" w:code="1"/>
          <w:pgMar w:top="1440" w:right="1440" w:bottom="1440" w:left="1440" w:header="720" w:footer="720" w:gutter="0"/>
          <w:cols w:space="720"/>
          <w:titlePg/>
          <w:docGrid w:linePitch="360"/>
        </w:sectPr>
      </w:pPr>
    </w:p>
    <w:p w14:paraId="68028711"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Предмет и значење израза</w:t>
      </w:r>
    </w:p>
    <w:p w14:paraId="440497E7" w14:textId="163CA328"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w:t>
      </w:r>
      <w:r w:rsidR="00C31F3D" w:rsidRPr="00F5596D">
        <w:rPr>
          <w:rFonts w:eastAsia="MS PGothic" w:cstheme="minorHAnsi"/>
          <w:szCs w:val="20"/>
          <w:lang w:val="sr-Cyrl-CS" w:eastAsia="ja-JP"/>
        </w:rPr>
        <w:t>учају природних катастрофа и сл</w:t>
      </w:r>
      <w:r w:rsidRPr="00F5596D">
        <w:rPr>
          <w:rFonts w:eastAsia="MS PGothic" w:cstheme="minorHAnsi"/>
          <w:szCs w:val="20"/>
          <w:lang w:val="sr-Cyrl-CS" w:eastAsia="ja-JP"/>
        </w:rPr>
        <w:t>).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7F445500"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наредном периоду доведу до одступања од планираног фискалног оквира.</w:t>
      </w:r>
    </w:p>
    <w:p w14:paraId="6401CF8C" w14:textId="44BA5AF3"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Министарство финансија има водећу улогу у управљању фискалним ризицима. Као кључна </w:t>
      </w:r>
      <w:r w:rsidRPr="00F5596D">
        <w:rPr>
          <w:rFonts w:eastAsia="MS PGothic" w:cstheme="minorHAnsi"/>
          <w:szCs w:val="20"/>
          <w:lang w:val="sr-Cyrl-CS" w:eastAsia="ja-JP"/>
        </w:rPr>
        <w:t>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Резултат ових активности требало би да буде идентификација и процена ризика, те предлагање излазних страте</w:t>
      </w:r>
      <w:r w:rsidR="00400C34" w:rsidRPr="00F5596D">
        <w:rPr>
          <w:rFonts w:eastAsia="MS PGothic" w:cstheme="minorHAnsi"/>
          <w:szCs w:val="20"/>
          <w:lang w:val="sr-Cyrl-CS" w:eastAsia="ja-JP"/>
        </w:rPr>
        <w:t>гија, као помоћ Влади у очувању</w:t>
      </w:r>
      <w:r w:rsidR="00395E52" w:rsidRPr="00F5596D">
        <w:rPr>
          <w:rFonts w:eastAsia="MS PGothic" w:cstheme="minorHAnsi"/>
          <w:szCs w:val="20"/>
          <w:lang w:val="sr-Cyrl-CS" w:eastAsia="ja-JP"/>
        </w:rPr>
        <w:t xml:space="preserve"> </w:t>
      </w:r>
      <w:r w:rsidRPr="00F5596D">
        <w:rPr>
          <w:rFonts w:eastAsia="MS PGothic" w:cstheme="minorHAnsi"/>
          <w:szCs w:val="20"/>
          <w:lang w:val="sr-Cyrl-CS" w:eastAsia="ja-JP"/>
        </w:rPr>
        <w:t xml:space="preserve">стабилности јавних финансија, што је кључни циљ фискалне политике и један од основних предуслова за динамичнији привредни раст. </w:t>
      </w:r>
    </w:p>
    <w:p w14:paraId="34840A0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 циљу спровођења наведеног процеса праћења фискалних ризика, у октобру 2021. године, усвојена је Јединствена методологија, која је припремљена уз помоћ Светске банке, која обухвата четири основне методологије и то:</w:t>
      </w:r>
    </w:p>
    <w:p w14:paraId="48814BB1" w14:textId="77777777" w:rsidR="00330999" w:rsidRPr="00F5596D" w:rsidRDefault="00330999" w:rsidP="00330999">
      <w:pPr>
        <w:spacing w:after="120"/>
        <w:rPr>
          <w:rFonts w:eastAsia="MS PGothic" w:cstheme="minorHAnsi"/>
          <w:szCs w:val="20"/>
          <w:lang w:val="sr-Cyrl-CS" w:eastAsia="ja-JP"/>
        </w:rPr>
      </w:pPr>
      <w:r w:rsidRPr="00F5596D">
        <w:rPr>
          <w:rFonts w:eastAsia="MS PGothic" w:cstheme="minorHAnsi"/>
          <w:szCs w:val="20"/>
          <w:lang w:val="sr-Cyrl-CS" w:eastAsia="ja-JP"/>
        </w:rPr>
        <w:t>1) Методологију за праћење фискалних ризика који произилазе из пословања државних предузећа;</w:t>
      </w:r>
    </w:p>
    <w:p w14:paraId="23419208" w14:textId="77777777" w:rsidR="00330999" w:rsidRPr="00F5596D" w:rsidRDefault="00330999" w:rsidP="00330999">
      <w:pPr>
        <w:spacing w:after="120"/>
        <w:rPr>
          <w:rFonts w:eastAsia="MS PGothic" w:cstheme="minorHAnsi"/>
          <w:szCs w:val="20"/>
          <w:lang w:val="sr-Cyrl-CS" w:eastAsia="ja-JP"/>
        </w:rPr>
      </w:pPr>
      <w:r w:rsidRPr="00F5596D">
        <w:rPr>
          <w:rFonts w:eastAsia="MS PGothic" w:cstheme="minorHAnsi"/>
          <w:szCs w:val="20"/>
          <w:lang w:val="sr-Cyrl-CS" w:eastAsia="ja-JP"/>
        </w:rPr>
        <w:t>2) Методологију за праћење фискалних ризика по буџет Републике Србије који произилазе из вршења надлежности јединица локалне самоуправе;</w:t>
      </w:r>
    </w:p>
    <w:p w14:paraId="258BF062" w14:textId="77777777" w:rsidR="00330999" w:rsidRPr="00F5596D" w:rsidRDefault="00330999" w:rsidP="00330999">
      <w:pPr>
        <w:spacing w:after="120"/>
        <w:rPr>
          <w:rFonts w:eastAsia="MS PGothic" w:cstheme="minorHAnsi"/>
          <w:szCs w:val="20"/>
          <w:lang w:val="sr-Cyrl-CS" w:eastAsia="ja-JP"/>
        </w:rPr>
      </w:pPr>
      <w:r w:rsidRPr="00F5596D">
        <w:rPr>
          <w:rFonts w:eastAsia="MS PGothic" w:cstheme="minorHAnsi"/>
          <w:szCs w:val="20"/>
          <w:lang w:val="sr-Cyrl-CS" w:eastAsia="ja-JP"/>
        </w:rPr>
        <w:t>3) Методологију за праћење фискалних ризика по основу судских поступака;</w:t>
      </w:r>
    </w:p>
    <w:p w14:paraId="0491B147" w14:textId="67DAF38E" w:rsidR="00330999" w:rsidRPr="00F5596D" w:rsidRDefault="00330999" w:rsidP="00330999">
      <w:pPr>
        <w:spacing w:after="120"/>
        <w:rPr>
          <w:rFonts w:eastAsia="MS PGothic" w:cstheme="minorHAnsi"/>
          <w:szCs w:val="20"/>
          <w:lang w:val="sr-Cyrl-CS" w:eastAsia="ja-JP"/>
        </w:rPr>
      </w:pPr>
      <w:r w:rsidRPr="00F5596D">
        <w:rPr>
          <w:rFonts w:eastAsia="MS PGothic" w:cstheme="minorHAnsi"/>
          <w:szCs w:val="20"/>
          <w:lang w:val="sr-Cyrl-CS" w:eastAsia="ja-JP"/>
        </w:rPr>
        <w:t>4) Методологију за праћење фискалних ризика који се јављају као последица елементарних непогода.</w:t>
      </w:r>
    </w:p>
    <w:p w14:paraId="644AA3D1"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 xml:space="preserve">Главни фискални ризици </w:t>
      </w:r>
    </w:p>
    <w:p w14:paraId="1E7B7D84"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Током јесени 2021. године десили су се поремећаји на енергетском тржишту у свету. Криза у енергетском сектору се надовезала на кризу изазвану пандемијом COVID-19. Због </w:t>
      </w:r>
      <w:r w:rsidRPr="00F5596D">
        <w:rPr>
          <w:rFonts w:eastAsia="MS PGothic" w:cstheme="minorHAnsi"/>
          <w:szCs w:val="20"/>
          <w:lang w:val="sr-Cyrl-CS" w:eastAsia="ja-JP"/>
        </w:rPr>
        <w:lastRenderedPageBreak/>
        <w:t>повећане тражње узроковане постпандемијским развојем економије и проблема у снабдевању, односно недовољне понуде и недовољних залиха, цене природног гаса су достигле историјске максимуме. Ово је подстакло тражњу за осталим енергентима, чије су цене изузетно порасле. Високе цене осталих енергената, а у Европи и смањена производња из електрана на ветар и високе цене дозвола за емисију CO</w:t>
      </w:r>
      <w:r w:rsidRPr="00F5596D">
        <w:rPr>
          <w:rFonts w:eastAsia="MS PGothic" w:cstheme="minorHAnsi"/>
          <w:szCs w:val="20"/>
          <w:vertAlign w:val="subscript"/>
          <w:lang w:val="sr-Cyrl-CS" w:eastAsia="ja-JP"/>
        </w:rPr>
        <w:t>2</w:t>
      </w:r>
      <w:r w:rsidRPr="00F5596D">
        <w:rPr>
          <w:rFonts w:eastAsia="MS PGothic" w:cstheme="minorHAnsi"/>
          <w:szCs w:val="20"/>
          <w:lang w:val="sr-Cyrl-CS" w:eastAsia="ja-JP"/>
        </w:rPr>
        <w:t xml:space="preserve"> довеле су до раста цена електричне енергије, такође до историјских максимума.</w:t>
      </w:r>
    </w:p>
    <w:p w14:paraId="028AFCB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Енергетска криза неизбежно се прелила и на Републику Србију, а највише су погођена енергетска предузећа, претежно „Електропривреда Србије” ад и ЈП „Србијагас”.</w:t>
      </w:r>
    </w:p>
    <w:p w14:paraId="290D77BC" w14:textId="32505ACE"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„Електропривреда Србије“ ад је </w:t>
      </w:r>
      <w:r w:rsidR="001055A6" w:rsidRPr="00F5596D">
        <w:rPr>
          <w:rFonts w:eastAsia="MS PGothic" w:cstheme="minorHAnsi"/>
          <w:szCs w:val="20"/>
          <w:lang w:val="sr-Cyrl-CS" w:eastAsia="ja-JP"/>
        </w:rPr>
        <w:t>током</w:t>
      </w:r>
      <w:r w:rsidRPr="00F5596D">
        <w:rPr>
          <w:rFonts w:eastAsia="MS PGothic" w:cstheme="minorHAnsi"/>
          <w:szCs w:val="20"/>
          <w:lang w:val="sr-Cyrl-CS" w:eastAsia="ja-JP"/>
        </w:rPr>
        <w:t xml:space="preserve"> 2024. године оствари</w:t>
      </w:r>
      <w:r w:rsidR="0087666C" w:rsidRPr="00F5596D">
        <w:rPr>
          <w:rFonts w:eastAsia="MS PGothic" w:cstheme="minorHAnsi"/>
          <w:szCs w:val="20"/>
          <w:lang w:val="sr-Cyrl-CS" w:eastAsia="ja-JP"/>
        </w:rPr>
        <w:t>ла нето добитак у износу од 24,4</w:t>
      </w:r>
      <w:r w:rsidRPr="00F5596D">
        <w:rPr>
          <w:rFonts w:eastAsia="MS PGothic" w:cstheme="minorHAnsi"/>
          <w:szCs w:val="20"/>
          <w:lang w:val="sr-Cyrl-CS" w:eastAsia="ja-JP"/>
        </w:rPr>
        <w:t xml:space="preserve"> млрд динара. У 2024. години друштво је реализовало значајне инвестиције у енергетски сектор, почео је да ради новоизграђени блок Б3 у термоелектрани „Костолац“, чиме је повећана укупна снага производних капацитета, што представља додатну сигурност за електроенергетски сектор Републике Србије. Такође, у претходној години завршено је и пуштено у рад постројење за одсумпоравање у ТЕНТ А, које доприноси смањењу емисије сумпор-диоксида и усклађивање са европским и домаћим еколошким стандардима, настављена је и изградња истог таквог постројења у ТЕНТ Б.</w:t>
      </w:r>
    </w:p>
    <w:p w14:paraId="04B721D2"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„Електропривреда Србије“ ад је у 2024. години усвојила План трансформације, којим су дефинисане промене организационе структуре и унапређења оперативних и финансијских процеса.</w:t>
      </w:r>
    </w:p>
    <w:p w14:paraId="00993A74"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Иако су направљени позитивни помаци у пословању, главни изазов за наредни период је наставак започетих реформи, као и енергетска транзиција која ће омогућити постепен прелазак на све већу производњу енергије из обновљивих извора, а што ће свакако захтевати финансијску консолидацију и значајна инвестициона улагања.</w:t>
      </w:r>
    </w:p>
    <w:p w14:paraId="11641A5B" w14:textId="2E25BE9F"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Важну улогу за енергетску стабилност има и друго прeдузeћe из oблaсти eлeктрoeнeргeтикe – „Елeктродистрибуциja Србијe” доо (ЕДС), који од 2021. године послује самостално (до 2021. године у саставу ЕПС ад). У 2024. години, основни приходи </w:t>
      </w:r>
      <w:r w:rsidRPr="00F5596D">
        <w:rPr>
          <w:rFonts w:eastAsia="MS PGothic" w:cstheme="minorHAnsi"/>
          <w:szCs w:val="20"/>
          <w:lang w:val="sr-Cyrl-CS" w:eastAsia="ja-JP"/>
        </w:rPr>
        <w:t>од мрежарине EДС нису били дoвoљни зa oдрживo пoслoвањe. Остварени пословни приходи нису били довољни да покрију актуелни ниво пословних расхода, што је последица раста</w:t>
      </w:r>
      <w:r w:rsidR="00400C34" w:rsidRPr="00F5596D">
        <w:rPr>
          <w:rFonts w:eastAsia="MS PGothic" w:cstheme="minorHAnsi"/>
          <w:szCs w:val="20"/>
          <w:lang w:val="sr-Cyrl-CS" w:eastAsia="ja-JP"/>
        </w:rPr>
        <w:t xml:space="preserve"> трошкова </w:t>
      </w:r>
      <w:r w:rsidRPr="00F5596D">
        <w:rPr>
          <w:rFonts w:eastAsia="MS PGothic" w:cstheme="minorHAnsi"/>
          <w:szCs w:val="20"/>
          <w:lang w:val="sr-Cyrl-CS" w:eastAsia="ja-JP"/>
        </w:rPr>
        <w:t>уз непромењен ниво тарифа за приступ и коришћење дистрибутивног система. ЕДС је 2024. годину завршио са нето губитком од 6,9 млрд динара. Иако се ЕДС сусретао са бројним изазовима у претходном периоду, позитиван аспект у пословању представљају значајна инвестициона улагања. Током 2024. године окончан је пројекат Реконструкција дистрибутивне мреже којим је замењено преко 34 хиљаде дрвених бандера бетонским, спровођен у склопу модернизације нисконапонске мреже. У оквиру пројекта ,,Паметна бројила'', до сада је уграђено око 600.000 паметних бројила и планирана је уградња додатних паметних бројила која се финасира из кредита EBRD и EIB. Такође, наставља се са пројектом Аутоматизација средњенапонске дистрибутивне мреже који се реализује у сарадњи са компанијом Schneider Electric. Претходно наведени инвестициони пројекти утицаће на решавање једног од главних структурних проблема ЕДС којима ће се значајно унапредити дистрибутивна мрежа, и последично смањити губици на мрежи. Република Србија препознала је изазове који се налазе пред овим привредним субјектом и за 2025. годину планиран је наставак подршке у виду обезбеђења гаранција у износу до 18,2 млрд динара.</w:t>
      </w:r>
    </w:p>
    <w:p w14:paraId="4853E0F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Услед неповољних тржишних кретања током 2021. и 2022. године и финансијске позиције дистрибутера природног гаса ЈП „Србијагас”, Република Србија је у претходном периоду учествовала у финансирању набавке резервних количина гаса, као и у суфинансирању редовних набавки. Проактивним режимом рада од 2022. године обезбеђени су додатни складишни капацитети за природни гас у Мађарској, одакле су се ускладиштене количине повремено повлачиле и у зимској сезони 2023/2024. године, а преостале количине омогућиле су додатну сигурност снабдевања тржишта током зимске сезоне 2024/2025. године. Корекција продајне цене гаса последњи пут је вршена крајем 2023. године.</w:t>
      </w:r>
      <w:r w:rsidRPr="00F5596D">
        <w:rPr>
          <w:lang w:val="sr-Cyrl-CS"/>
        </w:rPr>
        <w:t xml:space="preserve"> </w:t>
      </w:r>
      <w:r w:rsidRPr="00F5596D">
        <w:rPr>
          <w:rFonts w:eastAsia="MS PGothic" w:cstheme="minorHAnsi"/>
          <w:szCs w:val="20"/>
          <w:lang w:val="sr-Cyrl-CS" w:eastAsia="ja-JP"/>
        </w:rPr>
        <w:t xml:space="preserve">У 2024. години настављене су активности на изградњи гасовода на територији Републике </w:t>
      </w:r>
      <w:r w:rsidRPr="00F5596D">
        <w:rPr>
          <w:rFonts w:eastAsia="MS PGothic" w:cstheme="minorHAnsi"/>
          <w:szCs w:val="20"/>
          <w:lang w:val="sr-Cyrl-CS" w:eastAsia="ja-JP"/>
        </w:rPr>
        <w:lastRenderedPageBreak/>
        <w:t>Србије и стварању услова за диверсификацију праваца снабдевања, адекватну гасоводну инфраструктуру и будуће сигурно снабдевање потрошача природним гасом. У 2025. години настављају се инвестициона улагања, пре свега у делатностима транспорта и дистрибуцији гаса, односно наставак развоја дистрибутивне мреже и јачање транспортних капацитета гасовода у Републици Србији.</w:t>
      </w:r>
    </w:p>
    <w:p w14:paraId="54EA22C8"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Железнички сектор има важну улогу у оквиру инфраструктурне и економске политике државе, представљајући истовремено велики потенцијал за развој, али и изазов у погледу фискалне одрживости. Железничка предузећа у Србији су корисници државних субвенција како за текуће пословање тако и за капиталне инвестиције. Велики инфраструктурни пројекти као што су модернизација пруга и набавка нових возова, имају значајан утицај на јавне инвестиције и дугорочну фискалну одрживост, а финансирају се пре свега кроз међународне зајмове. Иако ови пројекти иницијално повећавају јавну потрошњу, они могу допринети дугорочном економском расту и смањењу емисије CO</w:t>
      </w:r>
      <w:r w:rsidRPr="00F5596D">
        <w:rPr>
          <w:rFonts w:eastAsia="MS PGothic" w:cstheme="minorHAnsi"/>
          <w:szCs w:val="20"/>
          <w:vertAlign w:val="subscript"/>
          <w:lang w:val="sr-Cyrl-CS" w:eastAsia="ja-JP"/>
        </w:rPr>
        <w:t>2</w:t>
      </w:r>
      <w:r w:rsidRPr="00F5596D">
        <w:rPr>
          <w:rFonts w:eastAsia="MS PGothic" w:cstheme="minorHAnsi"/>
          <w:szCs w:val="20"/>
          <w:lang w:val="sr-Cyrl-CS" w:eastAsia="ja-JP"/>
        </w:rPr>
        <w:t xml:space="preserve">. </w:t>
      </w:r>
    </w:p>
    <w:p w14:paraId="354539E9" w14:textId="54936F07" w:rsidR="00330999" w:rsidRPr="00F5596D" w:rsidRDefault="00330999" w:rsidP="00330999">
      <w:pPr>
        <w:spacing w:after="0" w:line="240" w:lineRule="auto"/>
        <w:rPr>
          <w:rFonts w:eastAsia="Times New Roman" w:cstheme="minorHAnsi"/>
          <w:szCs w:val="20"/>
          <w:lang w:val="sr-Cyrl-CS"/>
        </w:rPr>
      </w:pPr>
      <w:r w:rsidRPr="00F5596D">
        <w:rPr>
          <w:rFonts w:eastAsia="Times New Roman" w:cstheme="minorHAnsi"/>
          <w:szCs w:val="20"/>
          <w:lang w:val="sr-Cyrl-CS"/>
        </w:rPr>
        <w:t xml:space="preserve">Енергетска криза у свету изазвала је значајне поремећаје на тржишту енергената и основних сировина, што је утицало и на предузећа за изградњу и одржавање путне инфраструктуре ЈП „Путеви Србије“ и </w:t>
      </w:r>
      <w:r w:rsidRPr="00F5596D">
        <w:rPr>
          <w:rFonts w:cstheme="minorHAnsi"/>
          <w:szCs w:val="20"/>
          <w:lang w:val="sr-Cyrl-CS"/>
        </w:rPr>
        <w:t>„</w:t>
      </w:r>
      <w:r w:rsidRPr="00F5596D">
        <w:rPr>
          <w:rFonts w:eastAsia="Times New Roman" w:cstheme="minorHAnsi"/>
          <w:szCs w:val="20"/>
          <w:lang w:val="sr-Cyrl-CS"/>
        </w:rPr>
        <w:t>Коридори Србије" доо. Пораст цена енергената и грађевинског материјала доводи до повећања трошкова одржавања и изградње путне инфраструктуре, због чега је ЈП „Путеви Србије“ оцењено као субјект са високим фискалним ризиком. Потребна су додатна улагања у модернизацију и развој саобраћајне мреже како би се одржао квалитет и безбедност путева. Истовремено, раст трошкова услуга и сировина утиче</w:t>
      </w:r>
      <w:r w:rsidR="00400C34" w:rsidRPr="00F5596D">
        <w:rPr>
          <w:rFonts w:eastAsia="Times New Roman" w:cstheme="minorHAnsi"/>
          <w:szCs w:val="20"/>
          <w:lang w:val="sr-Cyrl-CS"/>
        </w:rPr>
        <w:t xml:space="preserve"> на повећање </w:t>
      </w:r>
      <w:r w:rsidRPr="00F5596D">
        <w:rPr>
          <w:rFonts w:eastAsia="Times New Roman" w:cstheme="minorHAnsi"/>
          <w:szCs w:val="20"/>
          <w:lang w:val="sr-Cyrl-CS"/>
        </w:rPr>
        <w:t xml:space="preserve">путарина. Финансијски оквир за развој путне инфраструктуре Републике Србије у периоду 2024–2025. године предвиђа наставак улагања у кључну инфраструктуру, са фокусом на одржавање и проширење аутопутева и главних саобраћајница. </w:t>
      </w:r>
    </w:p>
    <w:p w14:paraId="3BCB5EA9" w14:textId="77777777" w:rsidR="00330999" w:rsidRPr="00F5596D" w:rsidRDefault="00330999" w:rsidP="00330999">
      <w:pPr>
        <w:spacing w:after="0" w:line="240" w:lineRule="auto"/>
        <w:rPr>
          <w:rFonts w:eastAsia="Times New Roman" w:cstheme="minorHAnsi"/>
          <w:sz w:val="8"/>
          <w:szCs w:val="20"/>
          <w:lang w:val="sr-Cyrl-CS"/>
        </w:rPr>
      </w:pPr>
    </w:p>
    <w:p w14:paraId="11277CA8" w14:textId="78D2F8CD" w:rsidR="00E943ED" w:rsidRPr="00F5596D" w:rsidRDefault="00330999" w:rsidP="004F4BC8">
      <w:pPr>
        <w:spacing w:after="0" w:line="240" w:lineRule="auto"/>
        <w:rPr>
          <w:rFonts w:cstheme="minorHAnsi"/>
          <w:szCs w:val="20"/>
          <w:lang w:val="sr-Cyrl-CS"/>
        </w:rPr>
      </w:pPr>
      <w:r w:rsidRPr="00F5596D">
        <w:rPr>
          <w:rFonts w:cstheme="minorHAnsi"/>
          <w:szCs w:val="20"/>
          <w:lang w:val="sr-Cyrl-CS"/>
        </w:rPr>
        <w:t>Слична ситуација је и код „</w:t>
      </w:r>
      <w:r w:rsidRPr="00F5596D">
        <w:rPr>
          <w:rFonts w:eastAsia="Times New Roman" w:cstheme="minorHAnsi"/>
          <w:szCs w:val="20"/>
          <w:lang w:val="sr-Cyrl-CS"/>
        </w:rPr>
        <w:t>Коридори Србије" доо</w:t>
      </w:r>
      <w:r w:rsidRPr="00F5596D">
        <w:rPr>
          <w:rFonts w:cstheme="minorHAnsi"/>
          <w:szCs w:val="20"/>
          <w:lang w:val="sr-Cyrl-CS"/>
        </w:rPr>
        <w:t xml:space="preserve"> који имају кључну улогу у развоју путне инфраструктуре, али представљају и значајан </w:t>
      </w:r>
      <w:r w:rsidRPr="00F5596D">
        <w:rPr>
          <w:rFonts w:cstheme="minorHAnsi"/>
          <w:szCs w:val="20"/>
          <w:lang w:val="sr-Cyrl-CS"/>
        </w:rPr>
        <w:t>извор фискалних ризика услед зависности од државних с</w:t>
      </w:r>
      <w:bookmarkStart w:id="52" w:name="_Hlk180400586"/>
      <w:r w:rsidR="004F4BC8" w:rsidRPr="00F5596D">
        <w:rPr>
          <w:rFonts w:cstheme="minorHAnsi"/>
          <w:szCs w:val="20"/>
          <w:lang w:val="sr-Cyrl-CS"/>
        </w:rPr>
        <w:t>редстава.</w:t>
      </w:r>
    </w:p>
    <w:p w14:paraId="14B90AC5" w14:textId="77777777" w:rsidR="001055A6" w:rsidRPr="00F5596D" w:rsidRDefault="001055A6" w:rsidP="00330999">
      <w:pPr>
        <w:spacing w:after="120"/>
        <w:jc w:val="left"/>
        <w:rPr>
          <w:rFonts w:cstheme="minorHAnsi"/>
          <w:b/>
          <w:color w:val="2F5496" w:themeColor="accent1" w:themeShade="BF"/>
          <w:sz w:val="22"/>
          <w:lang w:val="sr-Cyrl-CS"/>
        </w:rPr>
      </w:pPr>
    </w:p>
    <w:p w14:paraId="472A8D13" w14:textId="77777777" w:rsidR="001055A6" w:rsidRPr="00F5596D" w:rsidRDefault="001055A6" w:rsidP="00330999">
      <w:pPr>
        <w:spacing w:after="120"/>
        <w:jc w:val="left"/>
        <w:rPr>
          <w:rFonts w:cstheme="minorHAnsi"/>
          <w:b/>
          <w:color w:val="2F5496" w:themeColor="accent1" w:themeShade="BF"/>
          <w:sz w:val="22"/>
          <w:lang w:val="sr-Cyrl-CS"/>
        </w:rPr>
      </w:pPr>
    </w:p>
    <w:p w14:paraId="17E632D6" w14:textId="78289008" w:rsidR="00330999" w:rsidRPr="00F5596D" w:rsidRDefault="00330999" w:rsidP="00330999">
      <w:pPr>
        <w:spacing w:after="120"/>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Државне гаранције</w:t>
      </w:r>
    </w:p>
    <w:p w14:paraId="23CDEE10" w14:textId="33B44EC2" w:rsidR="00330999" w:rsidRPr="00F5596D" w:rsidRDefault="00330999" w:rsidP="00330999">
      <w:pPr>
        <w:spacing w:after="240"/>
        <w:rPr>
          <w:rFonts w:eastAsia="MS PGothic" w:cstheme="minorHAnsi"/>
          <w:szCs w:val="20"/>
          <w:highlight w:val="yellow"/>
          <w:lang w:val="sr-Cyrl-CS" w:eastAsia="ja-JP"/>
        </w:rPr>
      </w:pPr>
      <w:r w:rsidRPr="00F5596D">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F5596D">
        <w:rPr>
          <w:rFonts w:eastAsia="MS PGothic" w:cstheme="minorHAnsi"/>
          <w:szCs w:val="20"/>
          <w:vertAlign w:val="superscript"/>
          <w:lang w:val="sr-Cyrl-CS" w:eastAsia="ja-JP"/>
        </w:rPr>
        <w:footnoteReference w:id="4"/>
      </w:r>
      <w:r w:rsidRPr="00F5596D">
        <w:rPr>
          <w:rFonts w:eastAsia="MS PGothic" w:cstheme="minorHAnsi"/>
          <w:szCs w:val="20"/>
          <w:lang w:val="sr-Cyrl-CS" w:eastAsia="ja-JP"/>
        </w:rPr>
        <w:t xml:space="preserve"> део индиректних обавеза и у укупном износу се укључују у јавни дуг. На дан 31. марта 2025. године укупно стање јавног дуга у сектору државе износило је 4.604,5 млрд динара, што чини 44,6% БДП</w:t>
      </w:r>
      <w:r w:rsidRPr="00F5596D">
        <w:rPr>
          <w:rFonts w:eastAsia="MS PGothic" w:cstheme="minorHAnsi"/>
          <w:vertAlign w:val="superscript"/>
          <w:lang w:val="sr-Cyrl-CS" w:eastAsia="ja-JP"/>
        </w:rPr>
        <w:footnoteReference w:id="5"/>
      </w:r>
      <w:r w:rsidRPr="00F5596D">
        <w:rPr>
          <w:rFonts w:eastAsia="MS PGothic" w:cstheme="minorHAnsi"/>
          <w:szCs w:val="20"/>
          <w:lang w:val="sr-Cyrl-CS" w:eastAsia="ja-JP"/>
        </w:rPr>
        <w:t>, од чега директне обавезе чине 4.368,0 млрд динара (42,3% БДП), индиректне обавезе 209,8 млрд динара (2,0% БДП) и негарантовани остали дуг сектора државе 26,7 млрд динара (0,3% БДП).</w:t>
      </w:r>
      <w:r w:rsidR="004F4BC8" w:rsidRPr="00F5596D">
        <w:rPr>
          <w:rFonts w:eastAsia="MS PGothic" w:cstheme="minorHAnsi"/>
          <w:szCs w:val="20"/>
          <w:lang w:val="sr-Cyrl-CS" w:eastAsia="ja-JP"/>
        </w:rPr>
        <w:t xml:space="preserve"> </w:t>
      </w:r>
      <w:r w:rsidRPr="00F5596D">
        <w:rPr>
          <w:rFonts w:eastAsia="MS PGothic" w:cstheme="minorHAnsi"/>
          <w:szCs w:val="20"/>
          <w:lang w:val="sr-Cyrl-CS" w:eastAsia="ja-JP"/>
        </w:rPr>
        <w:t>Ограничења постављена на издавање нових гаранција у последњих 10 година дала су резултате, те се учешће индиректних обавеза у укупном јавном дугу смањивало из године у годину. Индиректне обавезе (издате гаранције од стране Републике Србије) су учествовале са 9,5% у дугу сектора државе на крају 2015. године, док су на крају 2024. године оне чиниле 4,7% дуга сектора државе. На дан 31. марта 2025. године, индиректне обавезе су учествовале са 4,6% у дугу сектора државе.</w:t>
      </w:r>
    </w:p>
    <w:p w14:paraId="17E3F77F" w14:textId="77777777" w:rsidR="00AF2DEB" w:rsidRPr="00F5596D" w:rsidRDefault="00E943ED" w:rsidP="004F4BC8">
      <w:pPr>
        <w:spacing w:after="120"/>
        <w:rPr>
          <w:rFonts w:eastAsia="MS PGothic" w:cstheme="minorHAnsi"/>
          <w:b/>
          <w:color w:val="002060"/>
          <w:szCs w:val="20"/>
          <w:lang w:val="sr-Cyrl-CS" w:eastAsia="ja-JP"/>
        </w:rPr>
      </w:pPr>
      <w:r w:rsidRPr="00F5596D">
        <w:rPr>
          <w:noProof/>
        </w:rPr>
        <w:drawing>
          <wp:anchor distT="0" distB="0" distL="114300" distR="114300" simplePos="0" relativeHeight="251697664" behindDoc="0" locked="0" layoutInCell="1" allowOverlap="1" wp14:anchorId="58C299C5" wp14:editId="25DC32E6">
            <wp:simplePos x="0" y="0"/>
            <wp:positionH relativeFrom="margin">
              <wp:posOffset>3076575</wp:posOffset>
            </wp:positionH>
            <wp:positionV relativeFrom="paragraph">
              <wp:posOffset>361315</wp:posOffset>
            </wp:positionV>
            <wp:extent cx="2804795" cy="1084580"/>
            <wp:effectExtent l="0" t="0" r="0" b="1270"/>
            <wp:wrapThrough wrapText="bothSides">
              <wp:wrapPolygon edited="0">
                <wp:start x="0" y="0"/>
                <wp:lineTo x="0" y="21246"/>
                <wp:lineTo x="21419" y="21246"/>
                <wp:lineTo x="21419" y="0"/>
                <wp:lineTo x="0" y="0"/>
              </wp:wrapPolygon>
            </wp:wrapThrough>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04795" cy="1084580"/>
                    </a:xfrm>
                    <a:prstGeom prst="rect">
                      <a:avLst/>
                    </a:prstGeom>
                    <a:noFill/>
                  </pic:spPr>
                </pic:pic>
              </a:graphicData>
            </a:graphic>
            <wp14:sizeRelH relativeFrom="margin">
              <wp14:pctWidth>0</wp14:pctWidth>
            </wp14:sizeRelH>
            <wp14:sizeRelV relativeFrom="margin">
              <wp14:pctHeight>0</wp14:pctHeight>
            </wp14:sizeRelV>
          </wp:anchor>
        </w:drawing>
      </w:r>
      <w:r w:rsidRPr="00F5596D">
        <w:rPr>
          <w:rFonts w:eastAsia="MS PGothic" w:cstheme="minorHAnsi"/>
          <w:b/>
          <w:color w:val="002060"/>
          <w:szCs w:val="20"/>
          <w:lang w:val="sr-Cyrl-CS" w:eastAsia="ja-JP"/>
        </w:rPr>
        <w:t>Учешће индиректног дуга у дугу сектора државе (у %)</w:t>
      </w:r>
    </w:p>
    <w:p w14:paraId="7670FFFA" w14:textId="3FFE3FD7" w:rsidR="00330999" w:rsidRPr="00F5596D" w:rsidRDefault="00330999" w:rsidP="004F4BC8">
      <w:pPr>
        <w:spacing w:after="120"/>
        <w:rPr>
          <w:rFonts w:eastAsia="MS PGothic" w:cstheme="minorHAnsi"/>
          <w:b/>
          <w:bCs/>
          <w:color w:val="002060"/>
          <w:szCs w:val="20"/>
          <w:highlight w:val="yellow"/>
          <w:lang w:val="sr-Cyrl-CS" w:eastAsia="ja-JP"/>
        </w:rPr>
        <w:sectPr w:rsidR="00330999" w:rsidRPr="00F5596D" w:rsidSect="00330999">
          <w:type w:val="continuous"/>
          <w:pgSz w:w="12240" w:h="15840"/>
          <w:pgMar w:top="1440" w:right="1440" w:bottom="1440" w:left="1440" w:header="720" w:footer="720" w:gutter="0"/>
          <w:cols w:num="2" w:space="720"/>
          <w:docGrid w:linePitch="360"/>
        </w:sectPr>
      </w:pPr>
      <w:r w:rsidRPr="00F5596D">
        <w:rPr>
          <w:rFonts w:eastAsia="MS PGothic" w:cstheme="minorHAnsi"/>
          <w:szCs w:val="20"/>
          <w:lang w:val="sr-Cyrl-CS" w:eastAsia="ja-JP"/>
        </w:rPr>
        <w:t xml:space="preserve">Када анализирамо структуру гарантованог дуга по корисницима, уочавамо да је водећу улогу у 2024. и 2025. години преузела „Електропривреда Србије“ ад. У 2022. и 2023. години на првом месту по висини гарантованог дуга било је ЈП „Србијагас“. Учешће „Електропривреда Србије“ ад </w:t>
      </w:r>
      <w:r w:rsidRPr="00F5596D">
        <w:rPr>
          <w:rFonts w:eastAsia="MS PGothic" w:cstheme="minorHAnsi"/>
          <w:szCs w:val="20"/>
          <w:lang w:val="sr-Cyrl-CS" w:eastAsia="ja-JP"/>
        </w:rPr>
        <w:lastRenderedPageBreak/>
        <w:t>у укупним индиректним обавезама је 37,0% (77,6 млрд динара), док ЈП „Србијаг</w:t>
      </w:r>
      <w:r w:rsidR="004F4BC8" w:rsidRPr="00F5596D">
        <w:rPr>
          <w:rFonts w:eastAsia="MS PGothic" w:cstheme="minorHAnsi"/>
          <w:szCs w:val="20"/>
          <w:lang w:val="sr-Cyrl-CS" w:eastAsia="ja-JP"/>
        </w:rPr>
        <w:t xml:space="preserve">ас“ чини 28,5% (59,7 </w:t>
      </w:r>
      <w:r w:rsidRPr="00F5596D">
        <w:rPr>
          <w:rFonts w:eastAsia="MS PGothic" w:cstheme="minorHAnsi"/>
          <w:szCs w:val="20"/>
          <w:lang w:val="sr-Cyrl-CS" w:eastAsia="ja-JP"/>
        </w:rPr>
        <w:t>млрд динара) а ЈП „Путеви Србије” 9,2% (19,3 млрд динара).</w:t>
      </w:r>
    </w:p>
    <w:p w14:paraId="6819148D" w14:textId="33F9F787" w:rsidR="00330999" w:rsidRPr="00F5596D" w:rsidRDefault="00330999" w:rsidP="00330999">
      <w:pPr>
        <w:spacing w:after="120"/>
        <w:jc w:val="center"/>
        <w:rPr>
          <w:rFonts w:eastAsia="MS PGothic" w:cstheme="minorHAnsi"/>
          <w:b/>
          <w:color w:val="002060"/>
          <w:szCs w:val="20"/>
          <w:lang w:val="sr-Cyrl-CS" w:eastAsia="ja-JP"/>
        </w:rPr>
      </w:pPr>
      <w:bookmarkStart w:id="53" w:name="_Hlk179894285"/>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3</w:t>
      </w:r>
      <w:r w:rsidRPr="00F5596D">
        <w:rPr>
          <w:rFonts w:eastAsia="MS PGothic" w:cstheme="minorHAnsi"/>
          <w:b/>
          <w:color w:val="002060"/>
          <w:szCs w:val="20"/>
          <w:lang w:val="sr-Cyrl-CS" w:eastAsia="ja-JP"/>
        </w:rPr>
        <w:t>. Стање гарантованог дуга по корисницима, млрд динара</w:t>
      </w:r>
    </w:p>
    <w:tbl>
      <w:tblPr>
        <w:tblW w:w="9319" w:type="dxa"/>
        <w:tblLook w:val="04A0" w:firstRow="1" w:lastRow="0" w:firstColumn="1" w:lastColumn="0" w:noHBand="0" w:noVBand="1"/>
      </w:tblPr>
      <w:tblGrid>
        <w:gridCol w:w="4405"/>
        <w:gridCol w:w="856"/>
        <w:gridCol w:w="856"/>
        <w:gridCol w:w="1121"/>
        <w:gridCol w:w="1019"/>
        <w:gridCol w:w="1062"/>
      </w:tblGrid>
      <w:tr w:rsidR="00330999" w:rsidRPr="00F5596D" w14:paraId="2AB85AD2" w14:textId="77777777" w:rsidTr="00E61B34">
        <w:trPr>
          <w:trHeight w:val="20"/>
        </w:trPr>
        <w:tc>
          <w:tcPr>
            <w:tcW w:w="4405" w:type="dxa"/>
            <w:tcBorders>
              <w:top w:val="single" w:sz="4" w:space="0" w:color="002060"/>
              <w:left w:val="nil"/>
              <w:bottom w:val="single" w:sz="4" w:space="0" w:color="002060"/>
              <w:right w:val="nil"/>
            </w:tcBorders>
            <w:shd w:val="clear" w:color="auto" w:fill="auto"/>
            <w:noWrap/>
            <w:hideMark/>
          </w:tcPr>
          <w:p w14:paraId="25365372"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Корисник </w:t>
            </w:r>
          </w:p>
        </w:tc>
        <w:tc>
          <w:tcPr>
            <w:tcW w:w="856" w:type="dxa"/>
            <w:tcBorders>
              <w:top w:val="single" w:sz="4" w:space="0" w:color="002060"/>
              <w:left w:val="nil"/>
              <w:bottom w:val="single" w:sz="4" w:space="0" w:color="002060"/>
              <w:right w:val="nil"/>
            </w:tcBorders>
            <w:shd w:val="clear" w:color="auto" w:fill="auto"/>
            <w:noWrap/>
            <w:vAlign w:val="center"/>
            <w:hideMark/>
          </w:tcPr>
          <w:p w14:paraId="302BF74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2021</w:t>
            </w:r>
          </w:p>
        </w:tc>
        <w:tc>
          <w:tcPr>
            <w:tcW w:w="856" w:type="dxa"/>
            <w:tcBorders>
              <w:top w:val="single" w:sz="4" w:space="0" w:color="002060"/>
              <w:left w:val="nil"/>
              <w:bottom w:val="single" w:sz="4" w:space="0" w:color="002060"/>
              <w:right w:val="nil"/>
            </w:tcBorders>
            <w:shd w:val="clear" w:color="auto" w:fill="auto"/>
            <w:noWrap/>
            <w:vAlign w:val="center"/>
            <w:hideMark/>
          </w:tcPr>
          <w:p w14:paraId="21BB62B3"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1121" w:type="dxa"/>
            <w:tcBorders>
              <w:top w:val="single" w:sz="4" w:space="0" w:color="002060"/>
              <w:left w:val="nil"/>
              <w:bottom w:val="single" w:sz="4" w:space="0" w:color="002060"/>
              <w:right w:val="nil"/>
            </w:tcBorders>
            <w:shd w:val="clear" w:color="auto" w:fill="auto"/>
            <w:noWrap/>
            <w:vAlign w:val="center"/>
            <w:hideMark/>
          </w:tcPr>
          <w:p w14:paraId="2CC62E1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019" w:type="dxa"/>
            <w:tcBorders>
              <w:top w:val="single" w:sz="4" w:space="0" w:color="002060"/>
              <w:left w:val="nil"/>
              <w:bottom w:val="single" w:sz="4" w:space="0" w:color="002060"/>
              <w:right w:val="nil"/>
            </w:tcBorders>
            <w:shd w:val="clear" w:color="auto" w:fill="auto"/>
            <w:noWrap/>
            <w:vAlign w:val="center"/>
            <w:hideMark/>
          </w:tcPr>
          <w:p w14:paraId="49E20F2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c>
          <w:tcPr>
            <w:tcW w:w="1062" w:type="dxa"/>
            <w:tcBorders>
              <w:top w:val="single" w:sz="4" w:space="0" w:color="002060"/>
              <w:left w:val="nil"/>
              <w:bottom w:val="single" w:sz="4" w:space="0" w:color="002060"/>
              <w:right w:val="nil"/>
            </w:tcBorders>
            <w:shd w:val="clear" w:color="auto" w:fill="auto"/>
            <w:noWrap/>
            <w:vAlign w:val="center"/>
            <w:hideMark/>
          </w:tcPr>
          <w:p w14:paraId="006B2D6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31.3.2025</w:t>
            </w:r>
          </w:p>
        </w:tc>
      </w:tr>
      <w:tr w:rsidR="00330999" w:rsidRPr="00F5596D" w14:paraId="78E9620C" w14:textId="77777777" w:rsidTr="00E61B34">
        <w:trPr>
          <w:trHeight w:val="20"/>
        </w:trPr>
        <w:tc>
          <w:tcPr>
            <w:tcW w:w="4405" w:type="dxa"/>
            <w:tcBorders>
              <w:top w:val="nil"/>
              <w:left w:val="nil"/>
              <w:bottom w:val="nil"/>
              <w:right w:val="nil"/>
            </w:tcBorders>
            <w:shd w:val="clear" w:color="000000" w:fill="FFFFFF"/>
            <w:noWrap/>
            <w:vAlign w:val="center"/>
            <w:hideMark/>
          </w:tcPr>
          <w:p w14:paraId="7D8104C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"Електропривреда Србије" ад</w:t>
            </w:r>
          </w:p>
        </w:tc>
        <w:tc>
          <w:tcPr>
            <w:tcW w:w="856" w:type="dxa"/>
            <w:tcBorders>
              <w:top w:val="nil"/>
              <w:left w:val="nil"/>
              <w:bottom w:val="nil"/>
              <w:right w:val="nil"/>
            </w:tcBorders>
            <w:shd w:val="clear" w:color="000000" w:fill="FFFFFF"/>
            <w:noWrap/>
            <w:vAlign w:val="center"/>
            <w:hideMark/>
          </w:tcPr>
          <w:p w14:paraId="59A221F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42,7</w:t>
            </w:r>
          </w:p>
        </w:tc>
        <w:tc>
          <w:tcPr>
            <w:tcW w:w="856" w:type="dxa"/>
            <w:tcBorders>
              <w:top w:val="nil"/>
              <w:left w:val="nil"/>
              <w:bottom w:val="nil"/>
              <w:right w:val="nil"/>
            </w:tcBorders>
            <w:shd w:val="clear" w:color="000000" w:fill="FFFFFF"/>
            <w:noWrap/>
            <w:vAlign w:val="center"/>
            <w:hideMark/>
          </w:tcPr>
          <w:p w14:paraId="3BFF1D1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40,6</w:t>
            </w:r>
          </w:p>
        </w:tc>
        <w:tc>
          <w:tcPr>
            <w:tcW w:w="1121" w:type="dxa"/>
            <w:tcBorders>
              <w:top w:val="nil"/>
              <w:left w:val="nil"/>
              <w:bottom w:val="nil"/>
              <w:right w:val="nil"/>
            </w:tcBorders>
            <w:shd w:val="clear" w:color="000000" w:fill="FFFFFF"/>
            <w:noWrap/>
            <w:vAlign w:val="center"/>
            <w:hideMark/>
          </w:tcPr>
          <w:p w14:paraId="450AB81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58,5</w:t>
            </w:r>
          </w:p>
        </w:tc>
        <w:tc>
          <w:tcPr>
            <w:tcW w:w="1019" w:type="dxa"/>
            <w:tcBorders>
              <w:top w:val="nil"/>
              <w:left w:val="nil"/>
              <w:bottom w:val="nil"/>
              <w:right w:val="nil"/>
            </w:tcBorders>
            <w:shd w:val="clear" w:color="000000" w:fill="FFFFFF"/>
            <w:noWrap/>
            <w:vAlign w:val="center"/>
            <w:hideMark/>
          </w:tcPr>
          <w:p w14:paraId="47453CE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81,9</w:t>
            </w:r>
          </w:p>
        </w:tc>
        <w:tc>
          <w:tcPr>
            <w:tcW w:w="1062" w:type="dxa"/>
            <w:tcBorders>
              <w:top w:val="nil"/>
              <w:left w:val="nil"/>
              <w:bottom w:val="nil"/>
              <w:right w:val="nil"/>
            </w:tcBorders>
            <w:shd w:val="clear" w:color="000000" w:fill="FFFFFF"/>
            <w:noWrap/>
            <w:vAlign w:val="center"/>
            <w:hideMark/>
          </w:tcPr>
          <w:p w14:paraId="463EF92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77,6</w:t>
            </w:r>
          </w:p>
        </w:tc>
      </w:tr>
      <w:tr w:rsidR="00330999" w:rsidRPr="00F5596D" w14:paraId="2EC52C03" w14:textId="77777777" w:rsidTr="00E61B34">
        <w:trPr>
          <w:trHeight w:val="20"/>
        </w:trPr>
        <w:tc>
          <w:tcPr>
            <w:tcW w:w="4405" w:type="dxa"/>
            <w:tcBorders>
              <w:top w:val="nil"/>
              <w:left w:val="nil"/>
              <w:bottom w:val="nil"/>
              <w:right w:val="nil"/>
            </w:tcBorders>
            <w:shd w:val="clear" w:color="000000" w:fill="FFFFFF"/>
            <w:noWrap/>
            <w:vAlign w:val="center"/>
            <w:hideMark/>
          </w:tcPr>
          <w:p w14:paraId="2C63637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JП "Србијагас"</w:t>
            </w:r>
          </w:p>
        </w:tc>
        <w:tc>
          <w:tcPr>
            <w:tcW w:w="856" w:type="dxa"/>
            <w:tcBorders>
              <w:top w:val="nil"/>
              <w:left w:val="nil"/>
              <w:bottom w:val="nil"/>
              <w:right w:val="nil"/>
            </w:tcBorders>
            <w:shd w:val="clear" w:color="000000" w:fill="FFFFFF"/>
            <w:noWrap/>
            <w:vAlign w:val="center"/>
            <w:hideMark/>
          </w:tcPr>
          <w:p w14:paraId="7BEC996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27,7</w:t>
            </w:r>
          </w:p>
        </w:tc>
        <w:tc>
          <w:tcPr>
            <w:tcW w:w="856" w:type="dxa"/>
            <w:tcBorders>
              <w:top w:val="nil"/>
              <w:left w:val="nil"/>
              <w:bottom w:val="nil"/>
              <w:right w:val="nil"/>
            </w:tcBorders>
            <w:shd w:val="clear" w:color="000000" w:fill="FFFFFF"/>
            <w:noWrap/>
            <w:vAlign w:val="center"/>
            <w:hideMark/>
          </w:tcPr>
          <w:p w14:paraId="3EC72E2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55,1</w:t>
            </w:r>
          </w:p>
        </w:tc>
        <w:tc>
          <w:tcPr>
            <w:tcW w:w="1121" w:type="dxa"/>
            <w:tcBorders>
              <w:top w:val="nil"/>
              <w:left w:val="nil"/>
              <w:bottom w:val="nil"/>
              <w:right w:val="nil"/>
            </w:tcBorders>
            <w:shd w:val="clear" w:color="000000" w:fill="FFFFFF"/>
            <w:noWrap/>
            <w:vAlign w:val="center"/>
            <w:hideMark/>
          </w:tcPr>
          <w:p w14:paraId="7A42B80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79,1</w:t>
            </w:r>
          </w:p>
        </w:tc>
        <w:tc>
          <w:tcPr>
            <w:tcW w:w="1019" w:type="dxa"/>
            <w:tcBorders>
              <w:top w:val="nil"/>
              <w:left w:val="nil"/>
              <w:bottom w:val="nil"/>
              <w:right w:val="nil"/>
            </w:tcBorders>
            <w:shd w:val="clear" w:color="000000" w:fill="FFFFFF"/>
            <w:noWrap/>
            <w:vAlign w:val="center"/>
            <w:hideMark/>
          </w:tcPr>
          <w:p w14:paraId="6C9ADC4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58,0</w:t>
            </w:r>
          </w:p>
        </w:tc>
        <w:tc>
          <w:tcPr>
            <w:tcW w:w="1062" w:type="dxa"/>
            <w:tcBorders>
              <w:top w:val="nil"/>
              <w:left w:val="nil"/>
              <w:bottom w:val="nil"/>
              <w:right w:val="nil"/>
            </w:tcBorders>
            <w:shd w:val="clear" w:color="000000" w:fill="FFFFFF"/>
            <w:noWrap/>
            <w:vAlign w:val="center"/>
            <w:hideMark/>
          </w:tcPr>
          <w:p w14:paraId="0C0173D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59,7</w:t>
            </w:r>
          </w:p>
        </w:tc>
      </w:tr>
      <w:tr w:rsidR="00330999" w:rsidRPr="00F5596D" w14:paraId="3FD0647A" w14:textId="77777777" w:rsidTr="00E61B34">
        <w:trPr>
          <w:trHeight w:val="20"/>
        </w:trPr>
        <w:tc>
          <w:tcPr>
            <w:tcW w:w="4405" w:type="dxa"/>
            <w:tcBorders>
              <w:top w:val="nil"/>
              <w:left w:val="nil"/>
              <w:bottom w:val="nil"/>
              <w:right w:val="nil"/>
            </w:tcBorders>
            <w:shd w:val="clear" w:color="000000" w:fill="FFFFFF"/>
            <w:noWrap/>
            <w:vAlign w:val="center"/>
            <w:hideMark/>
          </w:tcPr>
          <w:p w14:paraId="5D363812"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Железничка предузећа збирно</w:t>
            </w:r>
          </w:p>
        </w:tc>
        <w:tc>
          <w:tcPr>
            <w:tcW w:w="856" w:type="dxa"/>
            <w:tcBorders>
              <w:top w:val="nil"/>
              <w:left w:val="nil"/>
              <w:bottom w:val="nil"/>
              <w:right w:val="nil"/>
            </w:tcBorders>
            <w:shd w:val="clear" w:color="000000" w:fill="FFFFFF"/>
            <w:noWrap/>
            <w:vAlign w:val="center"/>
            <w:hideMark/>
          </w:tcPr>
          <w:p w14:paraId="0411E13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31,7</w:t>
            </w:r>
          </w:p>
        </w:tc>
        <w:tc>
          <w:tcPr>
            <w:tcW w:w="856" w:type="dxa"/>
            <w:tcBorders>
              <w:top w:val="nil"/>
              <w:left w:val="nil"/>
              <w:bottom w:val="nil"/>
              <w:right w:val="nil"/>
            </w:tcBorders>
            <w:shd w:val="clear" w:color="000000" w:fill="FFFFFF"/>
            <w:noWrap/>
            <w:vAlign w:val="center"/>
            <w:hideMark/>
          </w:tcPr>
          <w:p w14:paraId="3CFA745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31,2</w:t>
            </w:r>
          </w:p>
        </w:tc>
        <w:tc>
          <w:tcPr>
            <w:tcW w:w="1121" w:type="dxa"/>
            <w:tcBorders>
              <w:top w:val="nil"/>
              <w:left w:val="nil"/>
              <w:bottom w:val="nil"/>
              <w:right w:val="nil"/>
            </w:tcBorders>
            <w:shd w:val="clear" w:color="000000" w:fill="FFFFFF"/>
            <w:noWrap/>
            <w:vAlign w:val="center"/>
            <w:hideMark/>
          </w:tcPr>
          <w:p w14:paraId="6F4E1AA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26,3</w:t>
            </w:r>
          </w:p>
        </w:tc>
        <w:tc>
          <w:tcPr>
            <w:tcW w:w="1019" w:type="dxa"/>
            <w:tcBorders>
              <w:top w:val="nil"/>
              <w:left w:val="nil"/>
              <w:bottom w:val="nil"/>
              <w:right w:val="nil"/>
            </w:tcBorders>
            <w:shd w:val="clear" w:color="000000" w:fill="FFFFFF"/>
            <w:noWrap/>
            <w:vAlign w:val="center"/>
            <w:hideMark/>
          </w:tcPr>
          <w:p w14:paraId="226050F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25,6</w:t>
            </w:r>
          </w:p>
        </w:tc>
        <w:tc>
          <w:tcPr>
            <w:tcW w:w="1062" w:type="dxa"/>
            <w:tcBorders>
              <w:top w:val="nil"/>
              <w:left w:val="nil"/>
              <w:bottom w:val="nil"/>
              <w:right w:val="nil"/>
            </w:tcBorders>
            <w:shd w:val="clear" w:color="000000" w:fill="FFFFFF"/>
            <w:noWrap/>
            <w:vAlign w:val="center"/>
            <w:hideMark/>
          </w:tcPr>
          <w:p w14:paraId="640F738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24,8</w:t>
            </w:r>
          </w:p>
        </w:tc>
      </w:tr>
      <w:tr w:rsidR="00330999" w:rsidRPr="00F5596D" w14:paraId="62785BC3" w14:textId="77777777" w:rsidTr="00E61B34">
        <w:trPr>
          <w:trHeight w:val="20"/>
        </w:trPr>
        <w:tc>
          <w:tcPr>
            <w:tcW w:w="4405" w:type="dxa"/>
            <w:tcBorders>
              <w:top w:val="nil"/>
              <w:left w:val="nil"/>
              <w:bottom w:val="nil"/>
              <w:right w:val="nil"/>
            </w:tcBorders>
            <w:shd w:val="clear" w:color="000000" w:fill="FFFFFF"/>
            <w:noWrap/>
            <w:vAlign w:val="center"/>
            <w:hideMark/>
          </w:tcPr>
          <w:p w14:paraId="38AB7303"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ЈП "Путеви Србије"</w:t>
            </w:r>
          </w:p>
        </w:tc>
        <w:tc>
          <w:tcPr>
            <w:tcW w:w="856" w:type="dxa"/>
            <w:tcBorders>
              <w:top w:val="nil"/>
              <w:left w:val="nil"/>
              <w:bottom w:val="nil"/>
              <w:right w:val="nil"/>
            </w:tcBorders>
            <w:shd w:val="clear" w:color="000000" w:fill="FFFFFF"/>
            <w:noWrap/>
            <w:vAlign w:val="center"/>
            <w:hideMark/>
          </w:tcPr>
          <w:p w14:paraId="24681A0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30,0</w:t>
            </w:r>
          </w:p>
        </w:tc>
        <w:tc>
          <w:tcPr>
            <w:tcW w:w="856" w:type="dxa"/>
            <w:tcBorders>
              <w:top w:val="nil"/>
              <w:left w:val="nil"/>
              <w:bottom w:val="nil"/>
              <w:right w:val="nil"/>
            </w:tcBorders>
            <w:shd w:val="clear" w:color="000000" w:fill="FFFFFF"/>
            <w:noWrap/>
            <w:vAlign w:val="center"/>
            <w:hideMark/>
          </w:tcPr>
          <w:p w14:paraId="48BA38A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26,5</w:t>
            </w:r>
          </w:p>
        </w:tc>
        <w:tc>
          <w:tcPr>
            <w:tcW w:w="1121" w:type="dxa"/>
            <w:tcBorders>
              <w:top w:val="nil"/>
              <w:left w:val="nil"/>
              <w:bottom w:val="nil"/>
              <w:right w:val="nil"/>
            </w:tcBorders>
            <w:shd w:val="clear" w:color="000000" w:fill="FFFFFF"/>
            <w:noWrap/>
            <w:vAlign w:val="center"/>
            <w:hideMark/>
          </w:tcPr>
          <w:p w14:paraId="2B1C69E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23,0</w:t>
            </w:r>
          </w:p>
        </w:tc>
        <w:tc>
          <w:tcPr>
            <w:tcW w:w="1019" w:type="dxa"/>
            <w:tcBorders>
              <w:top w:val="nil"/>
              <w:left w:val="nil"/>
              <w:bottom w:val="nil"/>
              <w:right w:val="nil"/>
            </w:tcBorders>
            <w:shd w:val="clear" w:color="000000" w:fill="FFFFFF"/>
            <w:noWrap/>
            <w:vAlign w:val="center"/>
            <w:hideMark/>
          </w:tcPr>
          <w:p w14:paraId="7C16EFA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20,5</w:t>
            </w:r>
          </w:p>
        </w:tc>
        <w:tc>
          <w:tcPr>
            <w:tcW w:w="1062" w:type="dxa"/>
            <w:tcBorders>
              <w:top w:val="nil"/>
              <w:left w:val="nil"/>
              <w:bottom w:val="nil"/>
              <w:right w:val="nil"/>
            </w:tcBorders>
            <w:shd w:val="clear" w:color="000000" w:fill="FFFFFF"/>
            <w:noWrap/>
            <w:vAlign w:val="center"/>
            <w:hideMark/>
          </w:tcPr>
          <w:p w14:paraId="16F57AE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19,3</w:t>
            </w:r>
          </w:p>
        </w:tc>
      </w:tr>
      <w:tr w:rsidR="00330999" w:rsidRPr="00F5596D" w14:paraId="3937FD48" w14:textId="77777777" w:rsidTr="00E61B34">
        <w:trPr>
          <w:trHeight w:val="20"/>
        </w:trPr>
        <w:tc>
          <w:tcPr>
            <w:tcW w:w="4405" w:type="dxa"/>
            <w:tcBorders>
              <w:top w:val="nil"/>
              <w:left w:val="nil"/>
              <w:bottom w:val="nil"/>
              <w:right w:val="nil"/>
            </w:tcBorders>
            <w:shd w:val="clear" w:color="000000" w:fill="FFFFFF"/>
            <w:noWrap/>
            <w:vAlign w:val="center"/>
            <w:hideMark/>
          </w:tcPr>
          <w:p w14:paraId="3E65270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Јединице локалне власти (градови и општине)</w:t>
            </w:r>
          </w:p>
        </w:tc>
        <w:tc>
          <w:tcPr>
            <w:tcW w:w="856" w:type="dxa"/>
            <w:tcBorders>
              <w:top w:val="nil"/>
              <w:left w:val="nil"/>
              <w:bottom w:val="nil"/>
              <w:right w:val="nil"/>
            </w:tcBorders>
            <w:shd w:val="clear" w:color="000000" w:fill="FFFFFF"/>
            <w:noWrap/>
            <w:vAlign w:val="center"/>
            <w:hideMark/>
          </w:tcPr>
          <w:p w14:paraId="4995F8B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21,1</w:t>
            </w:r>
          </w:p>
        </w:tc>
        <w:tc>
          <w:tcPr>
            <w:tcW w:w="856" w:type="dxa"/>
            <w:tcBorders>
              <w:top w:val="nil"/>
              <w:left w:val="nil"/>
              <w:bottom w:val="nil"/>
              <w:right w:val="nil"/>
            </w:tcBorders>
            <w:shd w:val="clear" w:color="000000" w:fill="FFFFFF"/>
            <w:noWrap/>
            <w:vAlign w:val="center"/>
            <w:hideMark/>
          </w:tcPr>
          <w:p w14:paraId="1972D2B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19,2</w:t>
            </w:r>
          </w:p>
        </w:tc>
        <w:tc>
          <w:tcPr>
            <w:tcW w:w="1121" w:type="dxa"/>
            <w:tcBorders>
              <w:top w:val="nil"/>
              <w:left w:val="nil"/>
              <w:bottom w:val="nil"/>
              <w:right w:val="nil"/>
            </w:tcBorders>
            <w:shd w:val="clear" w:color="000000" w:fill="FFFFFF"/>
            <w:noWrap/>
            <w:vAlign w:val="center"/>
            <w:hideMark/>
          </w:tcPr>
          <w:p w14:paraId="650B126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17,3</w:t>
            </w:r>
          </w:p>
        </w:tc>
        <w:tc>
          <w:tcPr>
            <w:tcW w:w="1019" w:type="dxa"/>
            <w:tcBorders>
              <w:top w:val="nil"/>
              <w:left w:val="nil"/>
              <w:bottom w:val="nil"/>
              <w:right w:val="nil"/>
            </w:tcBorders>
            <w:shd w:val="clear" w:color="000000" w:fill="FFFFFF"/>
            <w:noWrap/>
            <w:vAlign w:val="center"/>
            <w:hideMark/>
          </w:tcPr>
          <w:p w14:paraId="74CD8AF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15,4</w:t>
            </w:r>
          </w:p>
        </w:tc>
        <w:tc>
          <w:tcPr>
            <w:tcW w:w="1062" w:type="dxa"/>
            <w:tcBorders>
              <w:top w:val="nil"/>
              <w:left w:val="nil"/>
              <w:bottom w:val="nil"/>
              <w:right w:val="nil"/>
            </w:tcBorders>
            <w:shd w:val="clear" w:color="000000" w:fill="FFFFFF"/>
            <w:noWrap/>
            <w:vAlign w:val="center"/>
            <w:hideMark/>
          </w:tcPr>
          <w:p w14:paraId="0C58797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15,2</w:t>
            </w:r>
          </w:p>
        </w:tc>
      </w:tr>
      <w:tr w:rsidR="00330999" w:rsidRPr="00F5596D" w14:paraId="49823289" w14:textId="77777777" w:rsidTr="00E61B34">
        <w:trPr>
          <w:trHeight w:val="20"/>
        </w:trPr>
        <w:tc>
          <w:tcPr>
            <w:tcW w:w="4405" w:type="dxa"/>
            <w:tcBorders>
              <w:top w:val="nil"/>
              <w:left w:val="nil"/>
              <w:bottom w:val="nil"/>
              <w:right w:val="nil"/>
            </w:tcBorders>
            <w:shd w:val="clear" w:color="000000" w:fill="FFFFFF"/>
            <w:noWrap/>
            <w:vAlign w:val="center"/>
            <w:hideMark/>
          </w:tcPr>
          <w:p w14:paraId="33FC7817"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Остали</w:t>
            </w:r>
          </w:p>
        </w:tc>
        <w:tc>
          <w:tcPr>
            <w:tcW w:w="856" w:type="dxa"/>
            <w:tcBorders>
              <w:top w:val="nil"/>
              <w:left w:val="nil"/>
              <w:bottom w:val="nil"/>
              <w:right w:val="nil"/>
            </w:tcBorders>
            <w:shd w:val="clear" w:color="000000" w:fill="FFFFFF"/>
            <w:noWrap/>
            <w:vAlign w:val="center"/>
            <w:hideMark/>
          </w:tcPr>
          <w:p w14:paraId="7797E86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9,2</w:t>
            </w:r>
          </w:p>
        </w:tc>
        <w:tc>
          <w:tcPr>
            <w:tcW w:w="856" w:type="dxa"/>
            <w:tcBorders>
              <w:top w:val="nil"/>
              <w:left w:val="nil"/>
              <w:bottom w:val="nil"/>
              <w:right w:val="nil"/>
            </w:tcBorders>
            <w:shd w:val="clear" w:color="000000" w:fill="FFFFFF"/>
            <w:noWrap/>
            <w:vAlign w:val="center"/>
            <w:hideMark/>
          </w:tcPr>
          <w:p w14:paraId="19BB1C9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8,8</w:t>
            </w:r>
          </w:p>
        </w:tc>
        <w:tc>
          <w:tcPr>
            <w:tcW w:w="1121" w:type="dxa"/>
            <w:tcBorders>
              <w:top w:val="nil"/>
              <w:left w:val="nil"/>
              <w:bottom w:val="nil"/>
              <w:right w:val="nil"/>
            </w:tcBorders>
            <w:shd w:val="clear" w:color="000000" w:fill="FFFFFF"/>
            <w:noWrap/>
            <w:vAlign w:val="center"/>
            <w:hideMark/>
          </w:tcPr>
          <w:p w14:paraId="3A44CC2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8,6</w:t>
            </w:r>
          </w:p>
        </w:tc>
        <w:tc>
          <w:tcPr>
            <w:tcW w:w="1019" w:type="dxa"/>
            <w:tcBorders>
              <w:top w:val="nil"/>
              <w:left w:val="nil"/>
              <w:bottom w:val="nil"/>
              <w:right w:val="nil"/>
            </w:tcBorders>
            <w:shd w:val="clear" w:color="000000" w:fill="FFFFFF"/>
            <w:noWrap/>
            <w:vAlign w:val="center"/>
            <w:hideMark/>
          </w:tcPr>
          <w:p w14:paraId="7C590BA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13,0</w:t>
            </w:r>
          </w:p>
        </w:tc>
        <w:tc>
          <w:tcPr>
            <w:tcW w:w="1062" w:type="dxa"/>
            <w:tcBorders>
              <w:top w:val="nil"/>
              <w:left w:val="nil"/>
              <w:bottom w:val="nil"/>
              <w:right w:val="nil"/>
            </w:tcBorders>
            <w:shd w:val="clear" w:color="000000" w:fill="FFFFFF"/>
            <w:noWrap/>
            <w:vAlign w:val="center"/>
            <w:hideMark/>
          </w:tcPr>
          <w:p w14:paraId="7F21A9F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13,1</w:t>
            </w:r>
          </w:p>
        </w:tc>
      </w:tr>
      <w:tr w:rsidR="00330999" w:rsidRPr="00F5596D" w14:paraId="57B1B7C6" w14:textId="77777777" w:rsidTr="00E61B34">
        <w:trPr>
          <w:trHeight w:val="20"/>
        </w:trPr>
        <w:tc>
          <w:tcPr>
            <w:tcW w:w="4405" w:type="dxa"/>
            <w:tcBorders>
              <w:top w:val="single" w:sz="4" w:space="0" w:color="002060"/>
              <w:left w:val="nil"/>
              <w:bottom w:val="single" w:sz="4" w:space="0" w:color="002060"/>
              <w:right w:val="nil"/>
            </w:tcBorders>
            <w:shd w:val="clear" w:color="auto" w:fill="auto"/>
            <w:noWrap/>
            <w:hideMark/>
          </w:tcPr>
          <w:p w14:paraId="22D98877"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 Укупно: </w:t>
            </w:r>
          </w:p>
        </w:tc>
        <w:tc>
          <w:tcPr>
            <w:tcW w:w="856" w:type="dxa"/>
            <w:tcBorders>
              <w:top w:val="single" w:sz="4" w:space="0" w:color="002060"/>
              <w:left w:val="nil"/>
              <w:bottom w:val="single" w:sz="4" w:space="0" w:color="002060"/>
              <w:right w:val="nil"/>
            </w:tcBorders>
            <w:shd w:val="clear" w:color="auto" w:fill="auto"/>
            <w:noWrap/>
            <w:vAlign w:val="center"/>
            <w:hideMark/>
          </w:tcPr>
          <w:p w14:paraId="0E54F6C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162,5</w:t>
            </w:r>
          </w:p>
        </w:tc>
        <w:tc>
          <w:tcPr>
            <w:tcW w:w="856" w:type="dxa"/>
            <w:tcBorders>
              <w:top w:val="single" w:sz="4" w:space="0" w:color="002060"/>
              <w:left w:val="nil"/>
              <w:bottom w:val="single" w:sz="4" w:space="0" w:color="002060"/>
              <w:right w:val="nil"/>
            </w:tcBorders>
            <w:shd w:val="clear" w:color="auto" w:fill="auto"/>
            <w:noWrap/>
            <w:vAlign w:val="center"/>
            <w:hideMark/>
          </w:tcPr>
          <w:p w14:paraId="6C8BF6F3"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181,4</w:t>
            </w:r>
          </w:p>
        </w:tc>
        <w:tc>
          <w:tcPr>
            <w:tcW w:w="1121" w:type="dxa"/>
            <w:tcBorders>
              <w:top w:val="single" w:sz="4" w:space="0" w:color="002060"/>
              <w:left w:val="nil"/>
              <w:bottom w:val="single" w:sz="4" w:space="0" w:color="002060"/>
              <w:right w:val="nil"/>
            </w:tcBorders>
            <w:shd w:val="clear" w:color="auto" w:fill="auto"/>
            <w:noWrap/>
            <w:vAlign w:val="center"/>
            <w:hideMark/>
          </w:tcPr>
          <w:p w14:paraId="508DAD2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212,8</w:t>
            </w:r>
          </w:p>
        </w:tc>
        <w:tc>
          <w:tcPr>
            <w:tcW w:w="1019" w:type="dxa"/>
            <w:tcBorders>
              <w:top w:val="single" w:sz="4" w:space="0" w:color="002060"/>
              <w:left w:val="nil"/>
              <w:bottom w:val="single" w:sz="4" w:space="0" w:color="002060"/>
              <w:right w:val="nil"/>
            </w:tcBorders>
            <w:shd w:val="clear" w:color="auto" w:fill="auto"/>
            <w:noWrap/>
            <w:vAlign w:val="center"/>
            <w:hideMark/>
          </w:tcPr>
          <w:p w14:paraId="6637B7B5"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214,4</w:t>
            </w:r>
          </w:p>
        </w:tc>
        <w:tc>
          <w:tcPr>
            <w:tcW w:w="1062" w:type="dxa"/>
            <w:tcBorders>
              <w:top w:val="single" w:sz="4" w:space="0" w:color="002060"/>
              <w:left w:val="nil"/>
              <w:bottom w:val="single" w:sz="4" w:space="0" w:color="002060"/>
              <w:right w:val="nil"/>
            </w:tcBorders>
            <w:shd w:val="clear" w:color="auto" w:fill="auto"/>
            <w:noWrap/>
            <w:vAlign w:val="center"/>
            <w:hideMark/>
          </w:tcPr>
          <w:p w14:paraId="028F8A1A"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209,8</w:t>
            </w:r>
          </w:p>
        </w:tc>
      </w:tr>
    </w:tbl>
    <w:p w14:paraId="57E406D7" w14:textId="77777777" w:rsidR="00330999" w:rsidRPr="00F5596D" w:rsidRDefault="00330999" w:rsidP="00330999">
      <w:pPr>
        <w:spacing w:after="120" w:line="276" w:lineRule="auto"/>
        <w:rPr>
          <w:rFonts w:eastAsia="MS PGothic" w:cstheme="minorHAnsi"/>
          <w:sz w:val="16"/>
          <w:szCs w:val="16"/>
          <w:lang w:val="sr-Cyrl-CS" w:eastAsia="ja-JP"/>
        </w:rPr>
        <w:sectPr w:rsidR="00330999" w:rsidRPr="00F5596D" w:rsidSect="00E61B34">
          <w:type w:val="continuous"/>
          <w:pgSz w:w="12240" w:h="15840"/>
          <w:pgMar w:top="1440" w:right="1440" w:bottom="1440" w:left="1440" w:header="720" w:footer="720" w:gutter="0"/>
          <w:cols w:space="720"/>
          <w:docGrid w:linePitch="360"/>
        </w:sectPr>
      </w:pPr>
      <w:r w:rsidRPr="00F5596D">
        <w:rPr>
          <w:rFonts w:eastAsia="MS PGothic" w:cstheme="minorHAnsi"/>
          <w:sz w:val="16"/>
          <w:szCs w:val="16"/>
          <w:lang w:val="sr-Cyrl-CS" w:eastAsia="ja-JP"/>
        </w:rPr>
        <w:t>Извор: Министарство финансија</w:t>
      </w:r>
    </w:p>
    <w:bookmarkEnd w:id="53"/>
    <w:p w14:paraId="6B1D54F0" w14:textId="1C91DEA2" w:rsidR="00B12AFE" w:rsidRPr="00F5596D" w:rsidRDefault="00330999" w:rsidP="00330999">
      <w:pPr>
        <w:spacing w:afterLines="120" w:after="288"/>
        <w:rPr>
          <w:rFonts w:eastAsia="MS PGothic" w:cstheme="minorHAnsi"/>
          <w:szCs w:val="20"/>
          <w:lang w:val="sr-Cyrl-CS" w:eastAsia="ja-JP"/>
        </w:rPr>
      </w:pPr>
      <w:r w:rsidRPr="00F5596D">
        <w:rPr>
          <w:rFonts w:eastAsia="MS PGothic" w:cstheme="minorHAnsi"/>
          <w:szCs w:val="20"/>
          <w:lang w:val="sr-Cyrl-CS" w:eastAsia="ja-JP"/>
        </w:rPr>
        <w:t>Стање гарантованог дуга код Железничких предузећа („Железнице Србије” ад, „Инфраструктура железнице Србије” ад, „Србијавоз” ад и „Србија Карго” ад) је значајно флуктуирало од 2020. године па све до данас. У 2020. и 2021. години „Железнице Србије” ад су имале водећу позицију по основу стања гарантованог дуга, док је од 2022. године ту позицију преузело железничко предузеће „Србијавоз” ад због кредита EBRD чија је намена набавка возних средстава и реконструкција и модернизација регионалних депоа.</w:t>
      </w:r>
    </w:p>
    <w:p w14:paraId="001F91FF" w14:textId="0F83722C"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Ако посматрамо стање дуга обезбеђеног државним гаранцијама према кредиторима, на дан 31. марта 2025. године, највећа изложеност је према пословним банкама (унутрашњи и спољашњи дуг) у износу од 80,2 млрд динара или 38,2% укупних индиректних обавеза и EBRD у износу од 55,3 млрд динара (26,4%), затим обавезе према EIB од 40,9 млрд динара (19,5%), Немачкој развојној банци од 21,9 млрд динара (10,4%) и Јапанској агенцији за међународну сарадњу од 8,9 млрд динара (4,2%).</w:t>
      </w:r>
    </w:p>
    <w:p w14:paraId="507271A3" w14:textId="5A867EB3" w:rsidR="003E0450" w:rsidRPr="00F5596D" w:rsidRDefault="003E0450" w:rsidP="00330999">
      <w:pPr>
        <w:rPr>
          <w:rFonts w:eastAsia="MS PGothic" w:cstheme="minorHAnsi"/>
          <w:szCs w:val="20"/>
          <w:highlight w:val="yellow"/>
          <w:lang w:val="sr-Cyrl-CS" w:eastAsia="ja-JP"/>
        </w:rPr>
        <w:sectPr w:rsidR="003E0450" w:rsidRPr="00F5596D" w:rsidSect="00E61B34">
          <w:type w:val="continuous"/>
          <w:pgSz w:w="12240" w:h="15840"/>
          <w:pgMar w:top="1440" w:right="1440" w:bottom="1440" w:left="1440" w:header="720" w:footer="720" w:gutter="0"/>
          <w:cols w:num="2" w:space="720"/>
          <w:docGrid w:linePitch="360"/>
        </w:sectPr>
      </w:pPr>
    </w:p>
    <w:p w14:paraId="1E5085AC" w14:textId="0D0656DE" w:rsidR="00330999" w:rsidRPr="00F5596D" w:rsidRDefault="00330999" w:rsidP="004F4BC8">
      <w:pPr>
        <w:spacing w:after="120"/>
        <w:jc w:val="center"/>
        <w:rPr>
          <w:rFonts w:eastAsia="MS PGothic" w:cstheme="minorHAnsi"/>
          <w:b/>
          <w:color w:val="002060"/>
          <w:szCs w:val="20"/>
          <w:lang w:val="sr-Cyrl-CS" w:eastAsia="ja-JP"/>
        </w:rPr>
      </w:pPr>
      <w:bookmarkStart w:id="54" w:name="_Hlk179894256"/>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4</w:t>
      </w:r>
      <w:r w:rsidRPr="00F5596D">
        <w:rPr>
          <w:rFonts w:eastAsia="MS PGothic" w:cstheme="minorHAnsi"/>
          <w:b/>
          <w:color w:val="002060"/>
          <w:szCs w:val="20"/>
          <w:lang w:val="sr-Cyrl-CS" w:eastAsia="ja-JP"/>
        </w:rPr>
        <w:t>: Стање гарантованог дуга по кредиторима, млрд динара</w:t>
      </w:r>
    </w:p>
    <w:tbl>
      <w:tblPr>
        <w:tblW w:w="9228" w:type="dxa"/>
        <w:tblLook w:val="04A0" w:firstRow="1" w:lastRow="0" w:firstColumn="1" w:lastColumn="0" w:noHBand="0" w:noVBand="1"/>
      </w:tblPr>
      <w:tblGrid>
        <w:gridCol w:w="4134"/>
        <w:gridCol w:w="971"/>
        <w:gridCol w:w="971"/>
        <w:gridCol w:w="992"/>
        <w:gridCol w:w="1033"/>
        <w:gridCol w:w="1127"/>
      </w:tblGrid>
      <w:tr w:rsidR="00330999" w:rsidRPr="00F5596D" w14:paraId="1AAA1424" w14:textId="77777777" w:rsidTr="00E61B34">
        <w:trPr>
          <w:trHeight w:val="20"/>
        </w:trPr>
        <w:tc>
          <w:tcPr>
            <w:tcW w:w="4134" w:type="dxa"/>
            <w:tcBorders>
              <w:top w:val="single" w:sz="4" w:space="0" w:color="002060"/>
              <w:left w:val="nil"/>
              <w:bottom w:val="single" w:sz="4" w:space="0" w:color="002060"/>
              <w:right w:val="nil"/>
            </w:tcBorders>
            <w:shd w:val="clear" w:color="auto" w:fill="auto"/>
            <w:vAlign w:val="center"/>
            <w:hideMark/>
          </w:tcPr>
          <w:p w14:paraId="1224D77A"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Кредитори</w:t>
            </w:r>
          </w:p>
        </w:tc>
        <w:tc>
          <w:tcPr>
            <w:tcW w:w="971" w:type="dxa"/>
            <w:tcBorders>
              <w:top w:val="single" w:sz="4" w:space="0" w:color="002060"/>
              <w:left w:val="nil"/>
              <w:bottom w:val="single" w:sz="4" w:space="0" w:color="002060"/>
              <w:right w:val="nil"/>
            </w:tcBorders>
            <w:shd w:val="clear" w:color="auto" w:fill="auto"/>
            <w:vAlign w:val="center"/>
            <w:hideMark/>
          </w:tcPr>
          <w:p w14:paraId="2A6B1B7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2021</w:t>
            </w:r>
          </w:p>
        </w:tc>
        <w:tc>
          <w:tcPr>
            <w:tcW w:w="971" w:type="dxa"/>
            <w:tcBorders>
              <w:top w:val="single" w:sz="4" w:space="0" w:color="002060"/>
              <w:left w:val="nil"/>
              <w:bottom w:val="single" w:sz="4" w:space="0" w:color="002060"/>
              <w:right w:val="nil"/>
            </w:tcBorders>
            <w:shd w:val="clear" w:color="auto" w:fill="auto"/>
            <w:vAlign w:val="center"/>
            <w:hideMark/>
          </w:tcPr>
          <w:p w14:paraId="6A0899C3"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992" w:type="dxa"/>
            <w:tcBorders>
              <w:top w:val="single" w:sz="4" w:space="0" w:color="002060"/>
              <w:left w:val="nil"/>
              <w:bottom w:val="single" w:sz="4" w:space="0" w:color="002060"/>
              <w:right w:val="nil"/>
            </w:tcBorders>
            <w:shd w:val="clear" w:color="auto" w:fill="auto"/>
            <w:vAlign w:val="center"/>
            <w:hideMark/>
          </w:tcPr>
          <w:p w14:paraId="66FFB444"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033" w:type="dxa"/>
            <w:tcBorders>
              <w:top w:val="single" w:sz="4" w:space="0" w:color="002060"/>
              <w:left w:val="nil"/>
              <w:bottom w:val="single" w:sz="4" w:space="0" w:color="002060"/>
              <w:right w:val="nil"/>
            </w:tcBorders>
            <w:shd w:val="clear" w:color="auto" w:fill="auto"/>
            <w:vAlign w:val="center"/>
            <w:hideMark/>
          </w:tcPr>
          <w:p w14:paraId="7AB37A2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c>
          <w:tcPr>
            <w:tcW w:w="1127" w:type="dxa"/>
            <w:tcBorders>
              <w:top w:val="single" w:sz="4" w:space="0" w:color="002060"/>
              <w:left w:val="nil"/>
              <w:bottom w:val="single" w:sz="4" w:space="0" w:color="002060"/>
              <w:right w:val="nil"/>
            </w:tcBorders>
            <w:shd w:val="clear" w:color="auto" w:fill="auto"/>
            <w:vAlign w:val="center"/>
            <w:hideMark/>
          </w:tcPr>
          <w:p w14:paraId="5262281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31.3.2025.</w:t>
            </w:r>
          </w:p>
        </w:tc>
      </w:tr>
      <w:tr w:rsidR="00330999" w:rsidRPr="00F5596D" w14:paraId="3F748D4F" w14:textId="77777777" w:rsidTr="00E61B34">
        <w:trPr>
          <w:trHeight w:val="20"/>
        </w:trPr>
        <w:tc>
          <w:tcPr>
            <w:tcW w:w="4134" w:type="dxa"/>
            <w:tcBorders>
              <w:top w:val="nil"/>
              <w:left w:val="nil"/>
              <w:bottom w:val="nil"/>
              <w:right w:val="nil"/>
            </w:tcBorders>
            <w:shd w:val="clear" w:color="000000" w:fill="FFFFFF"/>
            <w:vAlign w:val="center"/>
            <w:hideMark/>
          </w:tcPr>
          <w:p w14:paraId="09D36B9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Кредити пословних банака</w:t>
            </w:r>
          </w:p>
        </w:tc>
        <w:tc>
          <w:tcPr>
            <w:tcW w:w="971" w:type="dxa"/>
            <w:tcBorders>
              <w:top w:val="nil"/>
              <w:left w:val="nil"/>
              <w:bottom w:val="nil"/>
              <w:right w:val="nil"/>
            </w:tcBorders>
            <w:shd w:val="clear" w:color="000000" w:fill="FFFFFF"/>
            <w:noWrap/>
            <w:vAlign w:val="center"/>
            <w:hideMark/>
          </w:tcPr>
          <w:p w14:paraId="0ED44B4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30,8 </w:t>
            </w:r>
          </w:p>
        </w:tc>
        <w:tc>
          <w:tcPr>
            <w:tcW w:w="971" w:type="dxa"/>
            <w:tcBorders>
              <w:top w:val="nil"/>
              <w:left w:val="nil"/>
              <w:bottom w:val="nil"/>
              <w:right w:val="nil"/>
            </w:tcBorders>
            <w:shd w:val="clear" w:color="000000" w:fill="FFFFFF"/>
            <w:noWrap/>
            <w:vAlign w:val="center"/>
            <w:hideMark/>
          </w:tcPr>
          <w:p w14:paraId="0158326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58,2 </w:t>
            </w:r>
          </w:p>
        </w:tc>
        <w:tc>
          <w:tcPr>
            <w:tcW w:w="992" w:type="dxa"/>
            <w:tcBorders>
              <w:top w:val="nil"/>
              <w:left w:val="nil"/>
              <w:bottom w:val="nil"/>
              <w:right w:val="nil"/>
            </w:tcBorders>
            <w:shd w:val="clear" w:color="000000" w:fill="FFFFFF"/>
            <w:noWrap/>
            <w:vAlign w:val="center"/>
            <w:hideMark/>
          </w:tcPr>
          <w:p w14:paraId="2F91F32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82,8 </w:t>
            </w:r>
          </w:p>
        </w:tc>
        <w:tc>
          <w:tcPr>
            <w:tcW w:w="1033" w:type="dxa"/>
            <w:tcBorders>
              <w:top w:val="nil"/>
              <w:left w:val="nil"/>
              <w:bottom w:val="nil"/>
              <w:right w:val="nil"/>
            </w:tcBorders>
            <w:shd w:val="clear" w:color="000000" w:fill="FFFFFF"/>
            <w:noWrap/>
            <w:vAlign w:val="center"/>
            <w:hideMark/>
          </w:tcPr>
          <w:p w14:paraId="0D2919C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78,3 </w:t>
            </w:r>
          </w:p>
        </w:tc>
        <w:tc>
          <w:tcPr>
            <w:tcW w:w="1127" w:type="dxa"/>
            <w:tcBorders>
              <w:top w:val="nil"/>
              <w:left w:val="nil"/>
              <w:bottom w:val="nil"/>
              <w:right w:val="nil"/>
            </w:tcBorders>
            <w:shd w:val="clear" w:color="000000" w:fill="FFFFFF"/>
            <w:noWrap/>
            <w:vAlign w:val="center"/>
            <w:hideMark/>
          </w:tcPr>
          <w:p w14:paraId="7CCF802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80,2 </w:t>
            </w:r>
          </w:p>
        </w:tc>
      </w:tr>
      <w:tr w:rsidR="00330999" w:rsidRPr="00F5596D" w14:paraId="0DD26710" w14:textId="77777777" w:rsidTr="00E61B34">
        <w:trPr>
          <w:trHeight w:val="20"/>
        </w:trPr>
        <w:tc>
          <w:tcPr>
            <w:tcW w:w="4134" w:type="dxa"/>
            <w:tcBorders>
              <w:top w:val="nil"/>
              <w:left w:val="nil"/>
              <w:bottom w:val="nil"/>
              <w:right w:val="nil"/>
            </w:tcBorders>
            <w:shd w:val="clear" w:color="000000" w:fill="FFFFFF"/>
            <w:noWrap/>
            <w:vAlign w:val="center"/>
            <w:hideMark/>
          </w:tcPr>
          <w:p w14:paraId="755DDAD9"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Европска банка за обнову и развој (EBRD)</w:t>
            </w:r>
          </w:p>
        </w:tc>
        <w:tc>
          <w:tcPr>
            <w:tcW w:w="971" w:type="dxa"/>
            <w:tcBorders>
              <w:top w:val="nil"/>
              <w:left w:val="nil"/>
              <w:bottom w:val="nil"/>
              <w:right w:val="nil"/>
            </w:tcBorders>
            <w:shd w:val="clear" w:color="000000" w:fill="FFFFFF"/>
            <w:noWrap/>
            <w:vAlign w:val="center"/>
            <w:hideMark/>
          </w:tcPr>
          <w:p w14:paraId="2CA1BE2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40,1 </w:t>
            </w:r>
          </w:p>
        </w:tc>
        <w:tc>
          <w:tcPr>
            <w:tcW w:w="971" w:type="dxa"/>
            <w:tcBorders>
              <w:top w:val="nil"/>
              <w:left w:val="nil"/>
              <w:bottom w:val="nil"/>
              <w:right w:val="nil"/>
            </w:tcBorders>
            <w:shd w:val="clear" w:color="000000" w:fill="FFFFFF"/>
            <w:noWrap/>
            <w:vAlign w:val="center"/>
            <w:hideMark/>
          </w:tcPr>
          <w:p w14:paraId="5408B9CE"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39,4 </w:t>
            </w:r>
          </w:p>
        </w:tc>
        <w:tc>
          <w:tcPr>
            <w:tcW w:w="992" w:type="dxa"/>
            <w:tcBorders>
              <w:top w:val="nil"/>
              <w:left w:val="nil"/>
              <w:bottom w:val="nil"/>
              <w:right w:val="nil"/>
            </w:tcBorders>
            <w:shd w:val="clear" w:color="000000" w:fill="FFFFFF"/>
            <w:noWrap/>
            <w:vAlign w:val="center"/>
            <w:hideMark/>
          </w:tcPr>
          <w:p w14:paraId="6DCCF34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54,6 </w:t>
            </w:r>
          </w:p>
        </w:tc>
        <w:tc>
          <w:tcPr>
            <w:tcW w:w="1033" w:type="dxa"/>
            <w:tcBorders>
              <w:top w:val="nil"/>
              <w:left w:val="nil"/>
              <w:bottom w:val="nil"/>
              <w:right w:val="nil"/>
            </w:tcBorders>
            <w:shd w:val="clear" w:color="000000" w:fill="FFFFFF"/>
            <w:noWrap/>
            <w:vAlign w:val="center"/>
            <w:hideMark/>
          </w:tcPr>
          <w:p w14:paraId="6A9E6DD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60,1 </w:t>
            </w:r>
          </w:p>
        </w:tc>
        <w:tc>
          <w:tcPr>
            <w:tcW w:w="1127" w:type="dxa"/>
            <w:tcBorders>
              <w:top w:val="nil"/>
              <w:left w:val="nil"/>
              <w:bottom w:val="nil"/>
              <w:right w:val="nil"/>
            </w:tcBorders>
            <w:shd w:val="clear" w:color="000000" w:fill="FFFFFF"/>
            <w:noWrap/>
            <w:vAlign w:val="center"/>
            <w:hideMark/>
          </w:tcPr>
          <w:p w14:paraId="5AE7E89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55,3 </w:t>
            </w:r>
          </w:p>
        </w:tc>
      </w:tr>
      <w:tr w:rsidR="00330999" w:rsidRPr="00F5596D" w14:paraId="496BF70D" w14:textId="77777777" w:rsidTr="00E61B34">
        <w:trPr>
          <w:trHeight w:val="20"/>
        </w:trPr>
        <w:tc>
          <w:tcPr>
            <w:tcW w:w="4134" w:type="dxa"/>
            <w:tcBorders>
              <w:top w:val="nil"/>
              <w:left w:val="nil"/>
              <w:bottom w:val="nil"/>
              <w:right w:val="nil"/>
            </w:tcBorders>
            <w:shd w:val="clear" w:color="000000" w:fill="FFFFFF"/>
            <w:noWrap/>
            <w:vAlign w:val="center"/>
            <w:hideMark/>
          </w:tcPr>
          <w:p w14:paraId="5BC8768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Европска инвестициона банка (EIB)</w:t>
            </w:r>
          </w:p>
        </w:tc>
        <w:tc>
          <w:tcPr>
            <w:tcW w:w="971" w:type="dxa"/>
            <w:tcBorders>
              <w:top w:val="nil"/>
              <w:left w:val="nil"/>
              <w:bottom w:val="nil"/>
              <w:right w:val="nil"/>
            </w:tcBorders>
            <w:shd w:val="clear" w:color="000000" w:fill="FFFFFF"/>
            <w:noWrap/>
            <w:vAlign w:val="center"/>
            <w:hideMark/>
          </w:tcPr>
          <w:p w14:paraId="3476F45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59,7 </w:t>
            </w:r>
          </w:p>
        </w:tc>
        <w:tc>
          <w:tcPr>
            <w:tcW w:w="971" w:type="dxa"/>
            <w:tcBorders>
              <w:top w:val="nil"/>
              <w:left w:val="nil"/>
              <w:bottom w:val="nil"/>
              <w:right w:val="nil"/>
            </w:tcBorders>
            <w:shd w:val="clear" w:color="000000" w:fill="FFFFFF"/>
            <w:noWrap/>
            <w:vAlign w:val="center"/>
            <w:hideMark/>
          </w:tcPr>
          <w:p w14:paraId="5288F11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53,5 </w:t>
            </w:r>
          </w:p>
        </w:tc>
        <w:tc>
          <w:tcPr>
            <w:tcW w:w="992" w:type="dxa"/>
            <w:tcBorders>
              <w:top w:val="nil"/>
              <w:left w:val="nil"/>
              <w:bottom w:val="nil"/>
              <w:right w:val="nil"/>
            </w:tcBorders>
            <w:shd w:val="clear" w:color="000000" w:fill="FFFFFF"/>
            <w:noWrap/>
            <w:vAlign w:val="center"/>
            <w:hideMark/>
          </w:tcPr>
          <w:p w14:paraId="6A95FBB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47,9 </w:t>
            </w:r>
          </w:p>
        </w:tc>
        <w:tc>
          <w:tcPr>
            <w:tcW w:w="1033" w:type="dxa"/>
            <w:tcBorders>
              <w:top w:val="nil"/>
              <w:left w:val="nil"/>
              <w:bottom w:val="nil"/>
              <w:right w:val="nil"/>
            </w:tcBorders>
            <w:shd w:val="clear" w:color="000000" w:fill="FFFFFF"/>
            <w:noWrap/>
            <w:vAlign w:val="center"/>
            <w:hideMark/>
          </w:tcPr>
          <w:p w14:paraId="16E7493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42,5 </w:t>
            </w:r>
          </w:p>
        </w:tc>
        <w:tc>
          <w:tcPr>
            <w:tcW w:w="1127" w:type="dxa"/>
            <w:tcBorders>
              <w:top w:val="nil"/>
              <w:left w:val="nil"/>
              <w:bottom w:val="nil"/>
              <w:right w:val="nil"/>
            </w:tcBorders>
            <w:shd w:val="clear" w:color="000000" w:fill="FFFFFF"/>
            <w:noWrap/>
            <w:vAlign w:val="center"/>
            <w:hideMark/>
          </w:tcPr>
          <w:p w14:paraId="41F0AEB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40,9 </w:t>
            </w:r>
          </w:p>
        </w:tc>
      </w:tr>
      <w:tr w:rsidR="00330999" w:rsidRPr="00F5596D" w14:paraId="1C6B1E2E" w14:textId="77777777" w:rsidTr="00E61B34">
        <w:trPr>
          <w:trHeight w:val="20"/>
        </w:trPr>
        <w:tc>
          <w:tcPr>
            <w:tcW w:w="4134" w:type="dxa"/>
            <w:tcBorders>
              <w:top w:val="nil"/>
              <w:left w:val="nil"/>
              <w:bottom w:val="nil"/>
              <w:right w:val="nil"/>
            </w:tcBorders>
            <w:shd w:val="clear" w:color="000000" w:fill="FFFFFF"/>
            <w:noWrap/>
            <w:vAlign w:val="center"/>
            <w:hideMark/>
          </w:tcPr>
          <w:p w14:paraId="4DF193A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Немачка развојна банка </w:t>
            </w:r>
          </w:p>
        </w:tc>
        <w:tc>
          <w:tcPr>
            <w:tcW w:w="971" w:type="dxa"/>
            <w:tcBorders>
              <w:top w:val="nil"/>
              <w:left w:val="nil"/>
              <w:bottom w:val="nil"/>
              <w:right w:val="nil"/>
            </w:tcBorders>
            <w:shd w:val="clear" w:color="000000" w:fill="FFFFFF"/>
            <w:noWrap/>
            <w:vAlign w:val="center"/>
            <w:hideMark/>
          </w:tcPr>
          <w:p w14:paraId="47B93C2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7,9 </w:t>
            </w:r>
          </w:p>
        </w:tc>
        <w:tc>
          <w:tcPr>
            <w:tcW w:w="971" w:type="dxa"/>
            <w:tcBorders>
              <w:top w:val="nil"/>
              <w:left w:val="nil"/>
              <w:bottom w:val="nil"/>
              <w:right w:val="nil"/>
            </w:tcBorders>
            <w:shd w:val="clear" w:color="000000" w:fill="FFFFFF"/>
            <w:noWrap/>
            <w:vAlign w:val="center"/>
            <w:hideMark/>
          </w:tcPr>
          <w:p w14:paraId="2845E55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9,3 </w:t>
            </w:r>
          </w:p>
        </w:tc>
        <w:tc>
          <w:tcPr>
            <w:tcW w:w="992" w:type="dxa"/>
            <w:tcBorders>
              <w:top w:val="nil"/>
              <w:left w:val="nil"/>
              <w:bottom w:val="nil"/>
              <w:right w:val="nil"/>
            </w:tcBorders>
            <w:shd w:val="clear" w:color="000000" w:fill="FFFFFF"/>
            <w:noWrap/>
            <w:vAlign w:val="center"/>
            <w:hideMark/>
          </w:tcPr>
          <w:p w14:paraId="1C7BD20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10,5 </w:t>
            </w:r>
          </w:p>
        </w:tc>
        <w:tc>
          <w:tcPr>
            <w:tcW w:w="1033" w:type="dxa"/>
            <w:tcBorders>
              <w:top w:val="nil"/>
              <w:left w:val="nil"/>
              <w:bottom w:val="nil"/>
              <w:right w:val="nil"/>
            </w:tcBorders>
            <w:shd w:val="clear" w:color="000000" w:fill="FFFFFF"/>
            <w:noWrap/>
            <w:vAlign w:val="center"/>
            <w:hideMark/>
          </w:tcPr>
          <w:p w14:paraId="55365DA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21,8 </w:t>
            </w:r>
          </w:p>
        </w:tc>
        <w:tc>
          <w:tcPr>
            <w:tcW w:w="1127" w:type="dxa"/>
            <w:tcBorders>
              <w:top w:val="nil"/>
              <w:left w:val="nil"/>
              <w:bottom w:val="nil"/>
              <w:right w:val="nil"/>
            </w:tcBorders>
            <w:shd w:val="clear" w:color="000000" w:fill="FFFFFF"/>
            <w:noWrap/>
            <w:vAlign w:val="center"/>
            <w:hideMark/>
          </w:tcPr>
          <w:p w14:paraId="21B4494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21,9 </w:t>
            </w:r>
          </w:p>
        </w:tc>
      </w:tr>
      <w:tr w:rsidR="00330999" w:rsidRPr="00F5596D" w14:paraId="48E9D827" w14:textId="77777777" w:rsidTr="00E61B34">
        <w:trPr>
          <w:trHeight w:val="20"/>
        </w:trPr>
        <w:tc>
          <w:tcPr>
            <w:tcW w:w="4134" w:type="dxa"/>
            <w:tcBorders>
              <w:top w:val="nil"/>
              <w:left w:val="nil"/>
              <w:bottom w:val="nil"/>
              <w:right w:val="nil"/>
            </w:tcBorders>
            <w:shd w:val="clear" w:color="000000" w:fill="FFFFFF"/>
            <w:noWrap/>
            <w:vAlign w:val="center"/>
            <w:hideMark/>
          </w:tcPr>
          <w:p w14:paraId="54717CD6"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Јапанска агенција за међународну сарадњу</w:t>
            </w:r>
          </w:p>
        </w:tc>
        <w:tc>
          <w:tcPr>
            <w:tcW w:w="971" w:type="dxa"/>
            <w:tcBorders>
              <w:top w:val="nil"/>
              <w:left w:val="nil"/>
              <w:bottom w:val="nil"/>
              <w:right w:val="nil"/>
            </w:tcBorders>
            <w:shd w:val="clear" w:color="000000" w:fill="FFFFFF"/>
            <w:noWrap/>
            <w:vAlign w:val="center"/>
            <w:hideMark/>
          </w:tcPr>
          <w:p w14:paraId="20CF0B7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16,0 </w:t>
            </w:r>
          </w:p>
        </w:tc>
        <w:tc>
          <w:tcPr>
            <w:tcW w:w="971" w:type="dxa"/>
            <w:tcBorders>
              <w:top w:val="nil"/>
              <w:left w:val="nil"/>
              <w:bottom w:val="nil"/>
              <w:right w:val="nil"/>
            </w:tcBorders>
            <w:shd w:val="clear" w:color="000000" w:fill="FFFFFF"/>
            <w:noWrap/>
            <w:vAlign w:val="center"/>
            <w:hideMark/>
          </w:tcPr>
          <w:p w14:paraId="41F69E8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17,1 </w:t>
            </w:r>
          </w:p>
        </w:tc>
        <w:tc>
          <w:tcPr>
            <w:tcW w:w="992" w:type="dxa"/>
            <w:tcBorders>
              <w:top w:val="nil"/>
              <w:left w:val="nil"/>
              <w:bottom w:val="nil"/>
              <w:right w:val="nil"/>
            </w:tcBorders>
            <w:shd w:val="clear" w:color="000000" w:fill="FFFFFF"/>
            <w:noWrap/>
            <w:vAlign w:val="center"/>
            <w:hideMark/>
          </w:tcPr>
          <w:p w14:paraId="2D2C8EE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13,7 </w:t>
            </w:r>
          </w:p>
        </w:tc>
        <w:tc>
          <w:tcPr>
            <w:tcW w:w="1033" w:type="dxa"/>
            <w:tcBorders>
              <w:top w:val="nil"/>
              <w:left w:val="nil"/>
              <w:bottom w:val="nil"/>
              <w:right w:val="nil"/>
            </w:tcBorders>
            <w:shd w:val="clear" w:color="000000" w:fill="FFFFFF"/>
            <w:noWrap/>
            <w:vAlign w:val="center"/>
            <w:hideMark/>
          </w:tcPr>
          <w:p w14:paraId="21727F3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8,8 </w:t>
            </w:r>
          </w:p>
        </w:tc>
        <w:tc>
          <w:tcPr>
            <w:tcW w:w="1127" w:type="dxa"/>
            <w:tcBorders>
              <w:top w:val="nil"/>
              <w:left w:val="nil"/>
              <w:bottom w:val="nil"/>
              <w:right w:val="nil"/>
            </w:tcBorders>
            <w:shd w:val="clear" w:color="000000" w:fill="FFFFFF"/>
            <w:noWrap/>
            <w:vAlign w:val="center"/>
            <w:hideMark/>
          </w:tcPr>
          <w:p w14:paraId="4088532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8,9 </w:t>
            </w:r>
          </w:p>
        </w:tc>
      </w:tr>
      <w:tr w:rsidR="00330999" w:rsidRPr="00F5596D" w14:paraId="03440C2D" w14:textId="77777777" w:rsidTr="00E61B34">
        <w:trPr>
          <w:trHeight w:val="20"/>
        </w:trPr>
        <w:tc>
          <w:tcPr>
            <w:tcW w:w="4134" w:type="dxa"/>
            <w:tcBorders>
              <w:top w:val="nil"/>
              <w:left w:val="nil"/>
              <w:bottom w:val="nil"/>
              <w:right w:val="nil"/>
            </w:tcBorders>
            <w:shd w:val="clear" w:color="000000" w:fill="FFFFFF"/>
            <w:noWrap/>
            <w:vAlign w:val="center"/>
            <w:hideMark/>
          </w:tcPr>
          <w:p w14:paraId="4E162EBA"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Остали</w:t>
            </w:r>
          </w:p>
        </w:tc>
        <w:tc>
          <w:tcPr>
            <w:tcW w:w="971" w:type="dxa"/>
            <w:tcBorders>
              <w:top w:val="nil"/>
              <w:left w:val="nil"/>
              <w:bottom w:val="nil"/>
              <w:right w:val="nil"/>
            </w:tcBorders>
            <w:shd w:val="clear" w:color="000000" w:fill="FFFFFF"/>
            <w:noWrap/>
            <w:vAlign w:val="center"/>
            <w:hideMark/>
          </w:tcPr>
          <w:p w14:paraId="440B784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8,0 </w:t>
            </w:r>
          </w:p>
        </w:tc>
        <w:tc>
          <w:tcPr>
            <w:tcW w:w="971" w:type="dxa"/>
            <w:tcBorders>
              <w:top w:val="nil"/>
              <w:left w:val="nil"/>
              <w:bottom w:val="nil"/>
              <w:right w:val="nil"/>
            </w:tcBorders>
            <w:shd w:val="clear" w:color="000000" w:fill="FFFFFF"/>
            <w:noWrap/>
            <w:vAlign w:val="center"/>
            <w:hideMark/>
          </w:tcPr>
          <w:p w14:paraId="0711118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4,0 </w:t>
            </w:r>
          </w:p>
        </w:tc>
        <w:tc>
          <w:tcPr>
            <w:tcW w:w="992" w:type="dxa"/>
            <w:tcBorders>
              <w:top w:val="nil"/>
              <w:left w:val="nil"/>
              <w:bottom w:val="nil"/>
              <w:right w:val="nil"/>
            </w:tcBorders>
            <w:shd w:val="clear" w:color="000000" w:fill="FFFFFF"/>
            <w:noWrap/>
            <w:vAlign w:val="center"/>
            <w:hideMark/>
          </w:tcPr>
          <w:p w14:paraId="34DB5A6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3,3 </w:t>
            </w:r>
          </w:p>
        </w:tc>
        <w:tc>
          <w:tcPr>
            <w:tcW w:w="1033" w:type="dxa"/>
            <w:tcBorders>
              <w:top w:val="nil"/>
              <w:left w:val="nil"/>
              <w:bottom w:val="nil"/>
              <w:right w:val="nil"/>
            </w:tcBorders>
            <w:shd w:val="clear" w:color="000000" w:fill="FFFFFF"/>
            <w:noWrap/>
            <w:vAlign w:val="center"/>
            <w:hideMark/>
          </w:tcPr>
          <w:p w14:paraId="5E28689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2,8 </w:t>
            </w:r>
          </w:p>
        </w:tc>
        <w:tc>
          <w:tcPr>
            <w:tcW w:w="1127" w:type="dxa"/>
            <w:tcBorders>
              <w:top w:val="nil"/>
              <w:left w:val="nil"/>
              <w:bottom w:val="nil"/>
              <w:right w:val="nil"/>
            </w:tcBorders>
            <w:shd w:val="clear" w:color="000000" w:fill="FFFFFF"/>
            <w:noWrap/>
            <w:vAlign w:val="center"/>
            <w:hideMark/>
          </w:tcPr>
          <w:p w14:paraId="4F40C7F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2,5 </w:t>
            </w:r>
          </w:p>
        </w:tc>
      </w:tr>
      <w:tr w:rsidR="00330999" w:rsidRPr="00F5596D" w14:paraId="24BF938D" w14:textId="77777777" w:rsidTr="00E61B34">
        <w:trPr>
          <w:trHeight w:val="20"/>
        </w:trPr>
        <w:tc>
          <w:tcPr>
            <w:tcW w:w="4134" w:type="dxa"/>
            <w:tcBorders>
              <w:top w:val="single" w:sz="4" w:space="0" w:color="002060"/>
              <w:left w:val="nil"/>
              <w:bottom w:val="single" w:sz="4" w:space="0" w:color="002060"/>
              <w:right w:val="nil"/>
            </w:tcBorders>
            <w:shd w:val="clear" w:color="auto" w:fill="auto"/>
            <w:noWrap/>
            <w:vAlign w:val="center"/>
            <w:hideMark/>
          </w:tcPr>
          <w:p w14:paraId="6493CBB9"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Укупно:</w:t>
            </w:r>
          </w:p>
        </w:tc>
        <w:tc>
          <w:tcPr>
            <w:tcW w:w="971" w:type="dxa"/>
            <w:tcBorders>
              <w:top w:val="single" w:sz="4" w:space="0" w:color="002060"/>
              <w:left w:val="nil"/>
              <w:bottom w:val="single" w:sz="4" w:space="0" w:color="002060"/>
              <w:right w:val="nil"/>
            </w:tcBorders>
            <w:shd w:val="clear" w:color="auto" w:fill="auto"/>
            <w:noWrap/>
            <w:vAlign w:val="center"/>
            <w:hideMark/>
          </w:tcPr>
          <w:p w14:paraId="14FB6CF3"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162,5 </w:t>
            </w:r>
          </w:p>
        </w:tc>
        <w:tc>
          <w:tcPr>
            <w:tcW w:w="971" w:type="dxa"/>
            <w:tcBorders>
              <w:top w:val="single" w:sz="4" w:space="0" w:color="002060"/>
              <w:left w:val="nil"/>
              <w:bottom w:val="single" w:sz="4" w:space="0" w:color="002060"/>
              <w:right w:val="nil"/>
            </w:tcBorders>
            <w:shd w:val="clear" w:color="auto" w:fill="auto"/>
            <w:noWrap/>
            <w:vAlign w:val="center"/>
            <w:hideMark/>
          </w:tcPr>
          <w:p w14:paraId="0C8F709C"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181,4 </w:t>
            </w:r>
          </w:p>
        </w:tc>
        <w:tc>
          <w:tcPr>
            <w:tcW w:w="992" w:type="dxa"/>
            <w:tcBorders>
              <w:top w:val="single" w:sz="4" w:space="0" w:color="002060"/>
              <w:left w:val="nil"/>
              <w:bottom w:val="single" w:sz="4" w:space="0" w:color="002060"/>
              <w:right w:val="nil"/>
            </w:tcBorders>
            <w:shd w:val="clear" w:color="auto" w:fill="auto"/>
            <w:noWrap/>
            <w:vAlign w:val="center"/>
            <w:hideMark/>
          </w:tcPr>
          <w:p w14:paraId="75DFCB5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212,8 </w:t>
            </w:r>
          </w:p>
        </w:tc>
        <w:tc>
          <w:tcPr>
            <w:tcW w:w="1033" w:type="dxa"/>
            <w:tcBorders>
              <w:top w:val="single" w:sz="4" w:space="0" w:color="002060"/>
              <w:left w:val="nil"/>
              <w:bottom w:val="single" w:sz="4" w:space="0" w:color="002060"/>
              <w:right w:val="nil"/>
            </w:tcBorders>
            <w:shd w:val="clear" w:color="auto" w:fill="auto"/>
            <w:noWrap/>
            <w:vAlign w:val="center"/>
            <w:hideMark/>
          </w:tcPr>
          <w:p w14:paraId="2588AB1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214,4 </w:t>
            </w:r>
          </w:p>
        </w:tc>
        <w:tc>
          <w:tcPr>
            <w:tcW w:w="1127" w:type="dxa"/>
            <w:tcBorders>
              <w:top w:val="single" w:sz="4" w:space="0" w:color="002060"/>
              <w:left w:val="nil"/>
              <w:bottom w:val="single" w:sz="4" w:space="0" w:color="002060"/>
              <w:right w:val="nil"/>
            </w:tcBorders>
            <w:shd w:val="clear" w:color="auto" w:fill="auto"/>
            <w:noWrap/>
            <w:vAlign w:val="center"/>
            <w:hideMark/>
          </w:tcPr>
          <w:p w14:paraId="0717525E"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209,8 </w:t>
            </w:r>
          </w:p>
        </w:tc>
      </w:tr>
    </w:tbl>
    <w:p w14:paraId="648C52ED" w14:textId="77777777" w:rsidR="00330999" w:rsidRPr="00F5596D" w:rsidRDefault="00330999" w:rsidP="00330999">
      <w:pPr>
        <w:spacing w:after="120" w:line="276" w:lineRule="auto"/>
        <w:rPr>
          <w:rFonts w:eastAsia="MS PGothic" w:cstheme="minorHAnsi"/>
          <w:sz w:val="16"/>
          <w:szCs w:val="16"/>
          <w:lang w:val="sr-Cyrl-CS" w:eastAsia="ja-JP"/>
        </w:rPr>
        <w:sectPr w:rsidR="00330999" w:rsidRPr="00F5596D" w:rsidSect="00E61B34">
          <w:type w:val="continuous"/>
          <w:pgSz w:w="12240" w:h="15840"/>
          <w:pgMar w:top="1440" w:right="1440" w:bottom="1440" w:left="1440" w:header="720" w:footer="720" w:gutter="0"/>
          <w:cols w:space="720"/>
          <w:docGrid w:linePitch="360"/>
        </w:sectPr>
      </w:pPr>
      <w:r w:rsidRPr="00F5596D">
        <w:rPr>
          <w:rFonts w:eastAsia="MS PGothic" w:cstheme="minorHAnsi"/>
          <w:sz w:val="16"/>
          <w:szCs w:val="16"/>
          <w:lang w:val="sr-Cyrl-CS" w:eastAsia="ja-JP"/>
        </w:rPr>
        <w:t>Извор: Министарство финансија</w:t>
      </w:r>
      <w:bookmarkEnd w:id="54"/>
    </w:p>
    <w:p w14:paraId="76562B9B"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Главницa по основу гарантованих кредита, сервисиранa из буџета Републике Србије у 2024. години износилa je 30,4 млрд динара (2023. година 27,2 млрд динара), од чега 27,9 млрд динара утиче на дефицит. Рачуноводствена методологија, до 2014. године, није у расходе </w:t>
      </w:r>
      <w:r w:rsidRPr="00F5596D">
        <w:rPr>
          <w:rFonts w:eastAsia="MS PGothic" w:cstheme="minorHAnsi"/>
          <w:szCs w:val="20"/>
          <w:lang w:val="sr-Cyrl-CS" w:eastAsia="ja-JP"/>
        </w:rPr>
        <w:t>укључивала отплате по основу гаранција. Од 2014. године део ових расхода је укључен у расходе буџета. Независно од буџетског и рачуноводственог приказа, дуг који уместо главног дужника плаћа држава повећава укупне потребе за задуживањем.</w:t>
      </w:r>
    </w:p>
    <w:p w14:paraId="62D3CD85" w14:textId="77777777" w:rsidR="00330999" w:rsidRPr="00F5596D" w:rsidRDefault="00330999" w:rsidP="00D715E6">
      <w:pPr>
        <w:spacing w:after="0" w:line="276" w:lineRule="auto"/>
        <w:rPr>
          <w:rFonts w:eastAsia="MS PGothic" w:cstheme="minorHAnsi"/>
          <w:b/>
          <w:color w:val="002060"/>
          <w:szCs w:val="20"/>
          <w:highlight w:val="yellow"/>
          <w:lang w:val="sr-Cyrl-CS" w:eastAsia="ja-JP"/>
        </w:rPr>
        <w:sectPr w:rsidR="00330999" w:rsidRPr="00F5596D" w:rsidSect="00E61B34">
          <w:type w:val="continuous"/>
          <w:pgSz w:w="12240" w:h="15840"/>
          <w:pgMar w:top="1440" w:right="1440" w:bottom="1440" w:left="1440" w:header="720" w:footer="720" w:gutter="0"/>
          <w:cols w:num="2" w:space="720"/>
          <w:docGrid w:linePitch="360"/>
        </w:sectPr>
      </w:pPr>
    </w:p>
    <w:p w14:paraId="7224AAE4" w14:textId="7C8C00FD" w:rsidR="00330999" w:rsidRPr="00F5596D" w:rsidRDefault="00330999" w:rsidP="00D715E6">
      <w:pPr>
        <w:spacing w:after="40" w:line="276" w:lineRule="auto"/>
        <w:rPr>
          <w:rFonts w:eastAsia="MS PGothic" w:cstheme="minorHAnsi"/>
          <w:b/>
          <w:color w:val="002060"/>
          <w:szCs w:val="20"/>
          <w:lang w:val="sr-Cyrl-CS" w:eastAsia="ja-JP"/>
        </w:rPr>
      </w:pPr>
    </w:p>
    <w:p w14:paraId="155F75BC" w14:textId="77777777" w:rsidR="004F4BC8" w:rsidRPr="00F5596D" w:rsidRDefault="004F4BC8" w:rsidP="00330999">
      <w:pPr>
        <w:spacing w:after="40" w:line="276" w:lineRule="auto"/>
        <w:jc w:val="center"/>
        <w:rPr>
          <w:rFonts w:eastAsia="MS PGothic" w:cstheme="minorHAnsi"/>
          <w:b/>
          <w:color w:val="002060"/>
          <w:szCs w:val="20"/>
          <w:lang w:val="sr-Cyrl-CS" w:eastAsia="ja-JP"/>
        </w:rPr>
      </w:pPr>
    </w:p>
    <w:p w14:paraId="29D6E852" w14:textId="77777777" w:rsidR="004F4BC8" w:rsidRPr="00F5596D" w:rsidRDefault="004F4BC8" w:rsidP="00330999">
      <w:pPr>
        <w:spacing w:after="40" w:line="276" w:lineRule="auto"/>
        <w:jc w:val="center"/>
        <w:rPr>
          <w:rFonts w:eastAsia="MS PGothic" w:cstheme="minorHAnsi"/>
          <w:b/>
          <w:color w:val="002060"/>
          <w:szCs w:val="20"/>
          <w:lang w:val="sr-Cyrl-CS" w:eastAsia="ja-JP"/>
        </w:rPr>
      </w:pPr>
    </w:p>
    <w:p w14:paraId="76B61D8F" w14:textId="77777777" w:rsidR="004F4BC8" w:rsidRPr="00F5596D" w:rsidRDefault="004F4BC8" w:rsidP="00330999">
      <w:pPr>
        <w:spacing w:after="40" w:line="276" w:lineRule="auto"/>
        <w:jc w:val="center"/>
        <w:rPr>
          <w:rFonts w:eastAsia="MS PGothic" w:cstheme="minorHAnsi"/>
          <w:b/>
          <w:color w:val="002060"/>
          <w:szCs w:val="20"/>
          <w:lang w:val="sr-Cyrl-CS" w:eastAsia="ja-JP"/>
        </w:rPr>
      </w:pPr>
    </w:p>
    <w:p w14:paraId="6F5BA851" w14:textId="77777777" w:rsidR="00AF2DEB" w:rsidRPr="00F5596D" w:rsidRDefault="00AF2DEB" w:rsidP="00330999">
      <w:pPr>
        <w:spacing w:after="40" w:line="276" w:lineRule="auto"/>
        <w:jc w:val="center"/>
        <w:rPr>
          <w:rFonts w:eastAsia="MS PGothic" w:cstheme="minorHAnsi"/>
          <w:b/>
          <w:color w:val="002060"/>
          <w:szCs w:val="20"/>
          <w:lang w:val="sr-Cyrl-CS" w:eastAsia="ja-JP"/>
        </w:rPr>
      </w:pPr>
    </w:p>
    <w:p w14:paraId="518CB7DD" w14:textId="77777777" w:rsidR="00AF2DEB" w:rsidRPr="00F5596D" w:rsidRDefault="00AF2DEB" w:rsidP="00330999">
      <w:pPr>
        <w:spacing w:after="40" w:line="276" w:lineRule="auto"/>
        <w:jc w:val="center"/>
        <w:rPr>
          <w:rFonts w:eastAsia="MS PGothic" w:cstheme="minorHAnsi"/>
          <w:b/>
          <w:color w:val="002060"/>
          <w:szCs w:val="20"/>
          <w:lang w:val="sr-Cyrl-CS" w:eastAsia="ja-JP"/>
        </w:rPr>
      </w:pPr>
    </w:p>
    <w:p w14:paraId="3457AF18" w14:textId="77777777" w:rsidR="00AF2DEB" w:rsidRPr="00F5596D" w:rsidRDefault="00AF2DEB" w:rsidP="00330999">
      <w:pPr>
        <w:spacing w:after="40" w:line="276" w:lineRule="auto"/>
        <w:jc w:val="center"/>
        <w:rPr>
          <w:rFonts w:eastAsia="MS PGothic" w:cstheme="minorHAnsi"/>
          <w:b/>
          <w:color w:val="002060"/>
          <w:szCs w:val="20"/>
          <w:lang w:val="sr-Cyrl-CS" w:eastAsia="ja-JP"/>
        </w:rPr>
      </w:pPr>
    </w:p>
    <w:p w14:paraId="77CB805E" w14:textId="77777777" w:rsidR="00AF2DEB" w:rsidRPr="00F5596D" w:rsidRDefault="00AF2DEB" w:rsidP="00330999">
      <w:pPr>
        <w:spacing w:after="40" w:line="276" w:lineRule="auto"/>
        <w:jc w:val="center"/>
        <w:rPr>
          <w:rFonts w:eastAsia="MS PGothic" w:cstheme="minorHAnsi"/>
          <w:b/>
          <w:color w:val="002060"/>
          <w:szCs w:val="20"/>
          <w:lang w:val="sr-Cyrl-CS" w:eastAsia="ja-JP"/>
        </w:rPr>
      </w:pPr>
    </w:p>
    <w:p w14:paraId="03BCEBB0" w14:textId="1CAB6EEF" w:rsidR="00330999" w:rsidRPr="00F5596D" w:rsidRDefault="00330999" w:rsidP="00330999">
      <w:pPr>
        <w:spacing w:after="40" w:line="276" w:lineRule="auto"/>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Укупна отплата по основу гаранција сервисираних из буџета Републике Србије, млрд динара</w:t>
      </w:r>
    </w:p>
    <w:p w14:paraId="01AA5FFC" w14:textId="77777777" w:rsidR="00330999" w:rsidRPr="00F5596D" w:rsidRDefault="00330999" w:rsidP="00330999">
      <w:pPr>
        <w:spacing w:after="40" w:line="276" w:lineRule="auto"/>
        <w:jc w:val="center"/>
        <w:rPr>
          <w:noProof/>
          <w:lang w:val="sr-Cyrl-CS"/>
        </w:rPr>
      </w:pPr>
      <w:r w:rsidRPr="00F5596D">
        <w:rPr>
          <w:noProof/>
        </w:rPr>
        <w:drawing>
          <wp:inline distT="0" distB="0" distL="0" distR="0" wp14:anchorId="45F84FDA" wp14:editId="0F4FF711">
            <wp:extent cx="5943600" cy="2460171"/>
            <wp:effectExtent l="0" t="0" r="0" b="0"/>
            <wp:docPr id="99" name="Chart 99">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0030FDFF" w14:textId="77777777" w:rsidR="00330999" w:rsidRPr="00F5596D" w:rsidRDefault="00330999" w:rsidP="00330999">
      <w:pPr>
        <w:spacing w:after="40" w:line="276" w:lineRule="auto"/>
        <w:jc w:val="center"/>
        <w:rPr>
          <w:rFonts w:eastAsia="MS PGothic" w:cstheme="minorHAnsi"/>
          <w:b/>
          <w:color w:val="002060"/>
          <w:szCs w:val="20"/>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728CE2FF" w14:textId="77777777" w:rsidR="00330999" w:rsidRPr="00F5596D" w:rsidRDefault="00330999" w:rsidP="00330999">
      <w:pPr>
        <w:spacing w:after="120" w:line="257" w:lineRule="auto"/>
        <w:rPr>
          <w:rFonts w:eastAsia="MS PGothic" w:cstheme="minorHAnsi"/>
          <w:szCs w:val="20"/>
          <w:lang w:val="sr-Cyrl-CS" w:eastAsia="ja-JP"/>
        </w:rPr>
      </w:pPr>
      <w:r w:rsidRPr="00F5596D">
        <w:rPr>
          <w:rFonts w:eastAsia="MS PGothic" w:cstheme="minorHAnsi"/>
          <w:szCs w:val="20"/>
          <w:lang w:val="sr-Cyrl-CS" w:eastAsia="ja-JP"/>
        </w:rPr>
        <w:t>Индиректни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Изменама Закона о јавном дугу Република Србија може дати гаранције само ако се средствима кредита за који се даје гаранција финансирају капитална улагања дужника. Гаранција државе не може се дати ако се средствима кредита финансира текуће пословање односно ликвидност дужника. Изменама Закона о Фонду за развој Републике Србије онемогућено је даље давање контрагаранција за гаранције издате од стране Фонда за развој Републике Србије.</w:t>
      </w:r>
    </w:p>
    <w:p w14:paraId="0830A093" w14:textId="2AAFEE43" w:rsidR="003E0450" w:rsidRPr="00F5596D" w:rsidRDefault="00330999" w:rsidP="004F4BC8">
      <w:pPr>
        <w:spacing w:after="120" w:line="257" w:lineRule="auto"/>
        <w:rPr>
          <w:rFonts w:eastAsia="MS PGothic" w:cstheme="minorHAnsi"/>
          <w:szCs w:val="20"/>
          <w:lang w:val="sr-Cyrl-CS" w:eastAsia="ja-JP"/>
        </w:rPr>
      </w:pPr>
      <w:r w:rsidRPr="00F5596D">
        <w:rPr>
          <w:rFonts w:eastAsia="MS PGothic" w:cstheme="minorHAnsi"/>
          <w:szCs w:val="20"/>
          <w:lang w:val="sr-Cyrl-CS" w:eastAsia="ja-JP"/>
        </w:rPr>
        <w:t xml:space="preserve">Поред ограничења у издавању државних гаранција кључни корак у смањењу и отклањању фискалних ризика по овом основу је у реформи </w:t>
      </w:r>
      <w:r w:rsidRPr="00F5596D">
        <w:rPr>
          <w:rFonts w:eastAsia="MS PGothic" w:cstheme="minorHAnsi"/>
          <w:szCs w:val="20"/>
          <w:lang w:val="sr-Cyrl-CS" w:eastAsia="ja-JP"/>
        </w:rPr>
        <w:t>државних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w:t>
      </w:r>
      <w:r w:rsidR="004F4BC8" w:rsidRPr="00F5596D">
        <w:rPr>
          <w:rFonts w:eastAsia="MS PGothic" w:cstheme="minorHAnsi"/>
          <w:szCs w:val="20"/>
          <w:lang w:val="sr-Cyrl-CS" w:eastAsia="ja-JP"/>
        </w:rPr>
        <w:t>ним финансијским институцијама.</w:t>
      </w:r>
    </w:p>
    <w:p w14:paraId="43B3F679" w14:textId="64AD751B" w:rsidR="003E0450" w:rsidRPr="00F5596D" w:rsidRDefault="00330999" w:rsidP="00330999">
      <w:pPr>
        <w:spacing w:after="240" w:line="257" w:lineRule="auto"/>
        <w:rPr>
          <w:rFonts w:eastAsia="MS PGothic" w:cstheme="minorHAnsi"/>
          <w:b/>
          <w:color w:val="002060"/>
          <w:szCs w:val="20"/>
          <w:highlight w:val="yellow"/>
          <w:lang w:val="sr-Cyrl-CS" w:eastAsia="ja-JP"/>
        </w:rPr>
      </w:pPr>
      <w:r w:rsidRPr="00F5596D">
        <w:rPr>
          <w:rFonts w:eastAsia="MS PGothic" w:cstheme="minorHAnsi"/>
          <w:szCs w:val="20"/>
          <w:lang w:val="sr-Cyrl-CS" w:eastAsia="ja-JP"/>
        </w:rPr>
        <w:t>Законом о буџету Републике Србије за 2025. годину планирано је издавање гаранција највише до 365 млрд динара. Чланом 41</w:t>
      </w:r>
      <w:r w:rsidR="003E0450" w:rsidRPr="00F5596D">
        <w:rPr>
          <w:rFonts w:eastAsia="MS PGothic" w:cstheme="minorHAnsi"/>
          <w:szCs w:val="20"/>
          <w:lang w:val="sr-Cyrl-CS" w:eastAsia="ja-JP"/>
        </w:rPr>
        <w:t>. Закона о буџету Републике Србије омогућено је да се обим издатих гаранција повећа, ради очувања и јачања финансијске</w:t>
      </w:r>
      <w:r w:rsidR="00F5596D">
        <w:rPr>
          <w:rFonts w:eastAsia="MS PGothic" w:cstheme="minorHAnsi"/>
          <w:szCs w:val="20"/>
          <w:lang w:val="sr-Cyrl-CS" w:eastAsia="ja-JP"/>
        </w:rPr>
        <w:t xml:space="preserve"> </w:t>
      </w:r>
      <w:r w:rsidR="003E0450" w:rsidRPr="00F5596D">
        <w:rPr>
          <w:rFonts w:eastAsia="MS PGothic" w:cstheme="minorHAnsi"/>
          <w:szCs w:val="20"/>
          <w:lang w:val="sr-Cyrl-CS" w:eastAsia="ja-JP"/>
        </w:rPr>
        <w:t>стабилности или спречавања наступања или отклањања последица ванредних околности које могу да угрозе живот и здравље људи или да проузрокују штету већих размера, у износу до 20 млрд динара, а на предлог министарства надлежног за послове финансија.</w:t>
      </w:r>
    </w:p>
    <w:p w14:paraId="746FAD72" w14:textId="77777777" w:rsidR="003E0450" w:rsidRPr="00F5596D" w:rsidRDefault="003E0450" w:rsidP="00330999">
      <w:pPr>
        <w:spacing w:after="240" w:line="257" w:lineRule="auto"/>
        <w:rPr>
          <w:rFonts w:eastAsia="MS PGothic" w:cstheme="minorHAnsi"/>
          <w:b/>
          <w:color w:val="002060"/>
          <w:szCs w:val="20"/>
          <w:highlight w:val="yellow"/>
          <w:lang w:val="sr-Cyrl-CS" w:eastAsia="ja-JP"/>
        </w:rPr>
        <w:sectPr w:rsidR="003E0450" w:rsidRPr="00F5596D" w:rsidSect="00E61B34">
          <w:type w:val="continuous"/>
          <w:pgSz w:w="12240" w:h="15840"/>
          <w:pgMar w:top="1440" w:right="1440" w:bottom="1440" w:left="1440" w:header="720" w:footer="720" w:gutter="0"/>
          <w:cols w:num="2" w:space="720"/>
          <w:docGrid w:linePitch="360"/>
        </w:sectPr>
      </w:pPr>
    </w:p>
    <w:p w14:paraId="401D2657" w14:textId="129DCE34"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5</w:t>
      </w:r>
      <w:r w:rsidRPr="00F5596D">
        <w:rPr>
          <w:rFonts w:eastAsia="MS PGothic" w:cstheme="minorHAnsi"/>
          <w:b/>
          <w:color w:val="002060"/>
          <w:szCs w:val="20"/>
          <w:lang w:val="sr-Cyrl-CS" w:eastAsia="ja-JP"/>
        </w:rPr>
        <w:t>. План издавања гаранција у 2025. години, млрд динара</w:t>
      </w:r>
    </w:p>
    <w:tbl>
      <w:tblPr>
        <w:tblW w:w="9790" w:type="dxa"/>
        <w:tblInd w:w="-210" w:type="dxa"/>
        <w:tblLook w:val="04A0" w:firstRow="1" w:lastRow="0" w:firstColumn="1" w:lastColumn="0" w:noHBand="0" w:noVBand="1"/>
      </w:tblPr>
      <w:tblGrid>
        <w:gridCol w:w="2362"/>
        <w:gridCol w:w="979"/>
        <w:gridCol w:w="1030"/>
        <w:gridCol w:w="1202"/>
        <w:gridCol w:w="888"/>
        <w:gridCol w:w="1134"/>
        <w:gridCol w:w="657"/>
        <w:gridCol w:w="577"/>
        <w:gridCol w:w="1273"/>
      </w:tblGrid>
      <w:tr w:rsidR="00330999" w:rsidRPr="00F5596D" w14:paraId="7E233141" w14:textId="77777777" w:rsidTr="00E61B34">
        <w:trPr>
          <w:trHeight w:val="20"/>
          <w:tblHeader/>
        </w:trPr>
        <w:tc>
          <w:tcPr>
            <w:tcW w:w="2362" w:type="dxa"/>
            <w:tcBorders>
              <w:top w:val="single" w:sz="4" w:space="0" w:color="002060"/>
              <w:left w:val="nil"/>
              <w:bottom w:val="single" w:sz="4" w:space="0" w:color="002060"/>
              <w:right w:val="nil"/>
            </w:tcBorders>
            <w:shd w:val="clear" w:color="auto" w:fill="auto"/>
            <w:vAlign w:val="center"/>
            <w:hideMark/>
          </w:tcPr>
          <w:p w14:paraId="39549DE4"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Корисници</w:t>
            </w:r>
          </w:p>
        </w:tc>
        <w:tc>
          <w:tcPr>
            <w:tcW w:w="895" w:type="dxa"/>
            <w:tcBorders>
              <w:top w:val="single" w:sz="4" w:space="0" w:color="002060"/>
              <w:left w:val="nil"/>
              <w:bottom w:val="single" w:sz="4" w:space="0" w:color="002060"/>
              <w:right w:val="nil"/>
            </w:tcBorders>
            <w:shd w:val="clear" w:color="auto" w:fill="auto"/>
            <w:vAlign w:val="center"/>
            <w:hideMark/>
          </w:tcPr>
          <w:p w14:paraId="7E39F5D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Број </w:t>
            </w:r>
            <w:r w:rsidRPr="00F5596D">
              <w:rPr>
                <w:rFonts w:ascii="Calibri" w:eastAsia="Times New Roman" w:hAnsi="Calibri" w:cs="Calibri"/>
                <w:b/>
                <w:bCs/>
                <w:color w:val="002060"/>
                <w:sz w:val="18"/>
                <w:szCs w:val="18"/>
                <w:lang w:val="sr-Cyrl-CS"/>
              </w:rPr>
              <w:br/>
              <w:t>пројеката</w:t>
            </w:r>
          </w:p>
        </w:tc>
        <w:tc>
          <w:tcPr>
            <w:tcW w:w="1030" w:type="dxa"/>
            <w:tcBorders>
              <w:top w:val="single" w:sz="4" w:space="0" w:color="002060"/>
              <w:left w:val="nil"/>
              <w:bottom w:val="single" w:sz="4" w:space="0" w:color="002060"/>
              <w:right w:val="nil"/>
            </w:tcBorders>
            <w:shd w:val="clear" w:color="auto" w:fill="auto"/>
            <w:vAlign w:val="center"/>
            <w:hideMark/>
          </w:tcPr>
          <w:p w14:paraId="109913EC"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Домаће и стране пословне банке</w:t>
            </w:r>
          </w:p>
        </w:tc>
        <w:tc>
          <w:tcPr>
            <w:tcW w:w="1202" w:type="dxa"/>
            <w:tcBorders>
              <w:top w:val="single" w:sz="4" w:space="0" w:color="002060"/>
              <w:left w:val="nil"/>
              <w:bottom w:val="single" w:sz="4" w:space="0" w:color="002060"/>
              <w:right w:val="nil"/>
            </w:tcBorders>
            <w:shd w:val="clear" w:color="auto" w:fill="auto"/>
            <w:vAlign w:val="center"/>
            <w:hideMark/>
          </w:tcPr>
          <w:p w14:paraId="5B9DFDE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EIB</w:t>
            </w:r>
          </w:p>
        </w:tc>
        <w:tc>
          <w:tcPr>
            <w:tcW w:w="888" w:type="dxa"/>
            <w:tcBorders>
              <w:top w:val="single" w:sz="4" w:space="0" w:color="002060"/>
              <w:left w:val="nil"/>
              <w:bottom w:val="single" w:sz="4" w:space="0" w:color="002060"/>
              <w:right w:val="nil"/>
            </w:tcBorders>
            <w:shd w:val="clear" w:color="auto" w:fill="auto"/>
            <w:vAlign w:val="center"/>
            <w:hideMark/>
          </w:tcPr>
          <w:p w14:paraId="5722777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EBRD</w:t>
            </w:r>
          </w:p>
        </w:tc>
        <w:tc>
          <w:tcPr>
            <w:tcW w:w="1032" w:type="dxa"/>
            <w:tcBorders>
              <w:top w:val="single" w:sz="4" w:space="0" w:color="002060"/>
              <w:left w:val="nil"/>
              <w:bottom w:val="single" w:sz="4" w:space="0" w:color="002060"/>
              <w:right w:val="nil"/>
            </w:tcBorders>
            <w:shd w:val="clear" w:color="auto" w:fill="auto"/>
            <w:noWrap/>
            <w:vAlign w:val="center"/>
            <w:hideMark/>
          </w:tcPr>
          <w:p w14:paraId="604DBCF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ЕУРОФИМА</w:t>
            </w:r>
          </w:p>
        </w:tc>
        <w:tc>
          <w:tcPr>
            <w:tcW w:w="657" w:type="dxa"/>
            <w:tcBorders>
              <w:top w:val="single" w:sz="4" w:space="0" w:color="002060"/>
              <w:left w:val="nil"/>
              <w:bottom w:val="single" w:sz="4" w:space="0" w:color="002060"/>
              <w:right w:val="nil"/>
            </w:tcBorders>
            <w:shd w:val="clear" w:color="auto" w:fill="auto"/>
            <w:vAlign w:val="center"/>
            <w:hideMark/>
          </w:tcPr>
          <w:p w14:paraId="2157141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KfW</w:t>
            </w:r>
          </w:p>
        </w:tc>
        <w:tc>
          <w:tcPr>
            <w:tcW w:w="568" w:type="dxa"/>
            <w:tcBorders>
              <w:top w:val="single" w:sz="4" w:space="0" w:color="002060"/>
              <w:left w:val="nil"/>
              <w:bottom w:val="single" w:sz="4" w:space="0" w:color="002060"/>
              <w:right w:val="nil"/>
            </w:tcBorders>
            <w:shd w:val="clear" w:color="auto" w:fill="auto"/>
            <w:vAlign w:val="center"/>
            <w:hideMark/>
          </w:tcPr>
          <w:p w14:paraId="24A99CD4"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АФД</w:t>
            </w:r>
          </w:p>
        </w:tc>
        <w:tc>
          <w:tcPr>
            <w:tcW w:w="1156" w:type="dxa"/>
            <w:tcBorders>
              <w:top w:val="single" w:sz="4" w:space="0" w:color="002060"/>
              <w:left w:val="nil"/>
              <w:bottom w:val="single" w:sz="4" w:space="0" w:color="002060"/>
              <w:right w:val="nil"/>
            </w:tcBorders>
            <w:shd w:val="clear" w:color="auto" w:fill="auto"/>
            <w:vAlign w:val="center"/>
            <w:hideMark/>
          </w:tcPr>
          <w:p w14:paraId="19F243E4"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Укупно по предузећима</w:t>
            </w:r>
          </w:p>
        </w:tc>
      </w:tr>
      <w:tr w:rsidR="00330999" w:rsidRPr="00F5596D" w14:paraId="7DF16635" w14:textId="77777777" w:rsidTr="00E61B34">
        <w:trPr>
          <w:trHeight w:val="20"/>
        </w:trPr>
        <w:tc>
          <w:tcPr>
            <w:tcW w:w="2362" w:type="dxa"/>
            <w:tcBorders>
              <w:top w:val="nil"/>
              <w:left w:val="nil"/>
              <w:bottom w:val="nil"/>
              <w:right w:val="nil"/>
            </w:tcBorders>
            <w:shd w:val="clear" w:color="auto" w:fill="auto"/>
            <w:vAlign w:val="center"/>
            <w:hideMark/>
          </w:tcPr>
          <w:p w14:paraId="272589F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,,Електропривреда Србије" ад</w:t>
            </w:r>
          </w:p>
        </w:tc>
        <w:tc>
          <w:tcPr>
            <w:tcW w:w="895" w:type="dxa"/>
            <w:tcBorders>
              <w:top w:val="nil"/>
              <w:left w:val="nil"/>
              <w:bottom w:val="nil"/>
              <w:right w:val="nil"/>
            </w:tcBorders>
            <w:shd w:val="clear" w:color="auto" w:fill="auto"/>
            <w:noWrap/>
            <w:vAlign w:val="bottom"/>
            <w:hideMark/>
          </w:tcPr>
          <w:p w14:paraId="662BA70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w:t>
            </w:r>
          </w:p>
        </w:tc>
        <w:tc>
          <w:tcPr>
            <w:tcW w:w="1030" w:type="dxa"/>
            <w:tcBorders>
              <w:top w:val="nil"/>
              <w:left w:val="nil"/>
              <w:bottom w:val="nil"/>
              <w:right w:val="nil"/>
            </w:tcBorders>
            <w:shd w:val="clear" w:color="auto" w:fill="auto"/>
            <w:noWrap/>
            <w:vAlign w:val="bottom"/>
            <w:hideMark/>
          </w:tcPr>
          <w:p w14:paraId="33B34B2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265,3</w:t>
            </w:r>
          </w:p>
        </w:tc>
        <w:tc>
          <w:tcPr>
            <w:tcW w:w="1202" w:type="dxa"/>
            <w:tcBorders>
              <w:top w:val="nil"/>
              <w:left w:val="nil"/>
              <w:bottom w:val="nil"/>
              <w:right w:val="nil"/>
            </w:tcBorders>
            <w:shd w:val="clear" w:color="auto" w:fill="auto"/>
            <w:noWrap/>
            <w:vAlign w:val="bottom"/>
            <w:hideMark/>
          </w:tcPr>
          <w:p w14:paraId="0057C77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888" w:type="dxa"/>
            <w:tcBorders>
              <w:top w:val="nil"/>
              <w:left w:val="nil"/>
              <w:bottom w:val="nil"/>
              <w:right w:val="nil"/>
            </w:tcBorders>
            <w:shd w:val="clear" w:color="auto" w:fill="auto"/>
            <w:noWrap/>
            <w:vAlign w:val="bottom"/>
            <w:hideMark/>
          </w:tcPr>
          <w:p w14:paraId="428B794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7,9</w:t>
            </w:r>
          </w:p>
        </w:tc>
        <w:tc>
          <w:tcPr>
            <w:tcW w:w="1032" w:type="dxa"/>
            <w:tcBorders>
              <w:top w:val="nil"/>
              <w:left w:val="nil"/>
              <w:bottom w:val="nil"/>
              <w:right w:val="nil"/>
            </w:tcBorders>
            <w:shd w:val="clear" w:color="auto" w:fill="auto"/>
            <w:noWrap/>
            <w:vAlign w:val="bottom"/>
            <w:hideMark/>
          </w:tcPr>
          <w:p w14:paraId="7BB8148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657" w:type="dxa"/>
            <w:tcBorders>
              <w:top w:val="nil"/>
              <w:left w:val="nil"/>
              <w:bottom w:val="nil"/>
              <w:right w:val="nil"/>
            </w:tcBorders>
            <w:shd w:val="clear" w:color="auto" w:fill="auto"/>
            <w:noWrap/>
            <w:vAlign w:val="bottom"/>
            <w:hideMark/>
          </w:tcPr>
          <w:p w14:paraId="5FF8335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3,5</w:t>
            </w:r>
          </w:p>
        </w:tc>
        <w:tc>
          <w:tcPr>
            <w:tcW w:w="568" w:type="dxa"/>
            <w:tcBorders>
              <w:top w:val="nil"/>
              <w:left w:val="nil"/>
              <w:bottom w:val="nil"/>
              <w:right w:val="nil"/>
            </w:tcBorders>
            <w:shd w:val="clear" w:color="auto" w:fill="auto"/>
            <w:noWrap/>
            <w:vAlign w:val="bottom"/>
            <w:hideMark/>
          </w:tcPr>
          <w:p w14:paraId="4FD688B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1156" w:type="dxa"/>
            <w:tcBorders>
              <w:top w:val="nil"/>
              <w:left w:val="nil"/>
              <w:bottom w:val="nil"/>
              <w:right w:val="nil"/>
            </w:tcBorders>
            <w:shd w:val="clear" w:color="auto" w:fill="auto"/>
            <w:noWrap/>
            <w:vAlign w:val="bottom"/>
            <w:hideMark/>
          </w:tcPr>
          <w:p w14:paraId="7447B4D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276,7</w:t>
            </w:r>
          </w:p>
        </w:tc>
      </w:tr>
      <w:tr w:rsidR="00330999" w:rsidRPr="00F5596D" w14:paraId="034E8194" w14:textId="77777777" w:rsidTr="00E61B34">
        <w:trPr>
          <w:trHeight w:val="20"/>
        </w:trPr>
        <w:tc>
          <w:tcPr>
            <w:tcW w:w="2362" w:type="dxa"/>
            <w:tcBorders>
              <w:top w:val="nil"/>
              <w:left w:val="nil"/>
              <w:bottom w:val="nil"/>
              <w:right w:val="nil"/>
            </w:tcBorders>
            <w:shd w:val="clear" w:color="auto" w:fill="auto"/>
            <w:vAlign w:val="center"/>
            <w:hideMark/>
          </w:tcPr>
          <w:p w14:paraId="30EAF1D2"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ЈП ,,Србијагас"</w:t>
            </w:r>
          </w:p>
        </w:tc>
        <w:tc>
          <w:tcPr>
            <w:tcW w:w="895" w:type="dxa"/>
            <w:tcBorders>
              <w:top w:val="nil"/>
              <w:left w:val="nil"/>
              <w:bottom w:val="nil"/>
              <w:right w:val="nil"/>
            </w:tcBorders>
            <w:shd w:val="clear" w:color="auto" w:fill="auto"/>
            <w:noWrap/>
            <w:vAlign w:val="bottom"/>
            <w:hideMark/>
          </w:tcPr>
          <w:p w14:paraId="404BD4C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w:t>
            </w:r>
          </w:p>
        </w:tc>
        <w:tc>
          <w:tcPr>
            <w:tcW w:w="1030" w:type="dxa"/>
            <w:tcBorders>
              <w:top w:val="nil"/>
              <w:left w:val="nil"/>
              <w:bottom w:val="nil"/>
              <w:right w:val="nil"/>
            </w:tcBorders>
            <w:shd w:val="clear" w:color="auto" w:fill="auto"/>
            <w:noWrap/>
            <w:vAlign w:val="bottom"/>
            <w:hideMark/>
          </w:tcPr>
          <w:p w14:paraId="382F188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31,9</w:t>
            </w:r>
          </w:p>
        </w:tc>
        <w:tc>
          <w:tcPr>
            <w:tcW w:w="1202" w:type="dxa"/>
            <w:tcBorders>
              <w:top w:val="nil"/>
              <w:left w:val="nil"/>
              <w:bottom w:val="nil"/>
              <w:right w:val="nil"/>
            </w:tcBorders>
            <w:shd w:val="clear" w:color="auto" w:fill="auto"/>
            <w:noWrap/>
            <w:vAlign w:val="bottom"/>
            <w:hideMark/>
          </w:tcPr>
          <w:p w14:paraId="01CC05E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888" w:type="dxa"/>
            <w:tcBorders>
              <w:top w:val="nil"/>
              <w:left w:val="nil"/>
              <w:bottom w:val="nil"/>
              <w:right w:val="nil"/>
            </w:tcBorders>
            <w:shd w:val="clear" w:color="auto" w:fill="auto"/>
            <w:noWrap/>
            <w:vAlign w:val="bottom"/>
            <w:hideMark/>
          </w:tcPr>
          <w:p w14:paraId="0B0A2344"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032" w:type="dxa"/>
            <w:tcBorders>
              <w:top w:val="nil"/>
              <w:left w:val="nil"/>
              <w:bottom w:val="nil"/>
              <w:right w:val="nil"/>
            </w:tcBorders>
            <w:shd w:val="clear" w:color="auto" w:fill="auto"/>
            <w:noWrap/>
            <w:vAlign w:val="bottom"/>
            <w:hideMark/>
          </w:tcPr>
          <w:p w14:paraId="1EF7A6B9"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657" w:type="dxa"/>
            <w:tcBorders>
              <w:top w:val="nil"/>
              <w:left w:val="nil"/>
              <w:bottom w:val="nil"/>
              <w:right w:val="nil"/>
            </w:tcBorders>
            <w:shd w:val="clear" w:color="auto" w:fill="auto"/>
            <w:noWrap/>
            <w:vAlign w:val="bottom"/>
            <w:hideMark/>
          </w:tcPr>
          <w:p w14:paraId="1DC3C876"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568" w:type="dxa"/>
            <w:tcBorders>
              <w:top w:val="nil"/>
              <w:left w:val="nil"/>
              <w:bottom w:val="nil"/>
              <w:right w:val="nil"/>
            </w:tcBorders>
            <w:shd w:val="clear" w:color="auto" w:fill="auto"/>
            <w:noWrap/>
            <w:vAlign w:val="bottom"/>
            <w:hideMark/>
          </w:tcPr>
          <w:p w14:paraId="7AEE2979"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156" w:type="dxa"/>
            <w:tcBorders>
              <w:top w:val="nil"/>
              <w:left w:val="nil"/>
              <w:bottom w:val="nil"/>
              <w:right w:val="nil"/>
            </w:tcBorders>
            <w:shd w:val="clear" w:color="auto" w:fill="auto"/>
            <w:noWrap/>
            <w:vAlign w:val="bottom"/>
            <w:hideMark/>
          </w:tcPr>
          <w:p w14:paraId="1DB9FDE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31,9</w:t>
            </w:r>
          </w:p>
        </w:tc>
      </w:tr>
      <w:tr w:rsidR="00330999" w:rsidRPr="00F5596D" w14:paraId="52FF00F1" w14:textId="77777777" w:rsidTr="00E61B34">
        <w:trPr>
          <w:trHeight w:val="20"/>
        </w:trPr>
        <w:tc>
          <w:tcPr>
            <w:tcW w:w="2362" w:type="dxa"/>
            <w:tcBorders>
              <w:top w:val="nil"/>
              <w:left w:val="nil"/>
              <w:bottom w:val="nil"/>
              <w:right w:val="nil"/>
            </w:tcBorders>
            <w:shd w:val="clear" w:color="auto" w:fill="auto"/>
            <w:vAlign w:val="center"/>
            <w:hideMark/>
          </w:tcPr>
          <w:p w14:paraId="75CDCB8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,,Електродистрибуција Србије" доо</w:t>
            </w:r>
          </w:p>
        </w:tc>
        <w:tc>
          <w:tcPr>
            <w:tcW w:w="895" w:type="dxa"/>
            <w:tcBorders>
              <w:top w:val="nil"/>
              <w:left w:val="nil"/>
              <w:bottom w:val="nil"/>
              <w:right w:val="nil"/>
            </w:tcBorders>
            <w:shd w:val="clear" w:color="auto" w:fill="auto"/>
            <w:noWrap/>
            <w:vAlign w:val="bottom"/>
            <w:hideMark/>
          </w:tcPr>
          <w:p w14:paraId="7304EB4E"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w:t>
            </w:r>
          </w:p>
        </w:tc>
        <w:tc>
          <w:tcPr>
            <w:tcW w:w="1030" w:type="dxa"/>
            <w:tcBorders>
              <w:top w:val="nil"/>
              <w:left w:val="nil"/>
              <w:bottom w:val="nil"/>
              <w:right w:val="nil"/>
            </w:tcBorders>
            <w:shd w:val="clear" w:color="auto" w:fill="auto"/>
            <w:noWrap/>
            <w:vAlign w:val="bottom"/>
            <w:hideMark/>
          </w:tcPr>
          <w:p w14:paraId="1EC3FF3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6,4</w:t>
            </w:r>
          </w:p>
        </w:tc>
        <w:tc>
          <w:tcPr>
            <w:tcW w:w="1202" w:type="dxa"/>
            <w:tcBorders>
              <w:top w:val="nil"/>
              <w:left w:val="nil"/>
              <w:bottom w:val="nil"/>
              <w:right w:val="nil"/>
            </w:tcBorders>
            <w:shd w:val="clear" w:color="auto" w:fill="auto"/>
            <w:noWrap/>
            <w:vAlign w:val="bottom"/>
            <w:hideMark/>
          </w:tcPr>
          <w:p w14:paraId="60224F1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11,7</w:t>
            </w:r>
          </w:p>
        </w:tc>
        <w:tc>
          <w:tcPr>
            <w:tcW w:w="888" w:type="dxa"/>
            <w:tcBorders>
              <w:top w:val="nil"/>
              <w:left w:val="nil"/>
              <w:bottom w:val="nil"/>
              <w:right w:val="nil"/>
            </w:tcBorders>
            <w:shd w:val="clear" w:color="auto" w:fill="auto"/>
            <w:noWrap/>
            <w:vAlign w:val="bottom"/>
            <w:hideMark/>
          </w:tcPr>
          <w:p w14:paraId="1F4055E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1032" w:type="dxa"/>
            <w:tcBorders>
              <w:top w:val="nil"/>
              <w:left w:val="nil"/>
              <w:bottom w:val="nil"/>
              <w:right w:val="nil"/>
            </w:tcBorders>
            <w:shd w:val="clear" w:color="auto" w:fill="auto"/>
            <w:noWrap/>
            <w:vAlign w:val="bottom"/>
            <w:hideMark/>
          </w:tcPr>
          <w:p w14:paraId="022D76FD"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657" w:type="dxa"/>
            <w:tcBorders>
              <w:top w:val="nil"/>
              <w:left w:val="nil"/>
              <w:bottom w:val="nil"/>
              <w:right w:val="nil"/>
            </w:tcBorders>
            <w:shd w:val="clear" w:color="auto" w:fill="auto"/>
            <w:noWrap/>
            <w:vAlign w:val="bottom"/>
            <w:hideMark/>
          </w:tcPr>
          <w:p w14:paraId="253A6E20"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568" w:type="dxa"/>
            <w:tcBorders>
              <w:top w:val="nil"/>
              <w:left w:val="nil"/>
              <w:bottom w:val="nil"/>
              <w:right w:val="nil"/>
            </w:tcBorders>
            <w:shd w:val="clear" w:color="auto" w:fill="auto"/>
            <w:noWrap/>
            <w:vAlign w:val="bottom"/>
            <w:hideMark/>
          </w:tcPr>
          <w:p w14:paraId="4D9F8D87"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156" w:type="dxa"/>
            <w:tcBorders>
              <w:top w:val="nil"/>
              <w:left w:val="nil"/>
              <w:bottom w:val="nil"/>
              <w:right w:val="nil"/>
            </w:tcBorders>
            <w:shd w:val="clear" w:color="auto" w:fill="auto"/>
            <w:noWrap/>
            <w:vAlign w:val="bottom"/>
            <w:hideMark/>
          </w:tcPr>
          <w:p w14:paraId="7D0564F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18,2</w:t>
            </w:r>
          </w:p>
        </w:tc>
      </w:tr>
      <w:tr w:rsidR="00330999" w:rsidRPr="00F5596D" w14:paraId="5D38010D" w14:textId="77777777" w:rsidTr="00E61B34">
        <w:trPr>
          <w:trHeight w:val="20"/>
        </w:trPr>
        <w:tc>
          <w:tcPr>
            <w:tcW w:w="2362" w:type="dxa"/>
            <w:tcBorders>
              <w:top w:val="nil"/>
              <w:left w:val="nil"/>
              <w:bottom w:val="nil"/>
              <w:right w:val="nil"/>
            </w:tcBorders>
            <w:shd w:val="clear" w:color="auto" w:fill="auto"/>
            <w:vAlign w:val="center"/>
            <w:hideMark/>
          </w:tcPr>
          <w:p w14:paraId="1BD3F3C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,,Транснафта" ад </w:t>
            </w:r>
          </w:p>
        </w:tc>
        <w:tc>
          <w:tcPr>
            <w:tcW w:w="895" w:type="dxa"/>
            <w:tcBorders>
              <w:top w:val="nil"/>
              <w:left w:val="nil"/>
              <w:bottom w:val="nil"/>
              <w:right w:val="nil"/>
            </w:tcBorders>
            <w:shd w:val="clear" w:color="auto" w:fill="auto"/>
            <w:noWrap/>
            <w:vAlign w:val="bottom"/>
            <w:hideMark/>
          </w:tcPr>
          <w:p w14:paraId="2D3C8F3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w:t>
            </w:r>
          </w:p>
        </w:tc>
        <w:tc>
          <w:tcPr>
            <w:tcW w:w="1030" w:type="dxa"/>
            <w:tcBorders>
              <w:top w:val="nil"/>
              <w:left w:val="nil"/>
              <w:bottom w:val="nil"/>
              <w:right w:val="nil"/>
            </w:tcBorders>
            <w:shd w:val="clear" w:color="auto" w:fill="auto"/>
            <w:noWrap/>
            <w:vAlign w:val="bottom"/>
            <w:hideMark/>
          </w:tcPr>
          <w:p w14:paraId="074EC3A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17,6</w:t>
            </w:r>
          </w:p>
        </w:tc>
        <w:tc>
          <w:tcPr>
            <w:tcW w:w="1202" w:type="dxa"/>
            <w:tcBorders>
              <w:top w:val="nil"/>
              <w:left w:val="nil"/>
              <w:bottom w:val="nil"/>
              <w:right w:val="nil"/>
            </w:tcBorders>
            <w:shd w:val="clear" w:color="auto" w:fill="auto"/>
            <w:noWrap/>
            <w:vAlign w:val="bottom"/>
            <w:hideMark/>
          </w:tcPr>
          <w:p w14:paraId="73B426D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888" w:type="dxa"/>
            <w:tcBorders>
              <w:top w:val="nil"/>
              <w:left w:val="nil"/>
              <w:bottom w:val="nil"/>
              <w:right w:val="nil"/>
            </w:tcBorders>
            <w:shd w:val="clear" w:color="auto" w:fill="auto"/>
            <w:noWrap/>
            <w:vAlign w:val="bottom"/>
            <w:hideMark/>
          </w:tcPr>
          <w:p w14:paraId="614221A0"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032" w:type="dxa"/>
            <w:tcBorders>
              <w:top w:val="nil"/>
              <w:left w:val="nil"/>
              <w:bottom w:val="nil"/>
              <w:right w:val="nil"/>
            </w:tcBorders>
            <w:shd w:val="clear" w:color="auto" w:fill="auto"/>
            <w:noWrap/>
            <w:vAlign w:val="bottom"/>
            <w:hideMark/>
          </w:tcPr>
          <w:p w14:paraId="4110E126"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657" w:type="dxa"/>
            <w:tcBorders>
              <w:top w:val="nil"/>
              <w:left w:val="nil"/>
              <w:bottom w:val="nil"/>
              <w:right w:val="nil"/>
            </w:tcBorders>
            <w:shd w:val="clear" w:color="auto" w:fill="auto"/>
            <w:noWrap/>
            <w:vAlign w:val="bottom"/>
            <w:hideMark/>
          </w:tcPr>
          <w:p w14:paraId="3F9A4978"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568" w:type="dxa"/>
            <w:tcBorders>
              <w:top w:val="nil"/>
              <w:left w:val="nil"/>
              <w:bottom w:val="nil"/>
              <w:right w:val="nil"/>
            </w:tcBorders>
            <w:shd w:val="clear" w:color="auto" w:fill="auto"/>
            <w:noWrap/>
            <w:vAlign w:val="bottom"/>
            <w:hideMark/>
          </w:tcPr>
          <w:p w14:paraId="1D015231"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156" w:type="dxa"/>
            <w:tcBorders>
              <w:top w:val="nil"/>
              <w:left w:val="nil"/>
              <w:bottom w:val="nil"/>
              <w:right w:val="nil"/>
            </w:tcBorders>
            <w:shd w:val="clear" w:color="auto" w:fill="auto"/>
            <w:noWrap/>
            <w:vAlign w:val="bottom"/>
            <w:hideMark/>
          </w:tcPr>
          <w:p w14:paraId="56BAF43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17,6</w:t>
            </w:r>
          </w:p>
        </w:tc>
      </w:tr>
      <w:tr w:rsidR="00330999" w:rsidRPr="00F5596D" w14:paraId="1FCCEBA6" w14:textId="77777777" w:rsidTr="00E61B34">
        <w:trPr>
          <w:trHeight w:val="20"/>
        </w:trPr>
        <w:tc>
          <w:tcPr>
            <w:tcW w:w="2362" w:type="dxa"/>
            <w:tcBorders>
              <w:top w:val="nil"/>
              <w:left w:val="nil"/>
              <w:bottom w:val="nil"/>
              <w:right w:val="nil"/>
            </w:tcBorders>
            <w:shd w:val="clear" w:color="auto" w:fill="auto"/>
            <w:vAlign w:val="center"/>
            <w:hideMark/>
          </w:tcPr>
          <w:p w14:paraId="488D4177"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,,Србијавоз" ад</w:t>
            </w:r>
          </w:p>
        </w:tc>
        <w:tc>
          <w:tcPr>
            <w:tcW w:w="895" w:type="dxa"/>
            <w:tcBorders>
              <w:top w:val="nil"/>
              <w:left w:val="nil"/>
              <w:bottom w:val="nil"/>
              <w:right w:val="nil"/>
            </w:tcBorders>
            <w:shd w:val="clear" w:color="auto" w:fill="auto"/>
            <w:noWrap/>
            <w:vAlign w:val="bottom"/>
            <w:hideMark/>
          </w:tcPr>
          <w:p w14:paraId="6E1541B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w:t>
            </w:r>
          </w:p>
        </w:tc>
        <w:tc>
          <w:tcPr>
            <w:tcW w:w="1030" w:type="dxa"/>
            <w:tcBorders>
              <w:top w:val="nil"/>
              <w:left w:val="nil"/>
              <w:bottom w:val="nil"/>
              <w:right w:val="nil"/>
            </w:tcBorders>
            <w:shd w:val="clear" w:color="auto" w:fill="auto"/>
            <w:noWrap/>
            <w:vAlign w:val="bottom"/>
            <w:hideMark/>
          </w:tcPr>
          <w:p w14:paraId="4087720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1202" w:type="dxa"/>
            <w:tcBorders>
              <w:top w:val="nil"/>
              <w:left w:val="nil"/>
              <w:bottom w:val="nil"/>
              <w:right w:val="nil"/>
            </w:tcBorders>
            <w:shd w:val="clear" w:color="auto" w:fill="auto"/>
            <w:noWrap/>
            <w:vAlign w:val="bottom"/>
            <w:hideMark/>
          </w:tcPr>
          <w:p w14:paraId="272F7C19"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888" w:type="dxa"/>
            <w:tcBorders>
              <w:top w:val="nil"/>
              <w:left w:val="nil"/>
              <w:bottom w:val="nil"/>
              <w:right w:val="nil"/>
            </w:tcBorders>
            <w:shd w:val="clear" w:color="auto" w:fill="auto"/>
            <w:noWrap/>
            <w:vAlign w:val="bottom"/>
            <w:hideMark/>
          </w:tcPr>
          <w:p w14:paraId="63B88BF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4,9</w:t>
            </w:r>
          </w:p>
        </w:tc>
        <w:tc>
          <w:tcPr>
            <w:tcW w:w="1032" w:type="dxa"/>
            <w:tcBorders>
              <w:top w:val="nil"/>
              <w:left w:val="nil"/>
              <w:bottom w:val="nil"/>
              <w:right w:val="nil"/>
            </w:tcBorders>
            <w:shd w:val="clear" w:color="auto" w:fill="auto"/>
            <w:noWrap/>
            <w:vAlign w:val="bottom"/>
            <w:hideMark/>
          </w:tcPr>
          <w:p w14:paraId="39DE8E7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10,6</w:t>
            </w:r>
          </w:p>
        </w:tc>
        <w:tc>
          <w:tcPr>
            <w:tcW w:w="657" w:type="dxa"/>
            <w:tcBorders>
              <w:top w:val="nil"/>
              <w:left w:val="nil"/>
              <w:bottom w:val="nil"/>
              <w:right w:val="nil"/>
            </w:tcBorders>
            <w:shd w:val="clear" w:color="auto" w:fill="auto"/>
            <w:noWrap/>
            <w:vAlign w:val="bottom"/>
            <w:hideMark/>
          </w:tcPr>
          <w:p w14:paraId="2A0C889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568" w:type="dxa"/>
            <w:tcBorders>
              <w:top w:val="nil"/>
              <w:left w:val="nil"/>
              <w:bottom w:val="nil"/>
              <w:right w:val="nil"/>
            </w:tcBorders>
            <w:shd w:val="clear" w:color="auto" w:fill="auto"/>
            <w:noWrap/>
            <w:vAlign w:val="bottom"/>
            <w:hideMark/>
          </w:tcPr>
          <w:p w14:paraId="3DE080B0"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156" w:type="dxa"/>
            <w:tcBorders>
              <w:top w:val="nil"/>
              <w:left w:val="nil"/>
              <w:bottom w:val="nil"/>
              <w:right w:val="nil"/>
            </w:tcBorders>
            <w:shd w:val="clear" w:color="auto" w:fill="auto"/>
            <w:noWrap/>
            <w:vAlign w:val="bottom"/>
            <w:hideMark/>
          </w:tcPr>
          <w:p w14:paraId="68B5C17E"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15,5</w:t>
            </w:r>
          </w:p>
        </w:tc>
      </w:tr>
      <w:tr w:rsidR="00330999" w:rsidRPr="00F5596D" w14:paraId="72FC4D92" w14:textId="77777777" w:rsidTr="00E61B34">
        <w:trPr>
          <w:trHeight w:val="20"/>
        </w:trPr>
        <w:tc>
          <w:tcPr>
            <w:tcW w:w="2362" w:type="dxa"/>
            <w:tcBorders>
              <w:top w:val="nil"/>
              <w:left w:val="nil"/>
              <w:bottom w:val="nil"/>
              <w:right w:val="nil"/>
            </w:tcBorders>
            <w:shd w:val="clear" w:color="auto" w:fill="auto"/>
            <w:vAlign w:val="center"/>
            <w:hideMark/>
          </w:tcPr>
          <w:p w14:paraId="1378EFD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lastRenderedPageBreak/>
              <w:t>,,Електромрежа Србије" ад</w:t>
            </w:r>
          </w:p>
        </w:tc>
        <w:tc>
          <w:tcPr>
            <w:tcW w:w="895" w:type="dxa"/>
            <w:tcBorders>
              <w:top w:val="nil"/>
              <w:left w:val="nil"/>
              <w:bottom w:val="nil"/>
              <w:right w:val="nil"/>
            </w:tcBorders>
            <w:shd w:val="clear" w:color="auto" w:fill="auto"/>
            <w:noWrap/>
            <w:vAlign w:val="bottom"/>
            <w:hideMark/>
          </w:tcPr>
          <w:p w14:paraId="2196996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w:t>
            </w:r>
          </w:p>
        </w:tc>
        <w:tc>
          <w:tcPr>
            <w:tcW w:w="1030" w:type="dxa"/>
            <w:tcBorders>
              <w:top w:val="nil"/>
              <w:left w:val="nil"/>
              <w:bottom w:val="nil"/>
              <w:right w:val="nil"/>
            </w:tcBorders>
            <w:shd w:val="clear" w:color="auto" w:fill="auto"/>
            <w:noWrap/>
            <w:vAlign w:val="bottom"/>
            <w:hideMark/>
          </w:tcPr>
          <w:p w14:paraId="2986B22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p>
        </w:tc>
        <w:tc>
          <w:tcPr>
            <w:tcW w:w="1202" w:type="dxa"/>
            <w:tcBorders>
              <w:top w:val="nil"/>
              <w:left w:val="nil"/>
              <w:bottom w:val="nil"/>
              <w:right w:val="nil"/>
            </w:tcBorders>
            <w:shd w:val="clear" w:color="auto" w:fill="auto"/>
            <w:noWrap/>
            <w:vAlign w:val="bottom"/>
            <w:hideMark/>
          </w:tcPr>
          <w:p w14:paraId="2F6E019A"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888" w:type="dxa"/>
            <w:tcBorders>
              <w:top w:val="nil"/>
              <w:left w:val="nil"/>
              <w:bottom w:val="nil"/>
              <w:right w:val="nil"/>
            </w:tcBorders>
            <w:shd w:val="clear" w:color="auto" w:fill="auto"/>
            <w:noWrap/>
            <w:vAlign w:val="bottom"/>
            <w:hideMark/>
          </w:tcPr>
          <w:p w14:paraId="2A402C97"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1032" w:type="dxa"/>
            <w:tcBorders>
              <w:top w:val="nil"/>
              <w:left w:val="nil"/>
              <w:bottom w:val="nil"/>
              <w:right w:val="nil"/>
            </w:tcBorders>
            <w:shd w:val="clear" w:color="auto" w:fill="auto"/>
            <w:noWrap/>
            <w:vAlign w:val="bottom"/>
            <w:hideMark/>
          </w:tcPr>
          <w:p w14:paraId="7AFB66CE" w14:textId="77777777" w:rsidR="00330999" w:rsidRPr="00F5596D" w:rsidRDefault="00330999" w:rsidP="00E61B34">
            <w:pPr>
              <w:spacing w:after="0" w:line="240" w:lineRule="auto"/>
              <w:jc w:val="center"/>
              <w:rPr>
                <w:rFonts w:ascii="Times New Roman" w:eastAsia="Times New Roman" w:hAnsi="Times New Roman" w:cs="Times New Roman"/>
                <w:color w:val="auto"/>
                <w:sz w:val="18"/>
                <w:szCs w:val="18"/>
                <w:lang w:val="sr-Cyrl-CS"/>
              </w:rPr>
            </w:pPr>
          </w:p>
        </w:tc>
        <w:tc>
          <w:tcPr>
            <w:tcW w:w="657" w:type="dxa"/>
            <w:tcBorders>
              <w:top w:val="nil"/>
              <w:left w:val="nil"/>
              <w:bottom w:val="nil"/>
              <w:right w:val="nil"/>
            </w:tcBorders>
            <w:shd w:val="clear" w:color="auto" w:fill="auto"/>
            <w:noWrap/>
            <w:vAlign w:val="bottom"/>
            <w:hideMark/>
          </w:tcPr>
          <w:p w14:paraId="19A3F7C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4,1</w:t>
            </w:r>
          </w:p>
        </w:tc>
        <w:tc>
          <w:tcPr>
            <w:tcW w:w="568" w:type="dxa"/>
            <w:tcBorders>
              <w:top w:val="nil"/>
              <w:left w:val="nil"/>
              <w:bottom w:val="nil"/>
              <w:right w:val="nil"/>
            </w:tcBorders>
            <w:shd w:val="clear" w:color="auto" w:fill="auto"/>
            <w:noWrap/>
            <w:vAlign w:val="bottom"/>
            <w:hideMark/>
          </w:tcPr>
          <w:p w14:paraId="426477F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1,4</w:t>
            </w:r>
          </w:p>
        </w:tc>
        <w:tc>
          <w:tcPr>
            <w:tcW w:w="1156" w:type="dxa"/>
            <w:tcBorders>
              <w:top w:val="nil"/>
              <w:left w:val="nil"/>
              <w:bottom w:val="nil"/>
              <w:right w:val="nil"/>
            </w:tcBorders>
            <w:shd w:val="clear" w:color="auto" w:fill="auto"/>
            <w:noWrap/>
            <w:vAlign w:val="bottom"/>
            <w:hideMark/>
          </w:tcPr>
          <w:p w14:paraId="235AF1D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5,5</w:t>
            </w:r>
          </w:p>
        </w:tc>
      </w:tr>
      <w:tr w:rsidR="00330999" w:rsidRPr="00F5596D" w14:paraId="3F897135" w14:textId="77777777" w:rsidTr="00E61B34">
        <w:trPr>
          <w:trHeight w:val="20"/>
        </w:trPr>
        <w:tc>
          <w:tcPr>
            <w:tcW w:w="2362" w:type="dxa"/>
            <w:tcBorders>
              <w:top w:val="single" w:sz="4" w:space="0" w:color="002060"/>
              <w:left w:val="nil"/>
              <w:bottom w:val="single" w:sz="4" w:space="0" w:color="002060"/>
              <w:right w:val="nil"/>
            </w:tcBorders>
            <w:shd w:val="clear" w:color="auto" w:fill="auto"/>
            <w:noWrap/>
            <w:vAlign w:val="center"/>
            <w:hideMark/>
          </w:tcPr>
          <w:p w14:paraId="5438C808"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Укупно по банкама:</w:t>
            </w:r>
          </w:p>
        </w:tc>
        <w:tc>
          <w:tcPr>
            <w:tcW w:w="895" w:type="dxa"/>
            <w:tcBorders>
              <w:top w:val="single" w:sz="4" w:space="0" w:color="002060"/>
              <w:left w:val="nil"/>
              <w:bottom w:val="single" w:sz="4" w:space="0" w:color="002060"/>
              <w:right w:val="nil"/>
            </w:tcBorders>
            <w:shd w:val="clear" w:color="auto" w:fill="auto"/>
            <w:noWrap/>
            <w:vAlign w:val="bottom"/>
            <w:hideMark/>
          </w:tcPr>
          <w:p w14:paraId="215ECDA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14</w:t>
            </w:r>
          </w:p>
        </w:tc>
        <w:tc>
          <w:tcPr>
            <w:tcW w:w="1030" w:type="dxa"/>
            <w:tcBorders>
              <w:top w:val="single" w:sz="4" w:space="0" w:color="002060"/>
              <w:left w:val="nil"/>
              <w:bottom w:val="single" w:sz="4" w:space="0" w:color="002060"/>
              <w:right w:val="nil"/>
            </w:tcBorders>
            <w:shd w:val="clear" w:color="auto" w:fill="auto"/>
            <w:noWrap/>
            <w:vAlign w:val="bottom"/>
            <w:hideMark/>
          </w:tcPr>
          <w:p w14:paraId="4D032A1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321,3</w:t>
            </w:r>
          </w:p>
        </w:tc>
        <w:tc>
          <w:tcPr>
            <w:tcW w:w="1202" w:type="dxa"/>
            <w:tcBorders>
              <w:top w:val="single" w:sz="4" w:space="0" w:color="002060"/>
              <w:left w:val="nil"/>
              <w:bottom w:val="single" w:sz="4" w:space="0" w:color="002060"/>
              <w:right w:val="nil"/>
            </w:tcBorders>
            <w:shd w:val="clear" w:color="auto" w:fill="auto"/>
            <w:noWrap/>
            <w:vAlign w:val="bottom"/>
            <w:hideMark/>
          </w:tcPr>
          <w:p w14:paraId="0D73CD8B"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11,7</w:t>
            </w:r>
          </w:p>
        </w:tc>
        <w:tc>
          <w:tcPr>
            <w:tcW w:w="888" w:type="dxa"/>
            <w:tcBorders>
              <w:top w:val="single" w:sz="4" w:space="0" w:color="002060"/>
              <w:left w:val="nil"/>
              <w:bottom w:val="single" w:sz="4" w:space="0" w:color="002060"/>
              <w:right w:val="nil"/>
            </w:tcBorders>
            <w:shd w:val="clear" w:color="auto" w:fill="auto"/>
            <w:noWrap/>
            <w:vAlign w:val="bottom"/>
            <w:hideMark/>
          </w:tcPr>
          <w:p w14:paraId="2EA0FEA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12,8</w:t>
            </w:r>
          </w:p>
        </w:tc>
        <w:tc>
          <w:tcPr>
            <w:tcW w:w="1032" w:type="dxa"/>
            <w:tcBorders>
              <w:top w:val="single" w:sz="4" w:space="0" w:color="002060"/>
              <w:left w:val="nil"/>
              <w:bottom w:val="single" w:sz="4" w:space="0" w:color="002060"/>
              <w:right w:val="nil"/>
            </w:tcBorders>
            <w:shd w:val="clear" w:color="auto" w:fill="auto"/>
            <w:noWrap/>
            <w:vAlign w:val="bottom"/>
            <w:hideMark/>
          </w:tcPr>
          <w:p w14:paraId="71560623"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10,6</w:t>
            </w:r>
          </w:p>
        </w:tc>
        <w:tc>
          <w:tcPr>
            <w:tcW w:w="657" w:type="dxa"/>
            <w:tcBorders>
              <w:top w:val="single" w:sz="4" w:space="0" w:color="002060"/>
              <w:left w:val="nil"/>
              <w:bottom w:val="single" w:sz="4" w:space="0" w:color="002060"/>
              <w:right w:val="nil"/>
            </w:tcBorders>
            <w:shd w:val="clear" w:color="auto" w:fill="auto"/>
            <w:noWrap/>
            <w:vAlign w:val="bottom"/>
            <w:hideMark/>
          </w:tcPr>
          <w:p w14:paraId="0C3652C5"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7,6</w:t>
            </w:r>
          </w:p>
        </w:tc>
        <w:tc>
          <w:tcPr>
            <w:tcW w:w="568" w:type="dxa"/>
            <w:tcBorders>
              <w:top w:val="single" w:sz="4" w:space="0" w:color="002060"/>
              <w:left w:val="nil"/>
              <w:bottom w:val="single" w:sz="4" w:space="0" w:color="002060"/>
              <w:right w:val="nil"/>
            </w:tcBorders>
            <w:shd w:val="clear" w:color="auto" w:fill="auto"/>
            <w:noWrap/>
            <w:vAlign w:val="bottom"/>
            <w:hideMark/>
          </w:tcPr>
          <w:p w14:paraId="1B121255"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1,4</w:t>
            </w:r>
          </w:p>
        </w:tc>
        <w:tc>
          <w:tcPr>
            <w:tcW w:w="1156" w:type="dxa"/>
            <w:tcBorders>
              <w:top w:val="single" w:sz="4" w:space="0" w:color="002060"/>
              <w:left w:val="nil"/>
              <w:bottom w:val="single" w:sz="4" w:space="0" w:color="002060"/>
              <w:right w:val="nil"/>
            </w:tcBorders>
            <w:shd w:val="clear" w:color="auto" w:fill="auto"/>
            <w:noWrap/>
            <w:vAlign w:val="bottom"/>
            <w:hideMark/>
          </w:tcPr>
          <w:p w14:paraId="1F55F44A"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365,4</w:t>
            </w:r>
          </w:p>
        </w:tc>
      </w:tr>
    </w:tbl>
    <w:p w14:paraId="16C8CC2F" w14:textId="77777777" w:rsidR="00330999" w:rsidRPr="00F5596D" w:rsidRDefault="00330999" w:rsidP="00330999">
      <w:pPr>
        <w:spacing w:after="0" w:line="276" w:lineRule="auto"/>
        <w:rPr>
          <w:rFonts w:eastAsia="MS PGothic" w:cstheme="minorHAnsi"/>
          <w:sz w:val="16"/>
          <w:szCs w:val="18"/>
          <w:lang w:val="sr-Cyrl-CS" w:eastAsia="ja-JP"/>
        </w:rPr>
      </w:pPr>
      <w:r w:rsidRPr="00F5596D">
        <w:rPr>
          <w:rFonts w:eastAsia="MS PGothic" w:cstheme="minorHAnsi"/>
          <w:sz w:val="16"/>
          <w:szCs w:val="18"/>
          <w:lang w:val="sr-Cyrl-CS" w:eastAsia="ja-JP"/>
        </w:rPr>
        <w:t>Извор: Закон о буџету Републике Србије за 2025. годину</w:t>
      </w:r>
    </w:p>
    <w:p w14:paraId="304DD6F4" w14:textId="77777777" w:rsidR="00330999" w:rsidRPr="00F5596D" w:rsidRDefault="00330999" w:rsidP="00330999">
      <w:pPr>
        <w:spacing w:after="0" w:line="276" w:lineRule="auto"/>
        <w:rPr>
          <w:highlight w:val="yellow"/>
          <w:lang w:val="sr-Cyrl-CS" w:eastAsia="ja-JP"/>
        </w:rPr>
      </w:pPr>
    </w:p>
    <w:p w14:paraId="353C2B1A" w14:textId="77777777" w:rsidR="00330999" w:rsidRPr="00F5596D" w:rsidRDefault="00330999" w:rsidP="00330999">
      <w:pPr>
        <w:spacing w:afterLines="80" w:after="192"/>
        <w:rPr>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604E63D4" w14:textId="0050A780" w:rsidR="00330999" w:rsidRPr="00F5596D" w:rsidRDefault="00330999" w:rsidP="00330999">
      <w:pPr>
        <w:spacing w:afterLines="80" w:after="192"/>
        <w:rPr>
          <w:rFonts w:eastAsia="MS PGothic" w:cstheme="minorHAnsi"/>
          <w:szCs w:val="20"/>
          <w:lang w:val="sr-Cyrl-CS" w:eastAsia="ja-JP"/>
        </w:rPr>
      </w:pPr>
      <w:r w:rsidRPr="00F5596D">
        <w:rPr>
          <w:rFonts w:eastAsia="MS PGothic" w:cstheme="minorHAnsi"/>
          <w:szCs w:val="20"/>
          <w:lang w:val="sr-Cyrl-CS" w:eastAsia="ja-JP"/>
        </w:rPr>
        <w:t>Од укупно планираних гаранција за 2025. годину, Законом је предвиђено да се „Електропривреди Србије” ад обезбедe гаранције у износу до 276,7 млрд динара (75,7% укупно планираних гаранција) за подршку инвестиционим пројектима од којих су најзначајнији: Изградња само-балансираних соларних електрана капацитета 1 GW са батеријским системима за складиштење електричне енергије (222,8 млрд динара), ХЕС Горња Дрина – ХЕ Бук Бјела (29,3 млрд динара), Изградња ОИЕ и ревитализација ХЕ (13,2 млрд динара) и други.</w:t>
      </w:r>
    </w:p>
    <w:p w14:paraId="3A589E9F" w14:textId="69029143" w:rsidR="00330999" w:rsidRPr="00F5596D" w:rsidRDefault="00330999" w:rsidP="00330999">
      <w:pPr>
        <w:spacing w:afterLines="80" w:after="192"/>
        <w:rPr>
          <w:rFonts w:eastAsia="MS PGothic" w:cstheme="minorHAnsi"/>
          <w:szCs w:val="20"/>
          <w:lang w:val="sr-Cyrl-CS" w:eastAsia="ja-JP"/>
        </w:rPr>
      </w:pPr>
      <w:r w:rsidRPr="00F5596D">
        <w:rPr>
          <w:rFonts w:eastAsia="MS PGothic" w:cstheme="minorHAnsi"/>
          <w:szCs w:val="20"/>
          <w:lang w:val="sr-Cyrl-CS" w:eastAsia="ja-JP"/>
        </w:rPr>
        <w:t>ЈП „Србијагас” у 2025. години планира да настави са инвестиционим улагањима у дистрибутивну мрежу, тако да је планирано издавање гаранције за развој дистрибутивне мреже, укључујући мерне станице као и рехабилитацију гасоводног система и јачање транспортних и складишних капацитета гасовода у Републици Србији, као и за гасовод Србија – Северна Македонија, у укупном износу 31,9 млрд динара (8,7% укупно планираних гаранција).</w:t>
      </w:r>
    </w:p>
    <w:p w14:paraId="74CA1519" w14:textId="77777777" w:rsidR="00330999" w:rsidRPr="00F5596D" w:rsidRDefault="00330999" w:rsidP="00330999">
      <w:pPr>
        <w:spacing w:afterLines="80" w:after="192"/>
        <w:rPr>
          <w:rFonts w:eastAsia="MS PGothic" w:cstheme="minorHAnsi"/>
          <w:szCs w:val="20"/>
          <w:lang w:val="sr-Cyrl-CS" w:eastAsia="ja-JP"/>
        </w:rPr>
      </w:pPr>
      <w:r w:rsidRPr="00F5596D">
        <w:rPr>
          <w:rFonts w:eastAsia="MS PGothic" w:cstheme="minorHAnsi"/>
          <w:szCs w:val="20"/>
          <w:lang w:val="sr-Cyrl-CS" w:eastAsia="ja-JP"/>
        </w:rPr>
        <w:t>„Електродистрибуција Србије” доо у 2025. години планира значајна инвестициона улагања, тако је Законом предвиђено издавање гаранција до износа од 18,2 млрд динара (5,0% укупно планираних гаранција) за пројекте Унапређење поузданости ДЕЕС на ЕЕО 11,7 млрд динара и Унапређење дистрибутивне мреже 6,4 млрд динара.</w:t>
      </w:r>
    </w:p>
    <w:p w14:paraId="07984A09" w14:textId="77777777" w:rsidR="00330999" w:rsidRPr="00F5596D" w:rsidRDefault="00330999" w:rsidP="00330999">
      <w:pPr>
        <w:spacing w:afterLines="80" w:after="192"/>
        <w:rPr>
          <w:rFonts w:eastAsia="MS PGothic" w:cstheme="minorHAnsi"/>
          <w:szCs w:val="20"/>
          <w:lang w:val="sr-Cyrl-CS" w:eastAsia="ja-JP"/>
        </w:rPr>
      </w:pPr>
      <w:r w:rsidRPr="00F5596D">
        <w:rPr>
          <w:rFonts w:eastAsia="MS PGothic" w:cstheme="minorHAnsi"/>
          <w:szCs w:val="20"/>
          <w:lang w:val="sr-Cyrl-CS" w:eastAsia="ja-JP"/>
        </w:rPr>
        <w:t xml:space="preserve">Структурне реформе државних предузећа, њихово оспособљавање за тржишну утакмицу и финансијску одрживост, с једне стране, и </w:t>
      </w:r>
      <w:r w:rsidRPr="00F5596D">
        <w:rPr>
          <w:rFonts w:eastAsia="MS PGothic" w:cstheme="minorHAnsi"/>
          <w:szCs w:val="20"/>
          <w:lang w:val="sr-Cyrl-CS" w:eastAsia="ja-JP"/>
        </w:rPr>
        <w:t>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bookmarkEnd w:id="52"/>
    <w:p w14:paraId="785CE8BF"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Државна предузећа (ДП)</w:t>
      </w:r>
    </w:p>
    <w:p w14:paraId="1F59F168" w14:textId="77777777" w:rsidR="00330999" w:rsidRPr="00F5596D" w:rsidRDefault="00330999" w:rsidP="00330999">
      <w:pPr>
        <w:spacing w:afterLines="80" w:after="192"/>
        <w:rPr>
          <w:rFonts w:eastAsia="MS PGothic" w:cstheme="minorHAnsi"/>
          <w:szCs w:val="20"/>
          <w:lang w:val="sr-Cyrl-CS" w:eastAsia="ja-JP"/>
        </w:rPr>
      </w:pPr>
      <w:r w:rsidRPr="00F5596D">
        <w:rPr>
          <w:rFonts w:eastAsia="MS PGothic" w:cstheme="minorHAnsi"/>
          <w:szCs w:val="20"/>
          <w:lang w:val="sr-Cyrl-CS" w:eastAsia="ja-JP"/>
        </w:rPr>
        <w:t>Пословање државних предузећа представља значајан извор фискалних ризика, како на страни буџетских прихода, тако и на страни расхода. Државна предузећа се у пословању суочавају са бројним проблемима, од наплате потраживања, до редовног измиривања обавеза према повериоцима, држави и запосленима и сл. Држава као оснивач и њихов једини власник је одговорна за пословање и њихов је најважнији ослонац у случају неликвидности. Постоји неколико канала кроз које се могу материјализовати фискални ризици везани за пословање државних предузећа. Највећи, али не и једини ризик, су државне гаранције дате за кредите државних предузећа. Одрживост, ефикасност и профитабилност државних предузећа утичу на приходе буџета, односно на износ добити коју уплаћују у буџет. Квалитет производа и услуга које обезбеђују државна предузећа утичу на ефикасност и профитабилност приватног сектора и у крајњој инстанци на ниво пореза који уплаћују у буџет.</w:t>
      </w:r>
    </w:p>
    <w:p w14:paraId="588EECBC" w14:textId="186B6012" w:rsidR="00330999" w:rsidRPr="00F5596D" w:rsidRDefault="00330999" w:rsidP="00330999">
      <w:pPr>
        <w:spacing w:after="360"/>
        <w:rPr>
          <w:rFonts w:eastAsia="MS PGothic" w:cstheme="minorHAnsi"/>
          <w:szCs w:val="20"/>
          <w:lang w:val="sr-Cyrl-CS" w:eastAsia="ja-JP"/>
        </w:rPr>
      </w:pPr>
      <w:r w:rsidRPr="00F5596D">
        <w:rPr>
          <w:rFonts w:eastAsia="MS PGothic" w:cstheme="minorHAnsi"/>
          <w:szCs w:val="20"/>
          <w:lang w:val="sr-Cyrl-CS" w:eastAsia="ja-JP"/>
        </w:rPr>
        <w:t xml:space="preserve">У Министарству финансија прати се рад 36 стратешких предузећа која су у већинском власништву РС и која представљају значајан сегмент српске привреде. Ова предузећа су на крају 2024. године запошљавала око 66 хиљада људи. </w:t>
      </w:r>
    </w:p>
    <w:p w14:paraId="7E1CCCD9" w14:textId="77777777" w:rsidR="00330999" w:rsidRPr="00F5596D" w:rsidRDefault="00330999" w:rsidP="00330999">
      <w:pPr>
        <w:spacing w:after="0" w:line="276" w:lineRule="auto"/>
        <w:jc w:val="center"/>
        <w:rPr>
          <w:rFonts w:eastAsia="MS PGothic" w:cstheme="minorHAnsi"/>
          <w:b/>
          <w:bCs/>
          <w:color w:val="002060"/>
          <w:szCs w:val="20"/>
          <w:highlight w:val="yellow"/>
          <w:lang w:val="sr-Cyrl-CS" w:eastAsia="ja-JP"/>
        </w:rPr>
        <w:sectPr w:rsidR="00330999" w:rsidRPr="00F5596D" w:rsidSect="00E61B34">
          <w:type w:val="continuous"/>
          <w:pgSz w:w="12240" w:h="15840"/>
          <w:pgMar w:top="1440" w:right="1440" w:bottom="1440" w:left="1440" w:header="720" w:footer="720" w:gutter="0"/>
          <w:cols w:num="2" w:space="720"/>
          <w:docGrid w:linePitch="360"/>
        </w:sectPr>
      </w:pPr>
    </w:p>
    <w:p w14:paraId="31EB97E5" w14:textId="35E2A0D3"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6</w:t>
      </w:r>
      <w:r w:rsidRPr="00F5596D">
        <w:rPr>
          <w:rFonts w:eastAsia="MS PGothic" w:cstheme="minorHAnsi"/>
          <w:b/>
          <w:color w:val="002060"/>
          <w:szCs w:val="20"/>
          <w:lang w:val="sr-Cyrl-CS" w:eastAsia="ja-JP"/>
        </w:rPr>
        <w:t>. Преглед највећих предузећа по основу остварених укупних прихода на крају 2024. године, млрд динара</w:t>
      </w:r>
    </w:p>
    <w:tbl>
      <w:tblPr>
        <w:tblW w:w="9370" w:type="dxa"/>
        <w:tblLook w:val="04A0" w:firstRow="1" w:lastRow="0" w:firstColumn="1" w:lastColumn="0" w:noHBand="0" w:noVBand="1"/>
      </w:tblPr>
      <w:tblGrid>
        <w:gridCol w:w="2880"/>
        <w:gridCol w:w="2627"/>
        <w:gridCol w:w="1135"/>
        <w:gridCol w:w="912"/>
        <w:gridCol w:w="912"/>
        <w:gridCol w:w="904"/>
      </w:tblGrid>
      <w:tr w:rsidR="00330999" w:rsidRPr="00F5596D" w14:paraId="541281AE" w14:textId="77777777" w:rsidTr="00E61B34">
        <w:trPr>
          <w:trHeight w:val="20"/>
          <w:tblHeader/>
        </w:trPr>
        <w:tc>
          <w:tcPr>
            <w:tcW w:w="2880" w:type="dxa"/>
            <w:tcBorders>
              <w:top w:val="single" w:sz="4" w:space="0" w:color="002060"/>
              <w:left w:val="nil"/>
              <w:bottom w:val="single" w:sz="4" w:space="0" w:color="002060"/>
              <w:right w:val="nil"/>
            </w:tcBorders>
            <w:shd w:val="clear" w:color="auto" w:fill="auto"/>
            <w:noWrap/>
            <w:vAlign w:val="center"/>
            <w:hideMark/>
          </w:tcPr>
          <w:p w14:paraId="362EF7CC"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Јавна предузећа</w:t>
            </w:r>
          </w:p>
        </w:tc>
        <w:tc>
          <w:tcPr>
            <w:tcW w:w="2627" w:type="dxa"/>
            <w:tcBorders>
              <w:top w:val="single" w:sz="4" w:space="0" w:color="002060"/>
              <w:left w:val="nil"/>
              <w:bottom w:val="single" w:sz="4" w:space="0" w:color="002060"/>
              <w:right w:val="nil"/>
            </w:tcBorders>
            <w:shd w:val="clear" w:color="auto" w:fill="auto"/>
            <w:noWrap/>
            <w:vAlign w:val="center"/>
            <w:hideMark/>
          </w:tcPr>
          <w:p w14:paraId="42E50B26" w14:textId="77777777" w:rsidR="00330999" w:rsidRPr="00F5596D" w:rsidRDefault="00330999" w:rsidP="00E61B34">
            <w:pPr>
              <w:spacing w:after="0" w:line="240" w:lineRule="auto"/>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Сектор</w:t>
            </w:r>
          </w:p>
        </w:tc>
        <w:tc>
          <w:tcPr>
            <w:tcW w:w="1135" w:type="dxa"/>
            <w:tcBorders>
              <w:top w:val="single" w:sz="4" w:space="0" w:color="002060"/>
              <w:left w:val="nil"/>
              <w:bottom w:val="single" w:sz="4" w:space="0" w:color="002060"/>
              <w:right w:val="nil"/>
            </w:tcBorders>
            <w:shd w:val="clear" w:color="auto" w:fill="auto"/>
            <w:vAlign w:val="center"/>
            <w:hideMark/>
          </w:tcPr>
          <w:p w14:paraId="67E999ED"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Број запослених </w:t>
            </w:r>
          </w:p>
        </w:tc>
        <w:tc>
          <w:tcPr>
            <w:tcW w:w="912" w:type="dxa"/>
            <w:tcBorders>
              <w:top w:val="single" w:sz="4" w:space="0" w:color="002060"/>
              <w:left w:val="nil"/>
              <w:bottom w:val="single" w:sz="4" w:space="0" w:color="002060"/>
              <w:right w:val="nil"/>
            </w:tcBorders>
            <w:shd w:val="clear" w:color="auto" w:fill="auto"/>
            <w:vAlign w:val="center"/>
            <w:hideMark/>
          </w:tcPr>
          <w:p w14:paraId="07C3133C"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Укупни приходи </w:t>
            </w:r>
          </w:p>
        </w:tc>
        <w:tc>
          <w:tcPr>
            <w:tcW w:w="912" w:type="dxa"/>
            <w:tcBorders>
              <w:top w:val="single" w:sz="4" w:space="0" w:color="002060"/>
              <w:left w:val="nil"/>
              <w:bottom w:val="single" w:sz="4" w:space="0" w:color="002060"/>
              <w:right w:val="nil"/>
            </w:tcBorders>
            <w:shd w:val="clear" w:color="auto" w:fill="auto"/>
            <w:vAlign w:val="center"/>
            <w:hideMark/>
          </w:tcPr>
          <w:p w14:paraId="61C59B1E"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Укупни</w:t>
            </w:r>
            <w:r w:rsidRPr="00F5596D">
              <w:rPr>
                <w:rFonts w:ascii="Calibri" w:eastAsia="Times New Roman" w:hAnsi="Calibri" w:cs="Calibri"/>
                <w:b/>
                <w:bCs/>
                <w:color w:val="002060"/>
                <w:sz w:val="18"/>
                <w:szCs w:val="18"/>
                <w:lang w:val="sr-Cyrl-CS"/>
              </w:rPr>
              <w:br/>
              <w:t xml:space="preserve"> расходи </w:t>
            </w:r>
          </w:p>
        </w:tc>
        <w:tc>
          <w:tcPr>
            <w:tcW w:w="904" w:type="dxa"/>
            <w:tcBorders>
              <w:top w:val="single" w:sz="4" w:space="0" w:color="002060"/>
              <w:left w:val="nil"/>
              <w:bottom w:val="single" w:sz="4" w:space="0" w:color="002060"/>
              <w:right w:val="nil"/>
            </w:tcBorders>
            <w:shd w:val="clear" w:color="auto" w:fill="auto"/>
            <w:vAlign w:val="center"/>
            <w:hideMark/>
          </w:tcPr>
          <w:p w14:paraId="74DCC22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Нето резултат</w:t>
            </w:r>
          </w:p>
        </w:tc>
      </w:tr>
      <w:tr w:rsidR="00330999" w:rsidRPr="00F5596D" w14:paraId="613D38F2" w14:textId="77777777" w:rsidTr="00E61B34">
        <w:trPr>
          <w:trHeight w:val="20"/>
        </w:trPr>
        <w:tc>
          <w:tcPr>
            <w:tcW w:w="2880" w:type="dxa"/>
            <w:tcBorders>
              <w:top w:val="nil"/>
              <w:left w:val="nil"/>
              <w:bottom w:val="nil"/>
              <w:right w:val="nil"/>
            </w:tcBorders>
            <w:shd w:val="clear" w:color="000000" w:fill="FFFFFF"/>
            <w:noWrap/>
            <w:vAlign w:val="center"/>
            <w:hideMark/>
          </w:tcPr>
          <w:p w14:paraId="6505CCBF"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"Електропривреда Србије" ад</w:t>
            </w:r>
          </w:p>
        </w:tc>
        <w:tc>
          <w:tcPr>
            <w:tcW w:w="2627" w:type="dxa"/>
            <w:tcBorders>
              <w:top w:val="nil"/>
              <w:left w:val="nil"/>
              <w:bottom w:val="nil"/>
              <w:right w:val="nil"/>
            </w:tcBorders>
            <w:shd w:val="clear" w:color="000000" w:fill="FFFFFF"/>
            <w:noWrap/>
            <w:vAlign w:val="bottom"/>
            <w:hideMark/>
          </w:tcPr>
          <w:p w14:paraId="2A8CA1B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7025AE2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19.203 </w:t>
            </w:r>
          </w:p>
        </w:tc>
        <w:tc>
          <w:tcPr>
            <w:tcW w:w="912" w:type="dxa"/>
            <w:tcBorders>
              <w:top w:val="nil"/>
              <w:left w:val="nil"/>
              <w:bottom w:val="nil"/>
              <w:right w:val="nil"/>
            </w:tcBorders>
            <w:shd w:val="clear" w:color="000000" w:fill="FFFFFF"/>
            <w:noWrap/>
            <w:vAlign w:val="center"/>
            <w:hideMark/>
          </w:tcPr>
          <w:p w14:paraId="70969D2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458,3</w:t>
            </w:r>
          </w:p>
        </w:tc>
        <w:tc>
          <w:tcPr>
            <w:tcW w:w="912" w:type="dxa"/>
            <w:tcBorders>
              <w:top w:val="nil"/>
              <w:left w:val="nil"/>
              <w:bottom w:val="nil"/>
              <w:right w:val="nil"/>
            </w:tcBorders>
            <w:shd w:val="clear" w:color="000000" w:fill="FFFFFF"/>
            <w:noWrap/>
            <w:vAlign w:val="center"/>
            <w:hideMark/>
          </w:tcPr>
          <w:p w14:paraId="5D17C79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426,5</w:t>
            </w:r>
          </w:p>
        </w:tc>
        <w:tc>
          <w:tcPr>
            <w:tcW w:w="904" w:type="dxa"/>
            <w:tcBorders>
              <w:top w:val="nil"/>
              <w:left w:val="nil"/>
              <w:bottom w:val="nil"/>
              <w:right w:val="nil"/>
            </w:tcBorders>
            <w:shd w:val="clear" w:color="000000" w:fill="FFFFFF"/>
            <w:noWrap/>
            <w:vAlign w:val="center"/>
            <w:hideMark/>
          </w:tcPr>
          <w:p w14:paraId="7450F7BE" w14:textId="5CFD0B1D" w:rsidR="00330999" w:rsidRPr="00F5596D" w:rsidRDefault="0087666C"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24,4</w:t>
            </w:r>
          </w:p>
        </w:tc>
      </w:tr>
      <w:tr w:rsidR="00330999" w:rsidRPr="00F5596D" w14:paraId="0D186AC8" w14:textId="77777777" w:rsidTr="00E61B34">
        <w:trPr>
          <w:trHeight w:val="20"/>
        </w:trPr>
        <w:tc>
          <w:tcPr>
            <w:tcW w:w="2880" w:type="dxa"/>
            <w:tcBorders>
              <w:top w:val="nil"/>
              <w:left w:val="nil"/>
              <w:bottom w:val="nil"/>
              <w:right w:val="nil"/>
            </w:tcBorders>
            <w:shd w:val="clear" w:color="000000" w:fill="FFFFFF"/>
            <w:noWrap/>
            <w:vAlign w:val="center"/>
            <w:hideMark/>
          </w:tcPr>
          <w:p w14:paraId="04BE7EC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lastRenderedPageBreak/>
              <w:t>Јавно предузеће "Србијагас"</w:t>
            </w:r>
          </w:p>
        </w:tc>
        <w:tc>
          <w:tcPr>
            <w:tcW w:w="2627" w:type="dxa"/>
            <w:tcBorders>
              <w:top w:val="nil"/>
              <w:left w:val="nil"/>
              <w:bottom w:val="nil"/>
              <w:right w:val="nil"/>
            </w:tcBorders>
            <w:shd w:val="clear" w:color="000000" w:fill="FFFFFF"/>
            <w:noWrap/>
            <w:vAlign w:val="bottom"/>
            <w:hideMark/>
          </w:tcPr>
          <w:p w14:paraId="1B112F45"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7D4F214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935 </w:t>
            </w:r>
          </w:p>
        </w:tc>
        <w:tc>
          <w:tcPr>
            <w:tcW w:w="912" w:type="dxa"/>
            <w:tcBorders>
              <w:top w:val="nil"/>
              <w:left w:val="nil"/>
              <w:bottom w:val="nil"/>
              <w:right w:val="nil"/>
            </w:tcBorders>
            <w:shd w:val="clear" w:color="000000" w:fill="FFFFFF"/>
            <w:noWrap/>
            <w:vAlign w:val="center"/>
            <w:hideMark/>
          </w:tcPr>
          <w:p w14:paraId="5FBCE8B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190,8</w:t>
            </w:r>
          </w:p>
        </w:tc>
        <w:tc>
          <w:tcPr>
            <w:tcW w:w="912" w:type="dxa"/>
            <w:tcBorders>
              <w:top w:val="nil"/>
              <w:left w:val="nil"/>
              <w:bottom w:val="nil"/>
              <w:right w:val="nil"/>
            </w:tcBorders>
            <w:shd w:val="clear" w:color="000000" w:fill="FFFFFF"/>
            <w:noWrap/>
            <w:vAlign w:val="center"/>
            <w:hideMark/>
          </w:tcPr>
          <w:p w14:paraId="6D380C8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176,5</w:t>
            </w:r>
          </w:p>
        </w:tc>
        <w:tc>
          <w:tcPr>
            <w:tcW w:w="904" w:type="dxa"/>
            <w:tcBorders>
              <w:top w:val="nil"/>
              <w:left w:val="nil"/>
              <w:bottom w:val="nil"/>
              <w:right w:val="nil"/>
            </w:tcBorders>
            <w:shd w:val="clear" w:color="000000" w:fill="FFFFFF"/>
            <w:noWrap/>
            <w:vAlign w:val="center"/>
            <w:hideMark/>
          </w:tcPr>
          <w:p w14:paraId="1A46117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8,4</w:t>
            </w:r>
          </w:p>
        </w:tc>
      </w:tr>
      <w:tr w:rsidR="00330999" w:rsidRPr="00F5596D" w14:paraId="35EF4C85" w14:textId="77777777" w:rsidTr="00E61B34">
        <w:trPr>
          <w:trHeight w:val="20"/>
        </w:trPr>
        <w:tc>
          <w:tcPr>
            <w:tcW w:w="2880" w:type="dxa"/>
            <w:tcBorders>
              <w:top w:val="nil"/>
              <w:left w:val="nil"/>
              <w:bottom w:val="nil"/>
              <w:right w:val="nil"/>
            </w:tcBorders>
            <w:shd w:val="clear" w:color="000000" w:fill="FFFFFF"/>
            <w:noWrap/>
            <w:vAlign w:val="center"/>
            <w:hideMark/>
          </w:tcPr>
          <w:p w14:paraId="7CC533C0"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"Електродистрибуција Србије" доо</w:t>
            </w:r>
          </w:p>
        </w:tc>
        <w:tc>
          <w:tcPr>
            <w:tcW w:w="2627" w:type="dxa"/>
            <w:tcBorders>
              <w:top w:val="nil"/>
              <w:left w:val="nil"/>
              <w:bottom w:val="nil"/>
              <w:right w:val="nil"/>
            </w:tcBorders>
            <w:shd w:val="clear" w:color="000000" w:fill="FFFFFF"/>
            <w:noWrap/>
            <w:vAlign w:val="bottom"/>
            <w:hideMark/>
          </w:tcPr>
          <w:p w14:paraId="345F3653"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43B3E57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8.552 </w:t>
            </w:r>
          </w:p>
        </w:tc>
        <w:tc>
          <w:tcPr>
            <w:tcW w:w="912" w:type="dxa"/>
            <w:tcBorders>
              <w:top w:val="nil"/>
              <w:left w:val="nil"/>
              <w:bottom w:val="nil"/>
              <w:right w:val="nil"/>
            </w:tcBorders>
            <w:shd w:val="clear" w:color="000000" w:fill="FFFFFF"/>
            <w:noWrap/>
            <w:vAlign w:val="center"/>
            <w:hideMark/>
          </w:tcPr>
          <w:p w14:paraId="6776115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108,7</w:t>
            </w:r>
          </w:p>
        </w:tc>
        <w:tc>
          <w:tcPr>
            <w:tcW w:w="912" w:type="dxa"/>
            <w:tcBorders>
              <w:top w:val="nil"/>
              <w:left w:val="nil"/>
              <w:bottom w:val="nil"/>
              <w:right w:val="nil"/>
            </w:tcBorders>
            <w:shd w:val="clear" w:color="000000" w:fill="FFFFFF"/>
            <w:noWrap/>
            <w:vAlign w:val="center"/>
            <w:hideMark/>
          </w:tcPr>
          <w:p w14:paraId="3784290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116,4</w:t>
            </w:r>
          </w:p>
        </w:tc>
        <w:tc>
          <w:tcPr>
            <w:tcW w:w="904" w:type="dxa"/>
            <w:tcBorders>
              <w:top w:val="nil"/>
              <w:left w:val="nil"/>
              <w:bottom w:val="nil"/>
              <w:right w:val="nil"/>
            </w:tcBorders>
            <w:shd w:val="clear" w:color="000000" w:fill="FFFFFF"/>
            <w:noWrap/>
            <w:vAlign w:val="center"/>
            <w:hideMark/>
          </w:tcPr>
          <w:p w14:paraId="64268CA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-6,9</w:t>
            </w:r>
          </w:p>
        </w:tc>
      </w:tr>
      <w:tr w:rsidR="00330999" w:rsidRPr="00F5596D" w14:paraId="11620847" w14:textId="77777777" w:rsidTr="00E61B34">
        <w:trPr>
          <w:trHeight w:val="20"/>
        </w:trPr>
        <w:tc>
          <w:tcPr>
            <w:tcW w:w="2880" w:type="dxa"/>
            <w:tcBorders>
              <w:top w:val="nil"/>
              <w:left w:val="nil"/>
              <w:bottom w:val="nil"/>
              <w:right w:val="nil"/>
            </w:tcBorders>
            <w:shd w:val="clear" w:color="000000" w:fill="FFFFFF"/>
            <w:noWrap/>
            <w:vAlign w:val="center"/>
            <w:hideMark/>
          </w:tcPr>
          <w:p w14:paraId="38576056"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Јавно предузеће "Путеви Србије"</w:t>
            </w:r>
          </w:p>
        </w:tc>
        <w:tc>
          <w:tcPr>
            <w:tcW w:w="2627" w:type="dxa"/>
            <w:tcBorders>
              <w:top w:val="nil"/>
              <w:left w:val="nil"/>
              <w:bottom w:val="nil"/>
              <w:right w:val="nil"/>
            </w:tcBorders>
            <w:shd w:val="clear" w:color="000000" w:fill="FFFFFF"/>
            <w:noWrap/>
            <w:vAlign w:val="bottom"/>
            <w:hideMark/>
          </w:tcPr>
          <w:p w14:paraId="0B178AC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Грађевинарство </w:t>
            </w:r>
          </w:p>
        </w:tc>
        <w:tc>
          <w:tcPr>
            <w:tcW w:w="1135" w:type="dxa"/>
            <w:tcBorders>
              <w:top w:val="nil"/>
              <w:left w:val="nil"/>
              <w:bottom w:val="nil"/>
              <w:right w:val="nil"/>
            </w:tcBorders>
            <w:shd w:val="clear" w:color="000000" w:fill="FFFFFF"/>
            <w:noWrap/>
            <w:vAlign w:val="center"/>
            <w:hideMark/>
          </w:tcPr>
          <w:p w14:paraId="21349FD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2.221 </w:t>
            </w:r>
          </w:p>
        </w:tc>
        <w:tc>
          <w:tcPr>
            <w:tcW w:w="912" w:type="dxa"/>
            <w:tcBorders>
              <w:top w:val="nil"/>
              <w:left w:val="nil"/>
              <w:bottom w:val="nil"/>
              <w:right w:val="nil"/>
            </w:tcBorders>
            <w:shd w:val="clear" w:color="000000" w:fill="FFFFFF"/>
            <w:noWrap/>
            <w:vAlign w:val="center"/>
            <w:hideMark/>
          </w:tcPr>
          <w:p w14:paraId="7AE5760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60,3</w:t>
            </w:r>
          </w:p>
        </w:tc>
        <w:tc>
          <w:tcPr>
            <w:tcW w:w="912" w:type="dxa"/>
            <w:tcBorders>
              <w:top w:val="nil"/>
              <w:left w:val="nil"/>
              <w:bottom w:val="nil"/>
              <w:right w:val="nil"/>
            </w:tcBorders>
            <w:shd w:val="clear" w:color="000000" w:fill="FFFFFF"/>
            <w:noWrap/>
            <w:vAlign w:val="center"/>
            <w:hideMark/>
          </w:tcPr>
          <w:p w14:paraId="4FEE438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71,7</w:t>
            </w:r>
          </w:p>
        </w:tc>
        <w:tc>
          <w:tcPr>
            <w:tcW w:w="904" w:type="dxa"/>
            <w:tcBorders>
              <w:top w:val="nil"/>
              <w:left w:val="nil"/>
              <w:bottom w:val="nil"/>
              <w:right w:val="nil"/>
            </w:tcBorders>
            <w:shd w:val="clear" w:color="000000" w:fill="FFFFFF"/>
            <w:noWrap/>
            <w:vAlign w:val="center"/>
            <w:hideMark/>
          </w:tcPr>
          <w:p w14:paraId="02A1B9D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-11,4</w:t>
            </w:r>
          </w:p>
        </w:tc>
      </w:tr>
      <w:tr w:rsidR="00330999" w:rsidRPr="00F5596D" w14:paraId="7AD3CED0" w14:textId="77777777" w:rsidTr="00E61B34">
        <w:trPr>
          <w:trHeight w:val="20"/>
        </w:trPr>
        <w:tc>
          <w:tcPr>
            <w:tcW w:w="2880" w:type="dxa"/>
            <w:tcBorders>
              <w:top w:val="nil"/>
              <w:left w:val="nil"/>
              <w:bottom w:val="nil"/>
              <w:right w:val="nil"/>
            </w:tcBorders>
            <w:shd w:val="clear" w:color="000000" w:fill="FFFFFF"/>
            <w:noWrap/>
            <w:vAlign w:val="center"/>
            <w:hideMark/>
          </w:tcPr>
          <w:p w14:paraId="78E4499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"Електромрежа Србије" ад</w:t>
            </w:r>
          </w:p>
        </w:tc>
        <w:tc>
          <w:tcPr>
            <w:tcW w:w="2627" w:type="dxa"/>
            <w:tcBorders>
              <w:top w:val="nil"/>
              <w:left w:val="nil"/>
              <w:bottom w:val="nil"/>
              <w:right w:val="nil"/>
            </w:tcBorders>
            <w:shd w:val="clear" w:color="000000" w:fill="FFFFFF"/>
            <w:noWrap/>
            <w:vAlign w:val="bottom"/>
            <w:hideMark/>
          </w:tcPr>
          <w:p w14:paraId="68E8D0E4"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Енергетика </w:t>
            </w:r>
          </w:p>
        </w:tc>
        <w:tc>
          <w:tcPr>
            <w:tcW w:w="1135" w:type="dxa"/>
            <w:tcBorders>
              <w:top w:val="nil"/>
              <w:left w:val="nil"/>
              <w:bottom w:val="nil"/>
              <w:right w:val="nil"/>
            </w:tcBorders>
            <w:shd w:val="clear" w:color="000000" w:fill="FFFFFF"/>
            <w:noWrap/>
            <w:vAlign w:val="center"/>
            <w:hideMark/>
          </w:tcPr>
          <w:p w14:paraId="46A2B855" w14:textId="3C82B7F0" w:rsidR="00330999" w:rsidRPr="00F5596D" w:rsidRDefault="0087666C"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1.557</w:t>
            </w:r>
          </w:p>
        </w:tc>
        <w:tc>
          <w:tcPr>
            <w:tcW w:w="912" w:type="dxa"/>
            <w:tcBorders>
              <w:top w:val="nil"/>
              <w:left w:val="nil"/>
              <w:bottom w:val="nil"/>
              <w:right w:val="nil"/>
            </w:tcBorders>
            <w:shd w:val="clear" w:color="000000" w:fill="FFFFFF"/>
            <w:noWrap/>
            <w:vAlign w:val="center"/>
            <w:hideMark/>
          </w:tcPr>
          <w:p w14:paraId="6B86783B" w14:textId="35C6B062" w:rsidR="00330999" w:rsidRPr="00F5596D" w:rsidRDefault="0087666C"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43,1</w:t>
            </w:r>
          </w:p>
        </w:tc>
        <w:tc>
          <w:tcPr>
            <w:tcW w:w="912" w:type="dxa"/>
            <w:tcBorders>
              <w:top w:val="nil"/>
              <w:left w:val="nil"/>
              <w:bottom w:val="nil"/>
              <w:right w:val="nil"/>
            </w:tcBorders>
            <w:shd w:val="clear" w:color="000000" w:fill="FFFFFF"/>
            <w:noWrap/>
            <w:vAlign w:val="center"/>
            <w:hideMark/>
          </w:tcPr>
          <w:p w14:paraId="20BF6A18" w14:textId="1CD1C00C" w:rsidR="00330999" w:rsidRPr="00F5596D" w:rsidRDefault="0087666C"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38</w:t>
            </w:r>
            <w:r w:rsidR="00330999" w:rsidRPr="00F5596D">
              <w:rPr>
                <w:rFonts w:ascii="Calibri" w:eastAsia="Times New Roman" w:hAnsi="Calibri" w:cs="Calibri"/>
                <w:color w:val="002060"/>
                <w:sz w:val="18"/>
                <w:szCs w:val="18"/>
                <w:lang w:val="sr-Cyrl-CS"/>
              </w:rPr>
              <w:t>,8</w:t>
            </w:r>
          </w:p>
        </w:tc>
        <w:tc>
          <w:tcPr>
            <w:tcW w:w="904" w:type="dxa"/>
            <w:tcBorders>
              <w:top w:val="nil"/>
              <w:left w:val="nil"/>
              <w:bottom w:val="nil"/>
              <w:right w:val="nil"/>
            </w:tcBorders>
            <w:shd w:val="clear" w:color="000000" w:fill="FFFFFF"/>
            <w:noWrap/>
            <w:vAlign w:val="center"/>
            <w:hideMark/>
          </w:tcPr>
          <w:p w14:paraId="6A55DB88" w14:textId="2E19A779" w:rsidR="00330999" w:rsidRPr="00F5596D" w:rsidRDefault="0087666C"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3,5</w:t>
            </w:r>
          </w:p>
        </w:tc>
      </w:tr>
      <w:tr w:rsidR="00330999" w:rsidRPr="00F5596D" w14:paraId="2A5BACCB" w14:textId="77777777" w:rsidTr="00E61B34">
        <w:trPr>
          <w:trHeight w:val="20"/>
        </w:trPr>
        <w:tc>
          <w:tcPr>
            <w:tcW w:w="2880" w:type="dxa"/>
            <w:tcBorders>
              <w:top w:val="nil"/>
              <w:left w:val="nil"/>
              <w:bottom w:val="nil"/>
              <w:right w:val="nil"/>
            </w:tcBorders>
            <w:shd w:val="clear" w:color="000000" w:fill="FFFFFF"/>
            <w:noWrap/>
            <w:vAlign w:val="center"/>
            <w:hideMark/>
          </w:tcPr>
          <w:p w14:paraId="2AB1FCA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Јавно предузеће "Пошта Србије"</w:t>
            </w:r>
          </w:p>
        </w:tc>
        <w:tc>
          <w:tcPr>
            <w:tcW w:w="2627" w:type="dxa"/>
            <w:tcBorders>
              <w:top w:val="nil"/>
              <w:left w:val="nil"/>
              <w:bottom w:val="nil"/>
              <w:right w:val="nil"/>
            </w:tcBorders>
            <w:shd w:val="clear" w:color="000000" w:fill="FFFFFF"/>
            <w:noWrap/>
            <w:vAlign w:val="bottom"/>
            <w:hideMark/>
          </w:tcPr>
          <w:p w14:paraId="093716BF"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2170631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14.032 </w:t>
            </w:r>
          </w:p>
        </w:tc>
        <w:tc>
          <w:tcPr>
            <w:tcW w:w="912" w:type="dxa"/>
            <w:tcBorders>
              <w:top w:val="nil"/>
              <w:left w:val="nil"/>
              <w:bottom w:val="nil"/>
              <w:right w:val="nil"/>
            </w:tcBorders>
            <w:shd w:val="clear" w:color="000000" w:fill="FFFFFF"/>
            <w:noWrap/>
            <w:vAlign w:val="center"/>
            <w:hideMark/>
          </w:tcPr>
          <w:p w14:paraId="6F95808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36,4</w:t>
            </w:r>
          </w:p>
        </w:tc>
        <w:tc>
          <w:tcPr>
            <w:tcW w:w="912" w:type="dxa"/>
            <w:tcBorders>
              <w:top w:val="nil"/>
              <w:left w:val="nil"/>
              <w:bottom w:val="nil"/>
              <w:right w:val="nil"/>
            </w:tcBorders>
            <w:shd w:val="clear" w:color="000000" w:fill="FFFFFF"/>
            <w:noWrap/>
            <w:vAlign w:val="center"/>
            <w:hideMark/>
          </w:tcPr>
          <w:p w14:paraId="5570B6D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34,0</w:t>
            </w:r>
          </w:p>
        </w:tc>
        <w:tc>
          <w:tcPr>
            <w:tcW w:w="904" w:type="dxa"/>
            <w:tcBorders>
              <w:top w:val="nil"/>
              <w:left w:val="nil"/>
              <w:bottom w:val="nil"/>
              <w:right w:val="nil"/>
            </w:tcBorders>
            <w:shd w:val="clear" w:color="000000" w:fill="FFFFFF"/>
            <w:noWrap/>
            <w:vAlign w:val="center"/>
            <w:hideMark/>
          </w:tcPr>
          <w:p w14:paraId="6022993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2,1</w:t>
            </w:r>
          </w:p>
        </w:tc>
      </w:tr>
      <w:tr w:rsidR="00330999" w:rsidRPr="00F5596D" w14:paraId="13A40A64" w14:textId="77777777" w:rsidTr="00E61B34">
        <w:trPr>
          <w:trHeight w:val="20"/>
        </w:trPr>
        <w:tc>
          <w:tcPr>
            <w:tcW w:w="2880" w:type="dxa"/>
            <w:tcBorders>
              <w:top w:val="nil"/>
              <w:left w:val="nil"/>
              <w:bottom w:val="nil"/>
              <w:right w:val="nil"/>
            </w:tcBorders>
            <w:shd w:val="clear" w:color="000000" w:fill="FFFFFF"/>
            <w:noWrap/>
            <w:vAlign w:val="center"/>
            <w:hideMark/>
          </w:tcPr>
          <w:p w14:paraId="1A009FDF"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Јавно предузеће "Југоимпорт-СДПР"</w:t>
            </w:r>
          </w:p>
        </w:tc>
        <w:tc>
          <w:tcPr>
            <w:tcW w:w="2627" w:type="dxa"/>
            <w:tcBorders>
              <w:top w:val="nil"/>
              <w:left w:val="nil"/>
              <w:bottom w:val="nil"/>
              <w:right w:val="nil"/>
            </w:tcBorders>
            <w:shd w:val="clear" w:color="000000" w:fill="FFFFFF"/>
            <w:noWrap/>
            <w:vAlign w:val="bottom"/>
            <w:hideMark/>
          </w:tcPr>
          <w:p w14:paraId="2501E35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Трговина на велико и трговина на мало</w:t>
            </w:r>
          </w:p>
        </w:tc>
        <w:tc>
          <w:tcPr>
            <w:tcW w:w="1135" w:type="dxa"/>
            <w:tcBorders>
              <w:top w:val="nil"/>
              <w:left w:val="nil"/>
              <w:bottom w:val="nil"/>
              <w:right w:val="nil"/>
            </w:tcBorders>
            <w:shd w:val="clear" w:color="000000" w:fill="FFFFFF"/>
            <w:noWrap/>
            <w:vAlign w:val="center"/>
            <w:hideMark/>
          </w:tcPr>
          <w:p w14:paraId="547C26D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357 </w:t>
            </w:r>
          </w:p>
        </w:tc>
        <w:tc>
          <w:tcPr>
            <w:tcW w:w="912" w:type="dxa"/>
            <w:tcBorders>
              <w:top w:val="nil"/>
              <w:left w:val="nil"/>
              <w:bottom w:val="nil"/>
              <w:right w:val="nil"/>
            </w:tcBorders>
            <w:shd w:val="clear" w:color="000000" w:fill="FFFFFF"/>
            <w:noWrap/>
            <w:vAlign w:val="center"/>
            <w:hideMark/>
          </w:tcPr>
          <w:p w14:paraId="39EB384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23,4</w:t>
            </w:r>
          </w:p>
        </w:tc>
        <w:tc>
          <w:tcPr>
            <w:tcW w:w="912" w:type="dxa"/>
            <w:tcBorders>
              <w:top w:val="nil"/>
              <w:left w:val="nil"/>
              <w:bottom w:val="nil"/>
              <w:right w:val="nil"/>
            </w:tcBorders>
            <w:shd w:val="clear" w:color="000000" w:fill="FFFFFF"/>
            <w:noWrap/>
            <w:vAlign w:val="center"/>
            <w:hideMark/>
          </w:tcPr>
          <w:p w14:paraId="0FDB201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22,2</w:t>
            </w:r>
          </w:p>
        </w:tc>
        <w:tc>
          <w:tcPr>
            <w:tcW w:w="904" w:type="dxa"/>
            <w:tcBorders>
              <w:top w:val="nil"/>
              <w:left w:val="nil"/>
              <w:bottom w:val="nil"/>
              <w:right w:val="nil"/>
            </w:tcBorders>
            <w:shd w:val="clear" w:color="000000" w:fill="FFFFFF"/>
            <w:noWrap/>
            <w:vAlign w:val="center"/>
            <w:hideMark/>
          </w:tcPr>
          <w:p w14:paraId="646BB8F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0,4</w:t>
            </w:r>
          </w:p>
        </w:tc>
      </w:tr>
      <w:tr w:rsidR="00330999" w:rsidRPr="00F5596D" w14:paraId="0FB6D0CD" w14:textId="77777777" w:rsidTr="00E61B34">
        <w:trPr>
          <w:trHeight w:val="20"/>
        </w:trPr>
        <w:tc>
          <w:tcPr>
            <w:tcW w:w="2880" w:type="dxa"/>
            <w:tcBorders>
              <w:top w:val="nil"/>
              <w:left w:val="nil"/>
              <w:bottom w:val="nil"/>
              <w:right w:val="nil"/>
            </w:tcBorders>
            <w:shd w:val="clear" w:color="000000" w:fill="FFFFFF"/>
            <w:noWrap/>
            <w:vAlign w:val="center"/>
            <w:hideMark/>
          </w:tcPr>
          <w:p w14:paraId="172F6151"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"Инфраструктура железнице Србије" ад</w:t>
            </w:r>
          </w:p>
        </w:tc>
        <w:tc>
          <w:tcPr>
            <w:tcW w:w="2627" w:type="dxa"/>
            <w:tcBorders>
              <w:top w:val="nil"/>
              <w:left w:val="nil"/>
              <w:bottom w:val="nil"/>
              <w:right w:val="nil"/>
            </w:tcBorders>
            <w:shd w:val="clear" w:color="000000" w:fill="FFFFFF"/>
            <w:noWrap/>
            <w:vAlign w:val="bottom"/>
            <w:hideMark/>
          </w:tcPr>
          <w:p w14:paraId="0FB522B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33027CF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5.705 </w:t>
            </w:r>
          </w:p>
        </w:tc>
        <w:tc>
          <w:tcPr>
            <w:tcW w:w="912" w:type="dxa"/>
            <w:tcBorders>
              <w:top w:val="nil"/>
              <w:left w:val="nil"/>
              <w:bottom w:val="nil"/>
              <w:right w:val="nil"/>
            </w:tcBorders>
            <w:shd w:val="clear" w:color="000000" w:fill="FFFFFF"/>
            <w:noWrap/>
            <w:vAlign w:val="center"/>
            <w:hideMark/>
          </w:tcPr>
          <w:p w14:paraId="01819E9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19,5</w:t>
            </w:r>
          </w:p>
        </w:tc>
        <w:tc>
          <w:tcPr>
            <w:tcW w:w="912" w:type="dxa"/>
            <w:tcBorders>
              <w:top w:val="nil"/>
              <w:left w:val="nil"/>
              <w:bottom w:val="nil"/>
              <w:right w:val="nil"/>
            </w:tcBorders>
            <w:shd w:val="clear" w:color="000000" w:fill="FFFFFF"/>
            <w:noWrap/>
            <w:vAlign w:val="center"/>
            <w:hideMark/>
          </w:tcPr>
          <w:p w14:paraId="64AE1F4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24,0</w:t>
            </w:r>
          </w:p>
        </w:tc>
        <w:tc>
          <w:tcPr>
            <w:tcW w:w="904" w:type="dxa"/>
            <w:tcBorders>
              <w:top w:val="nil"/>
              <w:left w:val="nil"/>
              <w:bottom w:val="nil"/>
              <w:right w:val="nil"/>
            </w:tcBorders>
            <w:shd w:val="clear" w:color="000000" w:fill="FFFFFF"/>
            <w:noWrap/>
            <w:vAlign w:val="center"/>
            <w:hideMark/>
          </w:tcPr>
          <w:p w14:paraId="06F2125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-4,7</w:t>
            </w:r>
          </w:p>
        </w:tc>
      </w:tr>
      <w:tr w:rsidR="00330999" w:rsidRPr="00F5596D" w14:paraId="3FCC2D5D" w14:textId="77777777" w:rsidTr="00E61B34">
        <w:trPr>
          <w:trHeight w:val="20"/>
        </w:trPr>
        <w:tc>
          <w:tcPr>
            <w:tcW w:w="2880" w:type="dxa"/>
            <w:tcBorders>
              <w:top w:val="nil"/>
              <w:left w:val="nil"/>
              <w:bottom w:val="nil"/>
              <w:right w:val="nil"/>
            </w:tcBorders>
            <w:shd w:val="clear" w:color="000000" w:fill="FFFFFF"/>
            <w:noWrap/>
            <w:vAlign w:val="center"/>
            <w:hideMark/>
          </w:tcPr>
          <w:p w14:paraId="73751499"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"Србија Карго" ад</w:t>
            </w:r>
          </w:p>
        </w:tc>
        <w:tc>
          <w:tcPr>
            <w:tcW w:w="2627" w:type="dxa"/>
            <w:tcBorders>
              <w:top w:val="nil"/>
              <w:left w:val="nil"/>
              <w:bottom w:val="nil"/>
              <w:right w:val="nil"/>
            </w:tcBorders>
            <w:shd w:val="clear" w:color="000000" w:fill="FFFFFF"/>
            <w:noWrap/>
            <w:vAlign w:val="bottom"/>
            <w:hideMark/>
          </w:tcPr>
          <w:p w14:paraId="6DA42066"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Саобраћај и складиштење</w:t>
            </w:r>
          </w:p>
        </w:tc>
        <w:tc>
          <w:tcPr>
            <w:tcW w:w="1135" w:type="dxa"/>
            <w:tcBorders>
              <w:top w:val="nil"/>
              <w:left w:val="nil"/>
              <w:bottom w:val="nil"/>
              <w:right w:val="nil"/>
            </w:tcBorders>
            <w:shd w:val="clear" w:color="000000" w:fill="FFFFFF"/>
            <w:noWrap/>
            <w:vAlign w:val="center"/>
            <w:hideMark/>
          </w:tcPr>
          <w:p w14:paraId="4C7BDBC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2.050 </w:t>
            </w:r>
          </w:p>
        </w:tc>
        <w:tc>
          <w:tcPr>
            <w:tcW w:w="912" w:type="dxa"/>
            <w:tcBorders>
              <w:top w:val="nil"/>
              <w:left w:val="nil"/>
              <w:bottom w:val="nil"/>
              <w:right w:val="nil"/>
            </w:tcBorders>
            <w:shd w:val="clear" w:color="000000" w:fill="FFFFFF"/>
            <w:noWrap/>
            <w:vAlign w:val="center"/>
            <w:hideMark/>
          </w:tcPr>
          <w:p w14:paraId="46AAF20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11,6</w:t>
            </w:r>
          </w:p>
        </w:tc>
        <w:tc>
          <w:tcPr>
            <w:tcW w:w="912" w:type="dxa"/>
            <w:tcBorders>
              <w:top w:val="nil"/>
              <w:left w:val="nil"/>
              <w:bottom w:val="nil"/>
              <w:right w:val="nil"/>
            </w:tcBorders>
            <w:shd w:val="clear" w:color="000000" w:fill="FFFFFF"/>
            <w:noWrap/>
            <w:vAlign w:val="center"/>
            <w:hideMark/>
          </w:tcPr>
          <w:p w14:paraId="2712D73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14,3</w:t>
            </w:r>
          </w:p>
        </w:tc>
        <w:tc>
          <w:tcPr>
            <w:tcW w:w="904" w:type="dxa"/>
            <w:tcBorders>
              <w:top w:val="nil"/>
              <w:left w:val="nil"/>
              <w:bottom w:val="nil"/>
              <w:right w:val="nil"/>
            </w:tcBorders>
            <w:shd w:val="clear" w:color="000000" w:fill="FFFFFF"/>
            <w:noWrap/>
            <w:vAlign w:val="center"/>
            <w:hideMark/>
          </w:tcPr>
          <w:p w14:paraId="18D85F4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w:t>
            </w:r>
          </w:p>
        </w:tc>
      </w:tr>
      <w:tr w:rsidR="00330999" w:rsidRPr="00F5596D" w14:paraId="586C7BC9" w14:textId="77777777" w:rsidTr="00E61B34">
        <w:trPr>
          <w:trHeight w:val="20"/>
        </w:trPr>
        <w:tc>
          <w:tcPr>
            <w:tcW w:w="2880" w:type="dxa"/>
            <w:tcBorders>
              <w:top w:val="nil"/>
              <w:left w:val="nil"/>
              <w:bottom w:val="nil"/>
              <w:right w:val="nil"/>
            </w:tcBorders>
            <w:shd w:val="clear" w:color="000000" w:fill="FFFFFF"/>
            <w:noWrap/>
            <w:vAlign w:val="center"/>
            <w:hideMark/>
          </w:tcPr>
          <w:p w14:paraId="16F52B52"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Јавно предузеће "Србијашуме"</w:t>
            </w:r>
          </w:p>
        </w:tc>
        <w:tc>
          <w:tcPr>
            <w:tcW w:w="2627" w:type="dxa"/>
            <w:tcBorders>
              <w:top w:val="nil"/>
              <w:left w:val="nil"/>
              <w:bottom w:val="nil"/>
              <w:right w:val="nil"/>
            </w:tcBorders>
            <w:shd w:val="clear" w:color="000000" w:fill="FFFFFF"/>
            <w:noWrap/>
            <w:vAlign w:val="bottom"/>
            <w:hideMark/>
          </w:tcPr>
          <w:p w14:paraId="568B96CB"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Пољопривреда, шумарство, рибарство</w:t>
            </w:r>
          </w:p>
        </w:tc>
        <w:tc>
          <w:tcPr>
            <w:tcW w:w="1135" w:type="dxa"/>
            <w:tcBorders>
              <w:top w:val="nil"/>
              <w:left w:val="nil"/>
              <w:bottom w:val="nil"/>
              <w:right w:val="nil"/>
            </w:tcBorders>
            <w:shd w:val="clear" w:color="000000" w:fill="FFFFFF"/>
            <w:noWrap/>
            <w:vAlign w:val="center"/>
            <w:hideMark/>
          </w:tcPr>
          <w:p w14:paraId="4424D7D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3.061 </w:t>
            </w:r>
          </w:p>
        </w:tc>
        <w:tc>
          <w:tcPr>
            <w:tcW w:w="912" w:type="dxa"/>
            <w:tcBorders>
              <w:top w:val="nil"/>
              <w:left w:val="nil"/>
              <w:bottom w:val="nil"/>
              <w:right w:val="nil"/>
            </w:tcBorders>
            <w:shd w:val="clear" w:color="000000" w:fill="FFFFFF"/>
            <w:noWrap/>
            <w:vAlign w:val="center"/>
            <w:hideMark/>
          </w:tcPr>
          <w:p w14:paraId="5478403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11,1</w:t>
            </w:r>
          </w:p>
        </w:tc>
        <w:tc>
          <w:tcPr>
            <w:tcW w:w="912" w:type="dxa"/>
            <w:tcBorders>
              <w:top w:val="nil"/>
              <w:left w:val="nil"/>
              <w:bottom w:val="nil"/>
              <w:right w:val="nil"/>
            </w:tcBorders>
            <w:shd w:val="clear" w:color="000000" w:fill="FFFFFF"/>
            <w:noWrap/>
            <w:vAlign w:val="center"/>
            <w:hideMark/>
          </w:tcPr>
          <w:p w14:paraId="24458A2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10,9</w:t>
            </w:r>
          </w:p>
        </w:tc>
        <w:tc>
          <w:tcPr>
            <w:tcW w:w="904" w:type="dxa"/>
            <w:tcBorders>
              <w:top w:val="nil"/>
              <w:left w:val="nil"/>
              <w:bottom w:val="nil"/>
              <w:right w:val="nil"/>
            </w:tcBorders>
            <w:shd w:val="clear" w:color="000000" w:fill="FFFFFF"/>
            <w:noWrap/>
            <w:vAlign w:val="center"/>
            <w:hideMark/>
          </w:tcPr>
          <w:p w14:paraId="1AD0D44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0,2</w:t>
            </w:r>
          </w:p>
        </w:tc>
      </w:tr>
      <w:tr w:rsidR="00330999" w:rsidRPr="00F5596D" w14:paraId="7B111DB1" w14:textId="77777777" w:rsidTr="00E61B34">
        <w:trPr>
          <w:trHeight w:val="20"/>
        </w:trPr>
        <w:tc>
          <w:tcPr>
            <w:tcW w:w="2880" w:type="dxa"/>
            <w:tcBorders>
              <w:top w:val="nil"/>
              <w:left w:val="nil"/>
              <w:bottom w:val="single" w:sz="4" w:space="0" w:color="auto"/>
              <w:right w:val="nil"/>
            </w:tcBorders>
            <w:shd w:val="clear" w:color="000000" w:fill="FFFFFF"/>
            <w:noWrap/>
            <w:vAlign w:val="center"/>
            <w:hideMark/>
          </w:tcPr>
          <w:p w14:paraId="54D5BF9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Осталих 26 предузећа</w:t>
            </w:r>
          </w:p>
        </w:tc>
        <w:tc>
          <w:tcPr>
            <w:tcW w:w="2627" w:type="dxa"/>
            <w:tcBorders>
              <w:top w:val="nil"/>
              <w:left w:val="nil"/>
              <w:bottom w:val="single" w:sz="4" w:space="0" w:color="auto"/>
              <w:right w:val="nil"/>
            </w:tcBorders>
            <w:shd w:val="clear" w:color="000000" w:fill="FFFFFF"/>
            <w:noWrap/>
            <w:vAlign w:val="bottom"/>
            <w:hideMark/>
          </w:tcPr>
          <w:p w14:paraId="2724AB99"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Остало</w:t>
            </w:r>
          </w:p>
        </w:tc>
        <w:tc>
          <w:tcPr>
            <w:tcW w:w="1135" w:type="dxa"/>
            <w:tcBorders>
              <w:top w:val="nil"/>
              <w:left w:val="nil"/>
              <w:bottom w:val="single" w:sz="4" w:space="0" w:color="002060"/>
              <w:right w:val="nil"/>
            </w:tcBorders>
            <w:shd w:val="clear" w:color="000000" w:fill="FFFFFF"/>
            <w:noWrap/>
            <w:vAlign w:val="center"/>
            <w:hideMark/>
          </w:tcPr>
          <w:p w14:paraId="44D7E3F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8.424 </w:t>
            </w:r>
          </w:p>
        </w:tc>
        <w:tc>
          <w:tcPr>
            <w:tcW w:w="912" w:type="dxa"/>
            <w:tcBorders>
              <w:top w:val="nil"/>
              <w:left w:val="nil"/>
              <w:bottom w:val="single" w:sz="4" w:space="0" w:color="002060"/>
              <w:right w:val="nil"/>
            </w:tcBorders>
            <w:shd w:val="clear" w:color="000000" w:fill="FFFFFF"/>
            <w:noWrap/>
            <w:vAlign w:val="center"/>
            <w:hideMark/>
          </w:tcPr>
          <w:p w14:paraId="2950B32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44,5</w:t>
            </w:r>
          </w:p>
        </w:tc>
        <w:tc>
          <w:tcPr>
            <w:tcW w:w="912" w:type="dxa"/>
            <w:tcBorders>
              <w:top w:val="nil"/>
              <w:left w:val="nil"/>
              <w:bottom w:val="single" w:sz="4" w:space="0" w:color="002060"/>
              <w:right w:val="nil"/>
            </w:tcBorders>
            <w:shd w:val="clear" w:color="000000" w:fill="FFFFFF"/>
            <w:noWrap/>
            <w:vAlign w:val="center"/>
            <w:hideMark/>
          </w:tcPr>
          <w:p w14:paraId="17F68D48"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46,8</w:t>
            </w:r>
          </w:p>
        </w:tc>
        <w:tc>
          <w:tcPr>
            <w:tcW w:w="904" w:type="dxa"/>
            <w:tcBorders>
              <w:top w:val="nil"/>
              <w:left w:val="nil"/>
              <w:bottom w:val="single" w:sz="4" w:space="0" w:color="002060"/>
              <w:right w:val="nil"/>
            </w:tcBorders>
            <w:shd w:val="clear" w:color="000000" w:fill="FFFFFF"/>
            <w:noWrap/>
            <w:vAlign w:val="center"/>
            <w:hideMark/>
          </w:tcPr>
          <w:p w14:paraId="6896C50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w:t>
            </w:r>
          </w:p>
        </w:tc>
      </w:tr>
    </w:tbl>
    <w:p w14:paraId="5AACF713" w14:textId="77777777" w:rsidR="00330999" w:rsidRPr="00F5596D" w:rsidRDefault="00330999" w:rsidP="00330999">
      <w:pPr>
        <w:spacing w:after="200" w:line="276" w:lineRule="auto"/>
        <w:rPr>
          <w:rFonts w:ascii="Calibri" w:eastAsia="MS PGothic" w:hAnsi="Calibri" w:cs="Calibri"/>
          <w:color w:val="44546A"/>
          <w:sz w:val="18"/>
          <w:szCs w:val="18"/>
          <w:lang w:val="sr-Cyrl-CS" w:eastAsia="ja-JP"/>
        </w:rPr>
        <w:sectPr w:rsidR="00330999" w:rsidRPr="00F5596D" w:rsidSect="00E61B34">
          <w:type w:val="continuous"/>
          <w:pgSz w:w="12240" w:h="15840"/>
          <w:pgMar w:top="1440" w:right="1440" w:bottom="1440" w:left="1440" w:header="720" w:footer="720" w:gutter="0"/>
          <w:cols w:space="720"/>
          <w:docGrid w:linePitch="360"/>
        </w:sectPr>
      </w:pPr>
      <w:r w:rsidRPr="00F5596D">
        <w:rPr>
          <w:rFonts w:ascii="Calibri" w:eastAsia="MS PGothic" w:hAnsi="Calibri" w:cs="Calibri"/>
          <w:color w:val="44546A"/>
          <w:sz w:val="16"/>
          <w:szCs w:val="16"/>
          <w:lang w:val="sr-Cyrl-CS" w:eastAsia="ja-JP"/>
        </w:rPr>
        <w:t>Извор: Финансијски извештаји за 2024. годину (АПР и јавна предузећа)</w:t>
      </w:r>
    </w:p>
    <w:p w14:paraId="388F83C5"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Државна предузећа чији рад се прати са становишта фискалних ризика послују у различитим секторима. Ако посматрамо по броју, највише државних предузећа послује у области туризма (национални паркови) и саобраћаја (железничка предузећа). Акo се посматра са становишта укупно остварених прихода, као и броја запослених, водећу улогу имају државна предузећа из сектора енергетике. У 2024. години приходи предузећа из овог сектора чинили су 79% укупних прихода свих 36 државних предузећа.</w:t>
      </w:r>
    </w:p>
    <w:p w14:paraId="74BEFDAC"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Резултати пословања државних предузећа</w:t>
      </w:r>
    </w:p>
    <w:p w14:paraId="5E1698E8"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Укупна имовина државних предузећа на крају 2024. године износила је 3.649 млрд динара, и њу чини углавном стална имовина која учествује са 87,4% с обзиром да већина државних предузећа послује у капитално интензивним гранама. Укупне обавезе обухватају кредите, обавезе према добављачима и обавезе по другим основама и оне су значајно порасле у периоду између 2021. и 2022. године, што је у складу са појавом </w:t>
      </w:r>
      <w:r w:rsidRPr="00F5596D">
        <w:rPr>
          <w:rFonts w:eastAsia="MS PGothic" w:cstheme="minorHAnsi"/>
          <w:szCs w:val="20"/>
          <w:lang w:val="sr-Cyrl-CS" w:eastAsia="ja-JP"/>
        </w:rPr>
        <w:t>енергетских шокова на тржишту. Кредитне обавезе на крају 2024. године имале су учешће од 37,0% у укупним обавезама предузећа, односно 37,1% на крају првог квартала 2025. године.</w:t>
      </w:r>
    </w:p>
    <w:p w14:paraId="23F4EC00" w14:textId="55E49866"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7</w:t>
      </w:r>
      <w:r w:rsidRPr="00F5596D">
        <w:rPr>
          <w:rFonts w:eastAsia="MS PGothic" w:cstheme="minorHAnsi"/>
          <w:b/>
          <w:color w:val="002060"/>
          <w:szCs w:val="20"/>
          <w:lang w:val="sr-Cyrl-CS" w:eastAsia="ja-JP"/>
        </w:rPr>
        <w:t>. Главни финансијски показатељи пословања државних предузећа, млрд динара</w:t>
      </w:r>
    </w:p>
    <w:tbl>
      <w:tblPr>
        <w:tblW w:w="4459" w:type="dxa"/>
        <w:tblLook w:val="04A0" w:firstRow="1" w:lastRow="0" w:firstColumn="1" w:lastColumn="0" w:noHBand="0" w:noVBand="1"/>
      </w:tblPr>
      <w:tblGrid>
        <w:gridCol w:w="1530"/>
        <w:gridCol w:w="900"/>
        <w:gridCol w:w="720"/>
        <w:gridCol w:w="630"/>
        <w:gridCol w:w="679"/>
      </w:tblGrid>
      <w:tr w:rsidR="00330999" w:rsidRPr="00F5596D" w14:paraId="727B4E5F" w14:textId="77777777" w:rsidTr="00E61B34">
        <w:trPr>
          <w:trHeight w:val="20"/>
        </w:trPr>
        <w:tc>
          <w:tcPr>
            <w:tcW w:w="1530" w:type="dxa"/>
            <w:tcBorders>
              <w:top w:val="single" w:sz="4" w:space="0" w:color="002060"/>
              <w:left w:val="nil"/>
              <w:bottom w:val="single" w:sz="4" w:space="0" w:color="002060"/>
              <w:right w:val="nil"/>
            </w:tcBorders>
            <w:shd w:val="clear" w:color="auto" w:fill="auto"/>
            <w:noWrap/>
            <w:vAlign w:val="center"/>
            <w:hideMark/>
          </w:tcPr>
          <w:p w14:paraId="060E8F2D" w14:textId="77777777" w:rsidR="00330999" w:rsidRPr="00F5596D" w:rsidRDefault="00330999" w:rsidP="00E61B34">
            <w:pPr>
              <w:spacing w:after="0" w:line="240" w:lineRule="auto"/>
              <w:jc w:val="left"/>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Опис</w:t>
            </w:r>
          </w:p>
        </w:tc>
        <w:tc>
          <w:tcPr>
            <w:tcW w:w="900" w:type="dxa"/>
            <w:tcBorders>
              <w:top w:val="single" w:sz="4" w:space="0" w:color="002060"/>
              <w:left w:val="nil"/>
              <w:bottom w:val="single" w:sz="4" w:space="0" w:color="002060"/>
              <w:right w:val="nil"/>
            </w:tcBorders>
            <w:shd w:val="clear" w:color="auto" w:fill="auto"/>
            <w:noWrap/>
            <w:vAlign w:val="center"/>
            <w:hideMark/>
          </w:tcPr>
          <w:p w14:paraId="77975649" w14:textId="77777777" w:rsidR="00330999" w:rsidRPr="00F5596D" w:rsidRDefault="00330999" w:rsidP="00E61B34">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2022</w:t>
            </w:r>
          </w:p>
        </w:tc>
        <w:tc>
          <w:tcPr>
            <w:tcW w:w="720" w:type="dxa"/>
            <w:tcBorders>
              <w:top w:val="single" w:sz="4" w:space="0" w:color="002060"/>
              <w:left w:val="nil"/>
              <w:bottom w:val="single" w:sz="4" w:space="0" w:color="002060"/>
              <w:right w:val="nil"/>
            </w:tcBorders>
            <w:shd w:val="clear" w:color="auto" w:fill="auto"/>
            <w:noWrap/>
            <w:vAlign w:val="center"/>
            <w:hideMark/>
          </w:tcPr>
          <w:p w14:paraId="03D61D6B" w14:textId="77777777" w:rsidR="00330999" w:rsidRPr="00F5596D" w:rsidRDefault="00330999" w:rsidP="00E61B34">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2023</w:t>
            </w:r>
          </w:p>
        </w:tc>
        <w:tc>
          <w:tcPr>
            <w:tcW w:w="630" w:type="dxa"/>
            <w:tcBorders>
              <w:top w:val="single" w:sz="4" w:space="0" w:color="002060"/>
              <w:left w:val="nil"/>
              <w:bottom w:val="single" w:sz="4" w:space="0" w:color="002060"/>
              <w:right w:val="nil"/>
            </w:tcBorders>
            <w:shd w:val="clear" w:color="auto" w:fill="auto"/>
            <w:noWrap/>
            <w:vAlign w:val="center"/>
            <w:hideMark/>
          </w:tcPr>
          <w:p w14:paraId="48333EC1" w14:textId="77777777" w:rsidR="00330999" w:rsidRPr="00F5596D" w:rsidRDefault="00330999" w:rsidP="00E61B34">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2024</w:t>
            </w:r>
          </w:p>
        </w:tc>
        <w:tc>
          <w:tcPr>
            <w:tcW w:w="679" w:type="dxa"/>
            <w:tcBorders>
              <w:top w:val="single" w:sz="4" w:space="0" w:color="002060"/>
              <w:left w:val="nil"/>
              <w:bottom w:val="single" w:sz="4" w:space="0" w:color="002060"/>
              <w:right w:val="nil"/>
            </w:tcBorders>
            <w:shd w:val="clear" w:color="auto" w:fill="auto"/>
            <w:noWrap/>
            <w:vAlign w:val="center"/>
            <w:hideMark/>
          </w:tcPr>
          <w:p w14:paraId="70FB4462" w14:textId="77777777" w:rsidR="00330999" w:rsidRPr="00F5596D" w:rsidRDefault="00330999" w:rsidP="00E61B34">
            <w:pPr>
              <w:spacing w:after="0" w:line="240" w:lineRule="auto"/>
              <w:jc w:val="center"/>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Q1 2025</w:t>
            </w:r>
          </w:p>
        </w:tc>
      </w:tr>
      <w:tr w:rsidR="00330999" w:rsidRPr="00F5596D" w14:paraId="6E21E5BD" w14:textId="77777777" w:rsidTr="00E61B34">
        <w:trPr>
          <w:trHeight w:val="20"/>
        </w:trPr>
        <w:tc>
          <w:tcPr>
            <w:tcW w:w="1530" w:type="dxa"/>
            <w:tcBorders>
              <w:top w:val="nil"/>
              <w:left w:val="nil"/>
              <w:bottom w:val="nil"/>
              <w:right w:val="nil"/>
            </w:tcBorders>
            <w:shd w:val="clear" w:color="000000" w:fill="FFFFFF"/>
            <w:noWrap/>
            <w:vAlign w:val="center"/>
            <w:hideMark/>
          </w:tcPr>
          <w:p w14:paraId="7F7A8C91" w14:textId="77777777" w:rsidR="00330999" w:rsidRPr="00F5596D" w:rsidRDefault="00330999" w:rsidP="00E61B34">
            <w:pPr>
              <w:spacing w:after="0" w:line="240" w:lineRule="auto"/>
              <w:jc w:val="left"/>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Укупна имовина</w:t>
            </w:r>
          </w:p>
        </w:tc>
        <w:tc>
          <w:tcPr>
            <w:tcW w:w="900" w:type="dxa"/>
            <w:tcBorders>
              <w:top w:val="nil"/>
              <w:left w:val="nil"/>
              <w:bottom w:val="nil"/>
              <w:right w:val="nil"/>
            </w:tcBorders>
            <w:shd w:val="clear" w:color="000000" w:fill="FFFFFF"/>
            <w:noWrap/>
            <w:vAlign w:val="center"/>
            <w:hideMark/>
          </w:tcPr>
          <w:p w14:paraId="1B6F92D6"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3.454</w:t>
            </w:r>
          </w:p>
        </w:tc>
        <w:tc>
          <w:tcPr>
            <w:tcW w:w="720" w:type="dxa"/>
            <w:tcBorders>
              <w:top w:val="nil"/>
              <w:left w:val="nil"/>
              <w:bottom w:val="nil"/>
              <w:right w:val="nil"/>
            </w:tcBorders>
            <w:shd w:val="clear" w:color="000000" w:fill="FFFFFF"/>
            <w:noWrap/>
            <w:vAlign w:val="center"/>
            <w:hideMark/>
          </w:tcPr>
          <w:p w14:paraId="2260CE79"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3.587</w:t>
            </w:r>
          </w:p>
        </w:tc>
        <w:tc>
          <w:tcPr>
            <w:tcW w:w="630" w:type="dxa"/>
            <w:tcBorders>
              <w:top w:val="nil"/>
              <w:left w:val="nil"/>
              <w:bottom w:val="nil"/>
              <w:right w:val="nil"/>
            </w:tcBorders>
            <w:shd w:val="clear" w:color="000000" w:fill="FFFFFF"/>
            <w:noWrap/>
            <w:vAlign w:val="center"/>
            <w:hideMark/>
          </w:tcPr>
          <w:p w14:paraId="76DDAA4E"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3.649</w:t>
            </w:r>
          </w:p>
        </w:tc>
        <w:tc>
          <w:tcPr>
            <w:tcW w:w="679" w:type="dxa"/>
            <w:tcBorders>
              <w:top w:val="nil"/>
              <w:left w:val="nil"/>
              <w:bottom w:val="nil"/>
              <w:right w:val="nil"/>
            </w:tcBorders>
            <w:shd w:val="clear" w:color="000000" w:fill="FFFFFF"/>
            <w:noWrap/>
            <w:vAlign w:val="center"/>
            <w:hideMark/>
          </w:tcPr>
          <w:p w14:paraId="30DB74F0"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3.644</w:t>
            </w:r>
          </w:p>
        </w:tc>
      </w:tr>
      <w:tr w:rsidR="00330999" w:rsidRPr="00F5596D" w14:paraId="3A2208F1" w14:textId="77777777" w:rsidTr="00E61B34">
        <w:trPr>
          <w:trHeight w:val="20"/>
        </w:trPr>
        <w:tc>
          <w:tcPr>
            <w:tcW w:w="1530" w:type="dxa"/>
            <w:tcBorders>
              <w:top w:val="nil"/>
              <w:left w:val="nil"/>
              <w:bottom w:val="nil"/>
              <w:right w:val="nil"/>
            </w:tcBorders>
            <w:shd w:val="clear" w:color="000000" w:fill="FFFFFF"/>
            <w:noWrap/>
            <w:vAlign w:val="center"/>
            <w:hideMark/>
          </w:tcPr>
          <w:p w14:paraId="25777999" w14:textId="77777777" w:rsidR="00330999" w:rsidRPr="00F5596D" w:rsidRDefault="00330999" w:rsidP="00E61B34">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Стална имовина</w:t>
            </w:r>
          </w:p>
        </w:tc>
        <w:tc>
          <w:tcPr>
            <w:tcW w:w="900" w:type="dxa"/>
            <w:tcBorders>
              <w:top w:val="nil"/>
              <w:left w:val="nil"/>
              <w:bottom w:val="nil"/>
              <w:right w:val="nil"/>
            </w:tcBorders>
            <w:shd w:val="clear" w:color="000000" w:fill="FFFFFF"/>
            <w:noWrap/>
            <w:vAlign w:val="center"/>
            <w:hideMark/>
          </w:tcPr>
          <w:p w14:paraId="7380B8D2"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2.936</w:t>
            </w:r>
          </w:p>
        </w:tc>
        <w:tc>
          <w:tcPr>
            <w:tcW w:w="720" w:type="dxa"/>
            <w:tcBorders>
              <w:top w:val="nil"/>
              <w:left w:val="nil"/>
              <w:bottom w:val="nil"/>
              <w:right w:val="nil"/>
            </w:tcBorders>
            <w:shd w:val="clear" w:color="000000" w:fill="FFFFFF"/>
            <w:noWrap/>
            <w:vAlign w:val="center"/>
            <w:hideMark/>
          </w:tcPr>
          <w:p w14:paraId="2C3F531E"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3.074</w:t>
            </w:r>
          </w:p>
        </w:tc>
        <w:tc>
          <w:tcPr>
            <w:tcW w:w="630" w:type="dxa"/>
            <w:tcBorders>
              <w:top w:val="nil"/>
              <w:left w:val="nil"/>
              <w:bottom w:val="nil"/>
              <w:right w:val="nil"/>
            </w:tcBorders>
            <w:shd w:val="clear" w:color="000000" w:fill="FFFFFF"/>
            <w:noWrap/>
            <w:vAlign w:val="center"/>
            <w:hideMark/>
          </w:tcPr>
          <w:p w14:paraId="14645F12"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3.190</w:t>
            </w:r>
          </w:p>
        </w:tc>
        <w:tc>
          <w:tcPr>
            <w:tcW w:w="679" w:type="dxa"/>
            <w:tcBorders>
              <w:top w:val="nil"/>
              <w:left w:val="nil"/>
              <w:bottom w:val="nil"/>
              <w:right w:val="nil"/>
            </w:tcBorders>
            <w:shd w:val="clear" w:color="000000" w:fill="FFFFFF"/>
            <w:noWrap/>
            <w:vAlign w:val="center"/>
            <w:hideMark/>
          </w:tcPr>
          <w:p w14:paraId="699FFFB7"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3.203</w:t>
            </w:r>
          </w:p>
        </w:tc>
      </w:tr>
      <w:tr w:rsidR="00330999" w:rsidRPr="00F5596D" w14:paraId="37110637" w14:textId="77777777" w:rsidTr="00E61B34">
        <w:trPr>
          <w:trHeight w:val="20"/>
        </w:trPr>
        <w:tc>
          <w:tcPr>
            <w:tcW w:w="1530" w:type="dxa"/>
            <w:tcBorders>
              <w:top w:val="nil"/>
              <w:left w:val="nil"/>
              <w:bottom w:val="nil"/>
              <w:right w:val="nil"/>
            </w:tcBorders>
            <w:shd w:val="clear" w:color="000000" w:fill="FFFFFF"/>
            <w:noWrap/>
            <w:vAlign w:val="center"/>
            <w:hideMark/>
          </w:tcPr>
          <w:p w14:paraId="46BDC9E3" w14:textId="77777777" w:rsidR="00330999" w:rsidRPr="00F5596D" w:rsidRDefault="00330999" w:rsidP="00E61B34">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Обртна имовина</w:t>
            </w:r>
          </w:p>
        </w:tc>
        <w:tc>
          <w:tcPr>
            <w:tcW w:w="900" w:type="dxa"/>
            <w:tcBorders>
              <w:top w:val="nil"/>
              <w:left w:val="nil"/>
              <w:bottom w:val="nil"/>
              <w:right w:val="nil"/>
            </w:tcBorders>
            <w:shd w:val="clear" w:color="000000" w:fill="FFFFFF"/>
            <w:noWrap/>
            <w:vAlign w:val="center"/>
            <w:hideMark/>
          </w:tcPr>
          <w:p w14:paraId="79F6D61D"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513</w:t>
            </w:r>
          </w:p>
        </w:tc>
        <w:tc>
          <w:tcPr>
            <w:tcW w:w="720" w:type="dxa"/>
            <w:tcBorders>
              <w:top w:val="nil"/>
              <w:left w:val="nil"/>
              <w:bottom w:val="nil"/>
              <w:right w:val="nil"/>
            </w:tcBorders>
            <w:shd w:val="clear" w:color="000000" w:fill="FFFFFF"/>
            <w:noWrap/>
            <w:vAlign w:val="center"/>
            <w:hideMark/>
          </w:tcPr>
          <w:p w14:paraId="0D810FC6"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507</w:t>
            </w:r>
          </w:p>
        </w:tc>
        <w:tc>
          <w:tcPr>
            <w:tcW w:w="630" w:type="dxa"/>
            <w:tcBorders>
              <w:top w:val="nil"/>
              <w:left w:val="nil"/>
              <w:bottom w:val="nil"/>
              <w:right w:val="nil"/>
            </w:tcBorders>
            <w:shd w:val="clear" w:color="000000" w:fill="FFFFFF"/>
            <w:noWrap/>
            <w:vAlign w:val="center"/>
            <w:hideMark/>
          </w:tcPr>
          <w:p w14:paraId="2B46CE83"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459</w:t>
            </w:r>
          </w:p>
        </w:tc>
        <w:tc>
          <w:tcPr>
            <w:tcW w:w="679" w:type="dxa"/>
            <w:tcBorders>
              <w:top w:val="nil"/>
              <w:left w:val="nil"/>
              <w:bottom w:val="nil"/>
              <w:right w:val="nil"/>
            </w:tcBorders>
            <w:shd w:val="clear" w:color="000000" w:fill="FFFFFF"/>
            <w:noWrap/>
            <w:vAlign w:val="center"/>
            <w:hideMark/>
          </w:tcPr>
          <w:p w14:paraId="566D382D"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438</w:t>
            </w:r>
          </w:p>
        </w:tc>
      </w:tr>
      <w:tr w:rsidR="00330999" w:rsidRPr="00F5596D" w14:paraId="32662A58" w14:textId="77777777" w:rsidTr="00E61B34">
        <w:trPr>
          <w:trHeight w:val="20"/>
        </w:trPr>
        <w:tc>
          <w:tcPr>
            <w:tcW w:w="1530" w:type="dxa"/>
            <w:tcBorders>
              <w:top w:val="nil"/>
              <w:left w:val="nil"/>
              <w:bottom w:val="nil"/>
              <w:right w:val="nil"/>
            </w:tcBorders>
            <w:shd w:val="clear" w:color="000000" w:fill="FFFFFF"/>
            <w:noWrap/>
            <w:vAlign w:val="center"/>
            <w:hideMark/>
          </w:tcPr>
          <w:p w14:paraId="23284D17" w14:textId="77777777" w:rsidR="00330999" w:rsidRPr="00F5596D" w:rsidRDefault="00330999" w:rsidP="00E61B34">
            <w:pPr>
              <w:spacing w:after="0" w:line="240" w:lineRule="auto"/>
              <w:jc w:val="left"/>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Укупни капитал</w:t>
            </w:r>
          </w:p>
        </w:tc>
        <w:tc>
          <w:tcPr>
            <w:tcW w:w="900" w:type="dxa"/>
            <w:tcBorders>
              <w:top w:val="nil"/>
              <w:left w:val="nil"/>
              <w:bottom w:val="nil"/>
              <w:right w:val="nil"/>
            </w:tcBorders>
            <w:shd w:val="clear" w:color="000000" w:fill="FFFFFF"/>
            <w:noWrap/>
            <w:vAlign w:val="center"/>
            <w:hideMark/>
          </w:tcPr>
          <w:p w14:paraId="5C222E6A"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1.896</w:t>
            </w:r>
          </w:p>
        </w:tc>
        <w:tc>
          <w:tcPr>
            <w:tcW w:w="720" w:type="dxa"/>
            <w:tcBorders>
              <w:top w:val="nil"/>
              <w:left w:val="nil"/>
              <w:bottom w:val="nil"/>
              <w:right w:val="nil"/>
            </w:tcBorders>
            <w:shd w:val="clear" w:color="000000" w:fill="FFFFFF"/>
            <w:noWrap/>
            <w:vAlign w:val="center"/>
            <w:hideMark/>
          </w:tcPr>
          <w:p w14:paraId="265B8827"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2.048</w:t>
            </w:r>
          </w:p>
        </w:tc>
        <w:tc>
          <w:tcPr>
            <w:tcW w:w="630" w:type="dxa"/>
            <w:tcBorders>
              <w:top w:val="nil"/>
              <w:left w:val="nil"/>
              <w:bottom w:val="nil"/>
              <w:right w:val="nil"/>
            </w:tcBorders>
            <w:shd w:val="clear" w:color="000000" w:fill="FFFFFF"/>
            <w:noWrap/>
            <w:vAlign w:val="center"/>
            <w:hideMark/>
          </w:tcPr>
          <w:p w14:paraId="20830C5F"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2.050</w:t>
            </w:r>
          </w:p>
        </w:tc>
        <w:tc>
          <w:tcPr>
            <w:tcW w:w="679" w:type="dxa"/>
            <w:tcBorders>
              <w:top w:val="nil"/>
              <w:left w:val="nil"/>
              <w:bottom w:val="nil"/>
              <w:right w:val="nil"/>
            </w:tcBorders>
            <w:shd w:val="clear" w:color="000000" w:fill="FFFFFF"/>
            <w:noWrap/>
            <w:vAlign w:val="center"/>
            <w:hideMark/>
          </w:tcPr>
          <w:p w14:paraId="5E7E67EF"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2.058</w:t>
            </w:r>
          </w:p>
        </w:tc>
      </w:tr>
      <w:tr w:rsidR="00330999" w:rsidRPr="00F5596D" w14:paraId="7519506C" w14:textId="77777777" w:rsidTr="00E61B34">
        <w:trPr>
          <w:trHeight w:val="20"/>
        </w:trPr>
        <w:tc>
          <w:tcPr>
            <w:tcW w:w="1530" w:type="dxa"/>
            <w:tcBorders>
              <w:top w:val="nil"/>
              <w:left w:val="nil"/>
              <w:bottom w:val="nil"/>
              <w:right w:val="nil"/>
            </w:tcBorders>
            <w:shd w:val="clear" w:color="000000" w:fill="FFFFFF"/>
            <w:noWrap/>
            <w:vAlign w:val="center"/>
            <w:hideMark/>
          </w:tcPr>
          <w:p w14:paraId="147348BD" w14:textId="77777777" w:rsidR="00330999" w:rsidRPr="00F5596D" w:rsidRDefault="00330999" w:rsidP="00E61B34">
            <w:pPr>
              <w:spacing w:after="0" w:line="240" w:lineRule="auto"/>
              <w:jc w:val="left"/>
              <w:rPr>
                <w:rFonts w:ascii="Calibri" w:eastAsia="Times New Roman" w:hAnsi="Calibri" w:cs="Calibri"/>
                <w:b/>
                <w:bCs/>
                <w:color w:val="002060"/>
                <w:sz w:val="16"/>
                <w:szCs w:val="16"/>
                <w:lang w:val="sr-Cyrl-CS"/>
              </w:rPr>
            </w:pPr>
            <w:r w:rsidRPr="00F5596D">
              <w:rPr>
                <w:rFonts w:ascii="Calibri" w:eastAsia="Times New Roman" w:hAnsi="Calibri" w:cs="Calibri"/>
                <w:b/>
                <w:bCs/>
                <w:color w:val="002060"/>
                <w:sz w:val="16"/>
                <w:szCs w:val="16"/>
                <w:lang w:val="sr-Cyrl-CS"/>
              </w:rPr>
              <w:t>Укупне обавезе</w:t>
            </w:r>
          </w:p>
        </w:tc>
        <w:tc>
          <w:tcPr>
            <w:tcW w:w="900" w:type="dxa"/>
            <w:tcBorders>
              <w:top w:val="nil"/>
              <w:left w:val="nil"/>
              <w:bottom w:val="nil"/>
              <w:right w:val="nil"/>
            </w:tcBorders>
            <w:shd w:val="clear" w:color="000000" w:fill="FFFFFF"/>
            <w:noWrap/>
            <w:vAlign w:val="center"/>
            <w:hideMark/>
          </w:tcPr>
          <w:p w14:paraId="25BA3B2D"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1.559</w:t>
            </w:r>
          </w:p>
        </w:tc>
        <w:tc>
          <w:tcPr>
            <w:tcW w:w="720" w:type="dxa"/>
            <w:tcBorders>
              <w:top w:val="nil"/>
              <w:left w:val="nil"/>
              <w:bottom w:val="nil"/>
              <w:right w:val="nil"/>
            </w:tcBorders>
            <w:shd w:val="clear" w:color="000000" w:fill="FFFFFF"/>
            <w:noWrap/>
            <w:vAlign w:val="center"/>
            <w:hideMark/>
          </w:tcPr>
          <w:p w14:paraId="747CEFE2"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1.539</w:t>
            </w:r>
          </w:p>
        </w:tc>
        <w:tc>
          <w:tcPr>
            <w:tcW w:w="630" w:type="dxa"/>
            <w:tcBorders>
              <w:top w:val="nil"/>
              <w:left w:val="nil"/>
              <w:bottom w:val="nil"/>
              <w:right w:val="nil"/>
            </w:tcBorders>
            <w:shd w:val="clear" w:color="000000" w:fill="FFFFFF"/>
            <w:noWrap/>
            <w:vAlign w:val="center"/>
            <w:hideMark/>
          </w:tcPr>
          <w:p w14:paraId="780B9654"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1.599</w:t>
            </w:r>
          </w:p>
        </w:tc>
        <w:tc>
          <w:tcPr>
            <w:tcW w:w="679" w:type="dxa"/>
            <w:tcBorders>
              <w:top w:val="nil"/>
              <w:left w:val="nil"/>
              <w:bottom w:val="nil"/>
              <w:right w:val="nil"/>
            </w:tcBorders>
            <w:shd w:val="clear" w:color="000000" w:fill="FFFFFF"/>
            <w:noWrap/>
            <w:vAlign w:val="center"/>
            <w:hideMark/>
          </w:tcPr>
          <w:p w14:paraId="6F92FDA3"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1.585</w:t>
            </w:r>
          </w:p>
        </w:tc>
      </w:tr>
      <w:tr w:rsidR="00330999" w:rsidRPr="00F5596D" w14:paraId="33A5769D" w14:textId="77777777" w:rsidTr="00E61B34">
        <w:trPr>
          <w:trHeight w:val="20"/>
        </w:trPr>
        <w:tc>
          <w:tcPr>
            <w:tcW w:w="1530" w:type="dxa"/>
            <w:tcBorders>
              <w:top w:val="nil"/>
              <w:left w:val="nil"/>
              <w:bottom w:val="single" w:sz="4" w:space="0" w:color="002060"/>
              <w:right w:val="nil"/>
            </w:tcBorders>
            <w:shd w:val="clear" w:color="000000" w:fill="FFFFFF"/>
            <w:noWrap/>
            <w:vAlign w:val="center"/>
            <w:hideMark/>
          </w:tcPr>
          <w:p w14:paraId="672F22F6" w14:textId="77777777" w:rsidR="00330999" w:rsidRPr="00F5596D" w:rsidRDefault="00330999" w:rsidP="00E61B34">
            <w:pPr>
              <w:spacing w:after="0" w:line="240" w:lineRule="auto"/>
              <w:jc w:val="left"/>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Кредитне обавезе</w:t>
            </w:r>
          </w:p>
        </w:tc>
        <w:tc>
          <w:tcPr>
            <w:tcW w:w="900" w:type="dxa"/>
            <w:tcBorders>
              <w:top w:val="nil"/>
              <w:left w:val="nil"/>
              <w:bottom w:val="single" w:sz="4" w:space="0" w:color="002060"/>
              <w:right w:val="nil"/>
            </w:tcBorders>
            <w:shd w:val="clear" w:color="000000" w:fill="FFFFFF"/>
            <w:noWrap/>
            <w:vAlign w:val="center"/>
            <w:hideMark/>
          </w:tcPr>
          <w:p w14:paraId="165D2E95"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650</w:t>
            </w:r>
          </w:p>
        </w:tc>
        <w:tc>
          <w:tcPr>
            <w:tcW w:w="720" w:type="dxa"/>
            <w:tcBorders>
              <w:top w:val="nil"/>
              <w:left w:val="nil"/>
              <w:bottom w:val="single" w:sz="4" w:space="0" w:color="002060"/>
              <w:right w:val="nil"/>
            </w:tcBorders>
            <w:shd w:val="clear" w:color="000000" w:fill="FFFFFF"/>
            <w:noWrap/>
            <w:vAlign w:val="center"/>
            <w:hideMark/>
          </w:tcPr>
          <w:p w14:paraId="0FD0BD3C"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596</w:t>
            </w:r>
          </w:p>
        </w:tc>
        <w:tc>
          <w:tcPr>
            <w:tcW w:w="630" w:type="dxa"/>
            <w:tcBorders>
              <w:top w:val="nil"/>
              <w:left w:val="nil"/>
              <w:bottom w:val="single" w:sz="4" w:space="0" w:color="002060"/>
              <w:right w:val="nil"/>
            </w:tcBorders>
            <w:shd w:val="clear" w:color="000000" w:fill="FFFFFF"/>
            <w:noWrap/>
            <w:vAlign w:val="center"/>
            <w:hideMark/>
          </w:tcPr>
          <w:p w14:paraId="55F855A0"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592</w:t>
            </w:r>
          </w:p>
        </w:tc>
        <w:tc>
          <w:tcPr>
            <w:tcW w:w="679" w:type="dxa"/>
            <w:tcBorders>
              <w:top w:val="nil"/>
              <w:left w:val="nil"/>
              <w:bottom w:val="single" w:sz="4" w:space="0" w:color="002060"/>
              <w:right w:val="nil"/>
            </w:tcBorders>
            <w:shd w:val="clear" w:color="000000" w:fill="FFFFFF"/>
            <w:noWrap/>
            <w:vAlign w:val="center"/>
            <w:hideMark/>
          </w:tcPr>
          <w:p w14:paraId="32F9C91F" w14:textId="77777777" w:rsidR="00330999" w:rsidRPr="00F5596D" w:rsidRDefault="00330999" w:rsidP="00E61B34">
            <w:pPr>
              <w:spacing w:after="0" w:line="240" w:lineRule="auto"/>
              <w:jc w:val="center"/>
              <w:rPr>
                <w:rFonts w:ascii="Calibri" w:eastAsia="Times New Roman" w:hAnsi="Calibri" w:cs="Calibri"/>
                <w:color w:val="002060"/>
                <w:sz w:val="16"/>
                <w:szCs w:val="16"/>
                <w:lang w:val="sr-Cyrl-CS"/>
              </w:rPr>
            </w:pPr>
            <w:r w:rsidRPr="00F5596D">
              <w:rPr>
                <w:rFonts w:ascii="Calibri" w:eastAsia="Times New Roman" w:hAnsi="Calibri" w:cs="Calibri"/>
                <w:color w:val="002060"/>
                <w:sz w:val="16"/>
                <w:szCs w:val="16"/>
                <w:lang w:val="sr-Cyrl-CS"/>
              </w:rPr>
              <w:t>588</w:t>
            </w:r>
          </w:p>
        </w:tc>
      </w:tr>
    </w:tbl>
    <w:p w14:paraId="6DC44265" w14:textId="77777777" w:rsidR="00330999" w:rsidRPr="00F5596D" w:rsidRDefault="00330999" w:rsidP="00330999">
      <w:pPr>
        <w:spacing w:before="40" w:line="276" w:lineRule="auto"/>
        <w:rPr>
          <w:rFonts w:ascii="Calibri" w:eastAsia="MS PGothic" w:hAnsi="Calibri" w:cs="Calibri"/>
          <w:color w:val="44546A"/>
          <w:sz w:val="16"/>
          <w:szCs w:val="16"/>
          <w:lang w:val="sr-Cyrl-CS" w:eastAsia="ja-JP"/>
        </w:rPr>
      </w:pPr>
      <w:r w:rsidRPr="00F5596D">
        <w:rPr>
          <w:rFonts w:ascii="Calibri" w:eastAsia="MS PGothic" w:hAnsi="Calibri" w:cs="Calibri"/>
          <w:color w:val="44546A"/>
          <w:sz w:val="16"/>
          <w:szCs w:val="16"/>
          <w:lang w:val="sr-Cyrl-CS" w:eastAsia="ja-JP"/>
        </w:rPr>
        <w:t>Извор: Финансијски извештаји (АПР) и квартални извештај за 2025. годину</w:t>
      </w:r>
    </w:p>
    <w:p w14:paraId="1D3402F9" w14:textId="4DE5C006" w:rsidR="00330999" w:rsidRPr="00F5596D" w:rsidRDefault="00330999" w:rsidP="00330999">
      <w:pPr>
        <w:rPr>
          <w:rFonts w:eastAsia="MS PGothic" w:cstheme="minorHAnsi"/>
          <w:b/>
          <w:bCs/>
          <w:color w:val="002060"/>
          <w:szCs w:val="20"/>
          <w:highlight w:val="yellow"/>
          <w:lang w:val="sr-Cyrl-CS" w:eastAsia="ja-JP"/>
        </w:rPr>
        <w:sectPr w:rsidR="00330999" w:rsidRPr="00F5596D" w:rsidSect="00E61B34">
          <w:type w:val="continuous"/>
          <w:pgSz w:w="12240" w:h="15840"/>
          <w:pgMar w:top="1440" w:right="1440" w:bottom="1440" w:left="1440" w:header="720" w:footer="720" w:gutter="0"/>
          <w:cols w:num="2" w:space="720"/>
          <w:docGrid w:linePitch="360"/>
        </w:sectPr>
      </w:pPr>
      <w:r w:rsidRPr="00F5596D">
        <w:rPr>
          <w:rFonts w:eastAsia="MS PGothic" w:cstheme="minorHAnsi"/>
          <w:szCs w:val="20"/>
          <w:lang w:val="sr-Cyrl-CS" w:eastAsia="ja-JP"/>
        </w:rPr>
        <w:t>Укупан нето резултат утврђен у првом кварталу 2025. године је добитак у износу од 10,2 млрд динара. Резултат текуће године је прецењен за трошкове амортизације ЈП „Путеви Србије”, јер предузеће ове трошкове књижи тек на крају године у целокупном износу за дату годину.</w:t>
      </w:r>
    </w:p>
    <w:p w14:paraId="6F62BBAF" w14:textId="34CBA98B"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1</w:t>
      </w:r>
      <w:r w:rsidR="00F14A11" w:rsidRPr="00F5596D">
        <w:rPr>
          <w:rFonts w:eastAsia="MS PGothic" w:cstheme="minorHAnsi"/>
          <w:b/>
          <w:color w:val="002060"/>
          <w:szCs w:val="20"/>
          <w:lang w:val="sr-Cyrl-CS" w:eastAsia="ja-JP"/>
        </w:rPr>
        <w:t>8</w:t>
      </w:r>
      <w:r w:rsidRPr="00F5596D">
        <w:rPr>
          <w:rFonts w:eastAsia="MS PGothic" w:cstheme="minorHAnsi"/>
          <w:b/>
          <w:color w:val="002060"/>
          <w:szCs w:val="20"/>
          <w:lang w:val="sr-Cyrl-CS" w:eastAsia="ja-JP"/>
        </w:rPr>
        <w:t xml:space="preserve">. Основни показатељи пословања државних предузећа на дан 31.3.2025. године, </w:t>
      </w:r>
      <w:r w:rsidRPr="00F5596D">
        <w:rPr>
          <w:rFonts w:eastAsia="MS PGothic" w:cstheme="minorHAnsi"/>
          <w:b/>
          <w:color w:val="002060"/>
          <w:szCs w:val="20"/>
          <w:lang w:val="sr-Cyrl-CS" w:eastAsia="ja-JP"/>
        </w:rPr>
        <w:br w:type="textWrapping" w:clear="all"/>
        <w:t>у млрд динара</w:t>
      </w:r>
    </w:p>
    <w:tbl>
      <w:tblPr>
        <w:tblW w:w="9321" w:type="dxa"/>
        <w:tblLook w:val="04A0" w:firstRow="1" w:lastRow="0" w:firstColumn="1" w:lastColumn="0" w:noHBand="0" w:noVBand="1"/>
      </w:tblPr>
      <w:tblGrid>
        <w:gridCol w:w="4696"/>
        <w:gridCol w:w="1122"/>
        <w:gridCol w:w="1145"/>
        <w:gridCol w:w="1145"/>
        <w:gridCol w:w="1213"/>
      </w:tblGrid>
      <w:tr w:rsidR="00330999" w:rsidRPr="00F5596D" w14:paraId="7B863FF3" w14:textId="77777777" w:rsidTr="00E61B34">
        <w:trPr>
          <w:trHeight w:val="20"/>
        </w:trPr>
        <w:tc>
          <w:tcPr>
            <w:tcW w:w="4696" w:type="dxa"/>
            <w:tcBorders>
              <w:top w:val="single" w:sz="4" w:space="0" w:color="002060"/>
              <w:left w:val="nil"/>
              <w:bottom w:val="single" w:sz="4" w:space="0" w:color="002060"/>
              <w:right w:val="nil"/>
            </w:tcBorders>
            <w:shd w:val="clear" w:color="auto" w:fill="auto"/>
            <w:noWrap/>
            <w:vAlign w:val="center"/>
            <w:hideMark/>
          </w:tcPr>
          <w:p w14:paraId="39C70F6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Опис</w:t>
            </w:r>
          </w:p>
        </w:tc>
        <w:tc>
          <w:tcPr>
            <w:tcW w:w="1122" w:type="dxa"/>
            <w:tcBorders>
              <w:top w:val="single" w:sz="4" w:space="0" w:color="002060"/>
              <w:left w:val="nil"/>
              <w:bottom w:val="single" w:sz="4" w:space="0" w:color="002060"/>
              <w:right w:val="nil"/>
            </w:tcBorders>
            <w:shd w:val="clear" w:color="auto" w:fill="auto"/>
            <w:noWrap/>
            <w:vAlign w:val="center"/>
            <w:hideMark/>
          </w:tcPr>
          <w:p w14:paraId="24A5B7CF"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1145" w:type="dxa"/>
            <w:tcBorders>
              <w:top w:val="single" w:sz="4" w:space="0" w:color="002060"/>
              <w:left w:val="nil"/>
              <w:bottom w:val="single" w:sz="4" w:space="0" w:color="002060"/>
              <w:right w:val="nil"/>
            </w:tcBorders>
            <w:shd w:val="clear" w:color="auto" w:fill="auto"/>
            <w:noWrap/>
            <w:vAlign w:val="center"/>
            <w:hideMark/>
          </w:tcPr>
          <w:p w14:paraId="04894330"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145" w:type="dxa"/>
            <w:tcBorders>
              <w:top w:val="single" w:sz="4" w:space="0" w:color="002060"/>
              <w:left w:val="nil"/>
              <w:bottom w:val="single" w:sz="4" w:space="0" w:color="002060"/>
              <w:right w:val="nil"/>
            </w:tcBorders>
            <w:shd w:val="clear" w:color="auto" w:fill="auto"/>
            <w:noWrap/>
            <w:vAlign w:val="center"/>
            <w:hideMark/>
          </w:tcPr>
          <w:p w14:paraId="20E34AC0"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c>
          <w:tcPr>
            <w:tcW w:w="1213" w:type="dxa"/>
            <w:tcBorders>
              <w:top w:val="single" w:sz="4" w:space="0" w:color="002060"/>
              <w:left w:val="nil"/>
              <w:bottom w:val="single" w:sz="4" w:space="0" w:color="002060"/>
              <w:right w:val="nil"/>
            </w:tcBorders>
            <w:shd w:val="clear" w:color="auto" w:fill="auto"/>
            <w:noWrap/>
            <w:vAlign w:val="center"/>
            <w:hideMark/>
          </w:tcPr>
          <w:p w14:paraId="4AB77813"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Q1 2025</w:t>
            </w:r>
          </w:p>
        </w:tc>
      </w:tr>
      <w:tr w:rsidR="00330999" w:rsidRPr="00F5596D" w14:paraId="66F64D4B" w14:textId="77777777" w:rsidTr="00E61B34">
        <w:trPr>
          <w:trHeight w:val="20"/>
        </w:trPr>
        <w:tc>
          <w:tcPr>
            <w:tcW w:w="4696" w:type="dxa"/>
            <w:tcBorders>
              <w:top w:val="nil"/>
              <w:left w:val="nil"/>
              <w:bottom w:val="nil"/>
              <w:right w:val="nil"/>
            </w:tcBorders>
            <w:shd w:val="clear" w:color="000000" w:fill="FFFFFF"/>
            <w:noWrap/>
            <w:vAlign w:val="center"/>
            <w:hideMark/>
          </w:tcPr>
          <w:p w14:paraId="68503F51"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Пословни приходи</w:t>
            </w:r>
          </w:p>
        </w:tc>
        <w:tc>
          <w:tcPr>
            <w:tcW w:w="1122" w:type="dxa"/>
            <w:tcBorders>
              <w:top w:val="nil"/>
              <w:left w:val="nil"/>
              <w:bottom w:val="nil"/>
              <w:right w:val="nil"/>
            </w:tcBorders>
            <w:shd w:val="clear" w:color="000000" w:fill="FFFFFF"/>
            <w:noWrap/>
            <w:vAlign w:val="center"/>
            <w:hideMark/>
          </w:tcPr>
          <w:p w14:paraId="6999F1F2"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905,2 </w:t>
            </w:r>
          </w:p>
        </w:tc>
        <w:tc>
          <w:tcPr>
            <w:tcW w:w="1145" w:type="dxa"/>
            <w:tcBorders>
              <w:top w:val="nil"/>
              <w:left w:val="nil"/>
              <w:bottom w:val="nil"/>
              <w:right w:val="nil"/>
            </w:tcBorders>
            <w:shd w:val="clear" w:color="000000" w:fill="FFFFFF"/>
            <w:noWrap/>
            <w:vAlign w:val="center"/>
            <w:hideMark/>
          </w:tcPr>
          <w:p w14:paraId="51E3C3DA"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1.018,5 </w:t>
            </w:r>
          </w:p>
        </w:tc>
        <w:tc>
          <w:tcPr>
            <w:tcW w:w="1145" w:type="dxa"/>
            <w:tcBorders>
              <w:top w:val="nil"/>
              <w:left w:val="nil"/>
              <w:bottom w:val="nil"/>
              <w:right w:val="nil"/>
            </w:tcBorders>
            <w:shd w:val="clear" w:color="000000" w:fill="FFFFFF"/>
            <w:noWrap/>
            <w:vAlign w:val="center"/>
            <w:hideMark/>
          </w:tcPr>
          <w:p w14:paraId="29DD7476"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971,6 </w:t>
            </w:r>
          </w:p>
        </w:tc>
        <w:tc>
          <w:tcPr>
            <w:tcW w:w="1213" w:type="dxa"/>
            <w:tcBorders>
              <w:top w:val="nil"/>
              <w:left w:val="nil"/>
              <w:bottom w:val="nil"/>
              <w:right w:val="nil"/>
            </w:tcBorders>
            <w:shd w:val="clear" w:color="000000" w:fill="FFFFFF"/>
            <w:noWrap/>
            <w:vAlign w:val="center"/>
            <w:hideMark/>
          </w:tcPr>
          <w:p w14:paraId="2FC9ACC8"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271,3 </w:t>
            </w:r>
          </w:p>
        </w:tc>
      </w:tr>
      <w:tr w:rsidR="00330999" w:rsidRPr="00F5596D" w14:paraId="2456E02E" w14:textId="77777777" w:rsidTr="00E61B34">
        <w:trPr>
          <w:trHeight w:val="20"/>
        </w:trPr>
        <w:tc>
          <w:tcPr>
            <w:tcW w:w="4696" w:type="dxa"/>
            <w:tcBorders>
              <w:top w:val="nil"/>
              <w:left w:val="nil"/>
              <w:bottom w:val="nil"/>
              <w:right w:val="nil"/>
            </w:tcBorders>
            <w:shd w:val="clear" w:color="000000" w:fill="FFFFFF"/>
            <w:noWrap/>
            <w:vAlign w:val="center"/>
            <w:hideMark/>
          </w:tcPr>
          <w:p w14:paraId="120031E2"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Пословни расходи</w:t>
            </w:r>
          </w:p>
        </w:tc>
        <w:tc>
          <w:tcPr>
            <w:tcW w:w="1122" w:type="dxa"/>
            <w:tcBorders>
              <w:top w:val="nil"/>
              <w:left w:val="nil"/>
              <w:bottom w:val="nil"/>
              <w:right w:val="nil"/>
            </w:tcBorders>
            <w:shd w:val="clear" w:color="000000" w:fill="FFFFFF"/>
            <w:noWrap/>
            <w:vAlign w:val="center"/>
            <w:hideMark/>
          </w:tcPr>
          <w:p w14:paraId="2C865357"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950,9 </w:t>
            </w:r>
          </w:p>
        </w:tc>
        <w:tc>
          <w:tcPr>
            <w:tcW w:w="1145" w:type="dxa"/>
            <w:tcBorders>
              <w:top w:val="nil"/>
              <w:left w:val="nil"/>
              <w:bottom w:val="nil"/>
              <w:right w:val="nil"/>
            </w:tcBorders>
            <w:shd w:val="clear" w:color="000000" w:fill="FFFFFF"/>
            <w:noWrap/>
            <w:vAlign w:val="center"/>
            <w:hideMark/>
          </w:tcPr>
          <w:p w14:paraId="3837F8D6"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871,0 </w:t>
            </w:r>
          </w:p>
        </w:tc>
        <w:tc>
          <w:tcPr>
            <w:tcW w:w="1145" w:type="dxa"/>
            <w:tcBorders>
              <w:top w:val="nil"/>
              <w:left w:val="nil"/>
              <w:bottom w:val="nil"/>
              <w:right w:val="nil"/>
            </w:tcBorders>
            <w:shd w:val="clear" w:color="000000" w:fill="FFFFFF"/>
            <w:noWrap/>
            <w:vAlign w:val="center"/>
            <w:hideMark/>
          </w:tcPr>
          <w:p w14:paraId="5652077A"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919,8 </w:t>
            </w:r>
          </w:p>
        </w:tc>
        <w:tc>
          <w:tcPr>
            <w:tcW w:w="1213" w:type="dxa"/>
            <w:tcBorders>
              <w:top w:val="nil"/>
              <w:left w:val="nil"/>
              <w:bottom w:val="nil"/>
              <w:right w:val="nil"/>
            </w:tcBorders>
            <w:shd w:val="clear" w:color="000000" w:fill="FFFFFF"/>
            <w:noWrap/>
            <w:vAlign w:val="center"/>
            <w:hideMark/>
          </w:tcPr>
          <w:p w14:paraId="23F5B614"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256,9 </w:t>
            </w:r>
          </w:p>
        </w:tc>
      </w:tr>
      <w:tr w:rsidR="00330999" w:rsidRPr="00F5596D" w14:paraId="27534A7E" w14:textId="77777777" w:rsidTr="00E61B34">
        <w:trPr>
          <w:trHeight w:val="20"/>
        </w:trPr>
        <w:tc>
          <w:tcPr>
            <w:tcW w:w="4696" w:type="dxa"/>
            <w:tcBorders>
              <w:top w:val="nil"/>
              <w:left w:val="nil"/>
              <w:bottom w:val="nil"/>
              <w:right w:val="nil"/>
            </w:tcBorders>
            <w:shd w:val="clear" w:color="000000" w:fill="FFFFFF"/>
            <w:noWrap/>
            <w:vAlign w:val="center"/>
            <w:hideMark/>
          </w:tcPr>
          <w:p w14:paraId="33E3000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Трошкови зарада*</w:t>
            </w:r>
          </w:p>
        </w:tc>
        <w:tc>
          <w:tcPr>
            <w:tcW w:w="1122" w:type="dxa"/>
            <w:tcBorders>
              <w:top w:val="nil"/>
              <w:left w:val="nil"/>
              <w:bottom w:val="nil"/>
              <w:right w:val="nil"/>
            </w:tcBorders>
            <w:shd w:val="clear" w:color="000000" w:fill="FFFFFF"/>
            <w:noWrap/>
            <w:vAlign w:val="center"/>
            <w:hideMark/>
          </w:tcPr>
          <w:p w14:paraId="2685ED88"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118,5 </w:t>
            </w:r>
          </w:p>
        </w:tc>
        <w:tc>
          <w:tcPr>
            <w:tcW w:w="1145" w:type="dxa"/>
            <w:tcBorders>
              <w:top w:val="nil"/>
              <w:left w:val="nil"/>
              <w:bottom w:val="nil"/>
              <w:right w:val="nil"/>
            </w:tcBorders>
            <w:shd w:val="clear" w:color="000000" w:fill="FFFFFF"/>
            <w:noWrap/>
            <w:vAlign w:val="center"/>
            <w:hideMark/>
          </w:tcPr>
          <w:p w14:paraId="7AF64914"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128,1 </w:t>
            </w:r>
          </w:p>
        </w:tc>
        <w:tc>
          <w:tcPr>
            <w:tcW w:w="1145" w:type="dxa"/>
            <w:tcBorders>
              <w:top w:val="nil"/>
              <w:left w:val="nil"/>
              <w:bottom w:val="nil"/>
              <w:right w:val="nil"/>
            </w:tcBorders>
            <w:shd w:val="clear" w:color="000000" w:fill="FFFFFF"/>
            <w:noWrap/>
            <w:vAlign w:val="center"/>
            <w:hideMark/>
          </w:tcPr>
          <w:p w14:paraId="555E79D4"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140,0 </w:t>
            </w:r>
          </w:p>
        </w:tc>
        <w:tc>
          <w:tcPr>
            <w:tcW w:w="1213" w:type="dxa"/>
            <w:tcBorders>
              <w:top w:val="nil"/>
              <w:left w:val="nil"/>
              <w:bottom w:val="nil"/>
              <w:right w:val="nil"/>
            </w:tcBorders>
            <w:shd w:val="clear" w:color="000000" w:fill="FFFFFF"/>
            <w:noWrap/>
            <w:vAlign w:val="center"/>
            <w:hideMark/>
          </w:tcPr>
          <w:p w14:paraId="247493B5"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36,8 </w:t>
            </w:r>
          </w:p>
        </w:tc>
      </w:tr>
      <w:tr w:rsidR="00330999" w:rsidRPr="00F5596D" w14:paraId="3B818986" w14:textId="77777777" w:rsidTr="00E61B34">
        <w:trPr>
          <w:trHeight w:val="20"/>
        </w:trPr>
        <w:tc>
          <w:tcPr>
            <w:tcW w:w="4696" w:type="dxa"/>
            <w:tcBorders>
              <w:top w:val="nil"/>
              <w:left w:val="nil"/>
              <w:bottom w:val="nil"/>
              <w:right w:val="nil"/>
            </w:tcBorders>
            <w:shd w:val="clear" w:color="000000" w:fill="FFFFFF"/>
            <w:noWrap/>
            <w:vAlign w:val="center"/>
            <w:hideMark/>
          </w:tcPr>
          <w:p w14:paraId="415D7F0B"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EBIT (пословни резултат)</w:t>
            </w:r>
          </w:p>
        </w:tc>
        <w:tc>
          <w:tcPr>
            <w:tcW w:w="1122" w:type="dxa"/>
            <w:tcBorders>
              <w:top w:val="nil"/>
              <w:left w:val="nil"/>
              <w:bottom w:val="nil"/>
              <w:right w:val="nil"/>
            </w:tcBorders>
            <w:shd w:val="clear" w:color="000000" w:fill="FFFFFF"/>
            <w:noWrap/>
            <w:vAlign w:val="center"/>
            <w:hideMark/>
          </w:tcPr>
          <w:p w14:paraId="3ADF9679"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(45,7)</w:t>
            </w:r>
          </w:p>
        </w:tc>
        <w:tc>
          <w:tcPr>
            <w:tcW w:w="1145" w:type="dxa"/>
            <w:tcBorders>
              <w:top w:val="nil"/>
              <w:left w:val="nil"/>
              <w:bottom w:val="nil"/>
              <w:right w:val="nil"/>
            </w:tcBorders>
            <w:shd w:val="clear" w:color="000000" w:fill="FFFFFF"/>
            <w:noWrap/>
            <w:vAlign w:val="center"/>
            <w:hideMark/>
          </w:tcPr>
          <w:p w14:paraId="2E9C72C1"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147,4 </w:t>
            </w:r>
          </w:p>
        </w:tc>
        <w:tc>
          <w:tcPr>
            <w:tcW w:w="1145" w:type="dxa"/>
            <w:tcBorders>
              <w:top w:val="nil"/>
              <w:left w:val="nil"/>
              <w:bottom w:val="nil"/>
              <w:right w:val="nil"/>
            </w:tcBorders>
            <w:shd w:val="clear" w:color="000000" w:fill="FFFFFF"/>
            <w:noWrap/>
            <w:vAlign w:val="center"/>
            <w:hideMark/>
          </w:tcPr>
          <w:p w14:paraId="42EB24F0"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52,1 </w:t>
            </w:r>
          </w:p>
        </w:tc>
        <w:tc>
          <w:tcPr>
            <w:tcW w:w="1213" w:type="dxa"/>
            <w:tcBorders>
              <w:top w:val="nil"/>
              <w:left w:val="nil"/>
              <w:bottom w:val="nil"/>
              <w:right w:val="nil"/>
            </w:tcBorders>
            <w:shd w:val="clear" w:color="000000" w:fill="FFFFFF"/>
            <w:noWrap/>
            <w:vAlign w:val="center"/>
            <w:hideMark/>
          </w:tcPr>
          <w:p w14:paraId="51F4E853"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14,5 </w:t>
            </w:r>
          </w:p>
        </w:tc>
      </w:tr>
      <w:tr w:rsidR="00330999" w:rsidRPr="00F5596D" w14:paraId="1D2C4E07" w14:textId="77777777" w:rsidTr="00E61B34">
        <w:trPr>
          <w:trHeight w:val="20"/>
        </w:trPr>
        <w:tc>
          <w:tcPr>
            <w:tcW w:w="4696" w:type="dxa"/>
            <w:tcBorders>
              <w:top w:val="nil"/>
              <w:left w:val="nil"/>
              <w:bottom w:val="nil"/>
              <w:right w:val="nil"/>
            </w:tcBorders>
            <w:shd w:val="clear" w:color="000000" w:fill="FFFFFF"/>
            <w:noWrap/>
            <w:vAlign w:val="center"/>
            <w:hideMark/>
          </w:tcPr>
          <w:p w14:paraId="7385BD8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Укупни приходи</w:t>
            </w:r>
          </w:p>
        </w:tc>
        <w:tc>
          <w:tcPr>
            <w:tcW w:w="1122" w:type="dxa"/>
            <w:tcBorders>
              <w:top w:val="nil"/>
              <w:left w:val="nil"/>
              <w:bottom w:val="nil"/>
              <w:right w:val="nil"/>
            </w:tcBorders>
            <w:shd w:val="clear" w:color="000000" w:fill="FFFFFF"/>
            <w:noWrap/>
            <w:vAlign w:val="center"/>
            <w:hideMark/>
          </w:tcPr>
          <w:p w14:paraId="6CC5F5A8"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937,7 </w:t>
            </w:r>
          </w:p>
        </w:tc>
        <w:tc>
          <w:tcPr>
            <w:tcW w:w="1145" w:type="dxa"/>
            <w:tcBorders>
              <w:top w:val="nil"/>
              <w:left w:val="nil"/>
              <w:bottom w:val="nil"/>
              <w:right w:val="nil"/>
            </w:tcBorders>
            <w:shd w:val="clear" w:color="000000" w:fill="FFFFFF"/>
            <w:noWrap/>
            <w:vAlign w:val="center"/>
            <w:hideMark/>
          </w:tcPr>
          <w:p w14:paraId="016E1EA7"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1.057,4 </w:t>
            </w:r>
          </w:p>
        </w:tc>
        <w:tc>
          <w:tcPr>
            <w:tcW w:w="1145" w:type="dxa"/>
            <w:tcBorders>
              <w:top w:val="nil"/>
              <w:left w:val="nil"/>
              <w:bottom w:val="nil"/>
              <w:right w:val="nil"/>
            </w:tcBorders>
            <w:shd w:val="clear" w:color="000000" w:fill="FFFFFF"/>
            <w:noWrap/>
            <w:vAlign w:val="center"/>
            <w:hideMark/>
          </w:tcPr>
          <w:p w14:paraId="789AA071"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1.007,5 </w:t>
            </w:r>
          </w:p>
        </w:tc>
        <w:tc>
          <w:tcPr>
            <w:tcW w:w="1213" w:type="dxa"/>
            <w:tcBorders>
              <w:top w:val="nil"/>
              <w:left w:val="nil"/>
              <w:bottom w:val="nil"/>
              <w:right w:val="nil"/>
            </w:tcBorders>
            <w:shd w:val="clear" w:color="000000" w:fill="FFFFFF"/>
            <w:noWrap/>
            <w:vAlign w:val="center"/>
            <w:hideMark/>
          </w:tcPr>
          <w:p w14:paraId="5F09FC98"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281,6 </w:t>
            </w:r>
          </w:p>
        </w:tc>
      </w:tr>
      <w:tr w:rsidR="00330999" w:rsidRPr="00F5596D" w14:paraId="5237C28B" w14:textId="77777777" w:rsidTr="00E61B34">
        <w:trPr>
          <w:trHeight w:val="20"/>
        </w:trPr>
        <w:tc>
          <w:tcPr>
            <w:tcW w:w="4696" w:type="dxa"/>
            <w:tcBorders>
              <w:top w:val="nil"/>
              <w:left w:val="nil"/>
              <w:bottom w:val="nil"/>
              <w:right w:val="nil"/>
            </w:tcBorders>
            <w:shd w:val="clear" w:color="000000" w:fill="FFFFFF"/>
            <w:noWrap/>
            <w:vAlign w:val="center"/>
            <w:hideMark/>
          </w:tcPr>
          <w:p w14:paraId="47BA3138"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Укупни расходи</w:t>
            </w:r>
          </w:p>
        </w:tc>
        <w:tc>
          <w:tcPr>
            <w:tcW w:w="1122" w:type="dxa"/>
            <w:tcBorders>
              <w:top w:val="nil"/>
              <w:left w:val="nil"/>
              <w:bottom w:val="nil"/>
              <w:right w:val="nil"/>
            </w:tcBorders>
            <w:shd w:val="clear" w:color="000000" w:fill="FFFFFF"/>
            <w:noWrap/>
            <w:vAlign w:val="center"/>
            <w:hideMark/>
          </w:tcPr>
          <w:p w14:paraId="4CFF008B"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1.006,0 </w:t>
            </w:r>
          </w:p>
        </w:tc>
        <w:tc>
          <w:tcPr>
            <w:tcW w:w="1145" w:type="dxa"/>
            <w:tcBorders>
              <w:top w:val="nil"/>
              <w:left w:val="nil"/>
              <w:bottom w:val="nil"/>
              <w:right w:val="nil"/>
            </w:tcBorders>
            <w:shd w:val="clear" w:color="000000" w:fill="FFFFFF"/>
            <w:noWrap/>
            <w:vAlign w:val="center"/>
            <w:hideMark/>
          </w:tcPr>
          <w:p w14:paraId="6DC4AE1C"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924,7 </w:t>
            </w:r>
          </w:p>
        </w:tc>
        <w:tc>
          <w:tcPr>
            <w:tcW w:w="1145" w:type="dxa"/>
            <w:tcBorders>
              <w:top w:val="nil"/>
              <w:left w:val="nil"/>
              <w:bottom w:val="nil"/>
              <w:right w:val="nil"/>
            </w:tcBorders>
            <w:shd w:val="clear" w:color="000000" w:fill="FFFFFF"/>
            <w:noWrap/>
            <w:vAlign w:val="center"/>
            <w:hideMark/>
          </w:tcPr>
          <w:p w14:paraId="2D584B4E"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981,0 </w:t>
            </w:r>
          </w:p>
        </w:tc>
        <w:tc>
          <w:tcPr>
            <w:tcW w:w="1213" w:type="dxa"/>
            <w:tcBorders>
              <w:top w:val="nil"/>
              <w:left w:val="nil"/>
              <w:bottom w:val="nil"/>
              <w:right w:val="nil"/>
            </w:tcBorders>
            <w:shd w:val="clear" w:color="000000" w:fill="FFFFFF"/>
            <w:noWrap/>
            <w:vAlign w:val="center"/>
            <w:hideMark/>
          </w:tcPr>
          <w:p w14:paraId="2F4DAECD"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269,0 </w:t>
            </w:r>
          </w:p>
        </w:tc>
      </w:tr>
      <w:tr w:rsidR="00330999" w:rsidRPr="00F5596D" w14:paraId="409F360E" w14:textId="77777777" w:rsidTr="00E61B34">
        <w:trPr>
          <w:trHeight w:val="20"/>
        </w:trPr>
        <w:tc>
          <w:tcPr>
            <w:tcW w:w="4696" w:type="dxa"/>
            <w:tcBorders>
              <w:top w:val="nil"/>
              <w:left w:val="nil"/>
              <w:bottom w:val="nil"/>
              <w:right w:val="nil"/>
            </w:tcBorders>
            <w:shd w:val="clear" w:color="000000" w:fill="FFFFFF"/>
            <w:noWrap/>
            <w:vAlign w:val="center"/>
            <w:hideMark/>
          </w:tcPr>
          <w:p w14:paraId="402F20B1"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Нето резултат</w:t>
            </w:r>
          </w:p>
        </w:tc>
        <w:tc>
          <w:tcPr>
            <w:tcW w:w="1122" w:type="dxa"/>
            <w:tcBorders>
              <w:top w:val="nil"/>
              <w:left w:val="nil"/>
              <w:bottom w:val="nil"/>
              <w:right w:val="nil"/>
            </w:tcBorders>
            <w:shd w:val="clear" w:color="000000" w:fill="FFFFFF"/>
            <w:noWrap/>
            <w:vAlign w:val="center"/>
            <w:hideMark/>
          </w:tcPr>
          <w:p w14:paraId="6B060A1A"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(68,8)</w:t>
            </w:r>
          </w:p>
        </w:tc>
        <w:tc>
          <w:tcPr>
            <w:tcW w:w="1145" w:type="dxa"/>
            <w:tcBorders>
              <w:top w:val="nil"/>
              <w:left w:val="nil"/>
              <w:bottom w:val="nil"/>
              <w:right w:val="nil"/>
            </w:tcBorders>
            <w:shd w:val="clear" w:color="000000" w:fill="FFFFFF"/>
            <w:noWrap/>
            <w:vAlign w:val="center"/>
            <w:hideMark/>
          </w:tcPr>
          <w:p w14:paraId="61BE858C"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113,7 </w:t>
            </w:r>
          </w:p>
        </w:tc>
        <w:tc>
          <w:tcPr>
            <w:tcW w:w="1145" w:type="dxa"/>
            <w:tcBorders>
              <w:top w:val="nil"/>
              <w:left w:val="nil"/>
              <w:bottom w:val="nil"/>
              <w:right w:val="nil"/>
            </w:tcBorders>
            <w:shd w:val="clear" w:color="000000" w:fill="FFFFFF"/>
            <w:noWrap/>
            <w:vAlign w:val="center"/>
            <w:hideMark/>
          </w:tcPr>
          <w:p w14:paraId="651640AC"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11,5 </w:t>
            </w:r>
          </w:p>
        </w:tc>
        <w:tc>
          <w:tcPr>
            <w:tcW w:w="1213" w:type="dxa"/>
            <w:tcBorders>
              <w:top w:val="nil"/>
              <w:left w:val="nil"/>
              <w:bottom w:val="nil"/>
              <w:right w:val="nil"/>
            </w:tcBorders>
            <w:shd w:val="clear" w:color="000000" w:fill="FFFFFF"/>
            <w:noWrap/>
            <w:vAlign w:val="center"/>
            <w:hideMark/>
          </w:tcPr>
          <w:p w14:paraId="21BBE725"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10,2 </w:t>
            </w:r>
          </w:p>
        </w:tc>
      </w:tr>
      <w:tr w:rsidR="00330999" w:rsidRPr="00F5596D" w14:paraId="3BA5A938" w14:textId="77777777" w:rsidTr="00E61B34">
        <w:trPr>
          <w:trHeight w:val="20"/>
        </w:trPr>
        <w:tc>
          <w:tcPr>
            <w:tcW w:w="4696" w:type="dxa"/>
            <w:tcBorders>
              <w:top w:val="single" w:sz="4" w:space="0" w:color="002060"/>
              <w:left w:val="nil"/>
              <w:bottom w:val="single" w:sz="4" w:space="0" w:color="002060"/>
              <w:right w:val="nil"/>
            </w:tcBorders>
            <w:shd w:val="clear" w:color="auto" w:fill="auto"/>
            <w:noWrap/>
            <w:vAlign w:val="center"/>
            <w:hideMark/>
          </w:tcPr>
          <w:p w14:paraId="36E99918"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Број ЈП која су остварила добит</w:t>
            </w:r>
          </w:p>
        </w:tc>
        <w:tc>
          <w:tcPr>
            <w:tcW w:w="1122" w:type="dxa"/>
            <w:tcBorders>
              <w:top w:val="single" w:sz="4" w:space="0" w:color="002060"/>
              <w:left w:val="nil"/>
              <w:bottom w:val="single" w:sz="4" w:space="0" w:color="002060"/>
              <w:right w:val="nil"/>
            </w:tcBorders>
            <w:shd w:val="clear" w:color="auto" w:fill="auto"/>
            <w:noWrap/>
            <w:vAlign w:val="center"/>
            <w:hideMark/>
          </w:tcPr>
          <w:p w14:paraId="3AA2F7AC"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25 </w:t>
            </w:r>
          </w:p>
        </w:tc>
        <w:tc>
          <w:tcPr>
            <w:tcW w:w="1145" w:type="dxa"/>
            <w:tcBorders>
              <w:top w:val="single" w:sz="4" w:space="0" w:color="002060"/>
              <w:left w:val="nil"/>
              <w:bottom w:val="single" w:sz="4" w:space="0" w:color="002060"/>
              <w:right w:val="nil"/>
            </w:tcBorders>
            <w:shd w:val="clear" w:color="auto" w:fill="auto"/>
            <w:noWrap/>
            <w:vAlign w:val="center"/>
            <w:hideMark/>
          </w:tcPr>
          <w:p w14:paraId="1904660A"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 xml:space="preserve">28 </w:t>
            </w:r>
          </w:p>
        </w:tc>
        <w:tc>
          <w:tcPr>
            <w:tcW w:w="1145" w:type="dxa"/>
            <w:tcBorders>
              <w:top w:val="single" w:sz="4" w:space="0" w:color="002060"/>
              <w:left w:val="nil"/>
              <w:bottom w:val="single" w:sz="4" w:space="0" w:color="002060"/>
              <w:right w:val="nil"/>
            </w:tcBorders>
            <w:shd w:val="clear" w:color="auto" w:fill="auto"/>
            <w:noWrap/>
            <w:vAlign w:val="center"/>
            <w:hideMark/>
          </w:tcPr>
          <w:p w14:paraId="58CB5E54"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27</w:t>
            </w:r>
          </w:p>
        </w:tc>
        <w:tc>
          <w:tcPr>
            <w:tcW w:w="1213" w:type="dxa"/>
            <w:tcBorders>
              <w:top w:val="single" w:sz="4" w:space="0" w:color="002060"/>
              <w:left w:val="nil"/>
              <w:bottom w:val="single" w:sz="4" w:space="0" w:color="002060"/>
              <w:right w:val="nil"/>
            </w:tcBorders>
            <w:shd w:val="clear" w:color="auto" w:fill="auto"/>
            <w:noWrap/>
            <w:vAlign w:val="center"/>
            <w:hideMark/>
          </w:tcPr>
          <w:p w14:paraId="0CEEAE69"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24</w:t>
            </w:r>
          </w:p>
        </w:tc>
      </w:tr>
      <w:tr w:rsidR="00330999" w:rsidRPr="00F5596D" w14:paraId="69134C0E" w14:textId="77777777" w:rsidTr="00E61B34">
        <w:trPr>
          <w:trHeight w:val="20"/>
        </w:trPr>
        <w:tc>
          <w:tcPr>
            <w:tcW w:w="4696" w:type="dxa"/>
            <w:tcBorders>
              <w:top w:val="nil"/>
              <w:left w:val="nil"/>
              <w:bottom w:val="single" w:sz="4" w:space="0" w:color="002060"/>
              <w:right w:val="nil"/>
            </w:tcBorders>
            <w:shd w:val="clear" w:color="auto" w:fill="auto"/>
            <w:noWrap/>
            <w:vAlign w:val="center"/>
            <w:hideMark/>
          </w:tcPr>
          <w:p w14:paraId="5D599039"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Број ЈП која су остварила губитак</w:t>
            </w:r>
          </w:p>
        </w:tc>
        <w:tc>
          <w:tcPr>
            <w:tcW w:w="1122" w:type="dxa"/>
            <w:tcBorders>
              <w:top w:val="nil"/>
              <w:left w:val="nil"/>
              <w:bottom w:val="single" w:sz="4" w:space="0" w:color="002060"/>
              <w:right w:val="nil"/>
            </w:tcBorders>
            <w:shd w:val="clear" w:color="auto" w:fill="auto"/>
            <w:noWrap/>
            <w:vAlign w:val="center"/>
            <w:hideMark/>
          </w:tcPr>
          <w:p w14:paraId="4FFED477"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11</w:t>
            </w:r>
          </w:p>
        </w:tc>
        <w:tc>
          <w:tcPr>
            <w:tcW w:w="1145" w:type="dxa"/>
            <w:tcBorders>
              <w:top w:val="nil"/>
              <w:left w:val="nil"/>
              <w:bottom w:val="single" w:sz="4" w:space="0" w:color="002060"/>
              <w:right w:val="nil"/>
            </w:tcBorders>
            <w:shd w:val="clear" w:color="auto" w:fill="auto"/>
            <w:noWrap/>
            <w:vAlign w:val="center"/>
            <w:hideMark/>
          </w:tcPr>
          <w:p w14:paraId="7E29B96F"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8</w:t>
            </w:r>
          </w:p>
        </w:tc>
        <w:tc>
          <w:tcPr>
            <w:tcW w:w="1145" w:type="dxa"/>
            <w:tcBorders>
              <w:top w:val="nil"/>
              <w:left w:val="nil"/>
              <w:bottom w:val="single" w:sz="4" w:space="0" w:color="002060"/>
              <w:right w:val="nil"/>
            </w:tcBorders>
            <w:shd w:val="clear" w:color="auto" w:fill="auto"/>
            <w:noWrap/>
            <w:vAlign w:val="center"/>
            <w:hideMark/>
          </w:tcPr>
          <w:p w14:paraId="21BBE038"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9</w:t>
            </w:r>
          </w:p>
        </w:tc>
        <w:tc>
          <w:tcPr>
            <w:tcW w:w="1213" w:type="dxa"/>
            <w:tcBorders>
              <w:top w:val="nil"/>
              <w:left w:val="nil"/>
              <w:bottom w:val="single" w:sz="4" w:space="0" w:color="002060"/>
              <w:right w:val="nil"/>
            </w:tcBorders>
            <w:shd w:val="clear" w:color="auto" w:fill="auto"/>
            <w:noWrap/>
            <w:vAlign w:val="center"/>
            <w:hideMark/>
          </w:tcPr>
          <w:p w14:paraId="3F9598CA"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12</w:t>
            </w:r>
          </w:p>
        </w:tc>
      </w:tr>
    </w:tbl>
    <w:p w14:paraId="2459AAA7" w14:textId="77777777" w:rsidR="00330999" w:rsidRPr="00F5596D" w:rsidRDefault="00330999" w:rsidP="00330999">
      <w:pPr>
        <w:spacing w:after="0" w:line="276" w:lineRule="auto"/>
        <w:rPr>
          <w:rFonts w:ascii="Calibri" w:eastAsia="MS PGothic" w:hAnsi="Calibri" w:cs="Calibri"/>
          <w:color w:val="44546A"/>
          <w:sz w:val="16"/>
          <w:szCs w:val="16"/>
          <w:lang w:val="sr-Cyrl-CS" w:eastAsia="ja-JP"/>
        </w:rPr>
      </w:pPr>
      <w:r w:rsidRPr="00F5596D">
        <w:rPr>
          <w:rFonts w:ascii="Calibri" w:eastAsia="MS PGothic" w:hAnsi="Calibri" w:cs="Calibri"/>
          <w:color w:val="44546A"/>
          <w:sz w:val="16"/>
          <w:szCs w:val="16"/>
          <w:lang w:val="sr-Cyrl-CS" w:eastAsia="ja-JP"/>
        </w:rPr>
        <w:t>* Трошкови зарада, накнада зарада и остали лични расходи</w:t>
      </w:r>
    </w:p>
    <w:p w14:paraId="1EF47BEC" w14:textId="77777777" w:rsidR="00330999" w:rsidRPr="00F5596D" w:rsidRDefault="00330999" w:rsidP="00330999">
      <w:pPr>
        <w:spacing w:after="0" w:line="276" w:lineRule="auto"/>
        <w:rPr>
          <w:rFonts w:ascii="Calibri" w:eastAsia="MS PGothic" w:hAnsi="Calibri" w:cs="Calibri"/>
          <w:color w:val="44546A"/>
          <w:sz w:val="16"/>
          <w:szCs w:val="16"/>
          <w:lang w:val="sr-Cyrl-CS" w:eastAsia="ja-JP"/>
        </w:rPr>
      </w:pPr>
      <w:r w:rsidRPr="00F5596D">
        <w:rPr>
          <w:rFonts w:ascii="Calibri" w:eastAsia="MS PGothic" w:hAnsi="Calibri" w:cs="Calibri"/>
          <w:color w:val="44546A"/>
          <w:sz w:val="16"/>
          <w:szCs w:val="16"/>
          <w:lang w:val="sr-Cyrl-CS" w:eastAsia="ja-JP"/>
        </w:rPr>
        <w:lastRenderedPageBreak/>
        <w:t>Извор: Финансијски извештаји (АПР) и квартални извештај за 2025. годину</w:t>
      </w:r>
    </w:p>
    <w:p w14:paraId="2442C981" w14:textId="77777777" w:rsidR="00330999" w:rsidRPr="00F5596D" w:rsidRDefault="00330999" w:rsidP="00330999">
      <w:pPr>
        <w:spacing w:after="0" w:line="276" w:lineRule="auto"/>
        <w:rPr>
          <w:rFonts w:ascii="Calibri" w:eastAsia="MS PGothic" w:hAnsi="Calibri" w:cs="Calibri"/>
          <w:color w:val="44546A"/>
          <w:sz w:val="16"/>
          <w:szCs w:val="16"/>
          <w:highlight w:val="yellow"/>
          <w:lang w:val="sr-Cyrl-CS" w:eastAsia="ja-JP"/>
        </w:rPr>
      </w:pPr>
    </w:p>
    <w:p w14:paraId="31391941" w14:textId="77777777" w:rsidR="00330999" w:rsidRPr="00F5596D" w:rsidRDefault="00330999" w:rsidP="00330999">
      <w:pPr>
        <w:spacing w:after="0" w:line="276" w:lineRule="auto"/>
        <w:rPr>
          <w:rFonts w:ascii="Calibri" w:eastAsia="MS PGothic" w:hAnsi="Calibri" w:cs="Calibri"/>
          <w:color w:val="44546A"/>
          <w:sz w:val="16"/>
          <w:szCs w:val="16"/>
          <w:highlight w:val="yellow"/>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768A9FB6" w14:textId="40536594" w:rsidR="00330999" w:rsidRPr="00F5596D" w:rsidRDefault="00330999" w:rsidP="00330999">
      <w:pPr>
        <w:spacing w:after="120" w:line="276" w:lineRule="auto"/>
        <w:rPr>
          <w:rFonts w:eastAsia="MS PGothic" w:cstheme="minorHAnsi"/>
          <w:b/>
          <w:bCs/>
          <w:color w:val="002060"/>
          <w:spacing w:val="-4"/>
          <w:szCs w:val="20"/>
          <w:highlight w:val="yellow"/>
          <w:lang w:val="sr-Cyrl-CS" w:eastAsia="ja-JP"/>
        </w:rPr>
        <w:sectPr w:rsidR="00330999" w:rsidRPr="00F5596D" w:rsidSect="00E61B34">
          <w:type w:val="continuous"/>
          <w:pgSz w:w="12240" w:h="15840"/>
          <w:pgMar w:top="1440" w:right="1440" w:bottom="1440" w:left="1440" w:header="720" w:footer="720" w:gutter="0"/>
          <w:cols w:num="2" w:space="720"/>
          <w:docGrid w:linePitch="360"/>
        </w:sectPr>
      </w:pPr>
      <w:r w:rsidRPr="00F5596D">
        <w:rPr>
          <w:rFonts w:eastAsia="MS PGothic" w:cstheme="minorHAnsi"/>
          <w:szCs w:val="20"/>
          <w:lang w:val="sr-Cyrl-CS" w:eastAsia="ja-JP"/>
        </w:rPr>
        <w:t xml:space="preserve">Нето резултат на крају 2024. године је позитиван </w:t>
      </w:r>
      <w:r w:rsidR="007A718C" w:rsidRPr="00F5596D">
        <w:rPr>
          <w:rFonts w:eastAsia="MS PGothic" w:cstheme="minorHAnsi"/>
          <w:szCs w:val="20"/>
          <w:lang w:val="sr-Cyrl-CS" w:eastAsia="ja-JP"/>
        </w:rPr>
        <w:t>и износи</w:t>
      </w:r>
      <w:r w:rsidRPr="00F5596D">
        <w:rPr>
          <w:rFonts w:eastAsia="MS PGothic" w:cstheme="minorHAnsi"/>
          <w:szCs w:val="20"/>
          <w:lang w:val="sr-Cyrl-CS" w:eastAsia="ja-JP"/>
        </w:rPr>
        <w:t xml:space="preserve"> 11,5 млрд динара, што представља побољшање у односу на 2022. годину када су државна предузећа бележила негативан нето резултат. Нето резултат у 2023. години треба посматрати издвојено у односу на остале године, </w:t>
      </w:r>
      <w:r w:rsidRPr="00F5596D">
        <w:rPr>
          <w:rFonts w:eastAsia="MS PGothic" w:cstheme="minorHAnsi"/>
          <w:szCs w:val="20"/>
          <w:lang w:val="sr-Cyrl-CS" w:eastAsia="ja-JP"/>
        </w:rPr>
        <w:t>имајући у виду историјски добитак који је остварила „Електропривреда Србије” ад у тој години (</w:t>
      </w:r>
      <w:r w:rsidRPr="00F5596D">
        <w:rPr>
          <w:color w:val="44536A"/>
          <w:szCs w:val="20"/>
          <w:lang w:val="sr-Cyrl-CS"/>
        </w:rPr>
        <w:t>112,4 млрд динара)</w:t>
      </w:r>
      <w:r w:rsidRPr="00F5596D">
        <w:rPr>
          <w:rFonts w:eastAsia="MS PGothic" w:cstheme="minorHAnsi"/>
          <w:szCs w:val="20"/>
          <w:lang w:val="sr-Cyrl-CS" w:eastAsia="ja-JP"/>
        </w:rPr>
        <w:t>. При анализирању кварталних остварења финансијских показатеља потребно је узети у обзир да одређен број предузећа има сезонску компоненту у пословању.</w:t>
      </w:r>
    </w:p>
    <w:p w14:paraId="3F1E05CC" w14:textId="7E2061CF"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 xml:space="preserve">Табела </w:t>
      </w:r>
      <w:r w:rsidR="00F14A11" w:rsidRPr="00F5596D">
        <w:rPr>
          <w:rFonts w:eastAsia="MS PGothic" w:cstheme="minorHAnsi"/>
          <w:b/>
          <w:color w:val="002060"/>
          <w:szCs w:val="20"/>
          <w:lang w:val="sr-Cyrl-CS" w:eastAsia="ja-JP"/>
        </w:rPr>
        <w:t>19</w:t>
      </w:r>
      <w:r w:rsidRPr="00F5596D">
        <w:rPr>
          <w:rFonts w:eastAsia="MS PGothic" w:cstheme="minorHAnsi"/>
          <w:b/>
          <w:color w:val="002060"/>
          <w:szCs w:val="20"/>
          <w:lang w:val="sr-Cyrl-CS" w:eastAsia="ja-JP"/>
        </w:rPr>
        <w:t>. Преглед корисника субвенције (36 ДП) и њихово учешће у укупним расходима буџета РС</w:t>
      </w:r>
    </w:p>
    <w:tbl>
      <w:tblPr>
        <w:tblW w:w="9412" w:type="dxa"/>
        <w:tblLook w:val="04A0" w:firstRow="1" w:lastRow="0" w:firstColumn="1" w:lastColumn="0" w:noHBand="0" w:noVBand="1"/>
      </w:tblPr>
      <w:tblGrid>
        <w:gridCol w:w="4742"/>
        <w:gridCol w:w="1133"/>
        <w:gridCol w:w="1156"/>
        <w:gridCol w:w="1156"/>
        <w:gridCol w:w="1225"/>
      </w:tblGrid>
      <w:tr w:rsidR="00330999" w:rsidRPr="00F5596D" w14:paraId="5ABDAA24" w14:textId="77777777" w:rsidTr="00E61B34">
        <w:trPr>
          <w:trHeight w:val="20"/>
        </w:trPr>
        <w:tc>
          <w:tcPr>
            <w:tcW w:w="4742" w:type="dxa"/>
            <w:tcBorders>
              <w:top w:val="single" w:sz="4" w:space="0" w:color="002060"/>
              <w:left w:val="nil"/>
              <w:bottom w:val="single" w:sz="4" w:space="0" w:color="002060"/>
              <w:right w:val="nil"/>
            </w:tcBorders>
            <w:shd w:val="clear" w:color="auto" w:fill="auto"/>
            <w:noWrap/>
            <w:vAlign w:val="center"/>
            <w:hideMark/>
          </w:tcPr>
          <w:p w14:paraId="7DD14689"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Године</w:t>
            </w:r>
          </w:p>
        </w:tc>
        <w:tc>
          <w:tcPr>
            <w:tcW w:w="1133" w:type="dxa"/>
            <w:tcBorders>
              <w:top w:val="single" w:sz="4" w:space="0" w:color="002060"/>
              <w:left w:val="nil"/>
              <w:bottom w:val="single" w:sz="4" w:space="0" w:color="002060"/>
              <w:right w:val="nil"/>
            </w:tcBorders>
            <w:shd w:val="clear" w:color="auto" w:fill="auto"/>
            <w:noWrap/>
            <w:vAlign w:val="center"/>
            <w:hideMark/>
          </w:tcPr>
          <w:p w14:paraId="608BF765"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2021</w:t>
            </w:r>
          </w:p>
        </w:tc>
        <w:tc>
          <w:tcPr>
            <w:tcW w:w="1156" w:type="dxa"/>
            <w:tcBorders>
              <w:top w:val="single" w:sz="4" w:space="0" w:color="002060"/>
              <w:left w:val="nil"/>
              <w:bottom w:val="single" w:sz="4" w:space="0" w:color="002060"/>
              <w:right w:val="nil"/>
            </w:tcBorders>
            <w:shd w:val="clear" w:color="auto" w:fill="auto"/>
            <w:noWrap/>
            <w:vAlign w:val="center"/>
            <w:hideMark/>
          </w:tcPr>
          <w:p w14:paraId="749EC0D2"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1156" w:type="dxa"/>
            <w:tcBorders>
              <w:top w:val="single" w:sz="4" w:space="0" w:color="002060"/>
              <w:left w:val="nil"/>
              <w:bottom w:val="single" w:sz="4" w:space="0" w:color="002060"/>
              <w:right w:val="nil"/>
            </w:tcBorders>
            <w:shd w:val="clear" w:color="auto" w:fill="auto"/>
            <w:noWrap/>
            <w:vAlign w:val="center"/>
            <w:hideMark/>
          </w:tcPr>
          <w:p w14:paraId="09581E0C"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225" w:type="dxa"/>
            <w:tcBorders>
              <w:top w:val="single" w:sz="4" w:space="0" w:color="002060"/>
              <w:left w:val="nil"/>
              <w:bottom w:val="single" w:sz="4" w:space="0" w:color="002060"/>
              <w:right w:val="nil"/>
            </w:tcBorders>
            <w:shd w:val="clear" w:color="auto" w:fill="auto"/>
            <w:noWrap/>
            <w:vAlign w:val="center"/>
            <w:hideMark/>
          </w:tcPr>
          <w:p w14:paraId="1485594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r>
      <w:tr w:rsidR="00330999" w:rsidRPr="00F5596D" w14:paraId="220516E2" w14:textId="77777777" w:rsidTr="00E61B34">
        <w:trPr>
          <w:trHeight w:val="20"/>
        </w:trPr>
        <w:tc>
          <w:tcPr>
            <w:tcW w:w="4742" w:type="dxa"/>
            <w:tcBorders>
              <w:top w:val="nil"/>
              <w:left w:val="nil"/>
              <w:bottom w:val="nil"/>
              <w:right w:val="nil"/>
            </w:tcBorders>
            <w:shd w:val="clear" w:color="000000" w:fill="FFFFFF"/>
            <w:noWrap/>
            <w:vAlign w:val="center"/>
            <w:hideMark/>
          </w:tcPr>
          <w:p w14:paraId="39350244"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Број корисника субвенција (од 36 ЈП)</w:t>
            </w:r>
          </w:p>
        </w:tc>
        <w:tc>
          <w:tcPr>
            <w:tcW w:w="1133" w:type="dxa"/>
            <w:tcBorders>
              <w:top w:val="nil"/>
              <w:left w:val="nil"/>
              <w:bottom w:val="nil"/>
              <w:right w:val="nil"/>
            </w:tcBorders>
            <w:shd w:val="clear" w:color="000000" w:fill="FFFFFF"/>
            <w:noWrap/>
            <w:vAlign w:val="center"/>
            <w:hideMark/>
          </w:tcPr>
          <w:p w14:paraId="41A4C6B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25</w:t>
            </w:r>
          </w:p>
        </w:tc>
        <w:tc>
          <w:tcPr>
            <w:tcW w:w="1156" w:type="dxa"/>
            <w:tcBorders>
              <w:top w:val="nil"/>
              <w:left w:val="nil"/>
              <w:bottom w:val="nil"/>
              <w:right w:val="nil"/>
            </w:tcBorders>
            <w:shd w:val="clear" w:color="000000" w:fill="FFFFFF"/>
            <w:noWrap/>
            <w:vAlign w:val="center"/>
            <w:hideMark/>
          </w:tcPr>
          <w:p w14:paraId="6968366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25</w:t>
            </w:r>
          </w:p>
        </w:tc>
        <w:tc>
          <w:tcPr>
            <w:tcW w:w="1156" w:type="dxa"/>
            <w:tcBorders>
              <w:top w:val="nil"/>
              <w:left w:val="nil"/>
              <w:bottom w:val="nil"/>
              <w:right w:val="nil"/>
            </w:tcBorders>
            <w:shd w:val="clear" w:color="000000" w:fill="FFFFFF"/>
            <w:noWrap/>
            <w:vAlign w:val="center"/>
            <w:hideMark/>
          </w:tcPr>
          <w:p w14:paraId="5DFC7BD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w:t>
            </w:r>
          </w:p>
        </w:tc>
        <w:tc>
          <w:tcPr>
            <w:tcW w:w="1225" w:type="dxa"/>
            <w:tcBorders>
              <w:top w:val="nil"/>
              <w:left w:val="nil"/>
              <w:bottom w:val="nil"/>
              <w:right w:val="nil"/>
            </w:tcBorders>
            <w:shd w:val="clear" w:color="000000" w:fill="FFFFFF"/>
            <w:noWrap/>
            <w:vAlign w:val="center"/>
            <w:hideMark/>
          </w:tcPr>
          <w:p w14:paraId="3A27C03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27</w:t>
            </w:r>
          </w:p>
        </w:tc>
      </w:tr>
      <w:tr w:rsidR="00330999" w:rsidRPr="00F5596D" w14:paraId="3020EE07" w14:textId="77777777" w:rsidTr="00E61B34">
        <w:trPr>
          <w:trHeight w:val="20"/>
        </w:trPr>
        <w:tc>
          <w:tcPr>
            <w:tcW w:w="4742" w:type="dxa"/>
            <w:tcBorders>
              <w:top w:val="nil"/>
              <w:left w:val="nil"/>
              <w:bottom w:val="nil"/>
              <w:right w:val="nil"/>
            </w:tcBorders>
            <w:shd w:val="clear" w:color="000000" w:fill="FFFFFF"/>
            <w:noWrap/>
            <w:vAlign w:val="center"/>
            <w:hideMark/>
          </w:tcPr>
          <w:p w14:paraId="384B91FA"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Исплаћене субвенције (млрд РСД)</w:t>
            </w:r>
          </w:p>
        </w:tc>
        <w:tc>
          <w:tcPr>
            <w:tcW w:w="1133" w:type="dxa"/>
            <w:tcBorders>
              <w:top w:val="nil"/>
              <w:left w:val="nil"/>
              <w:bottom w:val="nil"/>
              <w:right w:val="nil"/>
            </w:tcBorders>
            <w:shd w:val="clear" w:color="000000" w:fill="FFFFFF"/>
            <w:noWrap/>
            <w:vAlign w:val="center"/>
            <w:hideMark/>
          </w:tcPr>
          <w:p w14:paraId="462BEE4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67,2</w:t>
            </w:r>
          </w:p>
        </w:tc>
        <w:tc>
          <w:tcPr>
            <w:tcW w:w="1156" w:type="dxa"/>
            <w:tcBorders>
              <w:top w:val="nil"/>
              <w:left w:val="nil"/>
              <w:bottom w:val="nil"/>
              <w:right w:val="nil"/>
            </w:tcBorders>
            <w:shd w:val="clear" w:color="000000" w:fill="FFFFFF"/>
            <w:noWrap/>
            <w:vAlign w:val="center"/>
            <w:hideMark/>
          </w:tcPr>
          <w:p w14:paraId="1E61C89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56,0</w:t>
            </w:r>
          </w:p>
        </w:tc>
        <w:tc>
          <w:tcPr>
            <w:tcW w:w="1156" w:type="dxa"/>
            <w:tcBorders>
              <w:top w:val="nil"/>
              <w:left w:val="nil"/>
              <w:bottom w:val="nil"/>
              <w:right w:val="nil"/>
            </w:tcBorders>
            <w:shd w:val="clear" w:color="000000" w:fill="FFFFFF"/>
            <w:noWrap/>
            <w:vAlign w:val="center"/>
            <w:hideMark/>
          </w:tcPr>
          <w:p w14:paraId="2858AFF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67,9</w:t>
            </w:r>
          </w:p>
        </w:tc>
        <w:tc>
          <w:tcPr>
            <w:tcW w:w="1225" w:type="dxa"/>
            <w:tcBorders>
              <w:top w:val="nil"/>
              <w:left w:val="nil"/>
              <w:bottom w:val="nil"/>
              <w:right w:val="nil"/>
            </w:tcBorders>
            <w:shd w:val="clear" w:color="000000" w:fill="FFFFFF"/>
            <w:noWrap/>
            <w:vAlign w:val="center"/>
            <w:hideMark/>
          </w:tcPr>
          <w:p w14:paraId="6D63FE55"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62,3</w:t>
            </w:r>
          </w:p>
        </w:tc>
      </w:tr>
      <w:tr w:rsidR="00330999" w:rsidRPr="00F5596D" w14:paraId="0514A01E" w14:textId="77777777" w:rsidTr="00E61B34">
        <w:trPr>
          <w:trHeight w:val="20"/>
        </w:trPr>
        <w:tc>
          <w:tcPr>
            <w:tcW w:w="4742" w:type="dxa"/>
            <w:tcBorders>
              <w:top w:val="nil"/>
              <w:left w:val="nil"/>
              <w:bottom w:val="nil"/>
              <w:right w:val="nil"/>
            </w:tcBorders>
            <w:shd w:val="clear" w:color="000000" w:fill="FFFFFF"/>
            <w:noWrap/>
            <w:vAlign w:val="center"/>
            <w:hideMark/>
          </w:tcPr>
          <w:p w14:paraId="7A5852CA"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Укупни расходи буџета (млрд РСД)</w:t>
            </w:r>
          </w:p>
        </w:tc>
        <w:tc>
          <w:tcPr>
            <w:tcW w:w="1133" w:type="dxa"/>
            <w:tcBorders>
              <w:top w:val="nil"/>
              <w:left w:val="nil"/>
              <w:bottom w:val="nil"/>
              <w:right w:val="nil"/>
            </w:tcBorders>
            <w:shd w:val="clear" w:color="000000" w:fill="FFFFFF"/>
            <w:noWrap/>
            <w:vAlign w:val="center"/>
            <w:hideMark/>
          </w:tcPr>
          <w:p w14:paraId="296CFDD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1.751</w:t>
            </w:r>
          </w:p>
        </w:tc>
        <w:tc>
          <w:tcPr>
            <w:tcW w:w="1156" w:type="dxa"/>
            <w:tcBorders>
              <w:top w:val="nil"/>
              <w:left w:val="nil"/>
              <w:bottom w:val="nil"/>
              <w:right w:val="nil"/>
            </w:tcBorders>
            <w:shd w:val="clear" w:color="000000" w:fill="FFFFFF"/>
            <w:noWrap/>
            <w:vAlign w:val="center"/>
            <w:hideMark/>
          </w:tcPr>
          <w:p w14:paraId="55527DF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1.915</w:t>
            </w:r>
          </w:p>
        </w:tc>
        <w:tc>
          <w:tcPr>
            <w:tcW w:w="1156" w:type="dxa"/>
            <w:tcBorders>
              <w:top w:val="nil"/>
              <w:left w:val="nil"/>
              <w:bottom w:val="nil"/>
              <w:right w:val="nil"/>
            </w:tcBorders>
            <w:shd w:val="clear" w:color="000000" w:fill="FFFFFF"/>
            <w:noWrap/>
            <w:vAlign w:val="center"/>
            <w:hideMark/>
          </w:tcPr>
          <w:p w14:paraId="58B73F4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2.068</w:t>
            </w:r>
          </w:p>
        </w:tc>
        <w:tc>
          <w:tcPr>
            <w:tcW w:w="1225" w:type="dxa"/>
            <w:tcBorders>
              <w:top w:val="nil"/>
              <w:left w:val="nil"/>
              <w:bottom w:val="nil"/>
              <w:right w:val="nil"/>
            </w:tcBorders>
            <w:shd w:val="clear" w:color="auto" w:fill="auto"/>
            <w:noWrap/>
            <w:vAlign w:val="center"/>
            <w:hideMark/>
          </w:tcPr>
          <w:p w14:paraId="09044D4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2.354</w:t>
            </w:r>
          </w:p>
        </w:tc>
      </w:tr>
      <w:tr w:rsidR="00330999" w:rsidRPr="00F5596D" w14:paraId="16D9404B" w14:textId="77777777" w:rsidTr="00E61B34">
        <w:trPr>
          <w:trHeight w:val="20"/>
        </w:trPr>
        <w:tc>
          <w:tcPr>
            <w:tcW w:w="4742" w:type="dxa"/>
            <w:tcBorders>
              <w:top w:val="nil"/>
              <w:left w:val="nil"/>
              <w:bottom w:val="single" w:sz="4" w:space="0" w:color="002060"/>
              <w:right w:val="nil"/>
            </w:tcBorders>
            <w:shd w:val="clear" w:color="000000" w:fill="FFFFFF"/>
            <w:noWrap/>
            <w:vAlign w:val="center"/>
            <w:hideMark/>
          </w:tcPr>
          <w:p w14:paraId="034F48CA" w14:textId="77777777" w:rsidR="00330999" w:rsidRPr="00F5596D" w:rsidRDefault="00330999" w:rsidP="00E61B34">
            <w:pPr>
              <w:spacing w:after="0" w:line="240" w:lineRule="auto"/>
              <w:jc w:val="left"/>
              <w:rPr>
                <w:rFonts w:ascii="Calibri" w:eastAsia="Times New Roman" w:hAnsi="Calibri" w:cs="Calibri"/>
                <w:b/>
                <w:bCs/>
                <w:i/>
                <w:iCs/>
                <w:color w:val="002060"/>
                <w:sz w:val="18"/>
                <w:szCs w:val="18"/>
                <w:lang w:val="sr-Cyrl-CS"/>
              </w:rPr>
            </w:pPr>
            <w:r w:rsidRPr="00F5596D">
              <w:rPr>
                <w:rFonts w:ascii="Calibri" w:eastAsia="Times New Roman" w:hAnsi="Calibri" w:cs="Calibri"/>
                <w:b/>
                <w:bCs/>
                <w:i/>
                <w:iCs/>
                <w:color w:val="002060"/>
                <w:sz w:val="18"/>
                <w:szCs w:val="18"/>
                <w:lang w:val="sr-Cyrl-CS"/>
              </w:rPr>
              <w:t>% исплаћене субвенције/расходи буџета</w:t>
            </w:r>
          </w:p>
        </w:tc>
        <w:tc>
          <w:tcPr>
            <w:tcW w:w="1133" w:type="dxa"/>
            <w:tcBorders>
              <w:top w:val="nil"/>
              <w:left w:val="nil"/>
              <w:bottom w:val="single" w:sz="4" w:space="0" w:color="002060"/>
              <w:right w:val="nil"/>
            </w:tcBorders>
            <w:shd w:val="clear" w:color="000000" w:fill="FFFFFF"/>
            <w:noWrap/>
            <w:vAlign w:val="center"/>
            <w:hideMark/>
          </w:tcPr>
          <w:p w14:paraId="13A80F1B" w14:textId="77777777" w:rsidR="00330999" w:rsidRPr="00F5596D" w:rsidRDefault="00330999" w:rsidP="00E61B34">
            <w:pPr>
              <w:spacing w:after="0" w:line="240" w:lineRule="auto"/>
              <w:jc w:val="center"/>
              <w:rPr>
                <w:rFonts w:ascii="Calibri" w:eastAsia="Times New Roman" w:hAnsi="Calibri" w:cs="Calibri"/>
                <w:b/>
                <w:bCs/>
                <w:i/>
                <w:iCs/>
                <w:color w:val="002060"/>
                <w:sz w:val="18"/>
                <w:szCs w:val="18"/>
                <w:lang w:val="sr-Cyrl-CS"/>
              </w:rPr>
            </w:pPr>
            <w:r w:rsidRPr="00F5596D">
              <w:rPr>
                <w:rFonts w:ascii="Calibri" w:eastAsia="Times New Roman" w:hAnsi="Calibri" w:cs="Calibri"/>
                <w:b/>
                <w:bCs/>
                <w:i/>
                <w:iCs/>
                <w:color w:val="002060"/>
                <w:sz w:val="18"/>
                <w:szCs w:val="18"/>
                <w:lang w:val="sr-Cyrl-CS"/>
              </w:rPr>
              <w:t>3,8%</w:t>
            </w:r>
          </w:p>
        </w:tc>
        <w:tc>
          <w:tcPr>
            <w:tcW w:w="1156" w:type="dxa"/>
            <w:tcBorders>
              <w:top w:val="nil"/>
              <w:left w:val="nil"/>
              <w:bottom w:val="single" w:sz="4" w:space="0" w:color="002060"/>
              <w:right w:val="nil"/>
            </w:tcBorders>
            <w:shd w:val="clear" w:color="000000" w:fill="FFFFFF"/>
            <w:noWrap/>
            <w:vAlign w:val="center"/>
            <w:hideMark/>
          </w:tcPr>
          <w:p w14:paraId="3158283F" w14:textId="77777777" w:rsidR="00330999" w:rsidRPr="00F5596D" w:rsidRDefault="00330999" w:rsidP="00E61B34">
            <w:pPr>
              <w:spacing w:after="0" w:line="240" w:lineRule="auto"/>
              <w:jc w:val="center"/>
              <w:rPr>
                <w:rFonts w:ascii="Calibri" w:eastAsia="Times New Roman" w:hAnsi="Calibri" w:cs="Calibri"/>
                <w:b/>
                <w:bCs/>
                <w:i/>
                <w:iCs/>
                <w:color w:val="002060"/>
                <w:sz w:val="18"/>
                <w:szCs w:val="18"/>
                <w:lang w:val="sr-Cyrl-CS"/>
              </w:rPr>
            </w:pPr>
            <w:r w:rsidRPr="00F5596D">
              <w:rPr>
                <w:rFonts w:ascii="Calibri" w:eastAsia="Times New Roman" w:hAnsi="Calibri" w:cs="Calibri"/>
                <w:b/>
                <w:bCs/>
                <w:i/>
                <w:iCs/>
                <w:color w:val="002060"/>
                <w:sz w:val="18"/>
                <w:szCs w:val="18"/>
                <w:lang w:val="sr-Cyrl-CS"/>
              </w:rPr>
              <w:t>2,9%</w:t>
            </w:r>
          </w:p>
        </w:tc>
        <w:tc>
          <w:tcPr>
            <w:tcW w:w="1156" w:type="dxa"/>
            <w:tcBorders>
              <w:top w:val="nil"/>
              <w:left w:val="nil"/>
              <w:bottom w:val="single" w:sz="4" w:space="0" w:color="002060"/>
              <w:right w:val="nil"/>
            </w:tcBorders>
            <w:shd w:val="clear" w:color="000000" w:fill="FFFFFF"/>
            <w:noWrap/>
            <w:vAlign w:val="center"/>
            <w:hideMark/>
          </w:tcPr>
          <w:p w14:paraId="1E0CD487" w14:textId="77777777" w:rsidR="00330999" w:rsidRPr="00F5596D" w:rsidRDefault="00330999" w:rsidP="00E61B34">
            <w:pPr>
              <w:spacing w:after="0" w:line="240" w:lineRule="auto"/>
              <w:jc w:val="center"/>
              <w:rPr>
                <w:rFonts w:ascii="Calibri" w:eastAsia="Times New Roman" w:hAnsi="Calibri" w:cs="Calibri"/>
                <w:b/>
                <w:bCs/>
                <w:i/>
                <w:iCs/>
                <w:color w:val="002060"/>
                <w:sz w:val="18"/>
                <w:szCs w:val="18"/>
                <w:lang w:val="sr-Cyrl-CS"/>
              </w:rPr>
            </w:pPr>
            <w:r w:rsidRPr="00F5596D">
              <w:rPr>
                <w:rFonts w:ascii="Calibri" w:eastAsia="Times New Roman" w:hAnsi="Calibri" w:cs="Calibri"/>
                <w:b/>
                <w:bCs/>
                <w:i/>
                <w:iCs/>
                <w:color w:val="002060"/>
                <w:sz w:val="18"/>
                <w:szCs w:val="18"/>
                <w:lang w:val="sr-Cyrl-CS"/>
              </w:rPr>
              <w:t>3,3%</w:t>
            </w:r>
          </w:p>
        </w:tc>
        <w:tc>
          <w:tcPr>
            <w:tcW w:w="1225" w:type="dxa"/>
            <w:tcBorders>
              <w:top w:val="nil"/>
              <w:left w:val="nil"/>
              <w:bottom w:val="single" w:sz="4" w:space="0" w:color="002060"/>
              <w:right w:val="nil"/>
            </w:tcBorders>
            <w:shd w:val="clear" w:color="000000" w:fill="FFFFFF"/>
            <w:noWrap/>
            <w:vAlign w:val="center"/>
            <w:hideMark/>
          </w:tcPr>
          <w:p w14:paraId="6D41F823" w14:textId="77777777" w:rsidR="00330999" w:rsidRPr="00F5596D" w:rsidRDefault="00330999" w:rsidP="00E61B34">
            <w:pPr>
              <w:spacing w:after="0" w:line="240" w:lineRule="auto"/>
              <w:jc w:val="center"/>
              <w:rPr>
                <w:rFonts w:ascii="Calibri" w:eastAsia="Times New Roman" w:hAnsi="Calibri" w:cs="Calibri"/>
                <w:b/>
                <w:bCs/>
                <w:i/>
                <w:iCs/>
                <w:color w:val="002060"/>
                <w:sz w:val="18"/>
                <w:szCs w:val="18"/>
                <w:lang w:val="sr-Cyrl-CS"/>
              </w:rPr>
            </w:pPr>
            <w:r w:rsidRPr="00F5596D">
              <w:rPr>
                <w:rFonts w:ascii="Calibri" w:eastAsia="Times New Roman" w:hAnsi="Calibri" w:cs="Calibri"/>
                <w:b/>
                <w:bCs/>
                <w:i/>
                <w:iCs/>
                <w:color w:val="002060"/>
                <w:sz w:val="18"/>
                <w:szCs w:val="18"/>
                <w:lang w:val="sr-Cyrl-CS"/>
              </w:rPr>
              <w:t>2,6%</w:t>
            </w:r>
          </w:p>
        </w:tc>
      </w:tr>
    </w:tbl>
    <w:p w14:paraId="27842E2D"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Министарство финансија</w:t>
      </w:r>
    </w:p>
    <w:p w14:paraId="14EC3F47" w14:textId="77777777" w:rsidR="00330999" w:rsidRPr="00F5596D" w:rsidRDefault="00330999" w:rsidP="00330999">
      <w:pPr>
        <w:spacing w:after="0" w:line="276" w:lineRule="auto"/>
        <w:rPr>
          <w:rFonts w:eastAsia="MS PGothic" w:cstheme="minorHAnsi"/>
          <w:sz w:val="16"/>
          <w:szCs w:val="16"/>
          <w:highlight w:val="yellow"/>
          <w:lang w:val="sr-Cyrl-CS" w:eastAsia="ja-JP"/>
        </w:rPr>
      </w:pPr>
    </w:p>
    <w:p w14:paraId="464452D8" w14:textId="77777777" w:rsidR="00330999" w:rsidRPr="00F5596D" w:rsidRDefault="00330999" w:rsidP="00330999">
      <w:pPr>
        <w:spacing w:after="0" w:line="276" w:lineRule="auto"/>
        <w:rPr>
          <w:rFonts w:eastAsia="MS PGothic" w:cstheme="minorHAnsi"/>
          <w:szCs w:val="20"/>
          <w:highlight w:val="yellow"/>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462B1052" w14:textId="77777777" w:rsidR="00330999" w:rsidRPr="00F5596D" w:rsidRDefault="00330999" w:rsidP="00330999">
      <w:pPr>
        <w:spacing w:after="240" w:line="240" w:lineRule="auto"/>
        <w:rPr>
          <w:rFonts w:eastAsia="MS PGothic" w:cstheme="minorHAnsi"/>
          <w:szCs w:val="20"/>
          <w:lang w:val="sr-Cyrl-CS" w:eastAsia="ja-JP"/>
        </w:rPr>
      </w:pPr>
      <w:r w:rsidRPr="00F5596D">
        <w:rPr>
          <w:rFonts w:eastAsia="MS PGothic" w:cstheme="minorHAnsi"/>
          <w:szCs w:val="20"/>
          <w:lang w:val="sr-Cyrl-CS" w:eastAsia="ja-JP"/>
        </w:rPr>
        <w:t>Највећи део субвенција предузећа углавном користе за капиталне пројекте, док одређени број предузећа користи и за одржавање текуће ликвидности. Учешће исплаћених субвенција у укупним расходима буџета из године у годину креће се у распону 3-4%.</w:t>
      </w:r>
    </w:p>
    <w:p w14:paraId="7D1DEA2F" w14:textId="77777777" w:rsidR="00330999" w:rsidRPr="00F5596D" w:rsidRDefault="00330999" w:rsidP="00330999">
      <w:pPr>
        <w:spacing w:line="240" w:lineRule="auto"/>
        <w:rPr>
          <w:rFonts w:eastAsia="MS PGothic" w:cstheme="minorHAnsi"/>
          <w:szCs w:val="20"/>
          <w:highlight w:val="yellow"/>
          <w:lang w:val="sr-Cyrl-CS" w:eastAsia="ja-JP"/>
        </w:rPr>
      </w:pPr>
    </w:p>
    <w:p w14:paraId="7FAE0974" w14:textId="77777777" w:rsidR="00330999" w:rsidRPr="00F5596D" w:rsidRDefault="00330999" w:rsidP="00330999">
      <w:pPr>
        <w:spacing w:line="240" w:lineRule="auto"/>
        <w:rPr>
          <w:rFonts w:eastAsia="MS PGothic" w:cstheme="minorHAnsi"/>
          <w:szCs w:val="20"/>
          <w:highlight w:val="yellow"/>
          <w:lang w:val="sr-Cyrl-CS" w:eastAsia="ja-JP"/>
        </w:rPr>
      </w:pPr>
    </w:p>
    <w:p w14:paraId="52AD950F" w14:textId="77777777" w:rsidR="00330999" w:rsidRPr="00F5596D" w:rsidRDefault="00330999" w:rsidP="00330999">
      <w:pPr>
        <w:spacing w:line="240" w:lineRule="auto"/>
        <w:rPr>
          <w:rFonts w:eastAsia="MS PGothic" w:cstheme="minorHAnsi"/>
          <w:szCs w:val="20"/>
          <w:highlight w:val="yellow"/>
          <w:lang w:val="sr-Cyrl-CS" w:eastAsia="ja-JP"/>
        </w:rPr>
        <w:sectPr w:rsidR="00330999" w:rsidRPr="00F5596D" w:rsidSect="00E61B34">
          <w:type w:val="continuous"/>
          <w:pgSz w:w="12240" w:h="15840"/>
          <w:pgMar w:top="1440" w:right="1440" w:bottom="1440" w:left="1440" w:header="720" w:footer="720" w:gutter="0"/>
          <w:cols w:num="2" w:space="720"/>
          <w:docGrid w:linePitch="360"/>
        </w:sectPr>
      </w:pPr>
    </w:p>
    <w:p w14:paraId="683C4C45" w14:textId="627A5911" w:rsidR="00330999" w:rsidRPr="00F5596D" w:rsidRDefault="00330999" w:rsidP="00330999">
      <w:pPr>
        <w:spacing w:after="8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 xml:space="preserve">Табела </w:t>
      </w:r>
      <w:r w:rsidR="00F14A11" w:rsidRPr="00F5596D">
        <w:rPr>
          <w:rFonts w:eastAsia="MS PGothic" w:cstheme="minorHAnsi"/>
          <w:b/>
          <w:color w:val="002060"/>
          <w:szCs w:val="20"/>
          <w:lang w:val="sr-Cyrl-CS" w:eastAsia="ja-JP"/>
        </w:rPr>
        <w:t>20</w:t>
      </w:r>
      <w:r w:rsidRPr="00F5596D">
        <w:rPr>
          <w:rFonts w:eastAsia="MS PGothic" w:cstheme="minorHAnsi"/>
          <w:b/>
          <w:color w:val="002060"/>
          <w:szCs w:val="20"/>
          <w:lang w:val="sr-Cyrl-CS" w:eastAsia="ja-JP"/>
        </w:rPr>
        <w:t>. Преглед 5 највећих корисника субвенција из буџета Републике Србије, млрд динара</w:t>
      </w:r>
    </w:p>
    <w:tbl>
      <w:tblPr>
        <w:tblW w:w="9420" w:type="dxa"/>
        <w:tblLook w:val="04A0" w:firstRow="1" w:lastRow="0" w:firstColumn="1" w:lastColumn="0" w:noHBand="0" w:noVBand="1"/>
      </w:tblPr>
      <w:tblGrid>
        <w:gridCol w:w="4000"/>
        <w:gridCol w:w="1060"/>
        <w:gridCol w:w="1420"/>
        <w:gridCol w:w="1520"/>
        <w:gridCol w:w="1420"/>
      </w:tblGrid>
      <w:tr w:rsidR="00330999" w:rsidRPr="00F5596D" w14:paraId="5E89B8A2" w14:textId="77777777" w:rsidTr="00E61B34">
        <w:trPr>
          <w:trHeight w:val="20"/>
        </w:trPr>
        <w:tc>
          <w:tcPr>
            <w:tcW w:w="4000" w:type="dxa"/>
            <w:tcBorders>
              <w:top w:val="single" w:sz="4" w:space="0" w:color="002060"/>
              <w:left w:val="nil"/>
              <w:bottom w:val="single" w:sz="4" w:space="0" w:color="002060"/>
              <w:right w:val="nil"/>
            </w:tcBorders>
            <w:shd w:val="clear" w:color="auto" w:fill="auto"/>
            <w:noWrap/>
            <w:vAlign w:val="center"/>
            <w:hideMark/>
          </w:tcPr>
          <w:p w14:paraId="6C46DB84"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Предузећа</w:t>
            </w:r>
          </w:p>
        </w:tc>
        <w:tc>
          <w:tcPr>
            <w:tcW w:w="1060" w:type="dxa"/>
            <w:tcBorders>
              <w:top w:val="single" w:sz="4" w:space="0" w:color="002060"/>
              <w:left w:val="nil"/>
              <w:bottom w:val="single" w:sz="4" w:space="0" w:color="002060"/>
              <w:right w:val="nil"/>
            </w:tcBorders>
            <w:shd w:val="clear" w:color="auto" w:fill="auto"/>
            <w:noWrap/>
            <w:vAlign w:val="center"/>
            <w:hideMark/>
          </w:tcPr>
          <w:p w14:paraId="756038BB"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2021</w:t>
            </w:r>
          </w:p>
        </w:tc>
        <w:tc>
          <w:tcPr>
            <w:tcW w:w="1420" w:type="dxa"/>
            <w:tcBorders>
              <w:top w:val="single" w:sz="4" w:space="0" w:color="002060"/>
              <w:left w:val="nil"/>
              <w:bottom w:val="single" w:sz="4" w:space="0" w:color="002060"/>
              <w:right w:val="nil"/>
            </w:tcBorders>
            <w:shd w:val="clear" w:color="auto" w:fill="auto"/>
            <w:noWrap/>
            <w:vAlign w:val="center"/>
            <w:hideMark/>
          </w:tcPr>
          <w:p w14:paraId="076D5FCA"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1520" w:type="dxa"/>
            <w:tcBorders>
              <w:top w:val="single" w:sz="4" w:space="0" w:color="002060"/>
              <w:left w:val="nil"/>
              <w:bottom w:val="single" w:sz="4" w:space="0" w:color="002060"/>
              <w:right w:val="nil"/>
            </w:tcBorders>
            <w:shd w:val="clear" w:color="auto" w:fill="auto"/>
            <w:noWrap/>
            <w:vAlign w:val="center"/>
            <w:hideMark/>
          </w:tcPr>
          <w:p w14:paraId="0A00739F"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420" w:type="dxa"/>
            <w:tcBorders>
              <w:top w:val="single" w:sz="4" w:space="0" w:color="002060"/>
              <w:left w:val="nil"/>
              <w:bottom w:val="single" w:sz="4" w:space="0" w:color="002060"/>
              <w:right w:val="nil"/>
            </w:tcBorders>
            <w:shd w:val="clear" w:color="auto" w:fill="auto"/>
            <w:noWrap/>
            <w:vAlign w:val="center"/>
            <w:hideMark/>
          </w:tcPr>
          <w:p w14:paraId="4E6046D2"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r>
      <w:tr w:rsidR="00330999" w:rsidRPr="00F5596D" w14:paraId="5C6B8C05" w14:textId="77777777" w:rsidTr="00E61B34">
        <w:trPr>
          <w:trHeight w:val="20"/>
        </w:trPr>
        <w:tc>
          <w:tcPr>
            <w:tcW w:w="4000" w:type="dxa"/>
            <w:tcBorders>
              <w:top w:val="nil"/>
              <w:left w:val="nil"/>
              <w:bottom w:val="nil"/>
              <w:right w:val="nil"/>
            </w:tcBorders>
            <w:shd w:val="clear" w:color="000000" w:fill="FFFFFF"/>
            <w:noWrap/>
            <w:vAlign w:val="bottom"/>
            <w:hideMark/>
          </w:tcPr>
          <w:p w14:paraId="647D1097"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"Инфраструктура железнице Србије" ад</w:t>
            </w:r>
          </w:p>
        </w:tc>
        <w:tc>
          <w:tcPr>
            <w:tcW w:w="1060" w:type="dxa"/>
            <w:tcBorders>
              <w:top w:val="nil"/>
              <w:left w:val="nil"/>
              <w:bottom w:val="nil"/>
              <w:right w:val="nil"/>
            </w:tcBorders>
            <w:shd w:val="clear" w:color="000000" w:fill="FFFFFF"/>
            <w:noWrap/>
            <w:vAlign w:val="bottom"/>
            <w:hideMark/>
          </w:tcPr>
          <w:p w14:paraId="2CF266B8"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13,8</w:t>
            </w:r>
          </w:p>
        </w:tc>
        <w:tc>
          <w:tcPr>
            <w:tcW w:w="1420" w:type="dxa"/>
            <w:tcBorders>
              <w:top w:val="nil"/>
              <w:left w:val="nil"/>
              <w:bottom w:val="nil"/>
              <w:right w:val="nil"/>
            </w:tcBorders>
            <w:shd w:val="clear" w:color="000000" w:fill="FFFFFF"/>
            <w:noWrap/>
            <w:vAlign w:val="bottom"/>
            <w:hideMark/>
          </w:tcPr>
          <w:p w14:paraId="6A5B6FF7"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12,8</w:t>
            </w:r>
          </w:p>
        </w:tc>
        <w:tc>
          <w:tcPr>
            <w:tcW w:w="1520" w:type="dxa"/>
            <w:tcBorders>
              <w:top w:val="nil"/>
              <w:left w:val="nil"/>
              <w:bottom w:val="nil"/>
              <w:right w:val="nil"/>
            </w:tcBorders>
            <w:shd w:val="clear" w:color="000000" w:fill="FFFFFF"/>
            <w:noWrap/>
            <w:vAlign w:val="bottom"/>
            <w:hideMark/>
          </w:tcPr>
          <w:p w14:paraId="50E34FBD"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17,0</w:t>
            </w:r>
          </w:p>
        </w:tc>
        <w:tc>
          <w:tcPr>
            <w:tcW w:w="1420" w:type="dxa"/>
            <w:tcBorders>
              <w:top w:val="nil"/>
              <w:left w:val="nil"/>
              <w:bottom w:val="nil"/>
              <w:right w:val="nil"/>
            </w:tcBorders>
            <w:shd w:val="clear" w:color="000000" w:fill="FFFFFF"/>
            <w:noWrap/>
            <w:vAlign w:val="bottom"/>
            <w:hideMark/>
          </w:tcPr>
          <w:p w14:paraId="3B76ECE9"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17,3</w:t>
            </w:r>
          </w:p>
        </w:tc>
      </w:tr>
      <w:tr w:rsidR="00330999" w:rsidRPr="00F5596D" w14:paraId="259EEC25" w14:textId="77777777" w:rsidTr="00E61B34">
        <w:trPr>
          <w:trHeight w:val="20"/>
        </w:trPr>
        <w:tc>
          <w:tcPr>
            <w:tcW w:w="4000" w:type="dxa"/>
            <w:tcBorders>
              <w:top w:val="nil"/>
              <w:left w:val="nil"/>
              <w:bottom w:val="nil"/>
              <w:right w:val="nil"/>
            </w:tcBorders>
            <w:shd w:val="clear" w:color="000000" w:fill="FFFFFF"/>
            <w:noWrap/>
            <w:vAlign w:val="bottom"/>
            <w:hideMark/>
          </w:tcPr>
          <w:p w14:paraId="24E792CE"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Јавно предузеће "Путеви Србије"</w:t>
            </w:r>
          </w:p>
        </w:tc>
        <w:tc>
          <w:tcPr>
            <w:tcW w:w="1060" w:type="dxa"/>
            <w:tcBorders>
              <w:top w:val="nil"/>
              <w:left w:val="nil"/>
              <w:bottom w:val="nil"/>
              <w:right w:val="nil"/>
            </w:tcBorders>
            <w:shd w:val="clear" w:color="000000" w:fill="FFFFFF"/>
            <w:noWrap/>
            <w:vAlign w:val="bottom"/>
            <w:hideMark/>
          </w:tcPr>
          <w:p w14:paraId="62F7AD65"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29,2</w:t>
            </w:r>
          </w:p>
        </w:tc>
        <w:tc>
          <w:tcPr>
            <w:tcW w:w="1420" w:type="dxa"/>
            <w:tcBorders>
              <w:top w:val="nil"/>
              <w:left w:val="nil"/>
              <w:bottom w:val="nil"/>
              <w:right w:val="nil"/>
            </w:tcBorders>
            <w:shd w:val="clear" w:color="000000" w:fill="FFFFFF"/>
            <w:noWrap/>
            <w:vAlign w:val="bottom"/>
            <w:hideMark/>
          </w:tcPr>
          <w:p w14:paraId="52C3DD3F"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22,6</w:t>
            </w:r>
          </w:p>
        </w:tc>
        <w:tc>
          <w:tcPr>
            <w:tcW w:w="1520" w:type="dxa"/>
            <w:tcBorders>
              <w:top w:val="nil"/>
              <w:left w:val="nil"/>
              <w:bottom w:val="nil"/>
              <w:right w:val="nil"/>
            </w:tcBorders>
            <w:shd w:val="clear" w:color="000000" w:fill="FFFFFF"/>
            <w:noWrap/>
            <w:vAlign w:val="bottom"/>
            <w:hideMark/>
          </w:tcPr>
          <w:p w14:paraId="3F0BA6C2"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25,0</w:t>
            </w:r>
          </w:p>
        </w:tc>
        <w:tc>
          <w:tcPr>
            <w:tcW w:w="1420" w:type="dxa"/>
            <w:tcBorders>
              <w:top w:val="nil"/>
              <w:left w:val="nil"/>
              <w:bottom w:val="nil"/>
              <w:right w:val="nil"/>
            </w:tcBorders>
            <w:shd w:val="clear" w:color="000000" w:fill="FFFFFF"/>
            <w:noWrap/>
            <w:vAlign w:val="bottom"/>
            <w:hideMark/>
          </w:tcPr>
          <w:p w14:paraId="3D093765"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13,2</w:t>
            </w:r>
          </w:p>
        </w:tc>
      </w:tr>
      <w:tr w:rsidR="00330999" w:rsidRPr="00F5596D" w14:paraId="66CD9D0C" w14:textId="77777777" w:rsidTr="00E61B34">
        <w:trPr>
          <w:trHeight w:val="20"/>
        </w:trPr>
        <w:tc>
          <w:tcPr>
            <w:tcW w:w="4000" w:type="dxa"/>
            <w:tcBorders>
              <w:top w:val="nil"/>
              <w:left w:val="nil"/>
              <w:bottom w:val="nil"/>
              <w:right w:val="nil"/>
            </w:tcBorders>
            <w:shd w:val="clear" w:color="000000" w:fill="FFFFFF"/>
            <w:noWrap/>
            <w:vAlign w:val="bottom"/>
            <w:hideMark/>
          </w:tcPr>
          <w:p w14:paraId="5CD601B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"Електродистрибуција Србије" доо</w:t>
            </w:r>
          </w:p>
        </w:tc>
        <w:tc>
          <w:tcPr>
            <w:tcW w:w="1060" w:type="dxa"/>
            <w:tcBorders>
              <w:top w:val="nil"/>
              <w:left w:val="nil"/>
              <w:bottom w:val="nil"/>
              <w:right w:val="nil"/>
            </w:tcBorders>
            <w:shd w:val="clear" w:color="000000" w:fill="FFFFFF"/>
            <w:noWrap/>
            <w:vAlign w:val="bottom"/>
            <w:hideMark/>
          </w:tcPr>
          <w:p w14:paraId="190D6F47"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0,0</w:t>
            </w:r>
          </w:p>
        </w:tc>
        <w:tc>
          <w:tcPr>
            <w:tcW w:w="1420" w:type="dxa"/>
            <w:tcBorders>
              <w:top w:val="nil"/>
              <w:left w:val="nil"/>
              <w:bottom w:val="nil"/>
              <w:right w:val="nil"/>
            </w:tcBorders>
            <w:shd w:val="clear" w:color="000000" w:fill="FFFFFF"/>
            <w:noWrap/>
            <w:vAlign w:val="bottom"/>
            <w:hideMark/>
          </w:tcPr>
          <w:p w14:paraId="3372B270"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c>
          <w:tcPr>
            <w:tcW w:w="1520" w:type="dxa"/>
            <w:tcBorders>
              <w:top w:val="nil"/>
              <w:left w:val="nil"/>
              <w:bottom w:val="nil"/>
              <w:right w:val="nil"/>
            </w:tcBorders>
            <w:shd w:val="clear" w:color="000000" w:fill="FFFFFF"/>
            <w:noWrap/>
            <w:vAlign w:val="bottom"/>
            <w:hideMark/>
          </w:tcPr>
          <w:p w14:paraId="52343CA4"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3,4</w:t>
            </w:r>
          </w:p>
        </w:tc>
        <w:tc>
          <w:tcPr>
            <w:tcW w:w="1420" w:type="dxa"/>
            <w:tcBorders>
              <w:top w:val="nil"/>
              <w:left w:val="nil"/>
              <w:bottom w:val="nil"/>
              <w:right w:val="nil"/>
            </w:tcBorders>
            <w:shd w:val="clear" w:color="000000" w:fill="FFFFFF"/>
            <w:noWrap/>
            <w:vAlign w:val="bottom"/>
            <w:hideMark/>
          </w:tcPr>
          <w:p w14:paraId="39074422"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12,7</w:t>
            </w:r>
          </w:p>
        </w:tc>
      </w:tr>
      <w:tr w:rsidR="00330999" w:rsidRPr="00F5596D" w14:paraId="0BCDD065" w14:textId="77777777" w:rsidTr="00E61B34">
        <w:trPr>
          <w:trHeight w:val="20"/>
        </w:trPr>
        <w:tc>
          <w:tcPr>
            <w:tcW w:w="4000" w:type="dxa"/>
            <w:tcBorders>
              <w:top w:val="nil"/>
              <w:left w:val="nil"/>
              <w:bottom w:val="nil"/>
              <w:right w:val="nil"/>
            </w:tcBorders>
            <w:shd w:val="clear" w:color="000000" w:fill="FFFFFF"/>
            <w:noWrap/>
            <w:vAlign w:val="bottom"/>
            <w:hideMark/>
          </w:tcPr>
          <w:p w14:paraId="790EC73F"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Јавно предузеће "ПЕУ Ресавица" </w:t>
            </w:r>
          </w:p>
        </w:tc>
        <w:tc>
          <w:tcPr>
            <w:tcW w:w="1060" w:type="dxa"/>
            <w:tcBorders>
              <w:top w:val="nil"/>
              <w:left w:val="nil"/>
              <w:bottom w:val="nil"/>
              <w:right w:val="nil"/>
            </w:tcBorders>
            <w:shd w:val="clear" w:color="000000" w:fill="FFFFFF"/>
            <w:noWrap/>
            <w:vAlign w:val="bottom"/>
            <w:hideMark/>
          </w:tcPr>
          <w:p w14:paraId="46FEBFAF"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8,5</w:t>
            </w:r>
          </w:p>
        </w:tc>
        <w:tc>
          <w:tcPr>
            <w:tcW w:w="1420" w:type="dxa"/>
            <w:tcBorders>
              <w:top w:val="nil"/>
              <w:left w:val="nil"/>
              <w:bottom w:val="nil"/>
              <w:right w:val="nil"/>
            </w:tcBorders>
            <w:shd w:val="clear" w:color="000000" w:fill="FFFFFF"/>
            <w:noWrap/>
            <w:vAlign w:val="bottom"/>
            <w:hideMark/>
          </w:tcPr>
          <w:p w14:paraId="360C89E5"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4,8</w:t>
            </w:r>
          </w:p>
        </w:tc>
        <w:tc>
          <w:tcPr>
            <w:tcW w:w="1520" w:type="dxa"/>
            <w:tcBorders>
              <w:top w:val="nil"/>
              <w:left w:val="nil"/>
              <w:bottom w:val="nil"/>
              <w:right w:val="nil"/>
            </w:tcBorders>
            <w:shd w:val="clear" w:color="000000" w:fill="FFFFFF"/>
            <w:noWrap/>
            <w:vAlign w:val="bottom"/>
            <w:hideMark/>
          </w:tcPr>
          <w:p w14:paraId="1A12F08F"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5,5</w:t>
            </w:r>
          </w:p>
        </w:tc>
        <w:tc>
          <w:tcPr>
            <w:tcW w:w="1420" w:type="dxa"/>
            <w:tcBorders>
              <w:top w:val="nil"/>
              <w:left w:val="nil"/>
              <w:bottom w:val="nil"/>
              <w:right w:val="nil"/>
            </w:tcBorders>
            <w:shd w:val="clear" w:color="000000" w:fill="FFFFFF"/>
            <w:noWrap/>
            <w:vAlign w:val="bottom"/>
            <w:hideMark/>
          </w:tcPr>
          <w:p w14:paraId="63A353AC"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5,5</w:t>
            </w:r>
          </w:p>
        </w:tc>
      </w:tr>
      <w:tr w:rsidR="00330999" w:rsidRPr="00F5596D" w14:paraId="58ABCC56" w14:textId="77777777" w:rsidTr="00E61B34">
        <w:trPr>
          <w:trHeight w:val="20"/>
        </w:trPr>
        <w:tc>
          <w:tcPr>
            <w:tcW w:w="4000" w:type="dxa"/>
            <w:tcBorders>
              <w:top w:val="nil"/>
              <w:left w:val="nil"/>
              <w:bottom w:val="nil"/>
              <w:right w:val="nil"/>
            </w:tcBorders>
            <w:shd w:val="clear" w:color="000000" w:fill="FFFFFF"/>
            <w:noWrap/>
            <w:vAlign w:val="bottom"/>
            <w:hideMark/>
          </w:tcPr>
          <w:p w14:paraId="71C05D2C"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"Србијавоз" ад</w:t>
            </w:r>
          </w:p>
        </w:tc>
        <w:tc>
          <w:tcPr>
            <w:tcW w:w="1060" w:type="dxa"/>
            <w:tcBorders>
              <w:top w:val="nil"/>
              <w:left w:val="nil"/>
              <w:bottom w:val="nil"/>
              <w:right w:val="nil"/>
            </w:tcBorders>
            <w:shd w:val="clear" w:color="000000" w:fill="FFFFFF"/>
            <w:noWrap/>
            <w:vAlign w:val="bottom"/>
            <w:hideMark/>
          </w:tcPr>
          <w:p w14:paraId="7BC360CF"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3,8</w:t>
            </w:r>
          </w:p>
        </w:tc>
        <w:tc>
          <w:tcPr>
            <w:tcW w:w="1420" w:type="dxa"/>
            <w:tcBorders>
              <w:top w:val="nil"/>
              <w:left w:val="nil"/>
              <w:bottom w:val="nil"/>
              <w:right w:val="nil"/>
            </w:tcBorders>
            <w:shd w:val="clear" w:color="000000" w:fill="FFFFFF"/>
            <w:noWrap/>
            <w:vAlign w:val="bottom"/>
            <w:hideMark/>
          </w:tcPr>
          <w:p w14:paraId="1165E0E9"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4,4</w:t>
            </w:r>
          </w:p>
        </w:tc>
        <w:tc>
          <w:tcPr>
            <w:tcW w:w="1520" w:type="dxa"/>
            <w:tcBorders>
              <w:top w:val="nil"/>
              <w:left w:val="nil"/>
              <w:bottom w:val="nil"/>
              <w:right w:val="nil"/>
            </w:tcBorders>
            <w:shd w:val="clear" w:color="000000" w:fill="FFFFFF"/>
            <w:noWrap/>
            <w:vAlign w:val="bottom"/>
            <w:hideMark/>
          </w:tcPr>
          <w:p w14:paraId="0C71F9EE"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5,1</w:t>
            </w:r>
          </w:p>
        </w:tc>
        <w:tc>
          <w:tcPr>
            <w:tcW w:w="1420" w:type="dxa"/>
            <w:tcBorders>
              <w:top w:val="nil"/>
              <w:left w:val="nil"/>
              <w:bottom w:val="nil"/>
              <w:right w:val="nil"/>
            </w:tcBorders>
            <w:shd w:val="clear" w:color="000000" w:fill="FFFFFF"/>
            <w:noWrap/>
            <w:vAlign w:val="bottom"/>
            <w:hideMark/>
          </w:tcPr>
          <w:p w14:paraId="0B8DC42E"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5,3</w:t>
            </w:r>
          </w:p>
        </w:tc>
      </w:tr>
      <w:tr w:rsidR="00330999" w:rsidRPr="00F5596D" w14:paraId="12274D07" w14:textId="77777777" w:rsidTr="00E61B34">
        <w:trPr>
          <w:trHeight w:val="20"/>
        </w:trPr>
        <w:tc>
          <w:tcPr>
            <w:tcW w:w="4000" w:type="dxa"/>
            <w:tcBorders>
              <w:top w:val="nil"/>
              <w:left w:val="nil"/>
              <w:bottom w:val="nil"/>
              <w:right w:val="nil"/>
            </w:tcBorders>
            <w:shd w:val="clear" w:color="000000" w:fill="FFFFFF"/>
            <w:noWrap/>
            <w:vAlign w:val="bottom"/>
            <w:hideMark/>
          </w:tcPr>
          <w:p w14:paraId="51CADEDA"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Остала ЈП</w:t>
            </w:r>
          </w:p>
        </w:tc>
        <w:tc>
          <w:tcPr>
            <w:tcW w:w="1060" w:type="dxa"/>
            <w:tcBorders>
              <w:top w:val="nil"/>
              <w:left w:val="nil"/>
              <w:bottom w:val="nil"/>
              <w:right w:val="nil"/>
            </w:tcBorders>
            <w:shd w:val="clear" w:color="000000" w:fill="FFFFFF"/>
            <w:noWrap/>
            <w:vAlign w:val="bottom"/>
            <w:hideMark/>
          </w:tcPr>
          <w:p w14:paraId="6ED42257"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12,0</w:t>
            </w:r>
          </w:p>
        </w:tc>
        <w:tc>
          <w:tcPr>
            <w:tcW w:w="1420" w:type="dxa"/>
            <w:tcBorders>
              <w:top w:val="nil"/>
              <w:left w:val="nil"/>
              <w:bottom w:val="nil"/>
              <w:right w:val="nil"/>
            </w:tcBorders>
            <w:shd w:val="clear" w:color="000000" w:fill="FFFFFF"/>
            <w:noWrap/>
            <w:vAlign w:val="bottom"/>
            <w:hideMark/>
          </w:tcPr>
          <w:p w14:paraId="5B3658F1"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11,3</w:t>
            </w:r>
          </w:p>
        </w:tc>
        <w:tc>
          <w:tcPr>
            <w:tcW w:w="1520" w:type="dxa"/>
            <w:tcBorders>
              <w:top w:val="nil"/>
              <w:left w:val="nil"/>
              <w:bottom w:val="nil"/>
              <w:right w:val="nil"/>
            </w:tcBorders>
            <w:shd w:val="clear" w:color="000000" w:fill="FFFFFF"/>
            <w:noWrap/>
            <w:vAlign w:val="bottom"/>
            <w:hideMark/>
          </w:tcPr>
          <w:p w14:paraId="4EFF00C6"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11,9</w:t>
            </w:r>
          </w:p>
        </w:tc>
        <w:tc>
          <w:tcPr>
            <w:tcW w:w="1420" w:type="dxa"/>
            <w:tcBorders>
              <w:top w:val="nil"/>
              <w:left w:val="nil"/>
              <w:bottom w:val="nil"/>
              <w:right w:val="nil"/>
            </w:tcBorders>
            <w:shd w:val="clear" w:color="auto" w:fill="auto"/>
            <w:noWrap/>
            <w:vAlign w:val="bottom"/>
            <w:hideMark/>
          </w:tcPr>
          <w:p w14:paraId="27CD8300" w14:textId="77777777" w:rsidR="00330999" w:rsidRPr="00F5596D" w:rsidRDefault="00330999" w:rsidP="00E61B34">
            <w:pPr>
              <w:spacing w:after="0" w:line="240" w:lineRule="auto"/>
              <w:jc w:val="righ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8,2</w:t>
            </w:r>
          </w:p>
        </w:tc>
      </w:tr>
      <w:tr w:rsidR="00330999" w:rsidRPr="00F5596D" w14:paraId="2052D349" w14:textId="77777777" w:rsidTr="00E61B34">
        <w:trPr>
          <w:trHeight w:val="20"/>
        </w:trPr>
        <w:tc>
          <w:tcPr>
            <w:tcW w:w="4000" w:type="dxa"/>
            <w:tcBorders>
              <w:top w:val="single" w:sz="4" w:space="0" w:color="002060"/>
              <w:left w:val="nil"/>
              <w:bottom w:val="single" w:sz="4" w:space="0" w:color="002060"/>
              <w:right w:val="nil"/>
            </w:tcBorders>
            <w:shd w:val="clear" w:color="auto" w:fill="auto"/>
            <w:noWrap/>
            <w:vAlign w:val="center"/>
            <w:hideMark/>
          </w:tcPr>
          <w:p w14:paraId="08C2B799"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Укупно исплаћене субвенције:</w:t>
            </w:r>
          </w:p>
        </w:tc>
        <w:tc>
          <w:tcPr>
            <w:tcW w:w="1060" w:type="dxa"/>
            <w:tcBorders>
              <w:top w:val="single" w:sz="4" w:space="0" w:color="002060"/>
              <w:left w:val="nil"/>
              <w:bottom w:val="single" w:sz="4" w:space="0" w:color="002060"/>
              <w:right w:val="nil"/>
            </w:tcBorders>
            <w:shd w:val="clear" w:color="auto" w:fill="auto"/>
            <w:noWrap/>
            <w:vAlign w:val="center"/>
            <w:hideMark/>
          </w:tcPr>
          <w:p w14:paraId="310A28F2"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67,2</w:t>
            </w:r>
          </w:p>
        </w:tc>
        <w:tc>
          <w:tcPr>
            <w:tcW w:w="1420" w:type="dxa"/>
            <w:tcBorders>
              <w:top w:val="single" w:sz="4" w:space="0" w:color="002060"/>
              <w:left w:val="nil"/>
              <w:bottom w:val="single" w:sz="4" w:space="0" w:color="002060"/>
              <w:right w:val="nil"/>
            </w:tcBorders>
            <w:shd w:val="clear" w:color="auto" w:fill="auto"/>
            <w:noWrap/>
            <w:vAlign w:val="center"/>
            <w:hideMark/>
          </w:tcPr>
          <w:p w14:paraId="6DD1A6E0"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56,0</w:t>
            </w:r>
          </w:p>
        </w:tc>
        <w:tc>
          <w:tcPr>
            <w:tcW w:w="1520" w:type="dxa"/>
            <w:tcBorders>
              <w:top w:val="single" w:sz="4" w:space="0" w:color="002060"/>
              <w:left w:val="nil"/>
              <w:bottom w:val="single" w:sz="4" w:space="0" w:color="002060"/>
              <w:right w:val="nil"/>
            </w:tcBorders>
            <w:shd w:val="clear" w:color="auto" w:fill="auto"/>
            <w:noWrap/>
            <w:vAlign w:val="center"/>
            <w:hideMark/>
          </w:tcPr>
          <w:p w14:paraId="1EFBCCD9"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67,9</w:t>
            </w:r>
          </w:p>
        </w:tc>
        <w:tc>
          <w:tcPr>
            <w:tcW w:w="1420" w:type="dxa"/>
            <w:tcBorders>
              <w:top w:val="single" w:sz="4" w:space="0" w:color="002060"/>
              <w:left w:val="nil"/>
              <w:bottom w:val="single" w:sz="4" w:space="0" w:color="002060"/>
              <w:right w:val="nil"/>
            </w:tcBorders>
            <w:shd w:val="clear" w:color="auto" w:fill="auto"/>
            <w:noWrap/>
            <w:vAlign w:val="center"/>
            <w:hideMark/>
          </w:tcPr>
          <w:p w14:paraId="3CEE62D8" w14:textId="77777777" w:rsidR="00330999" w:rsidRPr="00F5596D" w:rsidRDefault="00330999" w:rsidP="00E61B34">
            <w:pPr>
              <w:spacing w:after="0" w:line="240" w:lineRule="auto"/>
              <w:jc w:val="righ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62,3</w:t>
            </w:r>
          </w:p>
        </w:tc>
      </w:tr>
    </w:tbl>
    <w:p w14:paraId="248050B1"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Министарство финансија</w:t>
      </w:r>
    </w:p>
    <w:p w14:paraId="69A4607A" w14:textId="77777777" w:rsidR="00330999" w:rsidRPr="00F5596D" w:rsidRDefault="00330999" w:rsidP="00330999">
      <w:pPr>
        <w:spacing w:after="0" w:line="276" w:lineRule="auto"/>
        <w:rPr>
          <w:rFonts w:eastAsia="MS PGothic" w:cstheme="minorHAnsi"/>
          <w:sz w:val="16"/>
          <w:szCs w:val="16"/>
          <w:highlight w:val="yellow"/>
          <w:lang w:val="sr-Cyrl-CS" w:eastAsia="ja-JP"/>
        </w:rPr>
      </w:pPr>
    </w:p>
    <w:p w14:paraId="621621C7" w14:textId="14847BFD" w:rsidR="00330999" w:rsidRPr="00F5596D" w:rsidRDefault="00330999" w:rsidP="00330999">
      <w:pPr>
        <w:spacing w:after="0" w:line="276" w:lineRule="auto"/>
        <w:rPr>
          <w:rFonts w:eastAsia="MS PGothic" w:cstheme="minorHAnsi"/>
          <w:sz w:val="16"/>
          <w:szCs w:val="16"/>
          <w:lang w:val="sr-Cyrl-CS" w:eastAsia="ja-JP"/>
        </w:rPr>
      </w:pPr>
    </w:p>
    <w:p w14:paraId="3995572D" w14:textId="77777777" w:rsidR="003E3E4A" w:rsidRPr="00F5596D" w:rsidRDefault="003E3E4A" w:rsidP="00330999">
      <w:pPr>
        <w:spacing w:after="0" w:line="276" w:lineRule="auto"/>
        <w:rPr>
          <w:rFonts w:eastAsia="MS PGothic" w:cstheme="minorHAnsi"/>
          <w:sz w:val="16"/>
          <w:szCs w:val="16"/>
          <w:lang w:val="sr-Cyrl-CS" w:eastAsia="ja-JP"/>
        </w:rPr>
        <w:sectPr w:rsidR="003E3E4A" w:rsidRPr="00F5596D" w:rsidSect="00E61B34">
          <w:type w:val="continuous"/>
          <w:pgSz w:w="12240" w:h="15840"/>
          <w:pgMar w:top="1440" w:right="1440" w:bottom="1440" w:left="1440" w:header="720" w:footer="720" w:gutter="0"/>
          <w:cols w:space="720"/>
          <w:docGrid w:linePitch="360"/>
        </w:sectPr>
      </w:pPr>
    </w:p>
    <w:p w14:paraId="061AB9FF" w14:textId="2185CB11" w:rsidR="00330999" w:rsidRPr="00F5596D" w:rsidRDefault="00330999" w:rsidP="00330999">
      <w:pPr>
        <w:spacing w:after="280" w:line="276" w:lineRule="auto"/>
        <w:rPr>
          <w:rFonts w:eastAsia="MS PGothic" w:cstheme="minorHAnsi"/>
          <w:szCs w:val="20"/>
          <w:lang w:val="sr-Cyrl-CS" w:eastAsia="ja-JP"/>
        </w:rPr>
      </w:pPr>
      <w:r w:rsidRPr="00F5596D">
        <w:rPr>
          <w:rFonts w:eastAsia="MS PGothic" w:cstheme="minorHAnsi"/>
          <w:szCs w:val="20"/>
          <w:lang w:val="sr-Cyrl-CS" w:eastAsia="ja-JP"/>
        </w:rPr>
        <w:t xml:space="preserve">Највећи корисник субвенција, у наведеном периоду, је </w:t>
      </w:r>
      <w:r w:rsidRPr="00F5596D">
        <w:rPr>
          <w:lang w:val="sr-Cyrl-CS"/>
        </w:rPr>
        <w:t>„Инфраструктура железнице Србије“ ад</w:t>
      </w:r>
      <w:r w:rsidRPr="00F5596D">
        <w:rPr>
          <w:rFonts w:eastAsia="MS PGothic" w:cstheme="minorHAnsi"/>
          <w:szCs w:val="20"/>
          <w:lang w:val="sr-Cyrl-CS" w:eastAsia="ja-JP"/>
        </w:rPr>
        <w:t>, чије су субвенције, пре свега, у функцији управљања инфраструктуром. У 2024. години субвенције исплаћене државним предузећима износиле су 62,3 млрд динара. Учешће субвенција у укупно оствареним приходима 36 државних предузећа износило је</w:t>
      </w:r>
      <w:r w:rsidR="001055A6" w:rsidRPr="00F5596D">
        <w:rPr>
          <w:rFonts w:eastAsia="MS PGothic" w:cstheme="minorHAnsi"/>
          <w:szCs w:val="20"/>
          <w:lang w:val="sr-Cyrl-CS" w:eastAsia="ja-JP"/>
        </w:rPr>
        <w:t xml:space="preserve"> 6,2%</w:t>
      </w:r>
      <w:r w:rsidRPr="00F5596D">
        <w:rPr>
          <w:rFonts w:eastAsia="MS PGothic" w:cstheme="minorHAnsi"/>
          <w:szCs w:val="20"/>
          <w:lang w:val="sr-Cyrl-CS" w:eastAsia="ja-JP"/>
        </w:rPr>
        <w:t xml:space="preserve">. Исплаћене субвенције за 5 највећих корисника имају учешће 86,9% у укупно исплаћеним субвенцијама. </w:t>
      </w:r>
    </w:p>
    <w:p w14:paraId="4A5E11ED" w14:textId="5F510737" w:rsidR="00330999" w:rsidRPr="00F5596D" w:rsidRDefault="00330999" w:rsidP="00330999">
      <w:pPr>
        <w:spacing w:after="80"/>
        <w:rPr>
          <w:lang w:val="sr-Cyrl-CS"/>
        </w:rPr>
      </w:pPr>
      <w:r w:rsidRPr="00F5596D">
        <w:rPr>
          <w:lang w:val="sr-Cyrl-CS"/>
        </w:rPr>
        <w:t>Поред компаније „Инфраструктура железнице Србије“ ад, највећи корисници субвенција су ЈП „Путеви Србије“ које средства примарно користи за редовно и ванредно одржавање путева, затим ЈП ПЕУ „Ресавица“ и „Србијавоз“ ад. Поред ових корисника, у 2024. години издвојена су значајна средства и за подршку предузећу „Електродистрибуција Србије“ доо за пројекте замене мерних уређаја, уградњу паметних бројила, набавку дистрибутивних и енергетских трансформатора, а што је део напора за јачање енергетске стабилности и унапређење инфраструктурних капацитета државе.</w:t>
      </w:r>
    </w:p>
    <w:p w14:paraId="15E283F9" w14:textId="77777777" w:rsidR="00330999" w:rsidRPr="00F5596D" w:rsidRDefault="00330999" w:rsidP="00330999">
      <w:pPr>
        <w:spacing w:after="80"/>
        <w:rPr>
          <w:rFonts w:eastAsia="MS PGothic" w:cstheme="minorHAnsi"/>
          <w:b/>
          <w:color w:val="002060"/>
          <w:szCs w:val="20"/>
          <w:lang w:val="sr-Cyrl-CS" w:eastAsia="ja-JP"/>
        </w:rPr>
        <w:sectPr w:rsidR="00330999" w:rsidRPr="00F5596D" w:rsidSect="00E61B34">
          <w:type w:val="continuous"/>
          <w:pgSz w:w="12240" w:h="15840"/>
          <w:pgMar w:top="1440" w:right="1440" w:bottom="1440" w:left="1440" w:header="720" w:footer="720" w:gutter="0"/>
          <w:cols w:num="2" w:space="720"/>
          <w:docGrid w:linePitch="360"/>
        </w:sectPr>
      </w:pPr>
    </w:p>
    <w:p w14:paraId="5BE96366" w14:textId="77777777" w:rsidR="004F4BC8" w:rsidRPr="00F5596D" w:rsidRDefault="004F4BC8" w:rsidP="00330999">
      <w:pPr>
        <w:spacing w:after="80"/>
        <w:jc w:val="center"/>
        <w:rPr>
          <w:rFonts w:eastAsia="MS PGothic" w:cstheme="minorHAnsi"/>
          <w:b/>
          <w:color w:val="002060"/>
          <w:szCs w:val="20"/>
          <w:lang w:val="sr-Cyrl-CS" w:eastAsia="ja-JP"/>
        </w:rPr>
      </w:pPr>
    </w:p>
    <w:p w14:paraId="7284BC9A" w14:textId="77777777" w:rsidR="004F4BC8" w:rsidRPr="00F5596D" w:rsidRDefault="004F4BC8" w:rsidP="00330999">
      <w:pPr>
        <w:spacing w:after="80"/>
        <w:jc w:val="center"/>
        <w:rPr>
          <w:rFonts w:eastAsia="MS PGothic" w:cstheme="minorHAnsi"/>
          <w:b/>
          <w:color w:val="002060"/>
          <w:szCs w:val="20"/>
          <w:lang w:val="sr-Cyrl-CS" w:eastAsia="ja-JP"/>
        </w:rPr>
      </w:pPr>
    </w:p>
    <w:p w14:paraId="279F5E86" w14:textId="77777777" w:rsidR="00EA4C28" w:rsidRPr="00F5596D" w:rsidRDefault="00EA4C28" w:rsidP="00330999">
      <w:pPr>
        <w:spacing w:after="80"/>
        <w:jc w:val="center"/>
        <w:rPr>
          <w:rFonts w:eastAsia="MS PGothic" w:cstheme="minorHAnsi"/>
          <w:b/>
          <w:color w:val="002060"/>
          <w:szCs w:val="20"/>
          <w:lang w:val="sr-Cyrl-CS" w:eastAsia="ja-JP"/>
        </w:rPr>
      </w:pPr>
    </w:p>
    <w:p w14:paraId="32FBF961" w14:textId="77777777" w:rsidR="00EA4C28" w:rsidRPr="00F5596D" w:rsidRDefault="00EA4C28" w:rsidP="00330999">
      <w:pPr>
        <w:spacing w:after="80"/>
        <w:jc w:val="center"/>
        <w:rPr>
          <w:rFonts w:eastAsia="MS PGothic" w:cstheme="minorHAnsi"/>
          <w:b/>
          <w:color w:val="002060"/>
          <w:szCs w:val="20"/>
          <w:lang w:val="sr-Cyrl-CS" w:eastAsia="ja-JP"/>
        </w:rPr>
      </w:pPr>
    </w:p>
    <w:p w14:paraId="2B18069C" w14:textId="77777777" w:rsidR="00EA4C28" w:rsidRPr="00F5596D" w:rsidRDefault="00EA4C28" w:rsidP="00330999">
      <w:pPr>
        <w:spacing w:after="80"/>
        <w:jc w:val="center"/>
        <w:rPr>
          <w:rFonts w:eastAsia="MS PGothic" w:cstheme="minorHAnsi"/>
          <w:b/>
          <w:color w:val="002060"/>
          <w:szCs w:val="20"/>
          <w:lang w:val="sr-Cyrl-CS" w:eastAsia="ja-JP"/>
        </w:rPr>
      </w:pPr>
    </w:p>
    <w:p w14:paraId="2DED96E3" w14:textId="159909C2" w:rsidR="00330999" w:rsidRPr="00F5596D" w:rsidRDefault="00330999" w:rsidP="00330999">
      <w:pPr>
        <w:spacing w:after="8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2</w:t>
      </w:r>
      <w:r w:rsidR="00F14A11" w:rsidRPr="00F5596D">
        <w:rPr>
          <w:rFonts w:eastAsia="MS PGothic" w:cstheme="minorHAnsi"/>
          <w:b/>
          <w:color w:val="002060"/>
          <w:szCs w:val="20"/>
          <w:lang w:val="sr-Cyrl-CS" w:eastAsia="ja-JP"/>
        </w:rPr>
        <w:t>1</w:t>
      </w:r>
      <w:r w:rsidRPr="00F5596D">
        <w:rPr>
          <w:rFonts w:eastAsia="MS PGothic" w:cstheme="minorHAnsi"/>
          <w:b/>
          <w:color w:val="002060"/>
          <w:szCs w:val="20"/>
          <w:lang w:val="sr-Cyrl-CS" w:eastAsia="ja-JP"/>
        </w:rPr>
        <w:t xml:space="preserve">. Државна предузећа која су остварила нето добит у периоду 1.1–31.3.2025. године, </w:t>
      </w:r>
      <w:r w:rsidRPr="00F5596D">
        <w:rPr>
          <w:rFonts w:eastAsia="MS PGothic" w:cstheme="minorHAnsi"/>
          <w:b/>
          <w:color w:val="002060"/>
          <w:szCs w:val="20"/>
          <w:lang w:val="sr-Cyrl-CS" w:eastAsia="ja-JP"/>
        </w:rPr>
        <w:br w:type="textWrapping" w:clear="all"/>
        <w:t>у млн динара</w:t>
      </w:r>
    </w:p>
    <w:tbl>
      <w:tblPr>
        <w:tblW w:w="8346" w:type="dxa"/>
        <w:jc w:val="center"/>
        <w:tblLook w:val="04A0" w:firstRow="1" w:lastRow="0" w:firstColumn="1" w:lastColumn="0" w:noHBand="0" w:noVBand="1"/>
      </w:tblPr>
      <w:tblGrid>
        <w:gridCol w:w="3412"/>
        <w:gridCol w:w="1188"/>
        <w:gridCol w:w="1188"/>
        <w:gridCol w:w="1263"/>
        <w:gridCol w:w="1295"/>
      </w:tblGrid>
      <w:tr w:rsidR="00E760A9" w:rsidRPr="00F5596D" w14:paraId="25AA35A7" w14:textId="77777777" w:rsidTr="00E760A9">
        <w:trPr>
          <w:trHeight w:val="20"/>
          <w:tblHeader/>
          <w:jc w:val="center"/>
        </w:trPr>
        <w:tc>
          <w:tcPr>
            <w:tcW w:w="3412" w:type="dxa"/>
            <w:tcBorders>
              <w:top w:val="single" w:sz="4" w:space="0" w:color="002060"/>
              <w:left w:val="nil"/>
              <w:bottom w:val="single" w:sz="4" w:space="0" w:color="002060"/>
              <w:right w:val="nil"/>
            </w:tcBorders>
            <w:shd w:val="clear" w:color="auto" w:fill="auto"/>
            <w:vAlign w:val="center"/>
            <w:hideMark/>
          </w:tcPr>
          <w:p w14:paraId="1C2002C5"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Предузећа</w:t>
            </w:r>
          </w:p>
        </w:tc>
        <w:tc>
          <w:tcPr>
            <w:tcW w:w="1188" w:type="dxa"/>
            <w:tcBorders>
              <w:top w:val="single" w:sz="4" w:space="0" w:color="002060"/>
              <w:left w:val="nil"/>
              <w:bottom w:val="single" w:sz="4" w:space="0" w:color="002060"/>
              <w:right w:val="nil"/>
            </w:tcBorders>
            <w:shd w:val="clear" w:color="auto" w:fill="auto"/>
            <w:vAlign w:val="center"/>
            <w:hideMark/>
          </w:tcPr>
          <w:p w14:paraId="13170DDF"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Реализација </w:t>
            </w:r>
            <w:r w:rsidRPr="00F5596D">
              <w:rPr>
                <w:rFonts w:ascii="Calibri" w:eastAsia="Times New Roman" w:hAnsi="Calibri" w:cs="Calibri"/>
                <w:b/>
                <w:bCs/>
                <w:color w:val="002060"/>
                <w:sz w:val="18"/>
                <w:szCs w:val="18"/>
                <w:lang w:val="sr-Cyrl-CS" w:eastAsia="sr-Cyrl-RS"/>
              </w:rPr>
              <w:br/>
              <w:t>2023</w:t>
            </w:r>
          </w:p>
        </w:tc>
        <w:tc>
          <w:tcPr>
            <w:tcW w:w="1188" w:type="dxa"/>
            <w:tcBorders>
              <w:top w:val="single" w:sz="4" w:space="0" w:color="002060"/>
              <w:left w:val="nil"/>
              <w:bottom w:val="single" w:sz="4" w:space="0" w:color="002060"/>
              <w:right w:val="nil"/>
            </w:tcBorders>
            <w:shd w:val="clear" w:color="auto" w:fill="auto"/>
            <w:vAlign w:val="center"/>
            <w:hideMark/>
          </w:tcPr>
          <w:p w14:paraId="767BD05E"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Реализација </w:t>
            </w:r>
            <w:r w:rsidRPr="00F5596D">
              <w:rPr>
                <w:rFonts w:ascii="Calibri" w:eastAsia="Times New Roman" w:hAnsi="Calibri" w:cs="Calibri"/>
                <w:b/>
                <w:bCs/>
                <w:color w:val="002060"/>
                <w:sz w:val="18"/>
                <w:szCs w:val="18"/>
                <w:lang w:val="sr-Cyrl-CS" w:eastAsia="sr-Cyrl-RS"/>
              </w:rPr>
              <w:br/>
              <w:t>2024</w:t>
            </w:r>
          </w:p>
        </w:tc>
        <w:tc>
          <w:tcPr>
            <w:tcW w:w="1263" w:type="dxa"/>
            <w:tcBorders>
              <w:top w:val="single" w:sz="4" w:space="0" w:color="002060"/>
              <w:left w:val="nil"/>
              <w:bottom w:val="single" w:sz="4" w:space="0" w:color="002060"/>
              <w:right w:val="nil"/>
            </w:tcBorders>
            <w:shd w:val="clear" w:color="auto" w:fill="auto"/>
            <w:vAlign w:val="center"/>
            <w:hideMark/>
          </w:tcPr>
          <w:p w14:paraId="06F5945F"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План                                                                                                                                                                                                                                                                                                                                                   01.01 - 31.03.2025.</w:t>
            </w:r>
          </w:p>
        </w:tc>
        <w:tc>
          <w:tcPr>
            <w:tcW w:w="1295" w:type="dxa"/>
            <w:tcBorders>
              <w:top w:val="single" w:sz="4" w:space="0" w:color="002060"/>
              <w:left w:val="nil"/>
              <w:bottom w:val="single" w:sz="4" w:space="0" w:color="002060"/>
              <w:right w:val="nil"/>
            </w:tcBorders>
            <w:shd w:val="clear" w:color="auto" w:fill="auto"/>
            <w:vAlign w:val="center"/>
            <w:hideMark/>
          </w:tcPr>
          <w:p w14:paraId="1649BB7C"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Реализација                                                                                                                                                                                                                                                                                                                                              01.01  - 31.03.2025.</w:t>
            </w:r>
          </w:p>
        </w:tc>
      </w:tr>
      <w:tr w:rsidR="00E760A9" w:rsidRPr="00F5596D" w14:paraId="4226908C"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0DD90497"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"Електропривреда Србије" ад</w:t>
            </w:r>
          </w:p>
        </w:tc>
        <w:tc>
          <w:tcPr>
            <w:tcW w:w="1188" w:type="dxa"/>
            <w:tcBorders>
              <w:top w:val="nil"/>
              <w:left w:val="nil"/>
              <w:bottom w:val="nil"/>
              <w:right w:val="nil"/>
            </w:tcBorders>
            <w:shd w:val="clear" w:color="000000" w:fill="FFFFFF"/>
            <w:noWrap/>
            <w:vAlign w:val="center"/>
            <w:hideMark/>
          </w:tcPr>
          <w:p w14:paraId="5991BBD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112.446,8 </w:t>
            </w:r>
          </w:p>
        </w:tc>
        <w:tc>
          <w:tcPr>
            <w:tcW w:w="1188" w:type="dxa"/>
            <w:tcBorders>
              <w:top w:val="nil"/>
              <w:left w:val="nil"/>
              <w:bottom w:val="nil"/>
              <w:right w:val="nil"/>
            </w:tcBorders>
            <w:shd w:val="clear" w:color="auto" w:fill="auto"/>
            <w:noWrap/>
            <w:vAlign w:val="center"/>
            <w:hideMark/>
          </w:tcPr>
          <w:p w14:paraId="46DF2C26" w14:textId="3E707145" w:rsidR="00E760A9" w:rsidRPr="00F5596D" w:rsidRDefault="0087666C"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24.431,1</w:t>
            </w:r>
            <w:r w:rsidR="00E760A9" w:rsidRPr="00F5596D">
              <w:rPr>
                <w:rFonts w:ascii="Calibri" w:eastAsia="Times New Roman" w:hAnsi="Calibri" w:cs="Calibri"/>
                <w:color w:val="002060"/>
                <w:sz w:val="18"/>
                <w:szCs w:val="18"/>
                <w:lang w:val="sr-Cyrl-CS" w:eastAsia="sr-Cyrl-RS"/>
              </w:rPr>
              <w:t xml:space="preserve"> </w:t>
            </w:r>
          </w:p>
        </w:tc>
        <w:tc>
          <w:tcPr>
            <w:tcW w:w="1263" w:type="dxa"/>
            <w:tcBorders>
              <w:top w:val="nil"/>
              <w:left w:val="nil"/>
              <w:bottom w:val="nil"/>
              <w:right w:val="nil"/>
            </w:tcBorders>
            <w:shd w:val="clear" w:color="auto" w:fill="auto"/>
            <w:noWrap/>
            <w:vAlign w:val="center"/>
            <w:hideMark/>
          </w:tcPr>
          <w:p w14:paraId="7AAD84D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7.252,9 </w:t>
            </w:r>
          </w:p>
        </w:tc>
        <w:tc>
          <w:tcPr>
            <w:tcW w:w="1295" w:type="dxa"/>
            <w:tcBorders>
              <w:top w:val="nil"/>
              <w:left w:val="nil"/>
              <w:bottom w:val="nil"/>
              <w:right w:val="nil"/>
            </w:tcBorders>
            <w:shd w:val="clear" w:color="auto" w:fill="auto"/>
            <w:noWrap/>
            <w:vAlign w:val="center"/>
            <w:hideMark/>
          </w:tcPr>
          <w:p w14:paraId="6DCF3B6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10.816,0 </w:t>
            </w:r>
          </w:p>
        </w:tc>
      </w:tr>
      <w:tr w:rsidR="00E760A9" w:rsidRPr="00F5596D" w14:paraId="6110D77A"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5C841244"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"Србијагас"</w:t>
            </w:r>
          </w:p>
        </w:tc>
        <w:tc>
          <w:tcPr>
            <w:tcW w:w="1188" w:type="dxa"/>
            <w:tcBorders>
              <w:top w:val="nil"/>
              <w:left w:val="nil"/>
              <w:bottom w:val="nil"/>
              <w:right w:val="nil"/>
            </w:tcBorders>
            <w:shd w:val="clear" w:color="000000" w:fill="FFFFFF"/>
            <w:noWrap/>
            <w:vAlign w:val="center"/>
            <w:hideMark/>
          </w:tcPr>
          <w:p w14:paraId="51BD988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12.029,8 </w:t>
            </w:r>
          </w:p>
        </w:tc>
        <w:tc>
          <w:tcPr>
            <w:tcW w:w="1188" w:type="dxa"/>
            <w:tcBorders>
              <w:top w:val="nil"/>
              <w:left w:val="nil"/>
              <w:bottom w:val="nil"/>
              <w:right w:val="nil"/>
            </w:tcBorders>
            <w:shd w:val="clear" w:color="auto" w:fill="auto"/>
            <w:noWrap/>
            <w:vAlign w:val="center"/>
            <w:hideMark/>
          </w:tcPr>
          <w:p w14:paraId="7190C35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8.373,9 </w:t>
            </w:r>
          </w:p>
        </w:tc>
        <w:tc>
          <w:tcPr>
            <w:tcW w:w="1263" w:type="dxa"/>
            <w:tcBorders>
              <w:top w:val="nil"/>
              <w:left w:val="nil"/>
              <w:bottom w:val="nil"/>
              <w:right w:val="nil"/>
            </w:tcBorders>
            <w:shd w:val="clear" w:color="auto" w:fill="auto"/>
            <w:noWrap/>
            <w:vAlign w:val="center"/>
            <w:hideMark/>
          </w:tcPr>
          <w:p w14:paraId="59A1B93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6.570,9 </w:t>
            </w:r>
          </w:p>
        </w:tc>
        <w:tc>
          <w:tcPr>
            <w:tcW w:w="1295" w:type="dxa"/>
            <w:tcBorders>
              <w:top w:val="nil"/>
              <w:left w:val="nil"/>
              <w:bottom w:val="nil"/>
              <w:right w:val="nil"/>
            </w:tcBorders>
            <w:shd w:val="clear" w:color="auto" w:fill="auto"/>
            <w:noWrap/>
            <w:vAlign w:val="center"/>
            <w:hideMark/>
          </w:tcPr>
          <w:p w14:paraId="2C4B553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5.830,7 </w:t>
            </w:r>
          </w:p>
        </w:tc>
      </w:tr>
      <w:tr w:rsidR="00E760A9" w:rsidRPr="00F5596D" w14:paraId="1AADF006"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5E273B82"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"Пошта Србије"</w:t>
            </w:r>
          </w:p>
        </w:tc>
        <w:tc>
          <w:tcPr>
            <w:tcW w:w="1188" w:type="dxa"/>
            <w:tcBorders>
              <w:top w:val="nil"/>
              <w:left w:val="nil"/>
              <w:bottom w:val="nil"/>
              <w:right w:val="nil"/>
            </w:tcBorders>
            <w:shd w:val="clear" w:color="000000" w:fill="FFFFFF"/>
            <w:noWrap/>
            <w:vAlign w:val="center"/>
            <w:hideMark/>
          </w:tcPr>
          <w:p w14:paraId="2222E26A"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3.174,4 </w:t>
            </w:r>
          </w:p>
        </w:tc>
        <w:tc>
          <w:tcPr>
            <w:tcW w:w="1188" w:type="dxa"/>
            <w:tcBorders>
              <w:top w:val="nil"/>
              <w:left w:val="nil"/>
              <w:bottom w:val="nil"/>
              <w:right w:val="nil"/>
            </w:tcBorders>
            <w:shd w:val="clear" w:color="auto" w:fill="auto"/>
            <w:noWrap/>
            <w:vAlign w:val="center"/>
            <w:hideMark/>
          </w:tcPr>
          <w:p w14:paraId="2F54BD7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2.102,3 </w:t>
            </w:r>
          </w:p>
        </w:tc>
        <w:tc>
          <w:tcPr>
            <w:tcW w:w="1263" w:type="dxa"/>
            <w:tcBorders>
              <w:top w:val="nil"/>
              <w:left w:val="nil"/>
              <w:bottom w:val="nil"/>
              <w:right w:val="nil"/>
            </w:tcBorders>
            <w:shd w:val="clear" w:color="auto" w:fill="auto"/>
            <w:noWrap/>
            <w:vAlign w:val="center"/>
            <w:hideMark/>
          </w:tcPr>
          <w:p w14:paraId="60F590F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1.386,5 </w:t>
            </w:r>
          </w:p>
        </w:tc>
        <w:tc>
          <w:tcPr>
            <w:tcW w:w="1295" w:type="dxa"/>
            <w:tcBorders>
              <w:top w:val="nil"/>
              <w:left w:val="nil"/>
              <w:bottom w:val="nil"/>
              <w:right w:val="nil"/>
            </w:tcBorders>
            <w:shd w:val="clear" w:color="auto" w:fill="auto"/>
            <w:noWrap/>
            <w:vAlign w:val="center"/>
            <w:hideMark/>
          </w:tcPr>
          <w:p w14:paraId="47C63A0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1.274,3 </w:t>
            </w:r>
          </w:p>
        </w:tc>
      </w:tr>
      <w:tr w:rsidR="00E760A9" w:rsidRPr="00F5596D" w14:paraId="7255A85E"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1DDDCDDB"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"Електромрежа Србије" ад</w:t>
            </w:r>
          </w:p>
        </w:tc>
        <w:tc>
          <w:tcPr>
            <w:tcW w:w="1188" w:type="dxa"/>
            <w:tcBorders>
              <w:top w:val="nil"/>
              <w:left w:val="nil"/>
              <w:bottom w:val="nil"/>
              <w:right w:val="nil"/>
            </w:tcBorders>
            <w:shd w:val="clear" w:color="000000" w:fill="FFFFFF"/>
            <w:noWrap/>
            <w:vAlign w:val="center"/>
            <w:hideMark/>
          </w:tcPr>
          <w:p w14:paraId="612EFC7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3.024,9 </w:t>
            </w:r>
          </w:p>
        </w:tc>
        <w:tc>
          <w:tcPr>
            <w:tcW w:w="1188" w:type="dxa"/>
            <w:tcBorders>
              <w:top w:val="nil"/>
              <w:left w:val="nil"/>
              <w:bottom w:val="nil"/>
              <w:right w:val="nil"/>
            </w:tcBorders>
            <w:shd w:val="clear" w:color="auto" w:fill="auto"/>
            <w:noWrap/>
            <w:vAlign w:val="center"/>
            <w:hideMark/>
          </w:tcPr>
          <w:p w14:paraId="629813A8" w14:textId="7235F30E" w:rsidR="00E760A9" w:rsidRPr="00F5596D" w:rsidRDefault="0087666C"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3.508,2</w:t>
            </w:r>
            <w:r w:rsidR="00E760A9" w:rsidRPr="00F5596D">
              <w:rPr>
                <w:rFonts w:ascii="Calibri" w:eastAsia="Times New Roman" w:hAnsi="Calibri" w:cs="Calibri"/>
                <w:color w:val="002060"/>
                <w:sz w:val="18"/>
                <w:szCs w:val="18"/>
                <w:lang w:val="sr-Cyrl-CS" w:eastAsia="sr-Cyrl-RS"/>
              </w:rPr>
              <w:t xml:space="preserve"> </w:t>
            </w:r>
          </w:p>
        </w:tc>
        <w:tc>
          <w:tcPr>
            <w:tcW w:w="1263" w:type="dxa"/>
            <w:tcBorders>
              <w:top w:val="nil"/>
              <w:left w:val="nil"/>
              <w:bottom w:val="nil"/>
              <w:right w:val="nil"/>
            </w:tcBorders>
            <w:shd w:val="clear" w:color="auto" w:fill="auto"/>
            <w:noWrap/>
            <w:vAlign w:val="center"/>
            <w:hideMark/>
          </w:tcPr>
          <w:p w14:paraId="7F36F73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1.017,4 </w:t>
            </w:r>
          </w:p>
        </w:tc>
        <w:tc>
          <w:tcPr>
            <w:tcW w:w="1295" w:type="dxa"/>
            <w:tcBorders>
              <w:top w:val="nil"/>
              <w:left w:val="nil"/>
              <w:bottom w:val="nil"/>
              <w:right w:val="nil"/>
            </w:tcBorders>
            <w:shd w:val="clear" w:color="auto" w:fill="auto"/>
            <w:noWrap/>
            <w:vAlign w:val="center"/>
            <w:hideMark/>
          </w:tcPr>
          <w:p w14:paraId="7AB7A584"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1.038,8 </w:t>
            </w:r>
          </w:p>
        </w:tc>
      </w:tr>
      <w:tr w:rsidR="00E760A9" w:rsidRPr="00F5596D" w14:paraId="2B4994D5"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5B29223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"Скијалишта Србије"</w:t>
            </w:r>
          </w:p>
        </w:tc>
        <w:tc>
          <w:tcPr>
            <w:tcW w:w="1188" w:type="dxa"/>
            <w:tcBorders>
              <w:top w:val="nil"/>
              <w:left w:val="nil"/>
              <w:bottom w:val="nil"/>
              <w:right w:val="nil"/>
            </w:tcBorders>
            <w:shd w:val="clear" w:color="000000" w:fill="FFFFFF"/>
            <w:noWrap/>
            <w:vAlign w:val="center"/>
            <w:hideMark/>
          </w:tcPr>
          <w:p w14:paraId="5413ADB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59,6 </w:t>
            </w:r>
          </w:p>
        </w:tc>
        <w:tc>
          <w:tcPr>
            <w:tcW w:w="1188" w:type="dxa"/>
            <w:tcBorders>
              <w:top w:val="nil"/>
              <w:left w:val="nil"/>
              <w:bottom w:val="nil"/>
              <w:right w:val="nil"/>
            </w:tcBorders>
            <w:shd w:val="clear" w:color="auto" w:fill="auto"/>
            <w:noWrap/>
            <w:vAlign w:val="center"/>
            <w:hideMark/>
          </w:tcPr>
          <w:p w14:paraId="11FC35BA"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44,5 </w:t>
            </w:r>
          </w:p>
        </w:tc>
        <w:tc>
          <w:tcPr>
            <w:tcW w:w="1263" w:type="dxa"/>
            <w:tcBorders>
              <w:top w:val="nil"/>
              <w:left w:val="nil"/>
              <w:bottom w:val="nil"/>
              <w:right w:val="nil"/>
            </w:tcBorders>
            <w:shd w:val="clear" w:color="auto" w:fill="auto"/>
            <w:noWrap/>
            <w:vAlign w:val="center"/>
            <w:hideMark/>
          </w:tcPr>
          <w:p w14:paraId="13A5D7C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692,7 </w:t>
            </w:r>
          </w:p>
        </w:tc>
        <w:tc>
          <w:tcPr>
            <w:tcW w:w="1295" w:type="dxa"/>
            <w:tcBorders>
              <w:top w:val="nil"/>
              <w:left w:val="nil"/>
              <w:bottom w:val="nil"/>
              <w:right w:val="nil"/>
            </w:tcBorders>
            <w:shd w:val="clear" w:color="auto" w:fill="auto"/>
            <w:noWrap/>
            <w:vAlign w:val="center"/>
            <w:hideMark/>
          </w:tcPr>
          <w:p w14:paraId="5C545B9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772,9 </w:t>
            </w:r>
          </w:p>
        </w:tc>
      </w:tr>
      <w:tr w:rsidR="00E760A9" w:rsidRPr="00F5596D" w14:paraId="229021DD"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40DF69F9"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"Србијавоз" ад</w:t>
            </w:r>
          </w:p>
        </w:tc>
        <w:tc>
          <w:tcPr>
            <w:tcW w:w="1188" w:type="dxa"/>
            <w:tcBorders>
              <w:top w:val="nil"/>
              <w:left w:val="nil"/>
              <w:bottom w:val="nil"/>
              <w:right w:val="nil"/>
            </w:tcBorders>
            <w:shd w:val="clear" w:color="000000" w:fill="FFFFFF"/>
            <w:noWrap/>
            <w:vAlign w:val="center"/>
            <w:hideMark/>
          </w:tcPr>
          <w:p w14:paraId="55F150F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176,0 </w:t>
            </w:r>
          </w:p>
        </w:tc>
        <w:tc>
          <w:tcPr>
            <w:tcW w:w="1188" w:type="dxa"/>
            <w:tcBorders>
              <w:top w:val="nil"/>
              <w:left w:val="nil"/>
              <w:bottom w:val="nil"/>
              <w:right w:val="nil"/>
            </w:tcBorders>
            <w:shd w:val="clear" w:color="auto" w:fill="auto"/>
            <w:noWrap/>
            <w:vAlign w:val="center"/>
            <w:hideMark/>
          </w:tcPr>
          <w:p w14:paraId="25BB257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(231,4)</w:t>
            </w:r>
          </w:p>
        </w:tc>
        <w:tc>
          <w:tcPr>
            <w:tcW w:w="1263" w:type="dxa"/>
            <w:tcBorders>
              <w:top w:val="nil"/>
              <w:left w:val="nil"/>
              <w:bottom w:val="nil"/>
              <w:right w:val="nil"/>
            </w:tcBorders>
            <w:shd w:val="clear" w:color="auto" w:fill="auto"/>
            <w:noWrap/>
            <w:vAlign w:val="center"/>
            <w:hideMark/>
          </w:tcPr>
          <w:p w14:paraId="1798052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328,9 </w:t>
            </w:r>
          </w:p>
        </w:tc>
        <w:tc>
          <w:tcPr>
            <w:tcW w:w="1295" w:type="dxa"/>
            <w:tcBorders>
              <w:top w:val="nil"/>
              <w:left w:val="nil"/>
              <w:bottom w:val="nil"/>
              <w:right w:val="nil"/>
            </w:tcBorders>
            <w:shd w:val="clear" w:color="auto" w:fill="auto"/>
            <w:noWrap/>
            <w:vAlign w:val="center"/>
            <w:hideMark/>
          </w:tcPr>
          <w:p w14:paraId="3E0A0C8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444,1 </w:t>
            </w:r>
          </w:p>
        </w:tc>
      </w:tr>
      <w:tr w:rsidR="00E760A9" w:rsidRPr="00F5596D" w14:paraId="4EF86F13"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0E6FEE4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"Југоимпорт-СДПР"</w:t>
            </w:r>
          </w:p>
        </w:tc>
        <w:tc>
          <w:tcPr>
            <w:tcW w:w="1188" w:type="dxa"/>
            <w:tcBorders>
              <w:top w:val="nil"/>
              <w:left w:val="nil"/>
              <w:bottom w:val="nil"/>
              <w:right w:val="nil"/>
            </w:tcBorders>
            <w:shd w:val="clear" w:color="000000" w:fill="FFFFFF"/>
            <w:noWrap/>
            <w:vAlign w:val="center"/>
            <w:hideMark/>
          </w:tcPr>
          <w:p w14:paraId="77160A1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601,7 </w:t>
            </w:r>
          </w:p>
        </w:tc>
        <w:tc>
          <w:tcPr>
            <w:tcW w:w="1188" w:type="dxa"/>
            <w:tcBorders>
              <w:top w:val="nil"/>
              <w:left w:val="nil"/>
              <w:bottom w:val="nil"/>
              <w:right w:val="nil"/>
            </w:tcBorders>
            <w:shd w:val="clear" w:color="auto" w:fill="auto"/>
            <w:noWrap/>
            <w:vAlign w:val="center"/>
            <w:hideMark/>
          </w:tcPr>
          <w:p w14:paraId="238CFEF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445,0 </w:t>
            </w:r>
          </w:p>
        </w:tc>
        <w:tc>
          <w:tcPr>
            <w:tcW w:w="1263" w:type="dxa"/>
            <w:tcBorders>
              <w:top w:val="nil"/>
              <w:left w:val="nil"/>
              <w:bottom w:val="nil"/>
              <w:right w:val="nil"/>
            </w:tcBorders>
            <w:shd w:val="clear" w:color="auto" w:fill="auto"/>
            <w:noWrap/>
            <w:hideMark/>
          </w:tcPr>
          <w:p w14:paraId="731D82E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98,2 </w:t>
            </w:r>
          </w:p>
        </w:tc>
        <w:tc>
          <w:tcPr>
            <w:tcW w:w="1295" w:type="dxa"/>
            <w:tcBorders>
              <w:top w:val="nil"/>
              <w:left w:val="nil"/>
              <w:bottom w:val="nil"/>
              <w:right w:val="nil"/>
            </w:tcBorders>
            <w:shd w:val="clear" w:color="auto" w:fill="auto"/>
            <w:noWrap/>
            <w:vAlign w:val="center"/>
            <w:hideMark/>
          </w:tcPr>
          <w:p w14:paraId="4E347EF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239,7 </w:t>
            </w:r>
          </w:p>
        </w:tc>
      </w:tr>
      <w:tr w:rsidR="00E760A9" w:rsidRPr="00F5596D" w14:paraId="3BA6D10A"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2BCA0A77"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водопривредно предузеће "Србијаводе"</w:t>
            </w:r>
          </w:p>
        </w:tc>
        <w:tc>
          <w:tcPr>
            <w:tcW w:w="1188" w:type="dxa"/>
            <w:tcBorders>
              <w:top w:val="nil"/>
              <w:left w:val="nil"/>
              <w:bottom w:val="nil"/>
              <w:right w:val="nil"/>
            </w:tcBorders>
            <w:shd w:val="clear" w:color="000000" w:fill="FFFFFF"/>
            <w:noWrap/>
            <w:vAlign w:val="center"/>
            <w:hideMark/>
          </w:tcPr>
          <w:p w14:paraId="0100338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16,1 </w:t>
            </w:r>
          </w:p>
        </w:tc>
        <w:tc>
          <w:tcPr>
            <w:tcW w:w="1188" w:type="dxa"/>
            <w:tcBorders>
              <w:top w:val="nil"/>
              <w:left w:val="nil"/>
              <w:bottom w:val="nil"/>
              <w:right w:val="nil"/>
            </w:tcBorders>
            <w:shd w:val="clear" w:color="auto" w:fill="auto"/>
            <w:noWrap/>
            <w:vAlign w:val="center"/>
            <w:hideMark/>
          </w:tcPr>
          <w:p w14:paraId="7FC6642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23,7 </w:t>
            </w:r>
          </w:p>
        </w:tc>
        <w:tc>
          <w:tcPr>
            <w:tcW w:w="1263" w:type="dxa"/>
            <w:tcBorders>
              <w:top w:val="nil"/>
              <w:left w:val="nil"/>
              <w:bottom w:val="nil"/>
              <w:right w:val="nil"/>
            </w:tcBorders>
            <w:shd w:val="clear" w:color="auto" w:fill="auto"/>
            <w:noWrap/>
            <w:vAlign w:val="center"/>
            <w:hideMark/>
          </w:tcPr>
          <w:p w14:paraId="78FD851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(60,3)</w:t>
            </w:r>
          </w:p>
        </w:tc>
        <w:tc>
          <w:tcPr>
            <w:tcW w:w="1295" w:type="dxa"/>
            <w:tcBorders>
              <w:top w:val="nil"/>
              <w:left w:val="nil"/>
              <w:bottom w:val="nil"/>
              <w:right w:val="nil"/>
            </w:tcBorders>
            <w:shd w:val="clear" w:color="auto" w:fill="auto"/>
            <w:noWrap/>
            <w:vAlign w:val="center"/>
            <w:hideMark/>
          </w:tcPr>
          <w:p w14:paraId="30E77CA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173,2 </w:t>
            </w:r>
          </w:p>
        </w:tc>
      </w:tr>
      <w:tr w:rsidR="00E760A9" w:rsidRPr="00F5596D" w14:paraId="0883CBB1"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09AE3E75"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"Коридори Србије" доо</w:t>
            </w:r>
          </w:p>
        </w:tc>
        <w:tc>
          <w:tcPr>
            <w:tcW w:w="1188" w:type="dxa"/>
            <w:tcBorders>
              <w:top w:val="nil"/>
              <w:left w:val="nil"/>
              <w:bottom w:val="nil"/>
              <w:right w:val="nil"/>
            </w:tcBorders>
            <w:shd w:val="clear" w:color="000000" w:fill="FFFFFF"/>
            <w:noWrap/>
            <w:vAlign w:val="center"/>
            <w:hideMark/>
          </w:tcPr>
          <w:p w14:paraId="7C9ECF7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188" w:type="dxa"/>
            <w:tcBorders>
              <w:top w:val="nil"/>
              <w:left w:val="nil"/>
              <w:bottom w:val="nil"/>
              <w:right w:val="nil"/>
            </w:tcBorders>
            <w:shd w:val="clear" w:color="auto" w:fill="auto"/>
            <w:noWrap/>
            <w:vAlign w:val="center"/>
            <w:hideMark/>
          </w:tcPr>
          <w:p w14:paraId="7389F49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263" w:type="dxa"/>
            <w:tcBorders>
              <w:top w:val="nil"/>
              <w:left w:val="nil"/>
              <w:bottom w:val="nil"/>
              <w:right w:val="nil"/>
            </w:tcBorders>
            <w:shd w:val="clear" w:color="auto" w:fill="auto"/>
            <w:noWrap/>
            <w:vAlign w:val="center"/>
            <w:hideMark/>
          </w:tcPr>
          <w:p w14:paraId="0E789E6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295" w:type="dxa"/>
            <w:tcBorders>
              <w:top w:val="nil"/>
              <w:left w:val="nil"/>
              <w:bottom w:val="nil"/>
              <w:right w:val="nil"/>
            </w:tcBorders>
            <w:shd w:val="clear" w:color="auto" w:fill="auto"/>
            <w:noWrap/>
            <w:vAlign w:val="center"/>
            <w:hideMark/>
          </w:tcPr>
          <w:p w14:paraId="446241D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112,1 </w:t>
            </w:r>
          </w:p>
        </w:tc>
      </w:tr>
      <w:tr w:rsidR="00E760A9" w:rsidRPr="00F5596D" w14:paraId="51CE297C"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4329F3D5"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"Дипос" доо</w:t>
            </w:r>
          </w:p>
        </w:tc>
        <w:tc>
          <w:tcPr>
            <w:tcW w:w="1188" w:type="dxa"/>
            <w:tcBorders>
              <w:top w:val="nil"/>
              <w:left w:val="nil"/>
              <w:bottom w:val="nil"/>
              <w:right w:val="nil"/>
            </w:tcBorders>
            <w:shd w:val="clear" w:color="000000" w:fill="FFFFFF"/>
            <w:noWrap/>
            <w:vAlign w:val="center"/>
            <w:hideMark/>
          </w:tcPr>
          <w:p w14:paraId="3B7C048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193,4 </w:t>
            </w:r>
          </w:p>
        </w:tc>
        <w:tc>
          <w:tcPr>
            <w:tcW w:w="1188" w:type="dxa"/>
            <w:tcBorders>
              <w:top w:val="nil"/>
              <w:left w:val="nil"/>
              <w:bottom w:val="nil"/>
              <w:right w:val="nil"/>
            </w:tcBorders>
            <w:shd w:val="clear" w:color="auto" w:fill="auto"/>
            <w:noWrap/>
            <w:vAlign w:val="center"/>
            <w:hideMark/>
          </w:tcPr>
          <w:p w14:paraId="1FC57F5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226,6 </w:t>
            </w:r>
          </w:p>
        </w:tc>
        <w:tc>
          <w:tcPr>
            <w:tcW w:w="1263" w:type="dxa"/>
            <w:tcBorders>
              <w:top w:val="nil"/>
              <w:left w:val="nil"/>
              <w:bottom w:val="nil"/>
              <w:right w:val="nil"/>
            </w:tcBorders>
            <w:shd w:val="clear" w:color="auto" w:fill="auto"/>
            <w:noWrap/>
            <w:vAlign w:val="center"/>
            <w:hideMark/>
          </w:tcPr>
          <w:p w14:paraId="76B2E21A"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73,6 </w:t>
            </w:r>
          </w:p>
        </w:tc>
        <w:tc>
          <w:tcPr>
            <w:tcW w:w="1295" w:type="dxa"/>
            <w:tcBorders>
              <w:top w:val="nil"/>
              <w:left w:val="nil"/>
              <w:bottom w:val="nil"/>
              <w:right w:val="nil"/>
            </w:tcBorders>
            <w:shd w:val="clear" w:color="auto" w:fill="auto"/>
            <w:noWrap/>
            <w:vAlign w:val="center"/>
            <w:hideMark/>
          </w:tcPr>
          <w:p w14:paraId="4798F3CF"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66,5 </w:t>
            </w:r>
          </w:p>
        </w:tc>
      </w:tr>
      <w:tr w:rsidR="00E760A9" w:rsidRPr="00F5596D" w14:paraId="0415B689"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6D1A595A"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"Национални парк Копаоник"</w:t>
            </w:r>
          </w:p>
        </w:tc>
        <w:tc>
          <w:tcPr>
            <w:tcW w:w="1188" w:type="dxa"/>
            <w:tcBorders>
              <w:top w:val="nil"/>
              <w:left w:val="nil"/>
              <w:bottom w:val="nil"/>
              <w:right w:val="nil"/>
            </w:tcBorders>
            <w:shd w:val="clear" w:color="000000" w:fill="FFFFFF"/>
            <w:noWrap/>
            <w:vAlign w:val="center"/>
            <w:hideMark/>
          </w:tcPr>
          <w:p w14:paraId="26E2D3B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10,1 </w:t>
            </w:r>
          </w:p>
        </w:tc>
        <w:tc>
          <w:tcPr>
            <w:tcW w:w="1188" w:type="dxa"/>
            <w:tcBorders>
              <w:top w:val="nil"/>
              <w:left w:val="nil"/>
              <w:bottom w:val="nil"/>
              <w:right w:val="nil"/>
            </w:tcBorders>
            <w:shd w:val="clear" w:color="auto" w:fill="auto"/>
            <w:noWrap/>
            <w:vAlign w:val="center"/>
            <w:hideMark/>
          </w:tcPr>
          <w:p w14:paraId="66E0333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12,1 </w:t>
            </w:r>
          </w:p>
        </w:tc>
        <w:tc>
          <w:tcPr>
            <w:tcW w:w="1263" w:type="dxa"/>
            <w:tcBorders>
              <w:top w:val="nil"/>
              <w:left w:val="nil"/>
              <w:bottom w:val="nil"/>
              <w:right w:val="nil"/>
            </w:tcBorders>
            <w:shd w:val="clear" w:color="auto" w:fill="auto"/>
            <w:noWrap/>
            <w:vAlign w:val="center"/>
            <w:hideMark/>
          </w:tcPr>
          <w:p w14:paraId="4218F5B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48,6 </w:t>
            </w:r>
          </w:p>
        </w:tc>
        <w:tc>
          <w:tcPr>
            <w:tcW w:w="1295" w:type="dxa"/>
            <w:tcBorders>
              <w:top w:val="nil"/>
              <w:left w:val="nil"/>
              <w:bottom w:val="nil"/>
              <w:right w:val="nil"/>
            </w:tcBorders>
            <w:shd w:val="clear" w:color="auto" w:fill="auto"/>
            <w:noWrap/>
            <w:vAlign w:val="center"/>
            <w:hideMark/>
          </w:tcPr>
          <w:p w14:paraId="5296F3D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37,8 </w:t>
            </w:r>
          </w:p>
        </w:tc>
      </w:tr>
      <w:tr w:rsidR="00E760A9" w:rsidRPr="00F5596D" w14:paraId="7824D8CB"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50084C0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"Транснафта" ад</w:t>
            </w:r>
          </w:p>
        </w:tc>
        <w:tc>
          <w:tcPr>
            <w:tcW w:w="1188" w:type="dxa"/>
            <w:tcBorders>
              <w:top w:val="nil"/>
              <w:left w:val="nil"/>
              <w:bottom w:val="nil"/>
              <w:right w:val="nil"/>
            </w:tcBorders>
            <w:shd w:val="clear" w:color="000000" w:fill="FFFFFF"/>
            <w:noWrap/>
            <w:vAlign w:val="center"/>
            <w:hideMark/>
          </w:tcPr>
          <w:p w14:paraId="695AAE5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279,0 </w:t>
            </w:r>
          </w:p>
        </w:tc>
        <w:tc>
          <w:tcPr>
            <w:tcW w:w="1188" w:type="dxa"/>
            <w:tcBorders>
              <w:top w:val="nil"/>
              <w:left w:val="nil"/>
              <w:bottom w:val="nil"/>
              <w:right w:val="nil"/>
            </w:tcBorders>
            <w:shd w:val="clear" w:color="auto" w:fill="auto"/>
            <w:noWrap/>
            <w:vAlign w:val="center"/>
            <w:hideMark/>
          </w:tcPr>
          <w:p w14:paraId="56DE559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217,9 </w:t>
            </w:r>
          </w:p>
        </w:tc>
        <w:tc>
          <w:tcPr>
            <w:tcW w:w="1263" w:type="dxa"/>
            <w:tcBorders>
              <w:top w:val="nil"/>
              <w:left w:val="nil"/>
              <w:bottom w:val="nil"/>
              <w:right w:val="nil"/>
            </w:tcBorders>
            <w:shd w:val="clear" w:color="auto" w:fill="auto"/>
            <w:noWrap/>
            <w:vAlign w:val="center"/>
            <w:hideMark/>
          </w:tcPr>
          <w:p w14:paraId="2A860E2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4,6 </w:t>
            </w:r>
          </w:p>
        </w:tc>
        <w:tc>
          <w:tcPr>
            <w:tcW w:w="1295" w:type="dxa"/>
            <w:tcBorders>
              <w:top w:val="nil"/>
              <w:left w:val="nil"/>
              <w:bottom w:val="nil"/>
              <w:right w:val="nil"/>
            </w:tcBorders>
            <w:shd w:val="clear" w:color="auto" w:fill="auto"/>
            <w:noWrap/>
            <w:vAlign w:val="center"/>
            <w:hideMark/>
          </w:tcPr>
          <w:p w14:paraId="73D9732F"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31,2 </w:t>
            </w:r>
          </w:p>
        </w:tc>
      </w:tr>
      <w:tr w:rsidR="00E760A9" w:rsidRPr="00F5596D" w14:paraId="10A2EBCD"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389DD45D"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"Емисиона техника и везе"</w:t>
            </w:r>
          </w:p>
        </w:tc>
        <w:tc>
          <w:tcPr>
            <w:tcW w:w="1188" w:type="dxa"/>
            <w:tcBorders>
              <w:top w:val="nil"/>
              <w:left w:val="nil"/>
              <w:bottom w:val="nil"/>
              <w:right w:val="nil"/>
            </w:tcBorders>
            <w:shd w:val="clear" w:color="000000" w:fill="FFFFFF"/>
            <w:noWrap/>
            <w:vAlign w:val="center"/>
            <w:hideMark/>
          </w:tcPr>
          <w:p w14:paraId="19E8CDE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48,9 </w:t>
            </w:r>
          </w:p>
        </w:tc>
        <w:tc>
          <w:tcPr>
            <w:tcW w:w="1188" w:type="dxa"/>
            <w:tcBorders>
              <w:top w:val="nil"/>
              <w:left w:val="nil"/>
              <w:bottom w:val="nil"/>
              <w:right w:val="nil"/>
            </w:tcBorders>
            <w:shd w:val="clear" w:color="auto" w:fill="auto"/>
            <w:noWrap/>
            <w:vAlign w:val="center"/>
            <w:hideMark/>
          </w:tcPr>
          <w:p w14:paraId="1330C448"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42,6 </w:t>
            </w:r>
          </w:p>
        </w:tc>
        <w:tc>
          <w:tcPr>
            <w:tcW w:w="1263" w:type="dxa"/>
            <w:tcBorders>
              <w:top w:val="nil"/>
              <w:left w:val="nil"/>
              <w:bottom w:val="nil"/>
              <w:right w:val="nil"/>
            </w:tcBorders>
            <w:shd w:val="clear" w:color="auto" w:fill="auto"/>
            <w:noWrap/>
            <w:vAlign w:val="center"/>
            <w:hideMark/>
          </w:tcPr>
          <w:p w14:paraId="50E6C71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(64,6)</w:t>
            </w:r>
          </w:p>
        </w:tc>
        <w:tc>
          <w:tcPr>
            <w:tcW w:w="1295" w:type="dxa"/>
            <w:tcBorders>
              <w:top w:val="nil"/>
              <w:left w:val="nil"/>
              <w:bottom w:val="nil"/>
              <w:right w:val="nil"/>
            </w:tcBorders>
            <w:shd w:val="clear" w:color="auto" w:fill="auto"/>
            <w:noWrap/>
            <w:vAlign w:val="center"/>
            <w:hideMark/>
          </w:tcPr>
          <w:p w14:paraId="406F808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30,4 </w:t>
            </w:r>
          </w:p>
        </w:tc>
      </w:tr>
      <w:tr w:rsidR="00E760A9" w:rsidRPr="00F5596D" w14:paraId="0C1EC55C"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553CDDC1"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"Државна лутрија Србије" доо</w:t>
            </w:r>
          </w:p>
        </w:tc>
        <w:tc>
          <w:tcPr>
            <w:tcW w:w="1188" w:type="dxa"/>
            <w:tcBorders>
              <w:top w:val="nil"/>
              <w:left w:val="nil"/>
              <w:bottom w:val="nil"/>
              <w:right w:val="nil"/>
            </w:tcBorders>
            <w:shd w:val="clear" w:color="000000" w:fill="FFFFFF"/>
            <w:noWrap/>
            <w:vAlign w:val="center"/>
            <w:hideMark/>
          </w:tcPr>
          <w:p w14:paraId="1B141D7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273,3 </w:t>
            </w:r>
          </w:p>
        </w:tc>
        <w:tc>
          <w:tcPr>
            <w:tcW w:w="1188" w:type="dxa"/>
            <w:tcBorders>
              <w:top w:val="nil"/>
              <w:left w:val="nil"/>
              <w:bottom w:val="nil"/>
              <w:right w:val="nil"/>
            </w:tcBorders>
            <w:shd w:val="clear" w:color="auto" w:fill="auto"/>
            <w:noWrap/>
            <w:vAlign w:val="center"/>
            <w:hideMark/>
          </w:tcPr>
          <w:p w14:paraId="6DBC1F3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148,0 </w:t>
            </w:r>
          </w:p>
        </w:tc>
        <w:tc>
          <w:tcPr>
            <w:tcW w:w="1263" w:type="dxa"/>
            <w:tcBorders>
              <w:top w:val="nil"/>
              <w:left w:val="nil"/>
              <w:bottom w:val="nil"/>
              <w:right w:val="nil"/>
            </w:tcBorders>
            <w:shd w:val="clear" w:color="auto" w:fill="auto"/>
            <w:noWrap/>
            <w:vAlign w:val="center"/>
            <w:hideMark/>
          </w:tcPr>
          <w:p w14:paraId="6506AD3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36,2 </w:t>
            </w:r>
          </w:p>
        </w:tc>
        <w:tc>
          <w:tcPr>
            <w:tcW w:w="1295" w:type="dxa"/>
            <w:tcBorders>
              <w:top w:val="nil"/>
              <w:left w:val="nil"/>
              <w:bottom w:val="nil"/>
              <w:right w:val="nil"/>
            </w:tcBorders>
            <w:shd w:val="clear" w:color="auto" w:fill="auto"/>
            <w:noWrap/>
            <w:vAlign w:val="center"/>
            <w:hideMark/>
          </w:tcPr>
          <w:p w14:paraId="4C30EDC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23,9 </w:t>
            </w:r>
          </w:p>
        </w:tc>
      </w:tr>
      <w:tr w:rsidR="00E760A9" w:rsidRPr="00F5596D" w14:paraId="4EE82907"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13861AA3"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"Нуклеарни објекти"</w:t>
            </w:r>
          </w:p>
        </w:tc>
        <w:tc>
          <w:tcPr>
            <w:tcW w:w="1188" w:type="dxa"/>
            <w:tcBorders>
              <w:top w:val="nil"/>
              <w:left w:val="nil"/>
              <w:bottom w:val="nil"/>
              <w:right w:val="nil"/>
            </w:tcBorders>
            <w:shd w:val="clear" w:color="000000" w:fill="FFFFFF"/>
            <w:noWrap/>
            <w:vAlign w:val="center"/>
            <w:hideMark/>
          </w:tcPr>
          <w:p w14:paraId="1AB8AC3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16,0 </w:t>
            </w:r>
          </w:p>
        </w:tc>
        <w:tc>
          <w:tcPr>
            <w:tcW w:w="1188" w:type="dxa"/>
            <w:tcBorders>
              <w:top w:val="nil"/>
              <w:left w:val="nil"/>
              <w:bottom w:val="nil"/>
              <w:right w:val="nil"/>
            </w:tcBorders>
            <w:shd w:val="clear" w:color="auto" w:fill="auto"/>
            <w:noWrap/>
            <w:vAlign w:val="center"/>
            <w:hideMark/>
          </w:tcPr>
          <w:p w14:paraId="39B495E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60,8 </w:t>
            </w:r>
          </w:p>
        </w:tc>
        <w:tc>
          <w:tcPr>
            <w:tcW w:w="1263" w:type="dxa"/>
            <w:tcBorders>
              <w:top w:val="nil"/>
              <w:left w:val="nil"/>
              <w:bottom w:val="nil"/>
              <w:right w:val="nil"/>
            </w:tcBorders>
            <w:shd w:val="clear" w:color="auto" w:fill="auto"/>
            <w:noWrap/>
            <w:vAlign w:val="center"/>
            <w:hideMark/>
          </w:tcPr>
          <w:p w14:paraId="5FE6739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295" w:type="dxa"/>
            <w:tcBorders>
              <w:top w:val="nil"/>
              <w:left w:val="nil"/>
              <w:bottom w:val="nil"/>
              <w:right w:val="nil"/>
            </w:tcBorders>
            <w:shd w:val="clear" w:color="auto" w:fill="auto"/>
            <w:noWrap/>
            <w:vAlign w:val="center"/>
            <w:hideMark/>
          </w:tcPr>
          <w:p w14:paraId="26EC3634"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15,7 </w:t>
            </w:r>
          </w:p>
        </w:tc>
      </w:tr>
      <w:tr w:rsidR="00E760A9" w:rsidRPr="00F5596D" w14:paraId="4B59716B"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3B7ADDF7"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"Србија Карго" ад</w:t>
            </w:r>
          </w:p>
        </w:tc>
        <w:tc>
          <w:tcPr>
            <w:tcW w:w="1188" w:type="dxa"/>
            <w:tcBorders>
              <w:top w:val="nil"/>
              <w:left w:val="nil"/>
              <w:bottom w:val="nil"/>
              <w:right w:val="nil"/>
            </w:tcBorders>
            <w:shd w:val="clear" w:color="000000" w:fill="FFFFFF"/>
            <w:noWrap/>
            <w:vAlign w:val="center"/>
            <w:hideMark/>
          </w:tcPr>
          <w:p w14:paraId="73A2203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(1.671,7)</w:t>
            </w:r>
          </w:p>
        </w:tc>
        <w:tc>
          <w:tcPr>
            <w:tcW w:w="1188" w:type="dxa"/>
            <w:tcBorders>
              <w:top w:val="nil"/>
              <w:left w:val="nil"/>
              <w:bottom w:val="nil"/>
              <w:right w:val="nil"/>
            </w:tcBorders>
            <w:shd w:val="clear" w:color="auto" w:fill="auto"/>
            <w:noWrap/>
            <w:vAlign w:val="center"/>
            <w:hideMark/>
          </w:tcPr>
          <w:p w14:paraId="2DBA2BB4"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(2.668,9)</w:t>
            </w:r>
          </w:p>
        </w:tc>
        <w:tc>
          <w:tcPr>
            <w:tcW w:w="1263" w:type="dxa"/>
            <w:tcBorders>
              <w:top w:val="nil"/>
              <w:left w:val="nil"/>
              <w:bottom w:val="nil"/>
              <w:right w:val="nil"/>
            </w:tcBorders>
            <w:shd w:val="clear" w:color="auto" w:fill="auto"/>
            <w:noWrap/>
            <w:vAlign w:val="center"/>
            <w:hideMark/>
          </w:tcPr>
          <w:p w14:paraId="5A2B76E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(198,0)</w:t>
            </w:r>
          </w:p>
        </w:tc>
        <w:tc>
          <w:tcPr>
            <w:tcW w:w="1295" w:type="dxa"/>
            <w:tcBorders>
              <w:top w:val="nil"/>
              <w:left w:val="nil"/>
              <w:bottom w:val="nil"/>
              <w:right w:val="nil"/>
            </w:tcBorders>
            <w:shd w:val="clear" w:color="auto" w:fill="auto"/>
            <w:noWrap/>
            <w:vAlign w:val="center"/>
            <w:hideMark/>
          </w:tcPr>
          <w:p w14:paraId="507C4B1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12,2 </w:t>
            </w:r>
          </w:p>
        </w:tc>
      </w:tr>
      <w:tr w:rsidR="00E760A9" w:rsidRPr="00F5596D" w14:paraId="0DC20B26"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4160FB53"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"Просветни преглед" доо</w:t>
            </w:r>
          </w:p>
        </w:tc>
        <w:tc>
          <w:tcPr>
            <w:tcW w:w="1188" w:type="dxa"/>
            <w:tcBorders>
              <w:top w:val="nil"/>
              <w:left w:val="nil"/>
              <w:bottom w:val="nil"/>
              <w:right w:val="nil"/>
            </w:tcBorders>
            <w:shd w:val="clear" w:color="000000" w:fill="FFFFFF"/>
            <w:noWrap/>
            <w:vAlign w:val="center"/>
            <w:hideMark/>
          </w:tcPr>
          <w:p w14:paraId="409676B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27,1 </w:t>
            </w:r>
          </w:p>
        </w:tc>
        <w:tc>
          <w:tcPr>
            <w:tcW w:w="1188" w:type="dxa"/>
            <w:tcBorders>
              <w:top w:val="nil"/>
              <w:left w:val="nil"/>
              <w:bottom w:val="nil"/>
              <w:right w:val="nil"/>
            </w:tcBorders>
            <w:shd w:val="clear" w:color="auto" w:fill="auto"/>
            <w:noWrap/>
            <w:vAlign w:val="center"/>
            <w:hideMark/>
          </w:tcPr>
          <w:p w14:paraId="67563DD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20,7 </w:t>
            </w:r>
          </w:p>
        </w:tc>
        <w:tc>
          <w:tcPr>
            <w:tcW w:w="1263" w:type="dxa"/>
            <w:tcBorders>
              <w:top w:val="nil"/>
              <w:left w:val="nil"/>
              <w:bottom w:val="nil"/>
              <w:right w:val="nil"/>
            </w:tcBorders>
            <w:shd w:val="clear" w:color="auto" w:fill="auto"/>
            <w:noWrap/>
            <w:vAlign w:val="center"/>
            <w:hideMark/>
          </w:tcPr>
          <w:p w14:paraId="728EA99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6,5 </w:t>
            </w:r>
          </w:p>
        </w:tc>
        <w:tc>
          <w:tcPr>
            <w:tcW w:w="1295" w:type="dxa"/>
            <w:tcBorders>
              <w:top w:val="nil"/>
              <w:left w:val="nil"/>
              <w:bottom w:val="nil"/>
              <w:right w:val="nil"/>
            </w:tcBorders>
            <w:shd w:val="clear" w:color="auto" w:fill="auto"/>
            <w:noWrap/>
            <w:vAlign w:val="center"/>
            <w:hideMark/>
          </w:tcPr>
          <w:p w14:paraId="660CA27A"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8,5 </w:t>
            </w:r>
          </w:p>
        </w:tc>
      </w:tr>
      <w:tr w:rsidR="00E760A9" w:rsidRPr="00F5596D" w14:paraId="762BF702"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683268B3"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"Национални парк Тара"</w:t>
            </w:r>
          </w:p>
        </w:tc>
        <w:tc>
          <w:tcPr>
            <w:tcW w:w="1188" w:type="dxa"/>
            <w:tcBorders>
              <w:top w:val="nil"/>
              <w:left w:val="nil"/>
              <w:bottom w:val="nil"/>
              <w:right w:val="nil"/>
            </w:tcBorders>
            <w:shd w:val="clear" w:color="000000" w:fill="FFFFFF"/>
            <w:noWrap/>
            <w:vAlign w:val="center"/>
            <w:hideMark/>
          </w:tcPr>
          <w:p w14:paraId="70E7883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15,8 </w:t>
            </w:r>
          </w:p>
        </w:tc>
        <w:tc>
          <w:tcPr>
            <w:tcW w:w="1188" w:type="dxa"/>
            <w:tcBorders>
              <w:top w:val="nil"/>
              <w:left w:val="nil"/>
              <w:bottom w:val="nil"/>
              <w:right w:val="nil"/>
            </w:tcBorders>
            <w:shd w:val="clear" w:color="auto" w:fill="auto"/>
            <w:noWrap/>
            <w:vAlign w:val="center"/>
            <w:hideMark/>
          </w:tcPr>
          <w:p w14:paraId="7D60D8F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14,7 </w:t>
            </w:r>
          </w:p>
        </w:tc>
        <w:tc>
          <w:tcPr>
            <w:tcW w:w="1263" w:type="dxa"/>
            <w:tcBorders>
              <w:top w:val="nil"/>
              <w:left w:val="nil"/>
              <w:bottom w:val="nil"/>
              <w:right w:val="nil"/>
            </w:tcBorders>
            <w:shd w:val="clear" w:color="auto" w:fill="auto"/>
            <w:noWrap/>
            <w:vAlign w:val="center"/>
            <w:hideMark/>
          </w:tcPr>
          <w:p w14:paraId="076FECF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0,1 </w:t>
            </w:r>
          </w:p>
        </w:tc>
        <w:tc>
          <w:tcPr>
            <w:tcW w:w="1295" w:type="dxa"/>
            <w:tcBorders>
              <w:top w:val="nil"/>
              <w:left w:val="nil"/>
              <w:bottom w:val="nil"/>
              <w:right w:val="nil"/>
            </w:tcBorders>
            <w:shd w:val="clear" w:color="auto" w:fill="auto"/>
            <w:noWrap/>
            <w:vAlign w:val="center"/>
            <w:hideMark/>
          </w:tcPr>
          <w:p w14:paraId="6BE2C85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7,4 </w:t>
            </w:r>
          </w:p>
        </w:tc>
      </w:tr>
      <w:tr w:rsidR="00E760A9" w:rsidRPr="00F5596D" w14:paraId="361A855D"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0FB0066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"Железнице Србије" ад</w:t>
            </w:r>
          </w:p>
        </w:tc>
        <w:tc>
          <w:tcPr>
            <w:tcW w:w="1188" w:type="dxa"/>
            <w:tcBorders>
              <w:top w:val="nil"/>
              <w:left w:val="nil"/>
              <w:bottom w:val="nil"/>
              <w:right w:val="nil"/>
            </w:tcBorders>
            <w:shd w:val="clear" w:color="000000" w:fill="FFFFFF"/>
            <w:noWrap/>
            <w:vAlign w:val="center"/>
            <w:hideMark/>
          </w:tcPr>
          <w:p w14:paraId="6EF389CB"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(167,7)</w:t>
            </w:r>
          </w:p>
        </w:tc>
        <w:tc>
          <w:tcPr>
            <w:tcW w:w="1188" w:type="dxa"/>
            <w:tcBorders>
              <w:top w:val="nil"/>
              <w:left w:val="nil"/>
              <w:bottom w:val="nil"/>
              <w:right w:val="nil"/>
            </w:tcBorders>
            <w:shd w:val="clear" w:color="auto" w:fill="auto"/>
            <w:noWrap/>
            <w:vAlign w:val="center"/>
            <w:hideMark/>
          </w:tcPr>
          <w:p w14:paraId="0FFA16C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(1.001,8)</w:t>
            </w:r>
          </w:p>
        </w:tc>
        <w:tc>
          <w:tcPr>
            <w:tcW w:w="1263" w:type="dxa"/>
            <w:tcBorders>
              <w:top w:val="nil"/>
              <w:left w:val="nil"/>
              <w:bottom w:val="nil"/>
              <w:right w:val="nil"/>
            </w:tcBorders>
            <w:shd w:val="clear" w:color="auto" w:fill="auto"/>
            <w:noWrap/>
            <w:vAlign w:val="center"/>
            <w:hideMark/>
          </w:tcPr>
          <w:p w14:paraId="0849793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(56,8)</w:t>
            </w:r>
          </w:p>
        </w:tc>
        <w:tc>
          <w:tcPr>
            <w:tcW w:w="1295" w:type="dxa"/>
            <w:tcBorders>
              <w:top w:val="nil"/>
              <w:left w:val="nil"/>
              <w:bottom w:val="nil"/>
              <w:right w:val="nil"/>
            </w:tcBorders>
            <w:shd w:val="clear" w:color="auto" w:fill="auto"/>
            <w:noWrap/>
            <w:vAlign w:val="center"/>
            <w:hideMark/>
          </w:tcPr>
          <w:p w14:paraId="05BCC69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7,3 </w:t>
            </w:r>
          </w:p>
        </w:tc>
      </w:tr>
      <w:tr w:rsidR="00E760A9" w:rsidRPr="00F5596D" w14:paraId="421D8D01"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327B0EB6"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"Национални парк Ђердап"</w:t>
            </w:r>
          </w:p>
        </w:tc>
        <w:tc>
          <w:tcPr>
            <w:tcW w:w="1188" w:type="dxa"/>
            <w:tcBorders>
              <w:top w:val="nil"/>
              <w:left w:val="nil"/>
              <w:bottom w:val="nil"/>
              <w:right w:val="nil"/>
            </w:tcBorders>
            <w:shd w:val="clear" w:color="000000" w:fill="FFFFFF"/>
            <w:noWrap/>
            <w:vAlign w:val="center"/>
            <w:hideMark/>
          </w:tcPr>
          <w:p w14:paraId="35F0325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15,6 </w:t>
            </w:r>
          </w:p>
        </w:tc>
        <w:tc>
          <w:tcPr>
            <w:tcW w:w="1188" w:type="dxa"/>
            <w:tcBorders>
              <w:top w:val="nil"/>
              <w:left w:val="nil"/>
              <w:bottom w:val="nil"/>
              <w:right w:val="nil"/>
            </w:tcBorders>
            <w:shd w:val="clear" w:color="auto" w:fill="auto"/>
            <w:noWrap/>
            <w:vAlign w:val="center"/>
            <w:hideMark/>
          </w:tcPr>
          <w:p w14:paraId="5AC8CFE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7,1 </w:t>
            </w:r>
          </w:p>
        </w:tc>
        <w:tc>
          <w:tcPr>
            <w:tcW w:w="1263" w:type="dxa"/>
            <w:tcBorders>
              <w:top w:val="nil"/>
              <w:left w:val="nil"/>
              <w:bottom w:val="nil"/>
              <w:right w:val="nil"/>
            </w:tcBorders>
            <w:shd w:val="clear" w:color="auto" w:fill="auto"/>
            <w:noWrap/>
            <w:vAlign w:val="center"/>
            <w:hideMark/>
          </w:tcPr>
          <w:p w14:paraId="64DBF07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1,9 </w:t>
            </w:r>
          </w:p>
        </w:tc>
        <w:tc>
          <w:tcPr>
            <w:tcW w:w="1295" w:type="dxa"/>
            <w:tcBorders>
              <w:top w:val="nil"/>
              <w:left w:val="nil"/>
              <w:bottom w:val="nil"/>
              <w:right w:val="nil"/>
            </w:tcBorders>
            <w:shd w:val="clear" w:color="auto" w:fill="auto"/>
            <w:noWrap/>
            <w:vAlign w:val="center"/>
            <w:hideMark/>
          </w:tcPr>
          <w:p w14:paraId="64A5A7A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7,3 </w:t>
            </w:r>
          </w:p>
        </w:tc>
      </w:tr>
      <w:tr w:rsidR="00E760A9" w:rsidRPr="00F5596D" w14:paraId="10A94778"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02B74951"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"Национални парк Фрушка гора"</w:t>
            </w:r>
          </w:p>
        </w:tc>
        <w:tc>
          <w:tcPr>
            <w:tcW w:w="1188" w:type="dxa"/>
            <w:tcBorders>
              <w:top w:val="nil"/>
              <w:left w:val="nil"/>
              <w:bottom w:val="nil"/>
              <w:right w:val="nil"/>
            </w:tcBorders>
            <w:shd w:val="clear" w:color="000000" w:fill="FFFFFF"/>
            <w:noWrap/>
            <w:vAlign w:val="center"/>
            <w:hideMark/>
          </w:tcPr>
          <w:p w14:paraId="4C8455C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2,1 </w:t>
            </w:r>
          </w:p>
        </w:tc>
        <w:tc>
          <w:tcPr>
            <w:tcW w:w="1188" w:type="dxa"/>
            <w:tcBorders>
              <w:top w:val="nil"/>
              <w:left w:val="nil"/>
              <w:bottom w:val="nil"/>
              <w:right w:val="nil"/>
            </w:tcBorders>
            <w:shd w:val="clear" w:color="auto" w:fill="auto"/>
            <w:noWrap/>
            <w:vAlign w:val="center"/>
            <w:hideMark/>
          </w:tcPr>
          <w:p w14:paraId="0BDAC93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1,8 </w:t>
            </w:r>
          </w:p>
        </w:tc>
        <w:tc>
          <w:tcPr>
            <w:tcW w:w="1263" w:type="dxa"/>
            <w:tcBorders>
              <w:top w:val="nil"/>
              <w:left w:val="nil"/>
              <w:bottom w:val="nil"/>
              <w:right w:val="nil"/>
            </w:tcBorders>
            <w:shd w:val="clear" w:color="auto" w:fill="auto"/>
            <w:noWrap/>
            <w:vAlign w:val="center"/>
            <w:hideMark/>
          </w:tcPr>
          <w:p w14:paraId="63656C3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2,4 </w:t>
            </w:r>
          </w:p>
        </w:tc>
        <w:tc>
          <w:tcPr>
            <w:tcW w:w="1295" w:type="dxa"/>
            <w:tcBorders>
              <w:top w:val="nil"/>
              <w:left w:val="nil"/>
              <w:bottom w:val="nil"/>
              <w:right w:val="nil"/>
            </w:tcBorders>
            <w:shd w:val="clear" w:color="auto" w:fill="auto"/>
            <w:noWrap/>
            <w:vAlign w:val="center"/>
            <w:hideMark/>
          </w:tcPr>
          <w:p w14:paraId="44F546C8"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2,5 </w:t>
            </w:r>
          </w:p>
        </w:tc>
      </w:tr>
      <w:tr w:rsidR="00E760A9" w:rsidRPr="00F5596D" w14:paraId="3D465316" w14:textId="77777777" w:rsidTr="00E760A9">
        <w:trPr>
          <w:trHeight w:val="20"/>
          <w:jc w:val="center"/>
        </w:trPr>
        <w:tc>
          <w:tcPr>
            <w:tcW w:w="3412" w:type="dxa"/>
            <w:tcBorders>
              <w:top w:val="nil"/>
              <w:left w:val="nil"/>
              <w:bottom w:val="nil"/>
              <w:right w:val="nil"/>
            </w:tcBorders>
            <w:shd w:val="clear" w:color="000000" w:fill="FFFFFF"/>
            <w:noWrap/>
            <w:vAlign w:val="center"/>
            <w:hideMark/>
          </w:tcPr>
          <w:p w14:paraId="49276DC8"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"Метохија" доо</w:t>
            </w:r>
          </w:p>
        </w:tc>
        <w:tc>
          <w:tcPr>
            <w:tcW w:w="1188" w:type="dxa"/>
            <w:tcBorders>
              <w:top w:val="nil"/>
              <w:left w:val="nil"/>
              <w:bottom w:val="nil"/>
              <w:right w:val="nil"/>
            </w:tcBorders>
            <w:shd w:val="clear" w:color="000000" w:fill="FFFFFF"/>
            <w:noWrap/>
            <w:vAlign w:val="center"/>
            <w:hideMark/>
          </w:tcPr>
          <w:p w14:paraId="08AB6B6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1,1 </w:t>
            </w:r>
          </w:p>
        </w:tc>
        <w:tc>
          <w:tcPr>
            <w:tcW w:w="1188" w:type="dxa"/>
            <w:tcBorders>
              <w:top w:val="nil"/>
              <w:left w:val="nil"/>
              <w:bottom w:val="nil"/>
              <w:right w:val="nil"/>
            </w:tcBorders>
            <w:shd w:val="clear" w:color="auto" w:fill="auto"/>
            <w:noWrap/>
            <w:vAlign w:val="center"/>
            <w:hideMark/>
          </w:tcPr>
          <w:p w14:paraId="3344D8F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1,9 </w:t>
            </w:r>
          </w:p>
        </w:tc>
        <w:tc>
          <w:tcPr>
            <w:tcW w:w="1263" w:type="dxa"/>
            <w:tcBorders>
              <w:top w:val="nil"/>
              <w:left w:val="nil"/>
              <w:bottom w:val="nil"/>
              <w:right w:val="nil"/>
            </w:tcBorders>
            <w:shd w:val="clear" w:color="auto" w:fill="auto"/>
            <w:noWrap/>
            <w:vAlign w:val="center"/>
            <w:hideMark/>
          </w:tcPr>
          <w:p w14:paraId="73434CB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0,5 </w:t>
            </w:r>
          </w:p>
        </w:tc>
        <w:tc>
          <w:tcPr>
            <w:tcW w:w="1295" w:type="dxa"/>
            <w:tcBorders>
              <w:top w:val="nil"/>
              <w:left w:val="nil"/>
              <w:bottom w:val="nil"/>
              <w:right w:val="nil"/>
            </w:tcBorders>
            <w:shd w:val="clear" w:color="auto" w:fill="auto"/>
            <w:noWrap/>
            <w:vAlign w:val="center"/>
            <w:hideMark/>
          </w:tcPr>
          <w:p w14:paraId="77E23CE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2,3 </w:t>
            </w:r>
          </w:p>
        </w:tc>
      </w:tr>
      <w:tr w:rsidR="00E760A9" w:rsidRPr="00F5596D" w14:paraId="5AAB98FB" w14:textId="77777777" w:rsidTr="00E760A9">
        <w:trPr>
          <w:trHeight w:val="20"/>
          <w:jc w:val="center"/>
        </w:trPr>
        <w:tc>
          <w:tcPr>
            <w:tcW w:w="3412" w:type="dxa"/>
            <w:tcBorders>
              <w:top w:val="single" w:sz="4" w:space="0" w:color="002060"/>
              <w:left w:val="nil"/>
              <w:bottom w:val="single" w:sz="4" w:space="0" w:color="002060"/>
              <w:right w:val="nil"/>
            </w:tcBorders>
            <w:shd w:val="clear" w:color="auto" w:fill="auto"/>
            <w:noWrap/>
            <w:vAlign w:val="center"/>
            <w:hideMark/>
          </w:tcPr>
          <w:p w14:paraId="4DEE5A9E" w14:textId="77777777" w:rsidR="00E760A9" w:rsidRPr="00F5596D" w:rsidRDefault="00E760A9" w:rsidP="0087666C">
            <w:pPr>
              <w:spacing w:after="0" w:line="240" w:lineRule="auto"/>
              <w:jc w:val="left"/>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Укупно:</w:t>
            </w:r>
          </w:p>
        </w:tc>
        <w:tc>
          <w:tcPr>
            <w:tcW w:w="1188" w:type="dxa"/>
            <w:tcBorders>
              <w:top w:val="single" w:sz="4" w:space="0" w:color="002060"/>
              <w:left w:val="nil"/>
              <w:bottom w:val="single" w:sz="4" w:space="0" w:color="002060"/>
              <w:right w:val="nil"/>
            </w:tcBorders>
            <w:shd w:val="clear" w:color="auto" w:fill="auto"/>
            <w:noWrap/>
            <w:vAlign w:val="center"/>
            <w:hideMark/>
          </w:tcPr>
          <w:p w14:paraId="4C174141"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130.572,2 </w:t>
            </w:r>
          </w:p>
        </w:tc>
        <w:tc>
          <w:tcPr>
            <w:tcW w:w="1188" w:type="dxa"/>
            <w:tcBorders>
              <w:top w:val="single" w:sz="4" w:space="0" w:color="002060"/>
              <w:left w:val="nil"/>
              <w:bottom w:val="single" w:sz="4" w:space="0" w:color="002060"/>
              <w:right w:val="nil"/>
            </w:tcBorders>
            <w:shd w:val="clear" w:color="auto" w:fill="auto"/>
            <w:noWrap/>
            <w:vAlign w:val="center"/>
            <w:hideMark/>
          </w:tcPr>
          <w:p w14:paraId="332F3CFF" w14:textId="511EE16F" w:rsidR="00E760A9" w:rsidRPr="00F5596D" w:rsidRDefault="002D4F3F"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35.780,8</w:t>
            </w:r>
            <w:r w:rsidR="00E760A9" w:rsidRPr="00F5596D">
              <w:rPr>
                <w:rFonts w:ascii="Calibri" w:eastAsia="Times New Roman" w:hAnsi="Calibri" w:cs="Calibri"/>
                <w:b/>
                <w:bCs/>
                <w:color w:val="002060"/>
                <w:sz w:val="18"/>
                <w:szCs w:val="18"/>
                <w:lang w:val="sr-Cyrl-CS" w:eastAsia="sr-Cyrl-RS"/>
              </w:rPr>
              <w:t xml:space="preserve"> </w:t>
            </w:r>
          </w:p>
        </w:tc>
        <w:tc>
          <w:tcPr>
            <w:tcW w:w="1263" w:type="dxa"/>
            <w:tcBorders>
              <w:top w:val="single" w:sz="4" w:space="0" w:color="002060"/>
              <w:left w:val="nil"/>
              <w:bottom w:val="single" w:sz="4" w:space="0" w:color="002060"/>
              <w:right w:val="nil"/>
            </w:tcBorders>
            <w:shd w:val="clear" w:color="auto" w:fill="auto"/>
            <w:noWrap/>
            <w:vAlign w:val="center"/>
            <w:hideMark/>
          </w:tcPr>
          <w:p w14:paraId="3643C912"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17.142,1 </w:t>
            </w:r>
          </w:p>
        </w:tc>
        <w:tc>
          <w:tcPr>
            <w:tcW w:w="1295" w:type="dxa"/>
            <w:tcBorders>
              <w:top w:val="single" w:sz="4" w:space="0" w:color="002060"/>
              <w:left w:val="nil"/>
              <w:bottom w:val="single" w:sz="4" w:space="0" w:color="002060"/>
              <w:right w:val="nil"/>
            </w:tcBorders>
            <w:shd w:val="clear" w:color="auto" w:fill="auto"/>
            <w:noWrap/>
            <w:vAlign w:val="center"/>
            <w:hideMark/>
          </w:tcPr>
          <w:p w14:paraId="6185877C"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20.954,7 </w:t>
            </w:r>
          </w:p>
        </w:tc>
      </w:tr>
    </w:tbl>
    <w:p w14:paraId="31CBBBB7"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Финансијски извештаји (АПР) и квартални извештај за 2025. годину</w:t>
      </w:r>
    </w:p>
    <w:p w14:paraId="6FED2761"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 није усвојен програм пословања за 2025. годину</w:t>
      </w:r>
    </w:p>
    <w:p w14:paraId="780CB483" w14:textId="77777777" w:rsidR="00330999" w:rsidRPr="00F5596D" w:rsidRDefault="00330999" w:rsidP="00330999">
      <w:pPr>
        <w:spacing w:after="0" w:line="276" w:lineRule="auto"/>
        <w:rPr>
          <w:rFonts w:eastAsia="MS PGothic" w:cstheme="minorHAnsi"/>
          <w:sz w:val="18"/>
          <w:szCs w:val="18"/>
          <w:highlight w:val="yellow"/>
          <w:lang w:val="sr-Cyrl-CS" w:eastAsia="ja-JP"/>
        </w:rPr>
      </w:pPr>
    </w:p>
    <w:p w14:paraId="1A760499" w14:textId="77777777" w:rsidR="00330999" w:rsidRPr="00F5596D" w:rsidRDefault="00330999" w:rsidP="00330999">
      <w:pPr>
        <w:spacing w:after="0" w:line="276" w:lineRule="auto"/>
        <w:rPr>
          <w:rFonts w:eastAsia="MS PGothic" w:cstheme="minorHAnsi"/>
          <w:sz w:val="18"/>
          <w:szCs w:val="18"/>
          <w:highlight w:val="yellow"/>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3C9B1090"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 првом кварталу текуће године добит је остварило 24 предузећа у укупном износу од 21,0 млрд динара, што је више у односу на планирану добит од 17,1 млрд динара (22,3%). Највећи утицај на позитиван нето резултат у посматраном периоду имају „Електропривреда Србије” ад и ЈП „Србијагас” који су остварили нето добит у износу од 10,8 млрд динара односно 5,8 млрд динара.</w:t>
      </w:r>
    </w:p>
    <w:p w14:paraId="23D739E2"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У односу на остварен број добиташа на крају првог квартала, 12 предузећа је остварило негативан нето резултат у износу од 10,8 млрд динара, што је </w:t>
      </w:r>
      <w:r w:rsidRPr="00F5596D">
        <w:rPr>
          <w:rFonts w:eastAsia="MS PGothic" w:cstheme="minorHAnsi"/>
          <w:szCs w:val="20"/>
          <w:lang w:val="sr-Cyrl-CS" w:eastAsia="ja-JP"/>
        </w:rPr>
        <w:t>ниже од планираног нето резултата од 403,5 млн динара. Највећи утицај на негативан нето резултат у посматраном периоду имају ЈП „Путеви Србије” и „Електродистрибуција Србије” доо који су остварили нето губитак у износу од 6,5 млрд динара односно 2,5 млрд динара.</w:t>
      </w:r>
    </w:p>
    <w:p w14:paraId="12D45737" w14:textId="77777777" w:rsidR="00330999" w:rsidRPr="00F5596D" w:rsidRDefault="00330999" w:rsidP="00330999">
      <w:pPr>
        <w:rPr>
          <w:rFonts w:eastAsia="MS PGothic" w:cstheme="minorHAnsi"/>
          <w:szCs w:val="20"/>
          <w:lang w:val="sr-Cyrl-CS" w:eastAsia="ja-JP"/>
        </w:rPr>
      </w:pPr>
    </w:p>
    <w:p w14:paraId="772290B9" w14:textId="77777777" w:rsidR="00330999" w:rsidRPr="00F5596D" w:rsidRDefault="00330999" w:rsidP="00330999">
      <w:pPr>
        <w:rPr>
          <w:rFonts w:eastAsia="MS PGothic" w:cstheme="minorHAnsi"/>
          <w:szCs w:val="20"/>
          <w:lang w:val="sr-Cyrl-CS" w:eastAsia="ja-JP"/>
        </w:rPr>
      </w:pPr>
    </w:p>
    <w:p w14:paraId="04170ECF" w14:textId="77777777" w:rsidR="00330999" w:rsidRPr="00F5596D" w:rsidRDefault="00330999" w:rsidP="00330999">
      <w:pPr>
        <w:rPr>
          <w:rFonts w:eastAsia="MS PGothic" w:cstheme="minorHAnsi"/>
          <w:szCs w:val="20"/>
          <w:lang w:val="sr-Cyrl-CS" w:eastAsia="ja-JP"/>
        </w:rPr>
      </w:pPr>
    </w:p>
    <w:p w14:paraId="039FC995" w14:textId="77777777" w:rsidR="00330999" w:rsidRPr="00F5596D" w:rsidRDefault="00330999" w:rsidP="00330999">
      <w:pPr>
        <w:rPr>
          <w:rFonts w:eastAsia="MS PGothic" w:cstheme="minorHAnsi"/>
          <w:szCs w:val="20"/>
          <w:lang w:val="sr-Cyrl-CS" w:eastAsia="ja-JP"/>
        </w:rPr>
        <w:sectPr w:rsidR="00330999" w:rsidRPr="00F5596D" w:rsidSect="00E61B34">
          <w:headerReference w:type="even" r:id="rId178"/>
          <w:footerReference w:type="even" r:id="rId179"/>
          <w:footerReference w:type="default" r:id="rId180"/>
          <w:headerReference w:type="first" r:id="rId181"/>
          <w:type w:val="continuous"/>
          <w:pgSz w:w="12240" w:h="15840"/>
          <w:pgMar w:top="1440" w:right="1440" w:bottom="1440" w:left="1440" w:header="720" w:footer="720" w:gutter="0"/>
          <w:cols w:num="2" w:space="720"/>
          <w:docGrid w:linePitch="360"/>
        </w:sectPr>
      </w:pPr>
    </w:p>
    <w:p w14:paraId="24051D51" w14:textId="77777777" w:rsidR="00330999" w:rsidRPr="00F5596D" w:rsidRDefault="00330999" w:rsidP="00330999">
      <w:pPr>
        <w:spacing w:after="120"/>
        <w:jc w:val="center"/>
        <w:rPr>
          <w:rFonts w:eastAsia="MS PGothic" w:cstheme="minorHAnsi"/>
          <w:b/>
          <w:color w:val="002060"/>
          <w:szCs w:val="20"/>
          <w:lang w:val="sr-Cyrl-CS" w:eastAsia="ja-JP"/>
        </w:rPr>
      </w:pPr>
    </w:p>
    <w:p w14:paraId="51607632" w14:textId="77777777" w:rsidR="00E760A9" w:rsidRPr="00F5596D" w:rsidRDefault="00E760A9" w:rsidP="00330999">
      <w:pPr>
        <w:spacing w:after="120"/>
        <w:jc w:val="center"/>
        <w:rPr>
          <w:rFonts w:eastAsia="MS PGothic" w:cstheme="minorHAnsi"/>
          <w:b/>
          <w:color w:val="002060"/>
          <w:szCs w:val="20"/>
          <w:lang w:val="sr-Cyrl-CS" w:eastAsia="ja-JP"/>
        </w:rPr>
      </w:pPr>
    </w:p>
    <w:p w14:paraId="69293D45" w14:textId="77777777" w:rsidR="00E760A9" w:rsidRPr="00F5596D" w:rsidRDefault="00E760A9" w:rsidP="00330999">
      <w:pPr>
        <w:spacing w:after="120"/>
        <w:jc w:val="center"/>
        <w:rPr>
          <w:rFonts w:eastAsia="MS PGothic" w:cstheme="minorHAnsi"/>
          <w:b/>
          <w:color w:val="002060"/>
          <w:szCs w:val="20"/>
          <w:lang w:val="sr-Cyrl-CS" w:eastAsia="ja-JP"/>
        </w:rPr>
      </w:pPr>
    </w:p>
    <w:p w14:paraId="73426B23" w14:textId="2B9E0B6E"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2</w:t>
      </w:r>
      <w:r w:rsidR="00F14A11" w:rsidRPr="00F5596D">
        <w:rPr>
          <w:rFonts w:eastAsia="MS PGothic" w:cstheme="minorHAnsi"/>
          <w:b/>
          <w:color w:val="002060"/>
          <w:szCs w:val="20"/>
          <w:lang w:val="sr-Cyrl-CS" w:eastAsia="ja-JP"/>
        </w:rPr>
        <w:t>2</w:t>
      </w:r>
      <w:r w:rsidRPr="00F5596D">
        <w:rPr>
          <w:rFonts w:eastAsia="MS PGothic" w:cstheme="minorHAnsi"/>
          <w:b/>
          <w:color w:val="002060"/>
          <w:szCs w:val="20"/>
          <w:lang w:val="sr-Cyrl-CS" w:eastAsia="ja-JP"/>
        </w:rPr>
        <w:t xml:space="preserve">. Државна предузећа која су остварила нето губитак у периоду 1.1–31.3.2025. године </w:t>
      </w:r>
      <w:r w:rsidRPr="00F5596D">
        <w:rPr>
          <w:rFonts w:eastAsia="MS PGothic" w:cstheme="minorHAnsi"/>
          <w:b/>
          <w:color w:val="002060"/>
          <w:szCs w:val="20"/>
          <w:lang w:val="sr-Cyrl-CS" w:eastAsia="ja-JP"/>
        </w:rPr>
        <w:br w:type="textWrapping" w:clear="all"/>
        <w:t>у млн динара</w:t>
      </w:r>
    </w:p>
    <w:tbl>
      <w:tblPr>
        <w:tblW w:w="8288" w:type="dxa"/>
        <w:jc w:val="center"/>
        <w:tblLook w:val="04A0" w:firstRow="1" w:lastRow="0" w:firstColumn="1" w:lastColumn="0" w:noHBand="0" w:noVBand="1"/>
      </w:tblPr>
      <w:tblGrid>
        <w:gridCol w:w="2926"/>
        <w:gridCol w:w="1204"/>
        <w:gridCol w:w="1234"/>
        <w:gridCol w:w="1462"/>
        <w:gridCol w:w="1462"/>
      </w:tblGrid>
      <w:tr w:rsidR="00E760A9" w:rsidRPr="00F5596D" w14:paraId="03A4F1B3" w14:textId="77777777" w:rsidTr="00E760A9">
        <w:trPr>
          <w:trHeight w:val="20"/>
          <w:tblHeader/>
          <w:jc w:val="center"/>
        </w:trPr>
        <w:tc>
          <w:tcPr>
            <w:tcW w:w="2926" w:type="dxa"/>
            <w:tcBorders>
              <w:top w:val="single" w:sz="4" w:space="0" w:color="002060"/>
              <w:left w:val="nil"/>
              <w:bottom w:val="single" w:sz="4" w:space="0" w:color="002060"/>
              <w:right w:val="nil"/>
            </w:tcBorders>
            <w:shd w:val="clear" w:color="auto" w:fill="auto"/>
            <w:vAlign w:val="center"/>
            <w:hideMark/>
          </w:tcPr>
          <w:p w14:paraId="30B30A28"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Предузећа</w:t>
            </w:r>
          </w:p>
        </w:tc>
        <w:tc>
          <w:tcPr>
            <w:tcW w:w="1204" w:type="dxa"/>
            <w:tcBorders>
              <w:top w:val="single" w:sz="4" w:space="0" w:color="002060"/>
              <w:left w:val="nil"/>
              <w:bottom w:val="single" w:sz="4" w:space="0" w:color="002060"/>
              <w:right w:val="nil"/>
            </w:tcBorders>
            <w:shd w:val="clear" w:color="auto" w:fill="auto"/>
            <w:vAlign w:val="center"/>
            <w:hideMark/>
          </w:tcPr>
          <w:p w14:paraId="5F9980BD"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Реализација </w:t>
            </w:r>
            <w:r w:rsidRPr="00F5596D">
              <w:rPr>
                <w:rFonts w:ascii="Calibri" w:eastAsia="Times New Roman" w:hAnsi="Calibri" w:cs="Calibri"/>
                <w:b/>
                <w:bCs/>
                <w:color w:val="002060"/>
                <w:sz w:val="18"/>
                <w:szCs w:val="18"/>
                <w:lang w:val="sr-Cyrl-CS" w:eastAsia="sr-Cyrl-RS"/>
              </w:rPr>
              <w:br/>
              <w:t>2023</w:t>
            </w:r>
          </w:p>
        </w:tc>
        <w:tc>
          <w:tcPr>
            <w:tcW w:w="1234" w:type="dxa"/>
            <w:tcBorders>
              <w:top w:val="single" w:sz="4" w:space="0" w:color="002060"/>
              <w:left w:val="nil"/>
              <w:bottom w:val="single" w:sz="4" w:space="0" w:color="002060"/>
              <w:right w:val="nil"/>
            </w:tcBorders>
            <w:shd w:val="clear" w:color="auto" w:fill="auto"/>
            <w:vAlign w:val="center"/>
            <w:hideMark/>
          </w:tcPr>
          <w:p w14:paraId="1EECB531"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Реализација </w:t>
            </w:r>
            <w:r w:rsidRPr="00F5596D">
              <w:rPr>
                <w:rFonts w:ascii="Calibri" w:eastAsia="Times New Roman" w:hAnsi="Calibri" w:cs="Calibri"/>
                <w:b/>
                <w:bCs/>
                <w:color w:val="002060"/>
                <w:sz w:val="18"/>
                <w:szCs w:val="18"/>
                <w:lang w:val="sr-Cyrl-CS" w:eastAsia="sr-Cyrl-RS"/>
              </w:rPr>
              <w:br/>
              <w:t>2024</w:t>
            </w:r>
          </w:p>
        </w:tc>
        <w:tc>
          <w:tcPr>
            <w:tcW w:w="1462" w:type="dxa"/>
            <w:tcBorders>
              <w:top w:val="single" w:sz="4" w:space="0" w:color="002060"/>
              <w:left w:val="nil"/>
              <w:bottom w:val="single" w:sz="4" w:space="0" w:color="002060"/>
              <w:right w:val="nil"/>
            </w:tcBorders>
            <w:shd w:val="clear" w:color="auto" w:fill="auto"/>
            <w:vAlign w:val="center"/>
            <w:hideMark/>
          </w:tcPr>
          <w:p w14:paraId="79EFED2B"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План                                                                                                                                                                                                                                                                                                                                                   01.01 - 31.03.2025.</w:t>
            </w:r>
          </w:p>
        </w:tc>
        <w:tc>
          <w:tcPr>
            <w:tcW w:w="1462" w:type="dxa"/>
            <w:tcBorders>
              <w:top w:val="single" w:sz="4" w:space="0" w:color="002060"/>
              <w:left w:val="nil"/>
              <w:bottom w:val="single" w:sz="4" w:space="0" w:color="002060"/>
              <w:right w:val="nil"/>
            </w:tcBorders>
            <w:shd w:val="clear" w:color="auto" w:fill="auto"/>
            <w:vAlign w:val="center"/>
            <w:hideMark/>
          </w:tcPr>
          <w:p w14:paraId="046A78B2"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Реализација                                                                                                                                                                                                                                                                                                                                              01.01  - 31.03.2025.</w:t>
            </w:r>
          </w:p>
        </w:tc>
      </w:tr>
      <w:tr w:rsidR="00E760A9" w:rsidRPr="00F5596D" w14:paraId="5247F67A"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69D919D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"Путеви Србије"</w:t>
            </w:r>
          </w:p>
        </w:tc>
        <w:tc>
          <w:tcPr>
            <w:tcW w:w="1204" w:type="dxa"/>
            <w:tcBorders>
              <w:top w:val="nil"/>
              <w:left w:val="nil"/>
              <w:bottom w:val="nil"/>
              <w:right w:val="nil"/>
            </w:tcBorders>
            <w:shd w:val="clear" w:color="000000" w:fill="FFFFFF"/>
            <w:noWrap/>
            <w:vAlign w:val="center"/>
            <w:hideMark/>
          </w:tcPr>
          <w:p w14:paraId="48C2628B"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(6.818,9)</w:t>
            </w:r>
          </w:p>
        </w:tc>
        <w:tc>
          <w:tcPr>
            <w:tcW w:w="1234" w:type="dxa"/>
            <w:tcBorders>
              <w:top w:val="nil"/>
              <w:left w:val="nil"/>
              <w:bottom w:val="nil"/>
              <w:right w:val="nil"/>
            </w:tcBorders>
            <w:shd w:val="clear" w:color="auto" w:fill="auto"/>
            <w:noWrap/>
            <w:vAlign w:val="center"/>
            <w:hideMark/>
          </w:tcPr>
          <w:p w14:paraId="644B42D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(11.421,5)</w:t>
            </w:r>
          </w:p>
        </w:tc>
        <w:tc>
          <w:tcPr>
            <w:tcW w:w="1462" w:type="dxa"/>
            <w:tcBorders>
              <w:top w:val="nil"/>
              <w:left w:val="nil"/>
              <w:bottom w:val="nil"/>
              <w:right w:val="nil"/>
            </w:tcBorders>
            <w:shd w:val="clear" w:color="auto" w:fill="auto"/>
            <w:noWrap/>
            <w:vAlign w:val="center"/>
            <w:hideMark/>
          </w:tcPr>
          <w:p w14:paraId="3651065B"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3.396,5 </w:t>
            </w:r>
          </w:p>
        </w:tc>
        <w:tc>
          <w:tcPr>
            <w:tcW w:w="1462" w:type="dxa"/>
            <w:tcBorders>
              <w:top w:val="nil"/>
              <w:left w:val="nil"/>
              <w:bottom w:val="nil"/>
              <w:right w:val="nil"/>
            </w:tcBorders>
            <w:shd w:val="clear" w:color="auto" w:fill="auto"/>
            <w:noWrap/>
            <w:vAlign w:val="center"/>
            <w:hideMark/>
          </w:tcPr>
          <w:p w14:paraId="5D6DA46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(6.547,9)</w:t>
            </w:r>
          </w:p>
        </w:tc>
      </w:tr>
      <w:tr w:rsidR="00E760A9" w:rsidRPr="00F5596D" w14:paraId="225867F7"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2DC78CF9"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"Електродистрибуција Србије" доо</w:t>
            </w:r>
          </w:p>
        </w:tc>
        <w:tc>
          <w:tcPr>
            <w:tcW w:w="1204" w:type="dxa"/>
            <w:tcBorders>
              <w:top w:val="nil"/>
              <w:left w:val="nil"/>
              <w:bottom w:val="nil"/>
              <w:right w:val="nil"/>
            </w:tcBorders>
            <w:shd w:val="clear" w:color="000000" w:fill="FFFFFF"/>
            <w:noWrap/>
            <w:vAlign w:val="center"/>
            <w:hideMark/>
          </w:tcPr>
          <w:p w14:paraId="5B78007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(1.206,0)</w:t>
            </w:r>
          </w:p>
        </w:tc>
        <w:tc>
          <w:tcPr>
            <w:tcW w:w="1234" w:type="dxa"/>
            <w:tcBorders>
              <w:top w:val="nil"/>
              <w:left w:val="nil"/>
              <w:bottom w:val="nil"/>
              <w:right w:val="nil"/>
            </w:tcBorders>
            <w:shd w:val="clear" w:color="auto" w:fill="auto"/>
            <w:noWrap/>
            <w:vAlign w:val="center"/>
            <w:hideMark/>
          </w:tcPr>
          <w:p w14:paraId="25B62D5F"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(6.932,9)</w:t>
            </w:r>
          </w:p>
        </w:tc>
        <w:tc>
          <w:tcPr>
            <w:tcW w:w="1462" w:type="dxa"/>
            <w:tcBorders>
              <w:top w:val="nil"/>
              <w:left w:val="nil"/>
              <w:bottom w:val="nil"/>
              <w:right w:val="nil"/>
            </w:tcBorders>
            <w:shd w:val="clear" w:color="auto" w:fill="auto"/>
            <w:noWrap/>
            <w:vAlign w:val="center"/>
            <w:hideMark/>
          </w:tcPr>
          <w:p w14:paraId="58F7571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(1.907,1)</w:t>
            </w:r>
          </w:p>
        </w:tc>
        <w:tc>
          <w:tcPr>
            <w:tcW w:w="1462" w:type="dxa"/>
            <w:tcBorders>
              <w:top w:val="nil"/>
              <w:left w:val="nil"/>
              <w:bottom w:val="nil"/>
              <w:right w:val="nil"/>
            </w:tcBorders>
            <w:shd w:val="clear" w:color="auto" w:fill="auto"/>
            <w:noWrap/>
            <w:vAlign w:val="center"/>
            <w:hideMark/>
          </w:tcPr>
          <w:p w14:paraId="23D44B4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(2.513,7)</w:t>
            </w:r>
          </w:p>
        </w:tc>
      </w:tr>
      <w:tr w:rsidR="00E760A9" w:rsidRPr="00F5596D" w14:paraId="4ADFB94F"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349936AA"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"Инфраструктура железнице Србије" ад</w:t>
            </w:r>
          </w:p>
        </w:tc>
        <w:tc>
          <w:tcPr>
            <w:tcW w:w="1204" w:type="dxa"/>
            <w:tcBorders>
              <w:top w:val="nil"/>
              <w:left w:val="nil"/>
              <w:bottom w:val="nil"/>
              <w:right w:val="nil"/>
            </w:tcBorders>
            <w:shd w:val="clear" w:color="000000" w:fill="FFFFFF"/>
            <w:noWrap/>
            <w:vAlign w:val="center"/>
            <w:hideMark/>
          </w:tcPr>
          <w:p w14:paraId="74D2D99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(7.204,0)</w:t>
            </w:r>
          </w:p>
        </w:tc>
        <w:tc>
          <w:tcPr>
            <w:tcW w:w="1234" w:type="dxa"/>
            <w:tcBorders>
              <w:top w:val="nil"/>
              <w:left w:val="nil"/>
              <w:bottom w:val="nil"/>
              <w:right w:val="nil"/>
            </w:tcBorders>
            <w:shd w:val="clear" w:color="auto" w:fill="auto"/>
            <w:noWrap/>
            <w:vAlign w:val="center"/>
            <w:hideMark/>
          </w:tcPr>
          <w:p w14:paraId="57F375A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(4.672,5)</w:t>
            </w:r>
          </w:p>
        </w:tc>
        <w:tc>
          <w:tcPr>
            <w:tcW w:w="1462" w:type="dxa"/>
            <w:tcBorders>
              <w:top w:val="nil"/>
              <w:left w:val="nil"/>
              <w:bottom w:val="nil"/>
              <w:right w:val="nil"/>
            </w:tcBorders>
            <w:shd w:val="clear" w:color="auto" w:fill="auto"/>
            <w:noWrap/>
            <w:vAlign w:val="center"/>
            <w:hideMark/>
          </w:tcPr>
          <w:p w14:paraId="31F4D624"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(348,3)</w:t>
            </w:r>
          </w:p>
        </w:tc>
        <w:tc>
          <w:tcPr>
            <w:tcW w:w="1462" w:type="dxa"/>
            <w:tcBorders>
              <w:top w:val="nil"/>
              <w:left w:val="nil"/>
              <w:bottom w:val="nil"/>
              <w:right w:val="nil"/>
            </w:tcBorders>
            <w:shd w:val="clear" w:color="auto" w:fill="auto"/>
            <w:noWrap/>
            <w:vAlign w:val="center"/>
            <w:hideMark/>
          </w:tcPr>
          <w:p w14:paraId="18C7FA7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(1.158,7)</w:t>
            </w:r>
          </w:p>
        </w:tc>
      </w:tr>
      <w:tr w:rsidR="00E760A9" w:rsidRPr="00F5596D" w14:paraId="04DF273A"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03D4F9FF"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"Србијашуме"</w:t>
            </w:r>
          </w:p>
        </w:tc>
        <w:tc>
          <w:tcPr>
            <w:tcW w:w="1204" w:type="dxa"/>
            <w:tcBorders>
              <w:top w:val="nil"/>
              <w:left w:val="nil"/>
              <w:bottom w:val="nil"/>
              <w:right w:val="nil"/>
            </w:tcBorders>
            <w:shd w:val="clear" w:color="000000" w:fill="FFFFFF"/>
            <w:noWrap/>
            <w:vAlign w:val="center"/>
            <w:hideMark/>
          </w:tcPr>
          <w:p w14:paraId="1C876D8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725,7 </w:t>
            </w:r>
          </w:p>
        </w:tc>
        <w:tc>
          <w:tcPr>
            <w:tcW w:w="1234" w:type="dxa"/>
            <w:tcBorders>
              <w:top w:val="nil"/>
              <w:left w:val="nil"/>
              <w:bottom w:val="nil"/>
              <w:right w:val="nil"/>
            </w:tcBorders>
            <w:shd w:val="clear" w:color="auto" w:fill="auto"/>
            <w:noWrap/>
            <w:vAlign w:val="center"/>
            <w:hideMark/>
          </w:tcPr>
          <w:p w14:paraId="1280946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173,1 </w:t>
            </w:r>
          </w:p>
        </w:tc>
        <w:tc>
          <w:tcPr>
            <w:tcW w:w="1462" w:type="dxa"/>
            <w:tcBorders>
              <w:top w:val="nil"/>
              <w:left w:val="nil"/>
              <w:bottom w:val="nil"/>
              <w:right w:val="nil"/>
            </w:tcBorders>
            <w:shd w:val="clear" w:color="auto" w:fill="auto"/>
            <w:noWrap/>
            <w:vAlign w:val="center"/>
            <w:hideMark/>
          </w:tcPr>
          <w:p w14:paraId="69C90EA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(208,8)</w:t>
            </w:r>
          </w:p>
        </w:tc>
        <w:tc>
          <w:tcPr>
            <w:tcW w:w="1462" w:type="dxa"/>
            <w:tcBorders>
              <w:top w:val="nil"/>
              <w:left w:val="nil"/>
              <w:bottom w:val="nil"/>
              <w:right w:val="nil"/>
            </w:tcBorders>
            <w:shd w:val="clear" w:color="auto" w:fill="auto"/>
            <w:noWrap/>
            <w:vAlign w:val="center"/>
            <w:hideMark/>
          </w:tcPr>
          <w:p w14:paraId="6143E61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(213,9)</w:t>
            </w:r>
          </w:p>
        </w:tc>
      </w:tr>
      <w:tr w:rsidR="00E760A9" w:rsidRPr="00F5596D" w14:paraId="2D78E630"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7FF07CE3"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Јавно предузеће ПЕУ "Ресавица" </w:t>
            </w:r>
          </w:p>
        </w:tc>
        <w:tc>
          <w:tcPr>
            <w:tcW w:w="1204" w:type="dxa"/>
            <w:tcBorders>
              <w:top w:val="nil"/>
              <w:left w:val="nil"/>
              <w:bottom w:val="nil"/>
              <w:right w:val="nil"/>
            </w:tcBorders>
            <w:shd w:val="clear" w:color="000000" w:fill="FFFFFF"/>
            <w:noWrap/>
            <w:vAlign w:val="center"/>
            <w:hideMark/>
          </w:tcPr>
          <w:p w14:paraId="47F3FFB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(2.152,4)</w:t>
            </w:r>
          </w:p>
        </w:tc>
        <w:tc>
          <w:tcPr>
            <w:tcW w:w="1234" w:type="dxa"/>
            <w:tcBorders>
              <w:top w:val="nil"/>
              <w:left w:val="nil"/>
              <w:bottom w:val="nil"/>
              <w:right w:val="nil"/>
            </w:tcBorders>
            <w:shd w:val="clear" w:color="auto" w:fill="auto"/>
            <w:noWrap/>
            <w:vAlign w:val="center"/>
            <w:hideMark/>
          </w:tcPr>
          <w:p w14:paraId="76A69F18"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(1.623,7)</w:t>
            </w:r>
          </w:p>
        </w:tc>
        <w:tc>
          <w:tcPr>
            <w:tcW w:w="1462" w:type="dxa"/>
            <w:tcBorders>
              <w:top w:val="nil"/>
              <w:left w:val="nil"/>
              <w:bottom w:val="nil"/>
              <w:right w:val="nil"/>
            </w:tcBorders>
            <w:shd w:val="clear" w:color="auto" w:fill="auto"/>
            <w:noWrap/>
            <w:vAlign w:val="center"/>
            <w:hideMark/>
          </w:tcPr>
          <w:p w14:paraId="713246B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(440,0)</w:t>
            </w:r>
          </w:p>
        </w:tc>
        <w:tc>
          <w:tcPr>
            <w:tcW w:w="1462" w:type="dxa"/>
            <w:tcBorders>
              <w:top w:val="nil"/>
              <w:left w:val="nil"/>
              <w:bottom w:val="nil"/>
              <w:right w:val="nil"/>
            </w:tcBorders>
            <w:shd w:val="clear" w:color="auto" w:fill="auto"/>
            <w:noWrap/>
            <w:vAlign w:val="center"/>
            <w:hideMark/>
          </w:tcPr>
          <w:p w14:paraId="30CFC302"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(158,4)</w:t>
            </w:r>
          </w:p>
        </w:tc>
      </w:tr>
      <w:tr w:rsidR="00E760A9" w:rsidRPr="00F5596D" w14:paraId="31B46B5E"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12239DB3"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"Завод за уџбенике"</w:t>
            </w:r>
          </w:p>
        </w:tc>
        <w:tc>
          <w:tcPr>
            <w:tcW w:w="1204" w:type="dxa"/>
            <w:tcBorders>
              <w:top w:val="nil"/>
              <w:left w:val="nil"/>
              <w:bottom w:val="nil"/>
              <w:right w:val="nil"/>
            </w:tcBorders>
            <w:shd w:val="clear" w:color="000000" w:fill="FFFFFF"/>
            <w:noWrap/>
            <w:vAlign w:val="center"/>
            <w:hideMark/>
          </w:tcPr>
          <w:p w14:paraId="7B65A2D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(96,8)</w:t>
            </w:r>
          </w:p>
        </w:tc>
        <w:tc>
          <w:tcPr>
            <w:tcW w:w="1234" w:type="dxa"/>
            <w:tcBorders>
              <w:top w:val="nil"/>
              <w:left w:val="nil"/>
              <w:bottom w:val="nil"/>
              <w:right w:val="nil"/>
            </w:tcBorders>
            <w:shd w:val="clear" w:color="auto" w:fill="auto"/>
            <w:noWrap/>
            <w:vAlign w:val="center"/>
            <w:hideMark/>
          </w:tcPr>
          <w:p w14:paraId="0524B82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(323,4)</w:t>
            </w:r>
          </w:p>
        </w:tc>
        <w:tc>
          <w:tcPr>
            <w:tcW w:w="1462" w:type="dxa"/>
            <w:tcBorders>
              <w:top w:val="nil"/>
              <w:left w:val="nil"/>
              <w:bottom w:val="nil"/>
              <w:right w:val="nil"/>
            </w:tcBorders>
            <w:shd w:val="clear" w:color="auto" w:fill="auto"/>
            <w:noWrap/>
            <w:vAlign w:val="center"/>
            <w:hideMark/>
          </w:tcPr>
          <w:p w14:paraId="6CBA2DF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(50,7)</w:t>
            </w:r>
          </w:p>
        </w:tc>
        <w:tc>
          <w:tcPr>
            <w:tcW w:w="1462" w:type="dxa"/>
            <w:tcBorders>
              <w:top w:val="nil"/>
              <w:left w:val="nil"/>
              <w:bottom w:val="nil"/>
              <w:right w:val="nil"/>
            </w:tcBorders>
            <w:shd w:val="clear" w:color="auto" w:fill="auto"/>
            <w:noWrap/>
            <w:vAlign w:val="center"/>
            <w:hideMark/>
          </w:tcPr>
          <w:p w14:paraId="3D81A56F"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(101,5)</w:t>
            </w:r>
          </w:p>
        </w:tc>
      </w:tr>
      <w:tr w:rsidR="00E760A9" w:rsidRPr="00F5596D" w14:paraId="359687BC"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7187B908"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"Службени гласник"</w:t>
            </w:r>
          </w:p>
        </w:tc>
        <w:tc>
          <w:tcPr>
            <w:tcW w:w="1204" w:type="dxa"/>
            <w:tcBorders>
              <w:top w:val="nil"/>
              <w:left w:val="nil"/>
              <w:bottom w:val="nil"/>
              <w:right w:val="nil"/>
            </w:tcBorders>
            <w:shd w:val="clear" w:color="000000" w:fill="FFFFFF"/>
            <w:noWrap/>
            <w:vAlign w:val="center"/>
            <w:hideMark/>
          </w:tcPr>
          <w:p w14:paraId="7ED2577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6,8 </w:t>
            </w:r>
          </w:p>
        </w:tc>
        <w:tc>
          <w:tcPr>
            <w:tcW w:w="1234" w:type="dxa"/>
            <w:tcBorders>
              <w:top w:val="nil"/>
              <w:left w:val="nil"/>
              <w:bottom w:val="nil"/>
              <w:right w:val="nil"/>
            </w:tcBorders>
            <w:shd w:val="clear" w:color="auto" w:fill="auto"/>
            <w:noWrap/>
            <w:vAlign w:val="center"/>
            <w:hideMark/>
          </w:tcPr>
          <w:p w14:paraId="6672A8A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28,2 </w:t>
            </w:r>
          </w:p>
        </w:tc>
        <w:tc>
          <w:tcPr>
            <w:tcW w:w="1462" w:type="dxa"/>
            <w:tcBorders>
              <w:top w:val="nil"/>
              <w:left w:val="nil"/>
              <w:bottom w:val="nil"/>
              <w:right w:val="nil"/>
            </w:tcBorders>
            <w:shd w:val="clear" w:color="auto" w:fill="auto"/>
            <w:noWrap/>
            <w:vAlign w:val="center"/>
            <w:hideMark/>
          </w:tcPr>
          <w:p w14:paraId="57BC0313"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(14,0)</w:t>
            </w:r>
          </w:p>
        </w:tc>
        <w:tc>
          <w:tcPr>
            <w:tcW w:w="1462" w:type="dxa"/>
            <w:tcBorders>
              <w:top w:val="nil"/>
              <w:left w:val="nil"/>
              <w:bottom w:val="nil"/>
              <w:right w:val="nil"/>
            </w:tcBorders>
            <w:shd w:val="clear" w:color="auto" w:fill="auto"/>
            <w:noWrap/>
            <w:vAlign w:val="center"/>
            <w:hideMark/>
          </w:tcPr>
          <w:p w14:paraId="62CEE0E4"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(37,9)</w:t>
            </w:r>
          </w:p>
        </w:tc>
      </w:tr>
      <w:tr w:rsidR="00E760A9" w:rsidRPr="00F5596D" w14:paraId="1DA6CF54"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6AE20944"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за склоништа</w:t>
            </w:r>
          </w:p>
        </w:tc>
        <w:tc>
          <w:tcPr>
            <w:tcW w:w="1204" w:type="dxa"/>
            <w:tcBorders>
              <w:top w:val="nil"/>
              <w:left w:val="nil"/>
              <w:bottom w:val="nil"/>
              <w:right w:val="nil"/>
            </w:tcBorders>
            <w:shd w:val="clear" w:color="000000" w:fill="FFFFFF"/>
            <w:noWrap/>
            <w:vAlign w:val="center"/>
            <w:hideMark/>
          </w:tcPr>
          <w:p w14:paraId="7C8A6AF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(117,3)</w:t>
            </w:r>
          </w:p>
        </w:tc>
        <w:tc>
          <w:tcPr>
            <w:tcW w:w="1234" w:type="dxa"/>
            <w:tcBorders>
              <w:top w:val="nil"/>
              <w:left w:val="nil"/>
              <w:bottom w:val="nil"/>
              <w:right w:val="nil"/>
            </w:tcBorders>
            <w:shd w:val="clear" w:color="auto" w:fill="auto"/>
            <w:noWrap/>
            <w:vAlign w:val="center"/>
            <w:hideMark/>
          </w:tcPr>
          <w:p w14:paraId="653669E8"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(75,0)</w:t>
            </w:r>
          </w:p>
        </w:tc>
        <w:tc>
          <w:tcPr>
            <w:tcW w:w="1462" w:type="dxa"/>
            <w:tcBorders>
              <w:top w:val="nil"/>
              <w:left w:val="nil"/>
              <w:bottom w:val="nil"/>
              <w:right w:val="nil"/>
            </w:tcBorders>
            <w:shd w:val="clear" w:color="auto" w:fill="auto"/>
            <w:noWrap/>
            <w:vAlign w:val="center"/>
            <w:hideMark/>
          </w:tcPr>
          <w:p w14:paraId="7389E3F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462" w:type="dxa"/>
            <w:tcBorders>
              <w:top w:val="nil"/>
              <w:left w:val="nil"/>
              <w:bottom w:val="nil"/>
              <w:right w:val="nil"/>
            </w:tcBorders>
            <w:shd w:val="clear" w:color="auto" w:fill="auto"/>
            <w:noWrap/>
            <w:vAlign w:val="center"/>
            <w:hideMark/>
          </w:tcPr>
          <w:p w14:paraId="0BFA554B"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(20,4)</w:t>
            </w:r>
          </w:p>
        </w:tc>
      </w:tr>
      <w:tr w:rsidR="00E760A9" w:rsidRPr="00F5596D" w14:paraId="1A08CE5F"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236C7C05"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"Тврђава Голубачки град" доо</w:t>
            </w:r>
          </w:p>
        </w:tc>
        <w:tc>
          <w:tcPr>
            <w:tcW w:w="1204" w:type="dxa"/>
            <w:tcBorders>
              <w:top w:val="nil"/>
              <w:left w:val="nil"/>
              <w:bottom w:val="nil"/>
              <w:right w:val="nil"/>
            </w:tcBorders>
            <w:shd w:val="clear" w:color="000000" w:fill="FFFFFF"/>
            <w:noWrap/>
            <w:vAlign w:val="center"/>
            <w:hideMark/>
          </w:tcPr>
          <w:p w14:paraId="13DE8FA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9,0 </w:t>
            </w:r>
          </w:p>
        </w:tc>
        <w:tc>
          <w:tcPr>
            <w:tcW w:w="1234" w:type="dxa"/>
            <w:tcBorders>
              <w:top w:val="nil"/>
              <w:left w:val="nil"/>
              <w:bottom w:val="nil"/>
              <w:right w:val="nil"/>
            </w:tcBorders>
            <w:shd w:val="clear" w:color="auto" w:fill="auto"/>
            <w:noWrap/>
            <w:vAlign w:val="center"/>
            <w:hideMark/>
          </w:tcPr>
          <w:p w14:paraId="5C38D5B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1,6 </w:t>
            </w:r>
          </w:p>
        </w:tc>
        <w:tc>
          <w:tcPr>
            <w:tcW w:w="1462" w:type="dxa"/>
            <w:tcBorders>
              <w:top w:val="nil"/>
              <w:left w:val="nil"/>
              <w:bottom w:val="nil"/>
              <w:right w:val="nil"/>
            </w:tcBorders>
            <w:shd w:val="clear" w:color="auto" w:fill="auto"/>
            <w:noWrap/>
            <w:vAlign w:val="center"/>
            <w:hideMark/>
          </w:tcPr>
          <w:p w14:paraId="0B6C09E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(24,0)</w:t>
            </w:r>
          </w:p>
        </w:tc>
        <w:tc>
          <w:tcPr>
            <w:tcW w:w="1462" w:type="dxa"/>
            <w:tcBorders>
              <w:top w:val="nil"/>
              <w:left w:val="nil"/>
              <w:bottom w:val="nil"/>
              <w:right w:val="nil"/>
            </w:tcBorders>
            <w:shd w:val="clear" w:color="auto" w:fill="auto"/>
            <w:noWrap/>
            <w:vAlign w:val="center"/>
            <w:hideMark/>
          </w:tcPr>
          <w:p w14:paraId="4AC59C4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(17,5)</w:t>
            </w:r>
          </w:p>
        </w:tc>
      </w:tr>
      <w:tr w:rsidR="00E760A9" w:rsidRPr="00F5596D" w14:paraId="48FB7CF0"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5EE1DB0A"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"Парк природе Мокра Гора" доо</w:t>
            </w:r>
          </w:p>
        </w:tc>
        <w:tc>
          <w:tcPr>
            <w:tcW w:w="1204" w:type="dxa"/>
            <w:tcBorders>
              <w:top w:val="nil"/>
              <w:left w:val="nil"/>
              <w:bottom w:val="nil"/>
              <w:right w:val="nil"/>
            </w:tcBorders>
            <w:shd w:val="clear" w:color="000000" w:fill="FFFFFF"/>
            <w:noWrap/>
            <w:vAlign w:val="center"/>
            <w:hideMark/>
          </w:tcPr>
          <w:p w14:paraId="199D083E"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7,7 </w:t>
            </w:r>
          </w:p>
        </w:tc>
        <w:tc>
          <w:tcPr>
            <w:tcW w:w="1234" w:type="dxa"/>
            <w:tcBorders>
              <w:top w:val="nil"/>
              <w:left w:val="nil"/>
              <w:bottom w:val="nil"/>
              <w:right w:val="nil"/>
            </w:tcBorders>
            <w:shd w:val="clear" w:color="auto" w:fill="auto"/>
            <w:noWrap/>
            <w:vAlign w:val="center"/>
            <w:hideMark/>
          </w:tcPr>
          <w:p w14:paraId="385204C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5,6 </w:t>
            </w:r>
          </w:p>
        </w:tc>
        <w:tc>
          <w:tcPr>
            <w:tcW w:w="1462" w:type="dxa"/>
            <w:tcBorders>
              <w:top w:val="nil"/>
              <w:left w:val="nil"/>
              <w:bottom w:val="nil"/>
              <w:right w:val="nil"/>
            </w:tcBorders>
            <w:shd w:val="clear" w:color="auto" w:fill="auto"/>
            <w:noWrap/>
            <w:vAlign w:val="center"/>
            <w:hideMark/>
          </w:tcPr>
          <w:p w14:paraId="3D8ECA8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462" w:type="dxa"/>
            <w:tcBorders>
              <w:top w:val="nil"/>
              <w:left w:val="nil"/>
              <w:bottom w:val="nil"/>
              <w:right w:val="nil"/>
            </w:tcBorders>
            <w:shd w:val="clear" w:color="auto" w:fill="auto"/>
            <w:noWrap/>
            <w:vAlign w:val="center"/>
            <w:hideMark/>
          </w:tcPr>
          <w:p w14:paraId="29FC23F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(5,2)</w:t>
            </w:r>
          </w:p>
        </w:tc>
      </w:tr>
      <w:tr w:rsidR="00E760A9" w:rsidRPr="00F5596D" w14:paraId="45D93A46"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72F4D95A"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"Мрежа-мост"</w:t>
            </w:r>
          </w:p>
        </w:tc>
        <w:tc>
          <w:tcPr>
            <w:tcW w:w="1204" w:type="dxa"/>
            <w:tcBorders>
              <w:top w:val="nil"/>
              <w:left w:val="nil"/>
              <w:bottom w:val="nil"/>
              <w:right w:val="nil"/>
            </w:tcBorders>
            <w:shd w:val="clear" w:color="000000" w:fill="FFFFFF"/>
            <w:noWrap/>
            <w:vAlign w:val="center"/>
            <w:hideMark/>
          </w:tcPr>
          <w:p w14:paraId="36434D8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4,3 </w:t>
            </w:r>
          </w:p>
        </w:tc>
        <w:tc>
          <w:tcPr>
            <w:tcW w:w="1234" w:type="dxa"/>
            <w:tcBorders>
              <w:top w:val="nil"/>
              <w:left w:val="nil"/>
              <w:bottom w:val="nil"/>
              <w:right w:val="nil"/>
            </w:tcBorders>
            <w:shd w:val="clear" w:color="auto" w:fill="auto"/>
            <w:noWrap/>
            <w:vAlign w:val="center"/>
            <w:hideMark/>
          </w:tcPr>
          <w:p w14:paraId="4F02FDCD"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1,7 </w:t>
            </w:r>
          </w:p>
        </w:tc>
        <w:tc>
          <w:tcPr>
            <w:tcW w:w="1462" w:type="dxa"/>
            <w:tcBorders>
              <w:top w:val="nil"/>
              <w:left w:val="nil"/>
              <w:bottom w:val="nil"/>
              <w:right w:val="nil"/>
            </w:tcBorders>
            <w:shd w:val="clear" w:color="auto" w:fill="auto"/>
            <w:noWrap/>
            <w:vAlign w:val="center"/>
            <w:hideMark/>
          </w:tcPr>
          <w:p w14:paraId="40CF8AA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462" w:type="dxa"/>
            <w:tcBorders>
              <w:top w:val="nil"/>
              <w:left w:val="nil"/>
              <w:bottom w:val="nil"/>
              <w:right w:val="nil"/>
            </w:tcBorders>
            <w:shd w:val="clear" w:color="auto" w:fill="auto"/>
            <w:noWrap/>
            <w:vAlign w:val="center"/>
            <w:hideMark/>
          </w:tcPr>
          <w:p w14:paraId="7507C338"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(3,5)</w:t>
            </w:r>
          </w:p>
        </w:tc>
      </w:tr>
      <w:tr w:rsidR="00E760A9" w:rsidRPr="00F5596D" w14:paraId="62935C2D"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399D5DE1"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"Резерват Увац" доо</w:t>
            </w:r>
          </w:p>
        </w:tc>
        <w:tc>
          <w:tcPr>
            <w:tcW w:w="1204" w:type="dxa"/>
            <w:tcBorders>
              <w:top w:val="nil"/>
              <w:left w:val="nil"/>
              <w:bottom w:val="nil"/>
              <w:right w:val="nil"/>
            </w:tcBorders>
            <w:shd w:val="clear" w:color="000000" w:fill="FFFFFF"/>
            <w:noWrap/>
            <w:vAlign w:val="center"/>
            <w:hideMark/>
          </w:tcPr>
          <w:p w14:paraId="6527616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3,3 </w:t>
            </w:r>
          </w:p>
        </w:tc>
        <w:tc>
          <w:tcPr>
            <w:tcW w:w="1234" w:type="dxa"/>
            <w:tcBorders>
              <w:top w:val="nil"/>
              <w:left w:val="nil"/>
              <w:bottom w:val="nil"/>
              <w:right w:val="nil"/>
            </w:tcBorders>
            <w:shd w:val="clear" w:color="auto" w:fill="auto"/>
            <w:noWrap/>
            <w:vAlign w:val="center"/>
            <w:hideMark/>
          </w:tcPr>
          <w:p w14:paraId="32D045AC"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2,6 </w:t>
            </w:r>
          </w:p>
        </w:tc>
        <w:tc>
          <w:tcPr>
            <w:tcW w:w="1462" w:type="dxa"/>
            <w:tcBorders>
              <w:top w:val="nil"/>
              <w:left w:val="nil"/>
              <w:bottom w:val="nil"/>
              <w:right w:val="nil"/>
            </w:tcBorders>
            <w:shd w:val="clear" w:color="auto" w:fill="auto"/>
            <w:noWrap/>
            <w:vAlign w:val="center"/>
            <w:hideMark/>
          </w:tcPr>
          <w:p w14:paraId="7B0D932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1,1 </w:t>
            </w:r>
          </w:p>
        </w:tc>
        <w:tc>
          <w:tcPr>
            <w:tcW w:w="1462" w:type="dxa"/>
            <w:tcBorders>
              <w:top w:val="nil"/>
              <w:left w:val="nil"/>
              <w:bottom w:val="nil"/>
              <w:right w:val="nil"/>
            </w:tcBorders>
            <w:shd w:val="clear" w:color="auto" w:fill="auto"/>
            <w:noWrap/>
            <w:vAlign w:val="center"/>
            <w:hideMark/>
          </w:tcPr>
          <w:p w14:paraId="52D222F1"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(2,8)</w:t>
            </w:r>
          </w:p>
        </w:tc>
      </w:tr>
      <w:tr w:rsidR="00E760A9" w:rsidRPr="00F5596D" w14:paraId="32FA3120"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4A442860"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Јавно предузеће "Стара планина"</w:t>
            </w:r>
          </w:p>
        </w:tc>
        <w:tc>
          <w:tcPr>
            <w:tcW w:w="1204" w:type="dxa"/>
            <w:tcBorders>
              <w:top w:val="nil"/>
              <w:left w:val="nil"/>
              <w:bottom w:val="nil"/>
              <w:right w:val="nil"/>
            </w:tcBorders>
            <w:shd w:val="clear" w:color="000000" w:fill="FFFFFF"/>
            <w:noWrap/>
            <w:vAlign w:val="center"/>
            <w:hideMark/>
          </w:tcPr>
          <w:p w14:paraId="33CDD8A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2,4 </w:t>
            </w:r>
          </w:p>
        </w:tc>
        <w:tc>
          <w:tcPr>
            <w:tcW w:w="1234" w:type="dxa"/>
            <w:tcBorders>
              <w:top w:val="nil"/>
              <w:left w:val="nil"/>
              <w:bottom w:val="nil"/>
              <w:right w:val="nil"/>
            </w:tcBorders>
            <w:shd w:val="clear" w:color="auto" w:fill="auto"/>
            <w:noWrap/>
            <w:vAlign w:val="center"/>
            <w:hideMark/>
          </w:tcPr>
          <w:p w14:paraId="7AFD0FC0"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4,6 </w:t>
            </w:r>
          </w:p>
        </w:tc>
        <w:tc>
          <w:tcPr>
            <w:tcW w:w="1462" w:type="dxa"/>
            <w:tcBorders>
              <w:top w:val="nil"/>
              <w:left w:val="nil"/>
              <w:bottom w:val="nil"/>
              <w:right w:val="nil"/>
            </w:tcBorders>
            <w:shd w:val="clear" w:color="auto" w:fill="auto"/>
            <w:noWrap/>
            <w:vAlign w:val="center"/>
            <w:hideMark/>
          </w:tcPr>
          <w:p w14:paraId="59522279"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0,0 </w:t>
            </w:r>
          </w:p>
        </w:tc>
        <w:tc>
          <w:tcPr>
            <w:tcW w:w="1462" w:type="dxa"/>
            <w:tcBorders>
              <w:top w:val="nil"/>
              <w:left w:val="nil"/>
              <w:bottom w:val="nil"/>
              <w:right w:val="nil"/>
            </w:tcBorders>
            <w:shd w:val="clear" w:color="auto" w:fill="auto"/>
            <w:noWrap/>
            <w:vAlign w:val="center"/>
            <w:hideMark/>
          </w:tcPr>
          <w:p w14:paraId="3F01612F"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(1,0)</w:t>
            </w:r>
          </w:p>
        </w:tc>
      </w:tr>
      <w:tr w:rsidR="00E760A9" w:rsidRPr="00F5596D" w14:paraId="11D4D774" w14:textId="77777777" w:rsidTr="00E760A9">
        <w:trPr>
          <w:trHeight w:val="20"/>
          <w:jc w:val="center"/>
        </w:trPr>
        <w:tc>
          <w:tcPr>
            <w:tcW w:w="2926" w:type="dxa"/>
            <w:tcBorders>
              <w:top w:val="nil"/>
              <w:left w:val="nil"/>
              <w:bottom w:val="nil"/>
              <w:right w:val="nil"/>
            </w:tcBorders>
            <w:shd w:val="clear" w:color="000000" w:fill="FFFFFF"/>
            <w:noWrap/>
            <w:vAlign w:val="center"/>
            <w:hideMark/>
          </w:tcPr>
          <w:p w14:paraId="433B656D" w14:textId="77777777" w:rsidR="00E760A9" w:rsidRPr="00F5596D" w:rsidRDefault="00E760A9" w:rsidP="0087666C">
            <w:pPr>
              <w:spacing w:after="0" w:line="240" w:lineRule="auto"/>
              <w:jc w:val="left"/>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"Парк Палић" доо</w:t>
            </w:r>
          </w:p>
        </w:tc>
        <w:tc>
          <w:tcPr>
            <w:tcW w:w="1204" w:type="dxa"/>
            <w:tcBorders>
              <w:top w:val="nil"/>
              <w:left w:val="nil"/>
              <w:bottom w:val="nil"/>
              <w:right w:val="nil"/>
            </w:tcBorders>
            <w:shd w:val="clear" w:color="000000" w:fill="FFFFFF"/>
            <w:noWrap/>
            <w:vAlign w:val="center"/>
            <w:hideMark/>
          </w:tcPr>
          <w:p w14:paraId="58AEE767"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0,3 </w:t>
            </w:r>
          </w:p>
        </w:tc>
        <w:tc>
          <w:tcPr>
            <w:tcW w:w="1234" w:type="dxa"/>
            <w:tcBorders>
              <w:top w:val="nil"/>
              <w:left w:val="nil"/>
              <w:bottom w:val="nil"/>
              <w:right w:val="nil"/>
            </w:tcBorders>
            <w:shd w:val="clear" w:color="auto" w:fill="auto"/>
            <w:noWrap/>
            <w:vAlign w:val="center"/>
            <w:hideMark/>
          </w:tcPr>
          <w:p w14:paraId="48F04E5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 xml:space="preserve">1,1 </w:t>
            </w:r>
          </w:p>
        </w:tc>
        <w:tc>
          <w:tcPr>
            <w:tcW w:w="1462" w:type="dxa"/>
            <w:tcBorders>
              <w:top w:val="nil"/>
              <w:left w:val="nil"/>
              <w:bottom w:val="nil"/>
              <w:right w:val="nil"/>
            </w:tcBorders>
            <w:shd w:val="clear" w:color="auto" w:fill="auto"/>
            <w:noWrap/>
            <w:vAlign w:val="center"/>
            <w:hideMark/>
          </w:tcPr>
          <w:p w14:paraId="45F9ECA5"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(0,1)</w:t>
            </w:r>
          </w:p>
        </w:tc>
        <w:tc>
          <w:tcPr>
            <w:tcW w:w="1462" w:type="dxa"/>
            <w:tcBorders>
              <w:top w:val="nil"/>
              <w:left w:val="nil"/>
              <w:bottom w:val="nil"/>
              <w:right w:val="nil"/>
            </w:tcBorders>
            <w:shd w:val="clear" w:color="auto" w:fill="auto"/>
            <w:noWrap/>
            <w:vAlign w:val="center"/>
            <w:hideMark/>
          </w:tcPr>
          <w:p w14:paraId="1FF840A6" w14:textId="77777777" w:rsidR="00E760A9" w:rsidRPr="00F5596D" w:rsidRDefault="00E760A9" w:rsidP="0087666C">
            <w:pPr>
              <w:spacing w:after="0" w:line="240" w:lineRule="auto"/>
              <w:jc w:val="center"/>
              <w:rPr>
                <w:rFonts w:ascii="Calibri" w:eastAsia="Times New Roman" w:hAnsi="Calibri" w:cs="Calibri"/>
                <w:color w:val="002060"/>
                <w:sz w:val="18"/>
                <w:szCs w:val="18"/>
                <w:lang w:val="sr-Cyrl-CS" w:eastAsia="sr-Cyrl-RS"/>
              </w:rPr>
            </w:pPr>
            <w:r w:rsidRPr="00F5596D">
              <w:rPr>
                <w:rFonts w:ascii="Calibri" w:eastAsia="Times New Roman" w:hAnsi="Calibri" w:cs="Calibri"/>
                <w:color w:val="002060"/>
                <w:sz w:val="18"/>
                <w:szCs w:val="18"/>
                <w:lang w:val="sr-Cyrl-CS" w:eastAsia="sr-Cyrl-RS"/>
              </w:rPr>
              <w:t>(0,5)</w:t>
            </w:r>
          </w:p>
        </w:tc>
      </w:tr>
      <w:tr w:rsidR="00E760A9" w:rsidRPr="00F5596D" w14:paraId="39D5683D" w14:textId="77777777" w:rsidTr="00E760A9">
        <w:trPr>
          <w:trHeight w:val="20"/>
          <w:jc w:val="center"/>
        </w:trPr>
        <w:tc>
          <w:tcPr>
            <w:tcW w:w="2926" w:type="dxa"/>
            <w:tcBorders>
              <w:top w:val="single" w:sz="4" w:space="0" w:color="002060"/>
              <w:left w:val="nil"/>
              <w:bottom w:val="single" w:sz="4" w:space="0" w:color="002060"/>
              <w:right w:val="nil"/>
            </w:tcBorders>
            <w:shd w:val="clear" w:color="auto" w:fill="auto"/>
            <w:noWrap/>
            <w:vAlign w:val="center"/>
            <w:hideMark/>
          </w:tcPr>
          <w:p w14:paraId="2D5A4AFE" w14:textId="77777777" w:rsidR="00E760A9" w:rsidRPr="00F5596D" w:rsidRDefault="00E760A9" w:rsidP="0087666C">
            <w:pPr>
              <w:spacing w:after="0" w:line="240" w:lineRule="auto"/>
              <w:jc w:val="left"/>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Укупно:</w:t>
            </w:r>
          </w:p>
        </w:tc>
        <w:tc>
          <w:tcPr>
            <w:tcW w:w="1204" w:type="dxa"/>
            <w:tcBorders>
              <w:top w:val="single" w:sz="4" w:space="0" w:color="002060"/>
              <w:left w:val="nil"/>
              <w:bottom w:val="single" w:sz="4" w:space="0" w:color="002060"/>
              <w:right w:val="nil"/>
            </w:tcBorders>
            <w:shd w:val="clear" w:color="auto" w:fill="auto"/>
            <w:noWrap/>
            <w:vAlign w:val="center"/>
            <w:hideMark/>
          </w:tcPr>
          <w:p w14:paraId="7BFBC18B"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(16.835,9)</w:t>
            </w:r>
          </w:p>
        </w:tc>
        <w:tc>
          <w:tcPr>
            <w:tcW w:w="1234" w:type="dxa"/>
            <w:tcBorders>
              <w:top w:val="single" w:sz="4" w:space="0" w:color="002060"/>
              <w:left w:val="nil"/>
              <w:bottom w:val="single" w:sz="4" w:space="0" w:color="002060"/>
              <w:right w:val="nil"/>
            </w:tcBorders>
            <w:shd w:val="clear" w:color="auto" w:fill="auto"/>
            <w:noWrap/>
            <w:vAlign w:val="center"/>
            <w:hideMark/>
          </w:tcPr>
          <w:p w14:paraId="043CF872"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(24.830,5)</w:t>
            </w:r>
          </w:p>
        </w:tc>
        <w:tc>
          <w:tcPr>
            <w:tcW w:w="1462" w:type="dxa"/>
            <w:tcBorders>
              <w:top w:val="single" w:sz="4" w:space="0" w:color="002060"/>
              <w:left w:val="nil"/>
              <w:bottom w:val="single" w:sz="4" w:space="0" w:color="002060"/>
              <w:right w:val="nil"/>
            </w:tcBorders>
            <w:shd w:val="clear" w:color="auto" w:fill="auto"/>
            <w:noWrap/>
            <w:vAlign w:val="center"/>
            <w:hideMark/>
          </w:tcPr>
          <w:p w14:paraId="3213E623"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 xml:space="preserve">404,6 </w:t>
            </w:r>
          </w:p>
        </w:tc>
        <w:tc>
          <w:tcPr>
            <w:tcW w:w="1462" w:type="dxa"/>
            <w:tcBorders>
              <w:top w:val="single" w:sz="4" w:space="0" w:color="002060"/>
              <w:left w:val="nil"/>
              <w:bottom w:val="single" w:sz="4" w:space="0" w:color="002060"/>
              <w:right w:val="nil"/>
            </w:tcBorders>
            <w:shd w:val="clear" w:color="auto" w:fill="auto"/>
            <w:noWrap/>
            <w:vAlign w:val="center"/>
            <w:hideMark/>
          </w:tcPr>
          <w:p w14:paraId="40709373" w14:textId="77777777" w:rsidR="00E760A9" w:rsidRPr="00F5596D" w:rsidRDefault="00E760A9" w:rsidP="0087666C">
            <w:pPr>
              <w:spacing w:after="0" w:line="240" w:lineRule="auto"/>
              <w:jc w:val="center"/>
              <w:rPr>
                <w:rFonts w:ascii="Calibri" w:eastAsia="Times New Roman" w:hAnsi="Calibri" w:cs="Calibri"/>
                <w:b/>
                <w:bCs/>
                <w:color w:val="002060"/>
                <w:sz w:val="18"/>
                <w:szCs w:val="18"/>
                <w:lang w:val="sr-Cyrl-CS" w:eastAsia="sr-Cyrl-RS"/>
              </w:rPr>
            </w:pPr>
            <w:r w:rsidRPr="00F5596D">
              <w:rPr>
                <w:rFonts w:ascii="Calibri" w:eastAsia="Times New Roman" w:hAnsi="Calibri" w:cs="Calibri"/>
                <w:b/>
                <w:bCs/>
                <w:color w:val="002060"/>
                <w:sz w:val="18"/>
                <w:szCs w:val="18"/>
                <w:lang w:val="sr-Cyrl-CS" w:eastAsia="sr-Cyrl-RS"/>
              </w:rPr>
              <w:t>(10.782,9)</w:t>
            </w:r>
          </w:p>
        </w:tc>
      </w:tr>
    </w:tbl>
    <w:p w14:paraId="054A6573"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Финансијски извештаји (АПР) и квартални извештај за 2025. годину</w:t>
      </w:r>
    </w:p>
    <w:p w14:paraId="1222A042"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 није усвојен програм пословања за 2025. годину</w:t>
      </w:r>
    </w:p>
    <w:p w14:paraId="556AAF49" w14:textId="77777777" w:rsidR="00330999" w:rsidRPr="00F5596D" w:rsidRDefault="00330999" w:rsidP="00330999">
      <w:pPr>
        <w:spacing w:after="0" w:line="276" w:lineRule="auto"/>
        <w:rPr>
          <w:rFonts w:eastAsia="MS PGothic" w:cstheme="minorHAnsi"/>
          <w:sz w:val="16"/>
          <w:szCs w:val="16"/>
          <w:lang w:val="sr-Cyrl-CS" w:eastAsia="ja-JP"/>
        </w:rPr>
      </w:pPr>
    </w:p>
    <w:p w14:paraId="78D35CE8" w14:textId="77777777" w:rsidR="00330999" w:rsidRPr="00F5596D" w:rsidRDefault="00330999" w:rsidP="00330999">
      <w:pPr>
        <w:rPr>
          <w:rFonts w:eastAsia="MS PGothic" w:cstheme="minorHAnsi"/>
          <w:szCs w:val="20"/>
          <w:highlight w:val="yellow"/>
          <w:lang w:val="sr-Cyrl-CS" w:eastAsia="ja-JP"/>
        </w:rPr>
        <w:sectPr w:rsidR="00330999" w:rsidRPr="00F5596D" w:rsidSect="00E61B34">
          <w:headerReference w:type="even" r:id="rId182"/>
          <w:footerReference w:type="even" r:id="rId183"/>
          <w:footerReference w:type="default" r:id="rId184"/>
          <w:headerReference w:type="first" r:id="rId185"/>
          <w:type w:val="continuous"/>
          <w:pgSz w:w="12240" w:h="15840"/>
          <w:pgMar w:top="1440" w:right="1440" w:bottom="1440" w:left="1440" w:header="720" w:footer="720" w:gutter="0"/>
          <w:cols w:space="720"/>
          <w:docGrid w:linePitch="360"/>
        </w:sectPr>
      </w:pPr>
    </w:p>
    <w:p w14:paraId="5FA024DE" w14:textId="77777777" w:rsidR="00330999" w:rsidRPr="00F5596D" w:rsidRDefault="00330999" w:rsidP="00330999">
      <w:pPr>
        <w:spacing w:line="256" w:lineRule="auto"/>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Министарство финансија је у сарадњи са Светском банком, извршило ревизију Алтман З-скор модела који се користи за процену фискалних ризика државних предузећа. </w:t>
      </w:r>
    </w:p>
    <w:p w14:paraId="1DB34AC4" w14:textId="793369AE"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2</w:t>
      </w:r>
      <w:r w:rsidR="00F14A11" w:rsidRPr="00F5596D">
        <w:rPr>
          <w:rFonts w:eastAsia="MS PGothic" w:cstheme="minorHAnsi"/>
          <w:b/>
          <w:color w:val="002060"/>
          <w:szCs w:val="20"/>
          <w:lang w:val="sr-Cyrl-CS" w:eastAsia="ja-JP"/>
        </w:rPr>
        <w:t>3</w:t>
      </w:r>
      <w:r w:rsidRPr="00F5596D">
        <w:rPr>
          <w:rFonts w:eastAsia="MS PGothic" w:cstheme="minorHAnsi"/>
          <w:b/>
          <w:color w:val="002060"/>
          <w:szCs w:val="20"/>
          <w:lang w:val="sr-Cyrl-CS" w:eastAsia="ja-JP"/>
        </w:rPr>
        <w:t>. Резултати прилагођеног Алтман З скора по годинама за 36 државних предузећа</w:t>
      </w:r>
    </w:p>
    <w:tbl>
      <w:tblPr>
        <w:tblW w:w="4180" w:type="dxa"/>
        <w:tblLook w:val="04A0" w:firstRow="1" w:lastRow="0" w:firstColumn="1" w:lastColumn="0" w:noHBand="0" w:noVBand="1"/>
      </w:tblPr>
      <w:tblGrid>
        <w:gridCol w:w="1300"/>
        <w:gridCol w:w="960"/>
        <w:gridCol w:w="960"/>
        <w:gridCol w:w="960"/>
      </w:tblGrid>
      <w:tr w:rsidR="00330999" w:rsidRPr="00F5596D" w14:paraId="282AA4B6" w14:textId="77777777" w:rsidTr="00E61B34">
        <w:trPr>
          <w:trHeight w:val="300"/>
        </w:trPr>
        <w:tc>
          <w:tcPr>
            <w:tcW w:w="1300" w:type="dxa"/>
            <w:tcBorders>
              <w:top w:val="single" w:sz="4" w:space="0" w:color="002060"/>
              <w:left w:val="nil"/>
              <w:bottom w:val="single" w:sz="4" w:space="0" w:color="002060"/>
              <w:right w:val="nil"/>
            </w:tcBorders>
            <w:shd w:val="clear" w:color="auto" w:fill="auto"/>
            <w:noWrap/>
            <w:vAlign w:val="center"/>
            <w:hideMark/>
          </w:tcPr>
          <w:p w14:paraId="02480D2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Врста ризика</w:t>
            </w:r>
          </w:p>
        </w:tc>
        <w:tc>
          <w:tcPr>
            <w:tcW w:w="960" w:type="dxa"/>
            <w:tcBorders>
              <w:top w:val="single" w:sz="4" w:space="0" w:color="002060"/>
              <w:left w:val="nil"/>
              <w:bottom w:val="single" w:sz="4" w:space="0" w:color="002060"/>
              <w:right w:val="nil"/>
            </w:tcBorders>
            <w:vAlign w:val="center"/>
          </w:tcPr>
          <w:p w14:paraId="212E7E98"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960" w:type="dxa"/>
            <w:tcBorders>
              <w:top w:val="single" w:sz="4" w:space="0" w:color="002060"/>
              <w:left w:val="nil"/>
              <w:bottom w:val="single" w:sz="4" w:space="0" w:color="002060"/>
              <w:right w:val="nil"/>
            </w:tcBorders>
            <w:vAlign w:val="center"/>
          </w:tcPr>
          <w:p w14:paraId="0FBB61BE"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960" w:type="dxa"/>
            <w:tcBorders>
              <w:top w:val="single" w:sz="4" w:space="0" w:color="002060"/>
              <w:left w:val="nil"/>
              <w:bottom w:val="single" w:sz="4" w:space="0" w:color="002060"/>
              <w:right w:val="nil"/>
            </w:tcBorders>
            <w:shd w:val="clear" w:color="auto" w:fill="auto"/>
            <w:noWrap/>
            <w:vAlign w:val="center"/>
          </w:tcPr>
          <w:p w14:paraId="22A17C4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r>
      <w:tr w:rsidR="00330999" w:rsidRPr="00F5596D" w14:paraId="3026BC84" w14:textId="77777777" w:rsidTr="00E61B34">
        <w:trPr>
          <w:trHeight w:val="300"/>
        </w:trPr>
        <w:tc>
          <w:tcPr>
            <w:tcW w:w="1300" w:type="dxa"/>
            <w:tcBorders>
              <w:top w:val="single" w:sz="4" w:space="0" w:color="002060"/>
              <w:left w:val="nil"/>
              <w:bottom w:val="nil"/>
              <w:right w:val="nil"/>
            </w:tcBorders>
            <w:shd w:val="clear" w:color="auto" w:fill="auto"/>
            <w:noWrap/>
            <w:vAlign w:val="center"/>
            <w:hideMark/>
          </w:tcPr>
          <w:p w14:paraId="06FDB4EF"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Низак</w:t>
            </w:r>
          </w:p>
        </w:tc>
        <w:tc>
          <w:tcPr>
            <w:tcW w:w="960" w:type="dxa"/>
            <w:tcBorders>
              <w:top w:val="single" w:sz="4" w:space="0" w:color="002060"/>
              <w:left w:val="nil"/>
              <w:bottom w:val="nil"/>
              <w:right w:val="nil"/>
            </w:tcBorders>
            <w:vAlign w:val="center"/>
          </w:tcPr>
          <w:p w14:paraId="4E12EDFE"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23</w:t>
            </w:r>
          </w:p>
        </w:tc>
        <w:tc>
          <w:tcPr>
            <w:tcW w:w="960" w:type="dxa"/>
            <w:tcBorders>
              <w:top w:val="single" w:sz="4" w:space="0" w:color="002060"/>
              <w:left w:val="nil"/>
              <w:bottom w:val="nil"/>
              <w:right w:val="nil"/>
            </w:tcBorders>
            <w:vAlign w:val="center"/>
          </w:tcPr>
          <w:p w14:paraId="474119D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23</w:t>
            </w:r>
          </w:p>
        </w:tc>
        <w:tc>
          <w:tcPr>
            <w:tcW w:w="960" w:type="dxa"/>
            <w:tcBorders>
              <w:top w:val="single" w:sz="4" w:space="0" w:color="002060"/>
              <w:left w:val="nil"/>
              <w:bottom w:val="nil"/>
              <w:right w:val="nil"/>
            </w:tcBorders>
            <w:shd w:val="clear" w:color="auto" w:fill="auto"/>
            <w:noWrap/>
            <w:vAlign w:val="center"/>
          </w:tcPr>
          <w:p w14:paraId="27883A06" w14:textId="77777777" w:rsidR="00330999" w:rsidRPr="00F5596D" w:rsidRDefault="00330999" w:rsidP="00E61B34">
            <w:pPr>
              <w:spacing w:after="0" w:line="240" w:lineRule="auto"/>
              <w:jc w:val="center"/>
              <w:rPr>
                <w:rFonts w:ascii="Calibri" w:eastAsia="Times New Roman" w:hAnsi="Calibri" w:cs="Calibri"/>
                <w:b/>
                <w:bCs/>
                <w:color w:val="auto"/>
                <w:sz w:val="18"/>
                <w:szCs w:val="18"/>
                <w:lang w:val="sr-Cyrl-CS"/>
              </w:rPr>
            </w:pPr>
            <w:r w:rsidRPr="00F5596D">
              <w:rPr>
                <w:rFonts w:ascii="Calibri" w:eastAsia="Times New Roman" w:hAnsi="Calibri" w:cs="Calibri"/>
                <w:b/>
                <w:bCs/>
                <w:color w:val="auto"/>
                <w:sz w:val="18"/>
                <w:szCs w:val="18"/>
                <w:lang w:val="sr-Cyrl-CS"/>
              </w:rPr>
              <w:t>20</w:t>
            </w:r>
          </w:p>
        </w:tc>
      </w:tr>
      <w:tr w:rsidR="00330999" w:rsidRPr="00F5596D" w14:paraId="4D4BED5B" w14:textId="77777777" w:rsidTr="00E61B34">
        <w:trPr>
          <w:trHeight w:val="300"/>
        </w:trPr>
        <w:tc>
          <w:tcPr>
            <w:tcW w:w="1300" w:type="dxa"/>
            <w:tcBorders>
              <w:top w:val="nil"/>
              <w:left w:val="nil"/>
              <w:right w:val="nil"/>
            </w:tcBorders>
            <w:shd w:val="clear" w:color="auto" w:fill="auto"/>
            <w:noWrap/>
            <w:vAlign w:val="center"/>
            <w:hideMark/>
          </w:tcPr>
          <w:p w14:paraId="591AE09B"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Средњи</w:t>
            </w:r>
          </w:p>
        </w:tc>
        <w:tc>
          <w:tcPr>
            <w:tcW w:w="960" w:type="dxa"/>
            <w:tcBorders>
              <w:top w:val="nil"/>
              <w:left w:val="nil"/>
              <w:right w:val="nil"/>
            </w:tcBorders>
            <w:vAlign w:val="center"/>
          </w:tcPr>
          <w:p w14:paraId="77276D2D"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4</w:t>
            </w:r>
          </w:p>
        </w:tc>
        <w:tc>
          <w:tcPr>
            <w:tcW w:w="960" w:type="dxa"/>
            <w:tcBorders>
              <w:top w:val="nil"/>
              <w:left w:val="nil"/>
              <w:right w:val="nil"/>
            </w:tcBorders>
            <w:vAlign w:val="center"/>
          </w:tcPr>
          <w:p w14:paraId="3E945381"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6</w:t>
            </w:r>
          </w:p>
        </w:tc>
        <w:tc>
          <w:tcPr>
            <w:tcW w:w="960" w:type="dxa"/>
            <w:tcBorders>
              <w:top w:val="nil"/>
              <w:left w:val="nil"/>
              <w:right w:val="nil"/>
            </w:tcBorders>
            <w:shd w:val="clear" w:color="auto" w:fill="auto"/>
            <w:noWrap/>
            <w:vAlign w:val="center"/>
          </w:tcPr>
          <w:p w14:paraId="5B5454F4" w14:textId="77777777" w:rsidR="00330999" w:rsidRPr="00F5596D" w:rsidRDefault="00330999" w:rsidP="00E61B34">
            <w:pPr>
              <w:spacing w:after="0" w:line="240" w:lineRule="auto"/>
              <w:jc w:val="center"/>
              <w:rPr>
                <w:rFonts w:ascii="Calibri" w:eastAsia="Times New Roman" w:hAnsi="Calibri" w:cs="Calibri"/>
                <w:b/>
                <w:bCs/>
                <w:color w:val="auto"/>
                <w:sz w:val="18"/>
                <w:szCs w:val="18"/>
                <w:lang w:val="sr-Cyrl-CS"/>
              </w:rPr>
            </w:pPr>
            <w:r w:rsidRPr="00F5596D">
              <w:rPr>
                <w:rFonts w:ascii="Calibri" w:eastAsia="Times New Roman" w:hAnsi="Calibri" w:cs="Calibri"/>
                <w:b/>
                <w:bCs/>
                <w:color w:val="auto"/>
                <w:sz w:val="18"/>
                <w:szCs w:val="18"/>
                <w:lang w:val="sr-Cyrl-CS"/>
              </w:rPr>
              <w:t>10</w:t>
            </w:r>
          </w:p>
        </w:tc>
      </w:tr>
      <w:tr w:rsidR="00330999" w:rsidRPr="00F5596D" w14:paraId="20F5D8EF" w14:textId="77777777" w:rsidTr="00E61B34">
        <w:trPr>
          <w:trHeight w:val="300"/>
        </w:trPr>
        <w:tc>
          <w:tcPr>
            <w:tcW w:w="1300" w:type="dxa"/>
            <w:tcBorders>
              <w:top w:val="nil"/>
              <w:left w:val="nil"/>
              <w:bottom w:val="single" w:sz="4" w:space="0" w:color="002060"/>
              <w:right w:val="nil"/>
            </w:tcBorders>
            <w:shd w:val="clear" w:color="auto" w:fill="auto"/>
            <w:noWrap/>
            <w:vAlign w:val="center"/>
            <w:hideMark/>
          </w:tcPr>
          <w:p w14:paraId="74DD984B"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Висок</w:t>
            </w:r>
          </w:p>
        </w:tc>
        <w:tc>
          <w:tcPr>
            <w:tcW w:w="960" w:type="dxa"/>
            <w:tcBorders>
              <w:top w:val="nil"/>
              <w:left w:val="nil"/>
              <w:bottom w:val="single" w:sz="4" w:space="0" w:color="002060"/>
              <w:right w:val="nil"/>
            </w:tcBorders>
            <w:vAlign w:val="center"/>
          </w:tcPr>
          <w:p w14:paraId="7428661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9</w:t>
            </w:r>
          </w:p>
        </w:tc>
        <w:tc>
          <w:tcPr>
            <w:tcW w:w="960" w:type="dxa"/>
            <w:tcBorders>
              <w:top w:val="nil"/>
              <w:left w:val="nil"/>
              <w:bottom w:val="single" w:sz="4" w:space="0" w:color="002060"/>
              <w:right w:val="nil"/>
            </w:tcBorders>
            <w:vAlign w:val="center"/>
          </w:tcPr>
          <w:p w14:paraId="4CE1491C"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7</w:t>
            </w:r>
          </w:p>
        </w:tc>
        <w:tc>
          <w:tcPr>
            <w:tcW w:w="960" w:type="dxa"/>
            <w:tcBorders>
              <w:top w:val="nil"/>
              <w:left w:val="nil"/>
              <w:bottom w:val="single" w:sz="4" w:space="0" w:color="002060"/>
              <w:right w:val="nil"/>
            </w:tcBorders>
            <w:shd w:val="clear" w:color="auto" w:fill="auto"/>
            <w:noWrap/>
            <w:vAlign w:val="center"/>
          </w:tcPr>
          <w:p w14:paraId="79BE9F65" w14:textId="77777777" w:rsidR="00330999" w:rsidRPr="00F5596D" w:rsidRDefault="00330999" w:rsidP="00E61B34">
            <w:pPr>
              <w:spacing w:after="0" w:line="240" w:lineRule="auto"/>
              <w:jc w:val="center"/>
              <w:rPr>
                <w:rFonts w:ascii="Calibri" w:eastAsia="Times New Roman" w:hAnsi="Calibri" w:cs="Calibri"/>
                <w:b/>
                <w:bCs/>
                <w:color w:val="auto"/>
                <w:sz w:val="18"/>
                <w:szCs w:val="18"/>
                <w:lang w:val="sr-Cyrl-CS"/>
              </w:rPr>
            </w:pPr>
            <w:r w:rsidRPr="00F5596D">
              <w:rPr>
                <w:rFonts w:ascii="Calibri" w:eastAsia="Times New Roman" w:hAnsi="Calibri" w:cs="Calibri"/>
                <w:b/>
                <w:bCs/>
                <w:color w:val="auto"/>
                <w:sz w:val="18"/>
                <w:szCs w:val="18"/>
                <w:lang w:val="sr-Cyrl-CS"/>
              </w:rPr>
              <w:t>6</w:t>
            </w:r>
          </w:p>
        </w:tc>
      </w:tr>
    </w:tbl>
    <w:p w14:paraId="12900A64" w14:textId="77777777" w:rsidR="00330999" w:rsidRPr="00F5596D" w:rsidRDefault="00330999" w:rsidP="00330999">
      <w:pPr>
        <w:spacing w:before="40"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Министарство финансија</w:t>
      </w:r>
    </w:p>
    <w:p w14:paraId="3AEB4F55" w14:textId="77777777" w:rsidR="00330999" w:rsidRPr="00F5596D" w:rsidRDefault="00330999" w:rsidP="00330999">
      <w:pPr>
        <w:spacing w:before="160"/>
        <w:rPr>
          <w:rFonts w:eastAsia="MS PGothic" w:cstheme="minorHAnsi"/>
          <w:szCs w:val="20"/>
          <w:lang w:val="sr-Cyrl-CS" w:eastAsia="ja-JP"/>
        </w:rPr>
      </w:pPr>
      <w:r w:rsidRPr="00F5596D">
        <w:rPr>
          <w:rFonts w:eastAsia="MS PGothic" w:cstheme="minorHAnsi"/>
          <w:szCs w:val="20"/>
          <w:lang w:val="sr-Cyrl-CS" w:eastAsia="ja-JP"/>
        </w:rPr>
        <w:t xml:space="preserve">Према подацима из званичних финансијских извештаја достављених на дан 31. децембра 2024. године, од 36 државних предузећа, применом овог модела идентификовано је учешће 16,7% државних предузећа која су високоризична, 27,8% државних предузеће имају умерен ризик док преостала државна предузећа (55,5%) имају низак ризик у пословању. Државна предузећа код којих је идентификован умерен ризик пословања су из енергетског сектора, железничког саобраћаја и </w:t>
      </w:r>
      <w:r w:rsidRPr="00F5596D">
        <w:rPr>
          <w:rFonts w:eastAsia="MS PGothic" w:cstheme="minorHAnsi"/>
          <w:szCs w:val="20"/>
          <w:lang w:val="sr-Cyrl-CS" w:eastAsia="ja-JP"/>
        </w:rPr>
        <w:t>грађевинско-техничке гране. Посматрано кроз годишње периоде, наставља се опадајући тренд високоризичних предузећа, где је у 2021. години било 10 високоризичних предузећа, док се на крају 2024. године тај број смањио на 6.</w:t>
      </w:r>
    </w:p>
    <w:p w14:paraId="704F41C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Квантификација ризика представља један од главних изазова у процени ризика и његовом материјалном изражавању. Према моделу квантификација ризика подразумева идентификовање и приказ потенцијалних издатака који могу настати за појединачна предузећа, односно представљају потенцијалну претњу за буџет Републике Србије, јер могу довести до непланираних интервенција у отплати обавеза државним предузећима. Ови издаци се најчешће називају „очекивани издаци“ и они представљају статистички прорачун, који укључује комбинацију вероватноће настанка издатка и величине годишњих обавеза по кредитима, као једних од најосетљивијих и највећих издатaка који могу захтевати подршку из буџета.</w:t>
      </w:r>
    </w:p>
    <w:p w14:paraId="2B9B373A" w14:textId="7EA909B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lastRenderedPageBreak/>
        <w:t xml:space="preserve">Према резултатима модела, укупан фискални ризик односно очекивани издатак за 36 државних предузећа за 2025. годину процењује се на око </w:t>
      </w:r>
      <w:r w:rsidR="00952E94" w:rsidRPr="00F5596D">
        <w:rPr>
          <w:rFonts w:eastAsia="MS PGothic" w:cstheme="minorHAnsi"/>
          <w:szCs w:val="20"/>
          <w:lang w:val="sr-Cyrl-CS" w:eastAsia="ja-JP"/>
        </w:rPr>
        <w:t>7,8</w:t>
      </w:r>
      <w:r w:rsidRPr="00F5596D">
        <w:rPr>
          <w:rFonts w:eastAsia="MS PGothic" w:cstheme="minorHAnsi"/>
          <w:szCs w:val="20"/>
          <w:lang w:val="sr-Cyrl-CS" w:eastAsia="ja-JP"/>
        </w:rPr>
        <w:t xml:space="preserve"> млрд динара. Ови резултати указују на неопходност континуираног праћења и управљања ризиком како би се ублажиле потенцијалне финансијске последице по јавне финансије, уз истовремено развијање мера које би ојачале стабилност ових предузећа.</w:t>
      </w:r>
    </w:p>
    <w:p w14:paraId="7CA26DEE" w14:textId="016A8C31"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Процене за наредне три године указују да ће у 2026. години износити 9,</w:t>
      </w:r>
      <w:r w:rsidR="00952E94" w:rsidRPr="00F5596D">
        <w:rPr>
          <w:rFonts w:eastAsia="MS PGothic" w:cstheme="minorHAnsi"/>
          <w:szCs w:val="20"/>
          <w:lang w:val="sr-Cyrl-CS" w:eastAsia="ja-JP"/>
        </w:rPr>
        <w:t>3 млрд динара, у 2027. години 7,2</w:t>
      </w:r>
      <w:r w:rsidRPr="00F5596D">
        <w:rPr>
          <w:rFonts w:eastAsia="MS PGothic" w:cstheme="minorHAnsi"/>
          <w:szCs w:val="20"/>
          <w:lang w:val="sr-Cyrl-CS" w:eastAsia="ja-JP"/>
        </w:rPr>
        <w:t xml:space="preserve"> млрд динара, док се за 2028</w:t>
      </w:r>
      <w:r w:rsidR="00952E94" w:rsidRPr="00F5596D">
        <w:rPr>
          <w:rFonts w:eastAsia="MS PGothic" w:cstheme="minorHAnsi"/>
          <w:szCs w:val="20"/>
          <w:lang w:val="sr-Cyrl-CS" w:eastAsia="ja-JP"/>
        </w:rPr>
        <w:t>. годину предвиђа смањење на 3,1</w:t>
      </w:r>
      <w:r w:rsidRPr="00F5596D">
        <w:rPr>
          <w:rFonts w:eastAsia="MS PGothic" w:cstheme="minorHAnsi"/>
          <w:szCs w:val="20"/>
          <w:lang w:val="sr-Cyrl-CS" w:eastAsia="ja-JP"/>
        </w:rPr>
        <w:t xml:space="preserve"> млрд динара. Имајући у виду да на величину очекиваног издатка директно утичу годишње обавезе по кредитима, свако ново задуживање предузећа довело би до повећања очекиваног издатка, што указује на значај контроле дуга и одрживог управљања финансијским обавезама.</w:t>
      </w:r>
    </w:p>
    <w:p w14:paraId="7E6036B2"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Министарство финансија у наредном периоду наставиће са даљим унапређењем анализа, прикупљања квалитативних информација, унапређењем модела, а све у циљу да се модел учини свеобухватнијим и прецизнијим, како би се обезбедила поуздана основа за управљање </w:t>
      </w:r>
      <w:r w:rsidRPr="00F5596D">
        <w:rPr>
          <w:rFonts w:eastAsia="MS PGothic" w:cstheme="minorHAnsi"/>
          <w:szCs w:val="20"/>
          <w:lang w:val="sr-Cyrl-CS" w:eastAsia="ja-JP"/>
        </w:rPr>
        <w:t>ризицима и подржала одрживост јавних финансија.</w:t>
      </w:r>
    </w:p>
    <w:p w14:paraId="4C1F58F4"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Уплата добити</w:t>
      </w:r>
    </w:p>
    <w:p w14:paraId="69A46014"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Уплата добити од стране државних предузећа и дивиденди друштава капитала у којима држава има власништво представљају део непореских прихода. Од успешности пословања ових предузећа зависи и висина прихода буџета по овом основу. Уплата редовне добити и дивиденди је редован буџетски непорески приход, док се уплате из нераспоређене добити третирају као приход са једнократним карактером и не представљају трајни извор прихода.</w:t>
      </w:r>
    </w:p>
    <w:p w14:paraId="3C9271F3" w14:textId="05568359" w:rsidR="00330999" w:rsidRPr="00F5596D" w:rsidRDefault="00330999" w:rsidP="00330999">
      <w:pPr>
        <w:rPr>
          <w:rFonts w:eastAsia="MS PGothic" w:cstheme="minorHAnsi"/>
          <w:szCs w:val="20"/>
          <w:lang w:val="sr-Cyrl-CS" w:eastAsia="ja-JP"/>
        </w:rPr>
        <w:sectPr w:rsidR="00330999" w:rsidRPr="00F5596D" w:rsidSect="00E61B34">
          <w:type w:val="continuous"/>
          <w:pgSz w:w="12240" w:h="15840"/>
          <w:pgMar w:top="1440" w:right="1440" w:bottom="1440" w:left="1440" w:header="720" w:footer="720" w:gutter="0"/>
          <w:cols w:num="2" w:space="720"/>
          <w:docGrid w:linePitch="360"/>
        </w:sectPr>
      </w:pPr>
      <w:r w:rsidRPr="00F5596D">
        <w:rPr>
          <w:rFonts w:eastAsia="MS PGothic" w:cstheme="minorHAnsi"/>
          <w:szCs w:val="20"/>
          <w:lang w:val="sr-Cyrl-CS" w:eastAsia="ja-JP"/>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претходну годину, који у складу са законом који уређује привредна друштва припада Репу</w:t>
      </w:r>
      <w:r w:rsidR="004F4BC8" w:rsidRPr="00F5596D">
        <w:rPr>
          <w:rFonts w:eastAsia="MS PGothic" w:cstheme="minorHAnsi"/>
          <w:szCs w:val="20"/>
          <w:lang w:val="sr-Cyrl-CS" w:eastAsia="ja-JP"/>
        </w:rPr>
        <w:t xml:space="preserve">блици Србији као члану друштва. </w:t>
      </w:r>
      <w:r w:rsidRPr="00F5596D">
        <w:rPr>
          <w:rFonts w:eastAsia="MS PGothic" w:cstheme="minorHAnsi"/>
          <w:szCs w:val="20"/>
          <w:lang w:val="sr-Cyrl-CS" w:eastAsia="ja-JP"/>
        </w:rPr>
        <w:t>Изузетно, уз сагласност Владе, обавезу по основу уплате добити нема субјекат који донесе одлуку да из добити покрије губитак или повећа капитал или средства употреби за финансирање инвестиција.</w:t>
      </w:r>
    </w:p>
    <w:p w14:paraId="592A3983" w14:textId="7A5DF9D7" w:rsidR="00330999" w:rsidRPr="00F5596D" w:rsidRDefault="00330999" w:rsidP="00330999">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 2</w:t>
      </w:r>
      <w:r w:rsidR="00F14A11" w:rsidRPr="00F5596D">
        <w:rPr>
          <w:rFonts w:eastAsia="MS PGothic" w:cstheme="minorHAnsi"/>
          <w:b/>
          <w:color w:val="002060"/>
          <w:szCs w:val="20"/>
          <w:lang w:val="sr-Cyrl-CS" w:eastAsia="ja-JP"/>
        </w:rPr>
        <w:t>4</w:t>
      </w:r>
      <w:r w:rsidRPr="00F5596D">
        <w:rPr>
          <w:rFonts w:eastAsia="MS PGothic" w:cstheme="minorHAnsi"/>
          <w:b/>
          <w:color w:val="002060"/>
          <w:szCs w:val="20"/>
          <w:lang w:val="sr-Cyrl-CS" w:eastAsia="ja-JP"/>
        </w:rPr>
        <w:t>: Учешће уплаћене добити у укупним приходима буџета Републике Србије</w:t>
      </w:r>
    </w:p>
    <w:tbl>
      <w:tblPr>
        <w:tblW w:w="9389" w:type="dxa"/>
        <w:tblLook w:val="04A0" w:firstRow="1" w:lastRow="0" w:firstColumn="1" w:lastColumn="0" w:noHBand="0" w:noVBand="1"/>
      </w:tblPr>
      <w:tblGrid>
        <w:gridCol w:w="5639"/>
        <w:gridCol w:w="976"/>
        <w:gridCol w:w="976"/>
        <w:gridCol w:w="910"/>
        <w:gridCol w:w="888"/>
      </w:tblGrid>
      <w:tr w:rsidR="00330999" w:rsidRPr="00F5596D" w14:paraId="5EA2AFBC" w14:textId="77777777" w:rsidTr="00E61B34">
        <w:trPr>
          <w:trHeight w:val="20"/>
        </w:trPr>
        <w:tc>
          <w:tcPr>
            <w:tcW w:w="5639" w:type="dxa"/>
            <w:tcBorders>
              <w:top w:val="single" w:sz="4" w:space="0" w:color="002060"/>
              <w:left w:val="nil"/>
              <w:bottom w:val="nil"/>
              <w:right w:val="nil"/>
            </w:tcBorders>
            <w:shd w:val="clear" w:color="auto" w:fill="auto"/>
            <w:noWrap/>
            <w:vAlign w:val="bottom"/>
            <w:hideMark/>
          </w:tcPr>
          <w:p w14:paraId="43ED464F" w14:textId="77777777" w:rsidR="00330999" w:rsidRPr="00F5596D" w:rsidRDefault="00330999" w:rsidP="00E61B34">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76" w:type="dxa"/>
            <w:tcBorders>
              <w:top w:val="single" w:sz="4" w:space="0" w:color="002060"/>
              <w:left w:val="nil"/>
              <w:bottom w:val="single" w:sz="4" w:space="0" w:color="auto"/>
              <w:right w:val="nil"/>
            </w:tcBorders>
            <w:shd w:val="clear" w:color="auto" w:fill="auto"/>
            <w:noWrap/>
            <w:vAlign w:val="center"/>
            <w:hideMark/>
          </w:tcPr>
          <w:p w14:paraId="00AF17E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2021</w:t>
            </w:r>
          </w:p>
        </w:tc>
        <w:tc>
          <w:tcPr>
            <w:tcW w:w="976" w:type="dxa"/>
            <w:tcBorders>
              <w:top w:val="single" w:sz="4" w:space="0" w:color="002060"/>
              <w:left w:val="nil"/>
              <w:bottom w:val="single" w:sz="4" w:space="0" w:color="auto"/>
              <w:right w:val="nil"/>
            </w:tcBorders>
            <w:shd w:val="clear" w:color="auto" w:fill="auto"/>
            <w:noWrap/>
            <w:vAlign w:val="center"/>
            <w:hideMark/>
          </w:tcPr>
          <w:p w14:paraId="58339150"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2022</w:t>
            </w:r>
          </w:p>
        </w:tc>
        <w:tc>
          <w:tcPr>
            <w:tcW w:w="910" w:type="dxa"/>
            <w:tcBorders>
              <w:top w:val="single" w:sz="4" w:space="0" w:color="002060"/>
              <w:left w:val="nil"/>
              <w:bottom w:val="single" w:sz="4" w:space="0" w:color="auto"/>
              <w:right w:val="nil"/>
            </w:tcBorders>
            <w:shd w:val="clear" w:color="auto" w:fill="auto"/>
            <w:noWrap/>
            <w:vAlign w:val="center"/>
            <w:hideMark/>
          </w:tcPr>
          <w:p w14:paraId="4D5A98F5"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888" w:type="dxa"/>
            <w:tcBorders>
              <w:top w:val="single" w:sz="4" w:space="0" w:color="002060"/>
              <w:left w:val="nil"/>
              <w:bottom w:val="single" w:sz="4" w:space="0" w:color="auto"/>
              <w:right w:val="nil"/>
            </w:tcBorders>
            <w:shd w:val="clear" w:color="auto" w:fill="auto"/>
            <w:noWrap/>
            <w:vAlign w:val="center"/>
            <w:hideMark/>
          </w:tcPr>
          <w:p w14:paraId="27AACDB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r>
      <w:tr w:rsidR="00330999" w:rsidRPr="00F5596D" w14:paraId="61E83720" w14:textId="77777777" w:rsidTr="00E61B34">
        <w:trPr>
          <w:trHeight w:val="20"/>
        </w:trPr>
        <w:tc>
          <w:tcPr>
            <w:tcW w:w="5639" w:type="dxa"/>
            <w:tcBorders>
              <w:top w:val="nil"/>
              <w:left w:val="nil"/>
              <w:bottom w:val="nil"/>
              <w:right w:val="nil"/>
            </w:tcBorders>
            <w:shd w:val="clear" w:color="auto" w:fill="auto"/>
            <w:noWrap/>
            <w:vAlign w:val="bottom"/>
            <w:hideMark/>
          </w:tcPr>
          <w:p w14:paraId="223C995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Укупни приходи буџета Републике Србије, у млрд динара</w:t>
            </w:r>
          </w:p>
        </w:tc>
        <w:tc>
          <w:tcPr>
            <w:tcW w:w="976" w:type="dxa"/>
            <w:tcBorders>
              <w:top w:val="nil"/>
              <w:left w:val="nil"/>
              <w:bottom w:val="nil"/>
              <w:right w:val="nil"/>
            </w:tcBorders>
            <w:shd w:val="clear" w:color="000000" w:fill="FFFFFF"/>
            <w:noWrap/>
            <w:vAlign w:val="center"/>
            <w:hideMark/>
          </w:tcPr>
          <w:p w14:paraId="09D44501"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1.465,4</w:t>
            </w:r>
          </w:p>
        </w:tc>
        <w:tc>
          <w:tcPr>
            <w:tcW w:w="976" w:type="dxa"/>
            <w:tcBorders>
              <w:top w:val="nil"/>
              <w:left w:val="nil"/>
              <w:bottom w:val="nil"/>
              <w:right w:val="nil"/>
            </w:tcBorders>
            <w:shd w:val="clear" w:color="000000" w:fill="FFFFFF"/>
            <w:noWrap/>
            <w:vAlign w:val="center"/>
            <w:hideMark/>
          </w:tcPr>
          <w:p w14:paraId="2F67DE07"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1.680,3</w:t>
            </w:r>
          </w:p>
        </w:tc>
        <w:tc>
          <w:tcPr>
            <w:tcW w:w="910" w:type="dxa"/>
            <w:tcBorders>
              <w:top w:val="nil"/>
              <w:left w:val="nil"/>
              <w:bottom w:val="nil"/>
              <w:right w:val="nil"/>
            </w:tcBorders>
            <w:shd w:val="clear" w:color="000000" w:fill="FFFFFF"/>
            <w:noWrap/>
            <w:vAlign w:val="center"/>
            <w:hideMark/>
          </w:tcPr>
          <w:p w14:paraId="3EBD81E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1.889,1</w:t>
            </w:r>
          </w:p>
        </w:tc>
        <w:tc>
          <w:tcPr>
            <w:tcW w:w="888" w:type="dxa"/>
            <w:tcBorders>
              <w:top w:val="nil"/>
              <w:left w:val="nil"/>
              <w:bottom w:val="nil"/>
              <w:right w:val="nil"/>
            </w:tcBorders>
            <w:shd w:val="clear" w:color="auto" w:fill="auto"/>
            <w:noWrap/>
            <w:vAlign w:val="center"/>
            <w:hideMark/>
          </w:tcPr>
          <w:p w14:paraId="072CEF6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2.141,6</w:t>
            </w:r>
          </w:p>
        </w:tc>
      </w:tr>
      <w:tr w:rsidR="00330999" w:rsidRPr="00F5596D" w14:paraId="2AF7125D" w14:textId="77777777" w:rsidTr="00E61B34">
        <w:trPr>
          <w:trHeight w:val="20"/>
        </w:trPr>
        <w:tc>
          <w:tcPr>
            <w:tcW w:w="5639" w:type="dxa"/>
            <w:tcBorders>
              <w:top w:val="nil"/>
              <w:left w:val="nil"/>
              <w:bottom w:val="nil"/>
              <w:right w:val="nil"/>
            </w:tcBorders>
            <w:shd w:val="clear" w:color="auto" w:fill="auto"/>
            <w:noWrap/>
            <w:vAlign w:val="bottom"/>
            <w:hideMark/>
          </w:tcPr>
          <w:p w14:paraId="2497AD21"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Непорески приходи буџета Републике Србије, у млрд динара</w:t>
            </w:r>
          </w:p>
        </w:tc>
        <w:tc>
          <w:tcPr>
            <w:tcW w:w="976" w:type="dxa"/>
            <w:tcBorders>
              <w:top w:val="nil"/>
              <w:left w:val="nil"/>
              <w:bottom w:val="nil"/>
              <w:right w:val="nil"/>
            </w:tcBorders>
            <w:shd w:val="clear" w:color="000000" w:fill="FFFFFF"/>
            <w:noWrap/>
            <w:vAlign w:val="center"/>
            <w:hideMark/>
          </w:tcPr>
          <w:p w14:paraId="69D9910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156,6</w:t>
            </w:r>
          </w:p>
        </w:tc>
        <w:tc>
          <w:tcPr>
            <w:tcW w:w="976" w:type="dxa"/>
            <w:tcBorders>
              <w:top w:val="nil"/>
              <w:left w:val="nil"/>
              <w:bottom w:val="nil"/>
              <w:right w:val="nil"/>
            </w:tcBorders>
            <w:shd w:val="clear" w:color="000000" w:fill="FFFFFF"/>
            <w:noWrap/>
            <w:vAlign w:val="center"/>
            <w:hideMark/>
          </w:tcPr>
          <w:p w14:paraId="5A9E4CD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170,8</w:t>
            </w:r>
          </w:p>
        </w:tc>
        <w:tc>
          <w:tcPr>
            <w:tcW w:w="910" w:type="dxa"/>
            <w:tcBorders>
              <w:top w:val="nil"/>
              <w:left w:val="nil"/>
              <w:bottom w:val="nil"/>
              <w:right w:val="nil"/>
            </w:tcBorders>
            <w:shd w:val="clear" w:color="000000" w:fill="FFFFFF"/>
            <w:noWrap/>
            <w:vAlign w:val="center"/>
            <w:hideMark/>
          </w:tcPr>
          <w:p w14:paraId="05F64832"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193,9</w:t>
            </w:r>
          </w:p>
        </w:tc>
        <w:tc>
          <w:tcPr>
            <w:tcW w:w="888" w:type="dxa"/>
            <w:tcBorders>
              <w:top w:val="nil"/>
              <w:left w:val="nil"/>
              <w:bottom w:val="nil"/>
              <w:right w:val="nil"/>
            </w:tcBorders>
            <w:shd w:val="clear" w:color="auto" w:fill="auto"/>
            <w:noWrap/>
            <w:vAlign w:val="center"/>
            <w:hideMark/>
          </w:tcPr>
          <w:p w14:paraId="543C5E3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248,9</w:t>
            </w:r>
          </w:p>
        </w:tc>
      </w:tr>
      <w:tr w:rsidR="00330999" w:rsidRPr="00F5596D" w14:paraId="5B495851" w14:textId="77777777" w:rsidTr="00E61B34">
        <w:trPr>
          <w:trHeight w:val="20"/>
        </w:trPr>
        <w:tc>
          <w:tcPr>
            <w:tcW w:w="5639" w:type="dxa"/>
            <w:tcBorders>
              <w:top w:val="nil"/>
              <w:left w:val="nil"/>
              <w:bottom w:val="nil"/>
              <w:right w:val="nil"/>
            </w:tcBorders>
            <w:shd w:val="clear" w:color="auto" w:fill="auto"/>
            <w:noWrap/>
            <w:vAlign w:val="bottom"/>
            <w:hideMark/>
          </w:tcPr>
          <w:p w14:paraId="63883DF8"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Уплаћена добит предузећа, у млрд динара</w:t>
            </w:r>
          </w:p>
        </w:tc>
        <w:tc>
          <w:tcPr>
            <w:tcW w:w="976" w:type="dxa"/>
            <w:tcBorders>
              <w:top w:val="nil"/>
              <w:left w:val="nil"/>
              <w:bottom w:val="nil"/>
              <w:right w:val="nil"/>
            </w:tcBorders>
            <w:shd w:val="clear" w:color="000000" w:fill="FFFFFF"/>
            <w:noWrap/>
            <w:vAlign w:val="center"/>
            <w:hideMark/>
          </w:tcPr>
          <w:p w14:paraId="7CBE382B"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4,6</w:t>
            </w:r>
          </w:p>
        </w:tc>
        <w:tc>
          <w:tcPr>
            <w:tcW w:w="976" w:type="dxa"/>
            <w:tcBorders>
              <w:top w:val="nil"/>
              <w:left w:val="nil"/>
              <w:bottom w:val="nil"/>
              <w:right w:val="nil"/>
            </w:tcBorders>
            <w:shd w:val="clear" w:color="000000" w:fill="FFFFFF"/>
            <w:noWrap/>
            <w:vAlign w:val="center"/>
            <w:hideMark/>
          </w:tcPr>
          <w:p w14:paraId="287DCB19"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1,9</w:t>
            </w:r>
          </w:p>
        </w:tc>
        <w:tc>
          <w:tcPr>
            <w:tcW w:w="910" w:type="dxa"/>
            <w:tcBorders>
              <w:top w:val="nil"/>
              <w:left w:val="nil"/>
              <w:bottom w:val="nil"/>
              <w:right w:val="nil"/>
            </w:tcBorders>
            <w:shd w:val="clear" w:color="000000" w:fill="FFFFFF"/>
            <w:noWrap/>
            <w:vAlign w:val="center"/>
            <w:hideMark/>
          </w:tcPr>
          <w:p w14:paraId="7CE5531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4,3</w:t>
            </w:r>
          </w:p>
        </w:tc>
        <w:tc>
          <w:tcPr>
            <w:tcW w:w="888" w:type="dxa"/>
            <w:tcBorders>
              <w:top w:val="nil"/>
              <w:left w:val="nil"/>
              <w:bottom w:val="nil"/>
              <w:right w:val="nil"/>
            </w:tcBorders>
            <w:shd w:val="clear" w:color="auto" w:fill="auto"/>
            <w:noWrap/>
            <w:vAlign w:val="center"/>
            <w:hideMark/>
          </w:tcPr>
          <w:p w14:paraId="04B2D2B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1,6</w:t>
            </w:r>
          </w:p>
        </w:tc>
      </w:tr>
      <w:tr w:rsidR="00330999" w:rsidRPr="00F5596D" w14:paraId="00723D19" w14:textId="77777777" w:rsidTr="00E61B34">
        <w:trPr>
          <w:trHeight w:val="20"/>
        </w:trPr>
        <w:tc>
          <w:tcPr>
            <w:tcW w:w="5639" w:type="dxa"/>
            <w:tcBorders>
              <w:top w:val="nil"/>
              <w:left w:val="nil"/>
              <w:bottom w:val="nil"/>
              <w:right w:val="nil"/>
            </w:tcBorders>
            <w:shd w:val="clear" w:color="auto" w:fill="auto"/>
            <w:vAlign w:val="bottom"/>
            <w:hideMark/>
          </w:tcPr>
          <w:p w14:paraId="27CE05FA" w14:textId="77777777" w:rsidR="00330999" w:rsidRPr="00F5596D" w:rsidRDefault="00330999" w:rsidP="00E61B34">
            <w:pPr>
              <w:spacing w:after="0" w:line="240" w:lineRule="auto"/>
              <w:jc w:val="left"/>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 учешће уплаћене добити у укупним приходима буџета РС</w:t>
            </w:r>
          </w:p>
        </w:tc>
        <w:tc>
          <w:tcPr>
            <w:tcW w:w="976" w:type="dxa"/>
            <w:tcBorders>
              <w:top w:val="nil"/>
              <w:left w:val="nil"/>
              <w:bottom w:val="nil"/>
              <w:right w:val="nil"/>
            </w:tcBorders>
            <w:shd w:val="clear" w:color="000000" w:fill="FFFFFF"/>
            <w:noWrap/>
            <w:vAlign w:val="center"/>
            <w:hideMark/>
          </w:tcPr>
          <w:p w14:paraId="25C8068A"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0,3%</w:t>
            </w:r>
          </w:p>
        </w:tc>
        <w:tc>
          <w:tcPr>
            <w:tcW w:w="976" w:type="dxa"/>
            <w:tcBorders>
              <w:top w:val="nil"/>
              <w:left w:val="nil"/>
              <w:bottom w:val="nil"/>
              <w:right w:val="nil"/>
            </w:tcBorders>
            <w:shd w:val="clear" w:color="000000" w:fill="FFFFFF"/>
            <w:noWrap/>
            <w:vAlign w:val="center"/>
            <w:hideMark/>
          </w:tcPr>
          <w:p w14:paraId="05AF90E3"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0,1%</w:t>
            </w:r>
          </w:p>
        </w:tc>
        <w:tc>
          <w:tcPr>
            <w:tcW w:w="910" w:type="dxa"/>
            <w:tcBorders>
              <w:top w:val="nil"/>
              <w:left w:val="nil"/>
              <w:bottom w:val="nil"/>
              <w:right w:val="nil"/>
            </w:tcBorders>
            <w:shd w:val="clear" w:color="000000" w:fill="FFFFFF"/>
            <w:noWrap/>
            <w:vAlign w:val="center"/>
            <w:hideMark/>
          </w:tcPr>
          <w:p w14:paraId="3B560325"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0,2%</w:t>
            </w:r>
          </w:p>
        </w:tc>
        <w:tc>
          <w:tcPr>
            <w:tcW w:w="888" w:type="dxa"/>
            <w:tcBorders>
              <w:top w:val="nil"/>
              <w:left w:val="nil"/>
              <w:bottom w:val="nil"/>
              <w:right w:val="nil"/>
            </w:tcBorders>
            <w:shd w:val="clear" w:color="000000" w:fill="FFFFFF"/>
            <w:noWrap/>
            <w:vAlign w:val="center"/>
            <w:hideMark/>
          </w:tcPr>
          <w:p w14:paraId="6DC3827F"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0,1%</w:t>
            </w:r>
          </w:p>
        </w:tc>
      </w:tr>
      <w:tr w:rsidR="00330999" w:rsidRPr="00F5596D" w14:paraId="716AD9DB" w14:textId="77777777" w:rsidTr="00E61B34">
        <w:trPr>
          <w:trHeight w:val="20"/>
        </w:trPr>
        <w:tc>
          <w:tcPr>
            <w:tcW w:w="5639" w:type="dxa"/>
            <w:tcBorders>
              <w:top w:val="nil"/>
              <w:left w:val="nil"/>
              <w:bottom w:val="single" w:sz="4" w:space="0" w:color="002060"/>
              <w:right w:val="nil"/>
            </w:tcBorders>
            <w:shd w:val="clear" w:color="auto" w:fill="auto"/>
            <w:vAlign w:val="bottom"/>
            <w:hideMark/>
          </w:tcPr>
          <w:p w14:paraId="399E9E68" w14:textId="77777777" w:rsidR="00330999" w:rsidRPr="00F5596D" w:rsidRDefault="00330999" w:rsidP="00E61B34">
            <w:pPr>
              <w:spacing w:after="0" w:line="240" w:lineRule="auto"/>
              <w:jc w:val="left"/>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 учешће уплаћене добити у непореским приходима буџета РС</w:t>
            </w:r>
          </w:p>
        </w:tc>
        <w:tc>
          <w:tcPr>
            <w:tcW w:w="976" w:type="dxa"/>
            <w:tcBorders>
              <w:top w:val="nil"/>
              <w:left w:val="nil"/>
              <w:bottom w:val="single" w:sz="4" w:space="0" w:color="002060"/>
              <w:right w:val="nil"/>
            </w:tcBorders>
            <w:shd w:val="clear" w:color="000000" w:fill="FFFFFF"/>
            <w:noWrap/>
            <w:vAlign w:val="center"/>
            <w:hideMark/>
          </w:tcPr>
          <w:p w14:paraId="152FC9B6"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2,9%</w:t>
            </w:r>
          </w:p>
        </w:tc>
        <w:tc>
          <w:tcPr>
            <w:tcW w:w="976" w:type="dxa"/>
            <w:tcBorders>
              <w:top w:val="nil"/>
              <w:left w:val="nil"/>
              <w:bottom w:val="single" w:sz="4" w:space="0" w:color="002060"/>
              <w:right w:val="nil"/>
            </w:tcBorders>
            <w:shd w:val="clear" w:color="000000" w:fill="FFFFFF"/>
            <w:noWrap/>
            <w:vAlign w:val="center"/>
            <w:hideMark/>
          </w:tcPr>
          <w:p w14:paraId="655A0675"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1,1%</w:t>
            </w:r>
          </w:p>
        </w:tc>
        <w:tc>
          <w:tcPr>
            <w:tcW w:w="910" w:type="dxa"/>
            <w:tcBorders>
              <w:top w:val="nil"/>
              <w:left w:val="nil"/>
              <w:bottom w:val="single" w:sz="4" w:space="0" w:color="002060"/>
              <w:right w:val="nil"/>
            </w:tcBorders>
            <w:shd w:val="clear" w:color="000000" w:fill="FFFFFF"/>
            <w:noWrap/>
            <w:vAlign w:val="center"/>
            <w:hideMark/>
          </w:tcPr>
          <w:p w14:paraId="49B6B150"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2,2%</w:t>
            </w:r>
          </w:p>
        </w:tc>
        <w:tc>
          <w:tcPr>
            <w:tcW w:w="888" w:type="dxa"/>
            <w:tcBorders>
              <w:top w:val="nil"/>
              <w:left w:val="nil"/>
              <w:bottom w:val="single" w:sz="4" w:space="0" w:color="002060"/>
              <w:right w:val="nil"/>
            </w:tcBorders>
            <w:shd w:val="clear" w:color="000000" w:fill="FFFFFF"/>
            <w:noWrap/>
            <w:vAlign w:val="center"/>
            <w:hideMark/>
          </w:tcPr>
          <w:p w14:paraId="00BD18BE" w14:textId="77777777" w:rsidR="00330999" w:rsidRPr="00F5596D" w:rsidRDefault="00330999" w:rsidP="00E61B34">
            <w:pPr>
              <w:spacing w:after="0" w:line="240" w:lineRule="auto"/>
              <w:jc w:val="center"/>
              <w:rPr>
                <w:rFonts w:ascii="Calibri" w:eastAsia="Times New Roman" w:hAnsi="Calibri" w:cs="Calibri"/>
                <w:i/>
                <w:iCs/>
                <w:color w:val="002060"/>
                <w:sz w:val="18"/>
                <w:szCs w:val="18"/>
                <w:lang w:val="sr-Cyrl-CS"/>
              </w:rPr>
            </w:pPr>
            <w:r w:rsidRPr="00F5596D">
              <w:rPr>
                <w:rFonts w:ascii="Calibri" w:eastAsia="Times New Roman" w:hAnsi="Calibri" w:cs="Calibri"/>
                <w:i/>
                <w:iCs/>
                <w:color w:val="002060"/>
                <w:sz w:val="18"/>
                <w:szCs w:val="18"/>
                <w:lang w:val="sr-Cyrl-CS"/>
              </w:rPr>
              <w:t>0,6%</w:t>
            </w:r>
          </w:p>
        </w:tc>
      </w:tr>
    </w:tbl>
    <w:p w14:paraId="2B34A68A" w14:textId="77777777" w:rsidR="00330999" w:rsidRPr="00F5596D" w:rsidRDefault="00330999" w:rsidP="00330999">
      <w:pPr>
        <w:spacing w:after="0" w:line="276" w:lineRule="auto"/>
        <w:rPr>
          <w:rFonts w:eastAsia="MS PGothic" w:cstheme="minorHAnsi"/>
          <w:sz w:val="16"/>
          <w:szCs w:val="16"/>
          <w:lang w:val="sr-Cyrl-CS" w:eastAsia="ja-JP"/>
        </w:rPr>
      </w:pPr>
      <w:r w:rsidRPr="00F5596D">
        <w:rPr>
          <w:rFonts w:eastAsia="MS PGothic" w:cstheme="minorHAnsi"/>
          <w:sz w:val="16"/>
          <w:szCs w:val="16"/>
          <w:lang w:val="sr-Cyrl-CS" w:eastAsia="ja-JP"/>
        </w:rPr>
        <w:t>Извор: Министарство финансија</w:t>
      </w:r>
    </w:p>
    <w:p w14:paraId="1DE5C471" w14:textId="77777777" w:rsidR="00330999" w:rsidRPr="00F5596D" w:rsidRDefault="00330999" w:rsidP="00330999">
      <w:pPr>
        <w:spacing w:after="0" w:line="276" w:lineRule="auto"/>
        <w:rPr>
          <w:rFonts w:eastAsia="MS PGothic" w:cstheme="minorHAnsi"/>
          <w:sz w:val="16"/>
          <w:szCs w:val="16"/>
          <w:highlight w:val="yellow"/>
          <w:lang w:val="sr-Cyrl-CS" w:eastAsia="ja-JP"/>
        </w:rPr>
        <w:sectPr w:rsidR="00330999" w:rsidRPr="00F5596D" w:rsidSect="00E61B34">
          <w:type w:val="continuous"/>
          <w:pgSz w:w="12240" w:h="15840"/>
          <w:pgMar w:top="1440" w:right="1440" w:bottom="1440" w:left="1440" w:header="720" w:footer="720" w:gutter="0"/>
          <w:cols w:space="720"/>
          <w:docGrid w:linePitch="360"/>
        </w:sectPr>
      </w:pPr>
    </w:p>
    <w:p w14:paraId="12ADE165" w14:textId="77777777" w:rsidR="00330999" w:rsidRPr="00F5596D" w:rsidRDefault="00330999" w:rsidP="00330999">
      <w:pPr>
        <w:rPr>
          <w:rFonts w:ascii="Calibri" w:eastAsia="MS PGothic" w:hAnsi="Calibri" w:cs="Calibri"/>
          <w:color w:val="44546A"/>
          <w:szCs w:val="20"/>
          <w:lang w:val="sr-Cyrl-CS" w:eastAsia="ja-JP"/>
        </w:rPr>
      </w:pPr>
    </w:p>
    <w:p w14:paraId="33AC97F7" w14:textId="77777777" w:rsidR="00330999" w:rsidRPr="00F5596D" w:rsidRDefault="00330999" w:rsidP="00330999">
      <w:pPr>
        <w:rPr>
          <w:rFonts w:ascii="Calibri" w:eastAsia="MS PGothic" w:hAnsi="Calibri" w:cs="Calibri"/>
          <w:color w:val="44546A"/>
          <w:szCs w:val="20"/>
          <w:lang w:val="sr-Cyrl-CS" w:eastAsia="ja-JP"/>
        </w:rPr>
        <w:sectPr w:rsidR="00330999" w:rsidRPr="00F5596D" w:rsidSect="00E61B34">
          <w:type w:val="continuous"/>
          <w:pgSz w:w="12240" w:h="15840"/>
          <w:pgMar w:top="1440" w:right="1440" w:bottom="1350" w:left="1440" w:header="720" w:footer="720" w:gutter="0"/>
          <w:cols w:num="2" w:space="720"/>
          <w:docGrid w:linePitch="360"/>
        </w:sectPr>
      </w:pPr>
    </w:p>
    <w:p w14:paraId="7F4EA203"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Државна предузећа која прати Министарство финансија, у току 2024. године уплатила су 1,6 млрд динара остварене добити у буџет Републике.</w:t>
      </w:r>
    </w:p>
    <w:p w14:paraId="1B77AD48" w14:textId="1B51CD64" w:rsidR="00EB296F" w:rsidRPr="00F5596D" w:rsidRDefault="00330999" w:rsidP="00EB296F">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Укупна уплаћена добит предузећа у буџет Републике Србије у 2024. години чинила је 0,1% укупног прихода буџета Републике Србије (2023: 0,2%), односно 0,6% непореског прихода буџета Републике Србије (2023: 2,2%). У структури уплата у 2024. години доминантно учешће имају уплате од ЈП „Пошта” Србије 0,6 млрд динара и ЈП „Србијашуме” 0,4 млрд динара.</w:t>
      </w:r>
    </w:p>
    <w:p w14:paraId="4F0AC07E" w14:textId="36784913" w:rsidR="00330999" w:rsidRPr="00F5596D" w:rsidRDefault="00330999" w:rsidP="00EB296F">
      <w:pPr>
        <w:rPr>
          <w:rFonts w:eastAsia="MS PGothic" w:cstheme="minorHAnsi"/>
          <w:b/>
          <w:color w:val="002060"/>
          <w:spacing w:val="-4"/>
          <w:szCs w:val="20"/>
          <w:lang w:val="sr-Cyrl-CS" w:eastAsia="ja-JP"/>
        </w:rPr>
      </w:pPr>
      <w:r w:rsidRPr="00F5596D">
        <w:rPr>
          <w:rFonts w:eastAsia="MS PGothic" w:cstheme="minorHAnsi"/>
          <w:b/>
          <w:color w:val="002060"/>
          <w:spacing w:val="-4"/>
          <w:szCs w:val="20"/>
          <w:lang w:val="sr-Cyrl-CS" w:eastAsia="ja-JP"/>
        </w:rPr>
        <w:t>Табела 2</w:t>
      </w:r>
      <w:r w:rsidR="00F14A11" w:rsidRPr="00F5596D">
        <w:rPr>
          <w:rFonts w:eastAsia="MS PGothic" w:cstheme="minorHAnsi"/>
          <w:b/>
          <w:color w:val="002060"/>
          <w:spacing w:val="-4"/>
          <w:szCs w:val="20"/>
          <w:lang w:val="sr-Cyrl-CS" w:eastAsia="ja-JP"/>
        </w:rPr>
        <w:t>5</w:t>
      </w:r>
      <w:r w:rsidRPr="00F5596D">
        <w:rPr>
          <w:rFonts w:eastAsia="MS PGothic" w:cstheme="minorHAnsi"/>
          <w:b/>
          <w:color w:val="002060"/>
          <w:spacing w:val="-4"/>
          <w:szCs w:val="20"/>
          <w:lang w:val="sr-Cyrl-CS" w:eastAsia="ja-JP"/>
        </w:rPr>
        <w:t>: Уплате добити у буџет РС по предузећимa за 2023. и 2024. годину, млрд динара</w:t>
      </w:r>
    </w:p>
    <w:tbl>
      <w:tblPr>
        <w:tblW w:w="4300" w:type="dxa"/>
        <w:tblLook w:val="04A0" w:firstRow="1" w:lastRow="0" w:firstColumn="1" w:lastColumn="0" w:noHBand="0" w:noVBand="1"/>
      </w:tblPr>
      <w:tblGrid>
        <w:gridCol w:w="2330"/>
        <w:gridCol w:w="932"/>
        <w:gridCol w:w="1038"/>
      </w:tblGrid>
      <w:tr w:rsidR="00330999" w:rsidRPr="00F5596D" w14:paraId="1B8E9762" w14:textId="77777777" w:rsidTr="00E61B34">
        <w:trPr>
          <w:trHeight w:val="20"/>
        </w:trPr>
        <w:tc>
          <w:tcPr>
            <w:tcW w:w="2330" w:type="dxa"/>
            <w:tcBorders>
              <w:top w:val="single" w:sz="4" w:space="0" w:color="002060"/>
              <w:left w:val="nil"/>
              <w:bottom w:val="single" w:sz="4" w:space="0" w:color="002060"/>
              <w:right w:val="nil"/>
            </w:tcBorders>
            <w:shd w:val="clear" w:color="auto" w:fill="auto"/>
            <w:noWrap/>
            <w:vAlign w:val="center"/>
            <w:hideMark/>
          </w:tcPr>
          <w:p w14:paraId="6A87794A"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Уплатиоци добити</w:t>
            </w:r>
          </w:p>
        </w:tc>
        <w:tc>
          <w:tcPr>
            <w:tcW w:w="932" w:type="dxa"/>
            <w:tcBorders>
              <w:top w:val="single" w:sz="4" w:space="0" w:color="002060"/>
              <w:left w:val="nil"/>
              <w:bottom w:val="single" w:sz="4" w:space="0" w:color="002060"/>
              <w:right w:val="nil"/>
            </w:tcBorders>
            <w:shd w:val="clear" w:color="auto" w:fill="auto"/>
            <w:noWrap/>
            <w:vAlign w:val="center"/>
            <w:hideMark/>
          </w:tcPr>
          <w:p w14:paraId="6A44EBB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2023</w:t>
            </w:r>
          </w:p>
        </w:tc>
        <w:tc>
          <w:tcPr>
            <w:tcW w:w="1038" w:type="dxa"/>
            <w:tcBorders>
              <w:top w:val="single" w:sz="4" w:space="0" w:color="002060"/>
              <w:left w:val="nil"/>
              <w:bottom w:val="single" w:sz="4" w:space="0" w:color="002060"/>
              <w:right w:val="nil"/>
            </w:tcBorders>
            <w:shd w:val="clear" w:color="auto" w:fill="auto"/>
            <w:noWrap/>
            <w:vAlign w:val="center"/>
            <w:hideMark/>
          </w:tcPr>
          <w:p w14:paraId="7113B188"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2024</w:t>
            </w:r>
          </w:p>
        </w:tc>
      </w:tr>
      <w:tr w:rsidR="00330999" w:rsidRPr="00F5596D" w14:paraId="461923DF" w14:textId="77777777" w:rsidTr="00E61B34">
        <w:trPr>
          <w:trHeight w:val="20"/>
        </w:trPr>
        <w:tc>
          <w:tcPr>
            <w:tcW w:w="2330" w:type="dxa"/>
            <w:tcBorders>
              <w:top w:val="nil"/>
              <w:left w:val="nil"/>
              <w:bottom w:val="nil"/>
              <w:right w:val="nil"/>
            </w:tcBorders>
            <w:shd w:val="clear" w:color="auto" w:fill="auto"/>
            <w:noWrap/>
            <w:vAlign w:val="bottom"/>
            <w:hideMark/>
          </w:tcPr>
          <w:p w14:paraId="48525082"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ЈП Пошта Србије</w:t>
            </w:r>
          </w:p>
        </w:tc>
        <w:tc>
          <w:tcPr>
            <w:tcW w:w="932" w:type="dxa"/>
            <w:tcBorders>
              <w:top w:val="nil"/>
              <w:left w:val="nil"/>
              <w:bottom w:val="nil"/>
              <w:right w:val="nil"/>
            </w:tcBorders>
            <w:shd w:val="clear" w:color="auto" w:fill="auto"/>
            <w:noWrap/>
            <w:vAlign w:val="bottom"/>
            <w:hideMark/>
          </w:tcPr>
          <w:p w14:paraId="18E77720"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1,2</w:t>
            </w:r>
          </w:p>
        </w:tc>
        <w:tc>
          <w:tcPr>
            <w:tcW w:w="1038" w:type="dxa"/>
            <w:tcBorders>
              <w:top w:val="nil"/>
              <w:left w:val="nil"/>
              <w:bottom w:val="nil"/>
              <w:right w:val="nil"/>
            </w:tcBorders>
            <w:shd w:val="clear" w:color="auto" w:fill="auto"/>
            <w:noWrap/>
            <w:vAlign w:val="bottom"/>
            <w:hideMark/>
          </w:tcPr>
          <w:p w14:paraId="02D1CFA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0,6</w:t>
            </w:r>
          </w:p>
        </w:tc>
      </w:tr>
      <w:tr w:rsidR="00330999" w:rsidRPr="00F5596D" w14:paraId="47589890" w14:textId="77777777" w:rsidTr="00E61B34">
        <w:trPr>
          <w:trHeight w:val="20"/>
        </w:trPr>
        <w:tc>
          <w:tcPr>
            <w:tcW w:w="2330" w:type="dxa"/>
            <w:tcBorders>
              <w:top w:val="nil"/>
              <w:left w:val="nil"/>
              <w:bottom w:val="nil"/>
              <w:right w:val="nil"/>
            </w:tcBorders>
            <w:shd w:val="clear" w:color="auto" w:fill="auto"/>
            <w:noWrap/>
            <w:vAlign w:val="bottom"/>
            <w:hideMark/>
          </w:tcPr>
          <w:p w14:paraId="4D81FDC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ЈП Србијашуме</w:t>
            </w:r>
          </w:p>
        </w:tc>
        <w:tc>
          <w:tcPr>
            <w:tcW w:w="932" w:type="dxa"/>
            <w:tcBorders>
              <w:top w:val="nil"/>
              <w:left w:val="nil"/>
              <w:bottom w:val="nil"/>
              <w:right w:val="nil"/>
            </w:tcBorders>
            <w:shd w:val="clear" w:color="auto" w:fill="auto"/>
            <w:noWrap/>
            <w:vAlign w:val="bottom"/>
            <w:hideMark/>
          </w:tcPr>
          <w:p w14:paraId="0EF27F83"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0,4</w:t>
            </w:r>
          </w:p>
        </w:tc>
        <w:tc>
          <w:tcPr>
            <w:tcW w:w="1038" w:type="dxa"/>
            <w:tcBorders>
              <w:top w:val="nil"/>
              <w:left w:val="nil"/>
              <w:bottom w:val="nil"/>
              <w:right w:val="nil"/>
            </w:tcBorders>
            <w:shd w:val="clear" w:color="auto" w:fill="auto"/>
            <w:noWrap/>
            <w:vAlign w:val="bottom"/>
            <w:hideMark/>
          </w:tcPr>
          <w:p w14:paraId="0812767F"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0,4</w:t>
            </w:r>
          </w:p>
        </w:tc>
      </w:tr>
      <w:tr w:rsidR="00330999" w:rsidRPr="00F5596D" w14:paraId="62CC1BB5" w14:textId="77777777" w:rsidTr="00E61B34">
        <w:trPr>
          <w:trHeight w:val="20"/>
        </w:trPr>
        <w:tc>
          <w:tcPr>
            <w:tcW w:w="2330" w:type="dxa"/>
            <w:tcBorders>
              <w:top w:val="nil"/>
              <w:left w:val="nil"/>
              <w:bottom w:val="nil"/>
              <w:right w:val="nil"/>
            </w:tcBorders>
            <w:shd w:val="clear" w:color="auto" w:fill="auto"/>
            <w:noWrap/>
            <w:vAlign w:val="bottom"/>
            <w:hideMark/>
          </w:tcPr>
          <w:p w14:paraId="2CE1AF85"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Србијаводе</w:t>
            </w:r>
          </w:p>
        </w:tc>
        <w:tc>
          <w:tcPr>
            <w:tcW w:w="932" w:type="dxa"/>
            <w:tcBorders>
              <w:top w:val="nil"/>
              <w:left w:val="nil"/>
              <w:bottom w:val="nil"/>
              <w:right w:val="nil"/>
            </w:tcBorders>
            <w:shd w:val="clear" w:color="auto" w:fill="auto"/>
            <w:noWrap/>
            <w:vAlign w:val="bottom"/>
            <w:hideMark/>
          </w:tcPr>
          <w:p w14:paraId="691747A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0,0</w:t>
            </w:r>
          </w:p>
        </w:tc>
        <w:tc>
          <w:tcPr>
            <w:tcW w:w="1038" w:type="dxa"/>
            <w:tcBorders>
              <w:top w:val="nil"/>
              <w:left w:val="nil"/>
              <w:bottom w:val="nil"/>
              <w:right w:val="nil"/>
            </w:tcBorders>
            <w:shd w:val="clear" w:color="auto" w:fill="auto"/>
            <w:noWrap/>
            <w:vAlign w:val="bottom"/>
            <w:hideMark/>
          </w:tcPr>
          <w:p w14:paraId="3D2580D4"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0,3</w:t>
            </w:r>
          </w:p>
        </w:tc>
      </w:tr>
      <w:tr w:rsidR="00330999" w:rsidRPr="00F5596D" w14:paraId="23E046FF" w14:textId="77777777" w:rsidTr="00E61B34">
        <w:trPr>
          <w:trHeight w:val="20"/>
        </w:trPr>
        <w:tc>
          <w:tcPr>
            <w:tcW w:w="2330" w:type="dxa"/>
            <w:tcBorders>
              <w:top w:val="nil"/>
              <w:left w:val="nil"/>
              <w:bottom w:val="nil"/>
              <w:right w:val="nil"/>
            </w:tcBorders>
            <w:shd w:val="clear" w:color="auto" w:fill="auto"/>
            <w:noWrap/>
            <w:vAlign w:val="bottom"/>
            <w:hideMark/>
          </w:tcPr>
          <w:p w14:paraId="4B4FCEA9"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Државна лутрија Србије</w:t>
            </w:r>
          </w:p>
        </w:tc>
        <w:tc>
          <w:tcPr>
            <w:tcW w:w="932" w:type="dxa"/>
            <w:tcBorders>
              <w:top w:val="nil"/>
              <w:left w:val="nil"/>
              <w:bottom w:val="nil"/>
              <w:right w:val="nil"/>
            </w:tcBorders>
            <w:shd w:val="clear" w:color="auto" w:fill="auto"/>
            <w:noWrap/>
            <w:vAlign w:val="bottom"/>
            <w:hideMark/>
          </w:tcPr>
          <w:p w14:paraId="4FB8166A"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c>
          <w:tcPr>
            <w:tcW w:w="1038" w:type="dxa"/>
            <w:tcBorders>
              <w:top w:val="nil"/>
              <w:left w:val="nil"/>
              <w:bottom w:val="nil"/>
              <w:right w:val="nil"/>
            </w:tcBorders>
            <w:shd w:val="clear" w:color="auto" w:fill="auto"/>
            <w:noWrap/>
            <w:vAlign w:val="bottom"/>
            <w:hideMark/>
          </w:tcPr>
          <w:p w14:paraId="6440C55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r>
      <w:tr w:rsidR="00330999" w:rsidRPr="00F5596D" w14:paraId="0A5B2085" w14:textId="77777777" w:rsidTr="00E61B34">
        <w:trPr>
          <w:trHeight w:val="20"/>
        </w:trPr>
        <w:tc>
          <w:tcPr>
            <w:tcW w:w="2330" w:type="dxa"/>
            <w:tcBorders>
              <w:top w:val="nil"/>
              <w:left w:val="nil"/>
              <w:bottom w:val="nil"/>
              <w:right w:val="nil"/>
            </w:tcBorders>
            <w:shd w:val="clear" w:color="auto" w:fill="auto"/>
            <w:noWrap/>
            <w:vAlign w:val="bottom"/>
            <w:hideMark/>
          </w:tcPr>
          <w:p w14:paraId="6E105FAD"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 xml:space="preserve"> Дипос</w:t>
            </w:r>
          </w:p>
        </w:tc>
        <w:tc>
          <w:tcPr>
            <w:tcW w:w="932" w:type="dxa"/>
            <w:tcBorders>
              <w:top w:val="nil"/>
              <w:left w:val="nil"/>
              <w:bottom w:val="nil"/>
              <w:right w:val="nil"/>
            </w:tcBorders>
            <w:shd w:val="clear" w:color="auto" w:fill="auto"/>
            <w:noWrap/>
            <w:vAlign w:val="bottom"/>
            <w:hideMark/>
          </w:tcPr>
          <w:p w14:paraId="05337526"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c>
          <w:tcPr>
            <w:tcW w:w="1038" w:type="dxa"/>
            <w:tcBorders>
              <w:top w:val="nil"/>
              <w:left w:val="nil"/>
              <w:bottom w:val="nil"/>
              <w:right w:val="nil"/>
            </w:tcBorders>
            <w:shd w:val="clear" w:color="auto" w:fill="auto"/>
            <w:noWrap/>
            <w:vAlign w:val="bottom"/>
            <w:hideMark/>
          </w:tcPr>
          <w:p w14:paraId="2221EBAD"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r>
      <w:tr w:rsidR="00330999" w:rsidRPr="00F5596D" w14:paraId="058DD6EE" w14:textId="77777777" w:rsidTr="00E61B34">
        <w:trPr>
          <w:trHeight w:val="20"/>
        </w:trPr>
        <w:tc>
          <w:tcPr>
            <w:tcW w:w="2330" w:type="dxa"/>
            <w:tcBorders>
              <w:top w:val="nil"/>
              <w:left w:val="nil"/>
              <w:bottom w:val="nil"/>
              <w:right w:val="nil"/>
            </w:tcBorders>
            <w:shd w:val="clear" w:color="auto" w:fill="auto"/>
            <w:noWrap/>
            <w:vAlign w:val="bottom"/>
            <w:hideMark/>
          </w:tcPr>
          <w:p w14:paraId="64FB4B88" w14:textId="77777777" w:rsidR="00330999" w:rsidRPr="00F5596D" w:rsidRDefault="00330999" w:rsidP="00E61B34">
            <w:pPr>
              <w:spacing w:after="0" w:line="240" w:lineRule="auto"/>
              <w:jc w:val="left"/>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Остала предузећа</w:t>
            </w:r>
          </w:p>
        </w:tc>
        <w:tc>
          <w:tcPr>
            <w:tcW w:w="932" w:type="dxa"/>
            <w:tcBorders>
              <w:top w:val="nil"/>
              <w:left w:val="nil"/>
              <w:bottom w:val="nil"/>
              <w:right w:val="nil"/>
            </w:tcBorders>
            <w:shd w:val="clear" w:color="auto" w:fill="auto"/>
            <w:noWrap/>
            <w:vAlign w:val="bottom"/>
            <w:hideMark/>
          </w:tcPr>
          <w:p w14:paraId="178D899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2,4</w:t>
            </w:r>
          </w:p>
        </w:tc>
        <w:tc>
          <w:tcPr>
            <w:tcW w:w="1038" w:type="dxa"/>
            <w:tcBorders>
              <w:top w:val="nil"/>
              <w:left w:val="nil"/>
              <w:bottom w:val="nil"/>
              <w:right w:val="nil"/>
            </w:tcBorders>
            <w:shd w:val="clear" w:color="auto" w:fill="auto"/>
            <w:noWrap/>
            <w:vAlign w:val="bottom"/>
            <w:hideMark/>
          </w:tcPr>
          <w:p w14:paraId="2BE4DA0C" w14:textId="77777777" w:rsidR="00330999" w:rsidRPr="00F5596D" w:rsidRDefault="00330999" w:rsidP="00E61B34">
            <w:pPr>
              <w:spacing w:after="0" w:line="240" w:lineRule="auto"/>
              <w:jc w:val="center"/>
              <w:rPr>
                <w:rFonts w:ascii="Calibri" w:eastAsia="Times New Roman" w:hAnsi="Calibri" w:cs="Calibri"/>
                <w:color w:val="002060"/>
                <w:sz w:val="18"/>
                <w:szCs w:val="18"/>
                <w:lang w:val="sr-Cyrl-CS"/>
              </w:rPr>
            </w:pPr>
            <w:r w:rsidRPr="00F5596D">
              <w:rPr>
                <w:rFonts w:ascii="Calibri" w:eastAsia="Times New Roman" w:hAnsi="Calibri" w:cs="Calibri"/>
                <w:color w:val="002060"/>
                <w:sz w:val="18"/>
                <w:szCs w:val="18"/>
                <w:lang w:val="sr-Cyrl-CS"/>
              </w:rPr>
              <w:t>0,1</w:t>
            </w:r>
          </w:p>
        </w:tc>
      </w:tr>
      <w:tr w:rsidR="00330999" w:rsidRPr="00F5596D" w14:paraId="32500810" w14:textId="77777777" w:rsidTr="00E61B34">
        <w:trPr>
          <w:trHeight w:val="20"/>
        </w:trPr>
        <w:tc>
          <w:tcPr>
            <w:tcW w:w="2330" w:type="dxa"/>
            <w:tcBorders>
              <w:top w:val="single" w:sz="4" w:space="0" w:color="002060"/>
              <w:left w:val="nil"/>
              <w:bottom w:val="single" w:sz="4" w:space="0" w:color="002060"/>
              <w:right w:val="nil"/>
            </w:tcBorders>
            <w:shd w:val="clear" w:color="auto" w:fill="auto"/>
            <w:noWrap/>
            <w:vAlign w:val="center"/>
            <w:hideMark/>
          </w:tcPr>
          <w:p w14:paraId="2D7B1066" w14:textId="77777777" w:rsidR="00330999" w:rsidRPr="00F5596D" w:rsidRDefault="00330999" w:rsidP="00E61B34">
            <w:pPr>
              <w:spacing w:after="0" w:line="240" w:lineRule="auto"/>
              <w:jc w:val="left"/>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Укупно:</w:t>
            </w:r>
          </w:p>
        </w:tc>
        <w:tc>
          <w:tcPr>
            <w:tcW w:w="932" w:type="dxa"/>
            <w:tcBorders>
              <w:top w:val="single" w:sz="4" w:space="0" w:color="002060"/>
              <w:left w:val="nil"/>
              <w:bottom w:val="single" w:sz="4" w:space="0" w:color="002060"/>
              <w:right w:val="nil"/>
            </w:tcBorders>
            <w:shd w:val="clear" w:color="auto" w:fill="auto"/>
            <w:noWrap/>
            <w:vAlign w:val="center"/>
            <w:hideMark/>
          </w:tcPr>
          <w:p w14:paraId="6530EBC6"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4,3</w:t>
            </w:r>
          </w:p>
        </w:tc>
        <w:tc>
          <w:tcPr>
            <w:tcW w:w="1038" w:type="dxa"/>
            <w:tcBorders>
              <w:top w:val="single" w:sz="4" w:space="0" w:color="002060"/>
              <w:left w:val="nil"/>
              <w:bottom w:val="single" w:sz="4" w:space="0" w:color="002060"/>
              <w:right w:val="nil"/>
            </w:tcBorders>
            <w:shd w:val="clear" w:color="auto" w:fill="auto"/>
            <w:noWrap/>
            <w:vAlign w:val="center"/>
            <w:hideMark/>
          </w:tcPr>
          <w:p w14:paraId="20D1F927" w14:textId="77777777" w:rsidR="00330999" w:rsidRPr="00F5596D" w:rsidRDefault="00330999" w:rsidP="00E61B34">
            <w:pPr>
              <w:spacing w:after="0" w:line="240" w:lineRule="auto"/>
              <w:jc w:val="center"/>
              <w:rPr>
                <w:rFonts w:ascii="Calibri" w:eastAsia="Times New Roman" w:hAnsi="Calibri" w:cs="Calibri"/>
                <w:b/>
                <w:bCs/>
                <w:color w:val="002060"/>
                <w:sz w:val="18"/>
                <w:szCs w:val="18"/>
                <w:lang w:val="sr-Cyrl-CS"/>
              </w:rPr>
            </w:pPr>
            <w:r w:rsidRPr="00F5596D">
              <w:rPr>
                <w:rFonts w:ascii="Calibri" w:eastAsia="Times New Roman" w:hAnsi="Calibri" w:cs="Calibri"/>
                <w:b/>
                <w:bCs/>
                <w:color w:val="002060"/>
                <w:sz w:val="18"/>
                <w:szCs w:val="18"/>
                <w:lang w:val="sr-Cyrl-CS"/>
              </w:rPr>
              <w:t>1,6</w:t>
            </w:r>
          </w:p>
        </w:tc>
      </w:tr>
    </w:tbl>
    <w:p w14:paraId="43521ECF" w14:textId="77777777" w:rsidR="00330999" w:rsidRPr="00F5596D" w:rsidRDefault="00330999" w:rsidP="00330999">
      <w:pPr>
        <w:spacing w:after="0" w:line="276" w:lineRule="auto"/>
        <w:rPr>
          <w:rFonts w:ascii="Calibri" w:eastAsia="MS PGothic" w:hAnsi="Calibri" w:cs="Calibri"/>
          <w:color w:val="44546A"/>
          <w:szCs w:val="20"/>
          <w:lang w:val="sr-Cyrl-CS" w:eastAsia="ja-JP"/>
        </w:rPr>
      </w:pPr>
      <w:r w:rsidRPr="00F5596D">
        <w:rPr>
          <w:rFonts w:ascii="Calibri" w:eastAsia="MS PGothic" w:hAnsi="Calibri" w:cs="Calibri"/>
          <w:color w:val="44546A"/>
          <w:sz w:val="16"/>
          <w:szCs w:val="16"/>
          <w:lang w:val="sr-Cyrl-CS" w:eastAsia="ja-JP"/>
        </w:rPr>
        <w:t>Извор: Министарство финансија</w:t>
      </w:r>
    </w:p>
    <w:p w14:paraId="4074D29A" w14:textId="77777777" w:rsidR="00330999" w:rsidRPr="00F5596D" w:rsidRDefault="00330999" w:rsidP="00330999">
      <w:pPr>
        <w:spacing w:after="0"/>
        <w:rPr>
          <w:rFonts w:ascii="Calibri" w:eastAsia="MS PGothic" w:hAnsi="Calibri" w:cs="Calibri"/>
          <w:color w:val="44546A"/>
          <w:szCs w:val="20"/>
          <w:highlight w:val="yellow"/>
          <w:lang w:val="sr-Cyrl-CS" w:eastAsia="ja-JP"/>
        </w:rPr>
      </w:pPr>
    </w:p>
    <w:p w14:paraId="41890544" w14:textId="77777777" w:rsidR="00286B54" w:rsidRPr="00F5596D" w:rsidRDefault="00286B54" w:rsidP="00330999">
      <w:pPr>
        <w:rPr>
          <w:rFonts w:ascii="Calibri" w:eastAsia="MS PGothic" w:hAnsi="Calibri" w:cs="Calibri"/>
          <w:color w:val="44546A"/>
          <w:szCs w:val="20"/>
          <w:lang w:val="sr-Cyrl-CS" w:eastAsia="ja-JP"/>
        </w:rPr>
      </w:pPr>
    </w:p>
    <w:p w14:paraId="5CC02AE5" w14:textId="694CC75C" w:rsidR="00330999" w:rsidRPr="00F5596D" w:rsidRDefault="00330999" w:rsidP="00330999">
      <w:pPr>
        <w:rPr>
          <w:rFonts w:ascii="Calibri" w:eastAsia="MS PGothic" w:hAnsi="Calibri" w:cs="Calibri"/>
          <w:bCs/>
          <w:color w:val="44546A"/>
          <w:szCs w:val="20"/>
          <w:lang w:val="sr-Cyrl-CS" w:eastAsia="ja-JP"/>
        </w:rPr>
      </w:pPr>
      <w:r w:rsidRPr="00F5596D">
        <w:rPr>
          <w:rFonts w:ascii="Calibri" w:eastAsia="MS PGothic" w:hAnsi="Calibri" w:cs="Calibri"/>
          <w:color w:val="44546A"/>
          <w:szCs w:val="20"/>
          <w:lang w:val="sr-Cyrl-CS" w:eastAsia="ja-JP"/>
        </w:rPr>
        <w:t xml:space="preserve">Ублажавање потенцијалних ризика, који настају као последица пословања државних предузећа, обухвата низ мера везаних за одговорност, профитабилност и транспарентност у пословању ових предузећа. </w:t>
      </w:r>
    </w:p>
    <w:p w14:paraId="533A81EF" w14:textId="77777777" w:rsidR="00330999" w:rsidRPr="00F5596D" w:rsidRDefault="00330999" w:rsidP="00330999">
      <w:pPr>
        <w:jc w:val="left"/>
        <w:rPr>
          <w:rFonts w:ascii="Calibri" w:eastAsia="Calibri" w:hAnsi="Calibri" w:cs="Calibri"/>
          <w:b/>
          <w:bCs/>
          <w:color w:val="2F5496" w:themeColor="accent1" w:themeShade="BF"/>
          <w:sz w:val="22"/>
          <w:lang w:val="sr-Cyrl-CS"/>
        </w:rPr>
      </w:pPr>
      <w:r w:rsidRPr="00F5596D">
        <w:rPr>
          <w:rFonts w:ascii="Calibri" w:eastAsia="Calibri" w:hAnsi="Calibri" w:cs="Calibri"/>
          <w:b/>
          <w:bCs/>
          <w:color w:val="2F5496" w:themeColor="accent1" w:themeShade="BF"/>
          <w:sz w:val="22"/>
          <w:lang w:val="sr-Cyrl-CS"/>
        </w:rPr>
        <w:t>Државне финансијске институције, банкарски систем и осигурање депозита</w:t>
      </w:r>
    </w:p>
    <w:p w14:paraId="06979980"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Пре периода фискалне консолидације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00E877A7"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Република Србија данас у банкарском сектору земље има директан удео у капиталу:</w:t>
      </w:r>
    </w:p>
    <w:p w14:paraId="71430553"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Банке Поштанска штедионица а.д. Београд (78,54%), Српске банке а.д. Београд (76,69%).</w:t>
      </w:r>
    </w:p>
    <w:p w14:paraId="3330422E"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w:t>
      </w:r>
    </w:p>
    <w:p w14:paraId="5D67BBD8" w14:textId="77777777" w:rsidR="00330999" w:rsidRPr="00F5596D" w:rsidRDefault="00330999" w:rsidP="00330999">
      <w:pPr>
        <w:rPr>
          <w:rFonts w:ascii="Calibri" w:eastAsia="MS PGothic" w:hAnsi="Calibri" w:cs="Calibri"/>
          <w:b/>
          <w:color w:val="2F5496" w:themeColor="accent1" w:themeShade="BF"/>
          <w:sz w:val="22"/>
          <w:lang w:val="sr-Cyrl-CS" w:eastAsia="ja-JP"/>
        </w:rPr>
      </w:pPr>
      <w:r w:rsidRPr="00F5596D">
        <w:rPr>
          <w:rFonts w:ascii="Calibri" w:eastAsia="MS PGothic" w:hAnsi="Calibri" w:cs="Calibri"/>
          <w:b/>
          <w:color w:val="2F5496" w:themeColor="accent1" w:themeShade="BF"/>
          <w:sz w:val="22"/>
          <w:lang w:val="sr-Cyrl-CS" w:eastAsia="ja-JP"/>
        </w:rPr>
        <w:t>Банка Поштанска штедионица (БПШ)</w:t>
      </w:r>
    </w:p>
    <w:p w14:paraId="6F9E4534"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Пословну стратегију за период 2024-2026. година усвојила је Скупштина БПШ у децембру 2023. године. Према пословној стратегији, БПШ ће наставити са реализацијом активности са акцентом на даље унапређење и развој у следећим областима: пословање са физичким лицима, предузетницима, микро, малим и средњим правним лицима, јединицама локалне самоуправе, јавним предузећима чији је оснивач Република Србија или аутономна покрајина или јединица локалне самоуправе и привредним друштвима у којима Република Србија или аутономна покрајина или јединица локалне самоуправе има власништво; побољшање интерне организације банке, корпоративног </w:t>
      </w:r>
      <w:r w:rsidRPr="00F5596D">
        <w:rPr>
          <w:rFonts w:ascii="Calibri" w:eastAsia="MS PGothic" w:hAnsi="Calibri" w:cs="Calibri"/>
          <w:color w:val="44546A"/>
          <w:szCs w:val="20"/>
          <w:lang w:val="sr-Cyrl-CS" w:eastAsia="ja-JP"/>
        </w:rPr>
        <w:t>управљања и управљања ризиком; јачање ИТ инфраструктуре.</w:t>
      </w:r>
    </w:p>
    <w:p w14:paraId="25D1BFC6" w14:textId="77777777" w:rsidR="00330999" w:rsidRPr="00F5596D" w:rsidRDefault="00330999" w:rsidP="00330999">
      <w:pPr>
        <w:rPr>
          <w:rFonts w:ascii="Calibri" w:eastAsia="MS PGothic" w:hAnsi="Calibri" w:cs="Calibri"/>
          <w:color w:val="2F5496" w:themeColor="accent1" w:themeShade="BF"/>
          <w:sz w:val="22"/>
          <w:szCs w:val="20"/>
          <w:lang w:val="sr-Cyrl-CS" w:eastAsia="ja-JP"/>
        </w:rPr>
      </w:pPr>
      <w:r w:rsidRPr="00F5596D">
        <w:rPr>
          <w:rFonts w:ascii="Calibri" w:eastAsia="MS PGothic" w:hAnsi="Calibri" w:cs="Calibri"/>
          <w:b/>
          <w:color w:val="2F5496" w:themeColor="accent1" w:themeShade="BF"/>
          <w:sz w:val="22"/>
          <w:szCs w:val="20"/>
          <w:lang w:val="sr-Cyrl-CS" w:eastAsia="ja-JP"/>
        </w:rPr>
        <w:t>Српска банка</w:t>
      </w:r>
    </w:p>
    <w:p w14:paraId="7AB6C759"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 складу са Владином стратегијом за државне банке, 2019. године формирана је Стручна радна група за трансформацију Српске банке у специјализовану финансијску институцију за пружање свих врста финансијских услуга и подршке наменској индустрији Републике Србије. Активности усмерене на трансформацију Српске банке биће настављене и у наредном периоду.</w:t>
      </w:r>
    </w:p>
    <w:p w14:paraId="510A98EB" w14:textId="77777777" w:rsidR="00330999" w:rsidRPr="00F5596D" w:rsidRDefault="00330999" w:rsidP="00330999">
      <w:pPr>
        <w:rPr>
          <w:rFonts w:ascii="Calibri" w:eastAsia="MS PGothic" w:hAnsi="Calibri" w:cs="Calibri"/>
          <w:b/>
          <w:color w:val="2F5496" w:themeColor="accent1" w:themeShade="BF"/>
          <w:sz w:val="22"/>
          <w:lang w:val="sr-Cyrl-CS" w:eastAsia="ja-JP"/>
        </w:rPr>
      </w:pPr>
      <w:r w:rsidRPr="00F5596D">
        <w:rPr>
          <w:rFonts w:ascii="Calibri" w:eastAsia="MS PGothic" w:hAnsi="Calibri" w:cs="Calibri"/>
          <w:b/>
          <w:color w:val="2F5496" w:themeColor="accent1" w:themeShade="BF"/>
          <w:sz w:val="22"/>
          <w:lang w:val="sr-Cyrl-CS" w:eastAsia="ja-JP"/>
        </w:rPr>
        <w:t>Реформа финансијског система</w:t>
      </w:r>
    </w:p>
    <w:p w14:paraId="1E994551"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Реформа прописа који уређују српски финансијски систем 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Агенције за осигурање депозита (у даљем тексту: АОД) на Министарство финансија. Реформом прописа је у домаћу регулативу транспонована и Директива о реструктурирању банака (</w:t>
      </w:r>
      <w:r w:rsidRPr="00F5596D">
        <w:rPr>
          <w:rFonts w:ascii="Calibri" w:eastAsia="MS PGothic" w:hAnsi="Calibri" w:cs="Calibri"/>
          <w:i/>
          <w:color w:val="44546A"/>
          <w:szCs w:val="20"/>
          <w:lang w:val="sr-Cyrl-CS" w:eastAsia="ja-JP"/>
        </w:rPr>
        <w:t>Bank Recovery and Resolution Directive – BRRD</w:t>
      </w:r>
      <w:r w:rsidRPr="00F5596D">
        <w:rPr>
          <w:rFonts w:ascii="Calibri" w:eastAsia="MS PGothic" w:hAnsi="Calibri" w:cs="Calibri"/>
          <w:color w:val="44546A"/>
          <w:szCs w:val="20"/>
          <w:lang w:val="sr-Cyrl-CS" w:eastAsia="ja-JP"/>
        </w:rPr>
        <w:t xml:space="preserve">) и функција реструктурирања банака поверена је НБС.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којима се уређује пословање банака, а у циљу њиховог даљег усклађивања са прописима ЕУ. Основни циљеви усвајања ових прописа су 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w:t>
      </w:r>
      <w:r w:rsidRPr="00F5596D">
        <w:rPr>
          <w:rFonts w:ascii="Calibri" w:eastAsia="MS PGothic" w:hAnsi="Calibri" w:cs="Calibri"/>
          <w:color w:val="44546A"/>
          <w:szCs w:val="20"/>
          <w:lang w:val="sr-Cyrl-CS" w:eastAsia="ja-JP"/>
        </w:rPr>
        <w:lastRenderedPageBreak/>
        <w:t>прилагођавање извештајног система новим регулаторним решењима.</w:t>
      </w:r>
    </w:p>
    <w:p w14:paraId="7904F503"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имплементацијом два трогодишња акциона плана, један припремљен од стране Владе и други припремљен од стране НБС, у циљу спуштања нивоа проблематичних кредита. Кључне области имплементације 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4E3863F5"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Нови Закон о осигурању усвојен је 2014. године. Овим Законом је током 2014. и 2015. године извршена регулаторна реформа у сектору осигурања, које представља други најважнији сегмент на домаћем финансијском тржишту. Регулаторном реформом створени су предуслови за даљи развој тржишта осигурања кроз имплементацију модерних стандарда прилагођених потребама домаћег тржишта. Нови регулаторни оквир омогућио је, између осталог, позитивне резултате који се огледају у расту укупне премије осигурања на тржишту Републике Србије и даљем развоју финансијског тржишта. Исто тако, реформа прописа у овој области је омогућила увођење квалитетнијих услуга друштава за осигурање и бољу заштиту грађана и привредних субјеката који те услуге користе. У току 2021. усвојене су измене и допуна Закона о осигурању, којима је уређена промена власничких права на друштвеном капиталу у друштвима за осигурање. Постојећим прописима којима се уређује делатност осигурања у Републици Србији створени су предуслови за даљу конвергенцију сектора осигурања у Републици Србији на ниво развијености тог сектора у ЕУ. Значајне промене регулаторног оквира у области надзора делатности осигурања тек се очекују с пуним усклађивањем прописа с Директивом о дистрибуцији осигурања (</w:t>
      </w:r>
      <w:r w:rsidRPr="00F5596D">
        <w:rPr>
          <w:rFonts w:ascii="Calibri" w:eastAsia="MS PGothic" w:hAnsi="Calibri" w:cs="Calibri"/>
          <w:i/>
          <w:color w:val="44546A"/>
          <w:szCs w:val="20"/>
          <w:lang w:val="sr-Cyrl-CS" w:eastAsia="ja-JP"/>
        </w:rPr>
        <w:t>Directive (EU) 2016/97 — the Insurance Distribution Directive - IDD</w:t>
      </w:r>
      <w:r w:rsidRPr="00F5596D">
        <w:rPr>
          <w:rFonts w:ascii="Calibri" w:eastAsia="MS PGothic" w:hAnsi="Calibri" w:cs="Calibri"/>
          <w:color w:val="44546A"/>
          <w:szCs w:val="20"/>
          <w:lang w:val="sr-Cyrl-CS" w:eastAsia="ja-JP"/>
        </w:rPr>
        <w:t>) и применом Солвентности II (</w:t>
      </w:r>
      <w:r w:rsidRPr="00F5596D">
        <w:rPr>
          <w:rFonts w:ascii="Calibri" w:eastAsia="MS PGothic" w:hAnsi="Calibri" w:cs="Calibri"/>
          <w:i/>
          <w:color w:val="44546A"/>
          <w:szCs w:val="20"/>
          <w:lang w:val="sr-Cyrl-CS" w:eastAsia="ja-JP"/>
        </w:rPr>
        <w:t xml:space="preserve">Directive 2009/138/EC of the European Parliament and of the Council on </w:t>
      </w:r>
      <w:r w:rsidRPr="00F5596D">
        <w:rPr>
          <w:rFonts w:ascii="Calibri" w:eastAsia="MS PGothic" w:hAnsi="Calibri" w:cs="Calibri"/>
          <w:i/>
          <w:color w:val="44546A"/>
          <w:szCs w:val="20"/>
          <w:lang w:val="sr-Cyrl-CS" w:eastAsia="ja-JP"/>
        </w:rPr>
        <w:t>taking-up and pursuit of the business of Insurance and Reinsurance</w:t>
      </w:r>
      <w:r w:rsidRPr="00F5596D">
        <w:rPr>
          <w:rFonts w:ascii="Calibri" w:eastAsia="MS PGothic" w:hAnsi="Calibri" w:cs="Calibri"/>
          <w:color w:val="44546A"/>
          <w:szCs w:val="20"/>
          <w:lang w:val="sr-Cyrl-CS" w:eastAsia="ja-JP"/>
        </w:rPr>
        <w:t>).</w:t>
      </w:r>
    </w:p>
    <w:p w14:paraId="645F8F2F"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и то: усвајањем Закона о изменама и допунама Закона о хипотеци (2015. године) чија решења су омогућила реафирмацију вансудског поступка намирења из вредности добијене продајом хипотековане непокретности, али и довела до вишег степена правне и економске сигурности учесника у пословима који подразумевају успостављање хипотеке, као средства обезбеђења потраживања; кроз доношење Закона о проценитељима вредности непокретности (почетак примене закона – јун 2017. године) који је, између осталог, увео нову професију – лиценциране проценитеље вредности непокретности и прописао обавезну процену која се спроводи у случајевима који се односе на Закон о хипотеци и Закон о стечају, као и приликом вршења процена за потребе кредитних послова који су обезбеђени хипотеком; образовање Стручног одбора (стручно тело које треба да допринесе уређењу и унапређењу професије проценитеља вредности непокретности) и доношење Националних стандарда, кодекса етике и правила професионалног понашања лиценцираног проценитеља (првобитни у јулу 2017. године, а ажурирани у априлу 2023. године) који, између осталог, дефинишу основе процене вредности непокретности, поступак вршења процене, претпоставке и чињенице од значаја које се морају узети у обзир приликом израде извештаја процене, минимални садржај извештаја o процени и правила професионалног понашања лиценцираног проценитеља; усвајање измена и допуна Закона о порезу на добит правних лица и Закона о порезу на доходак грађана што је омогућило релаксиранију пореску политику за одобравање и отпис банкарских потраживања (крај 2017. године); усвајање амандмана на Закон о стечају којима је скраћен стечајни поступак и побољшан положај осигураних поверилаца (децембра 2017. године); припрему студије о могућностима увођења банкрота приватних </w:t>
      </w:r>
      <w:r w:rsidRPr="00F5596D">
        <w:rPr>
          <w:rFonts w:ascii="Calibri" w:eastAsia="MS PGothic" w:hAnsi="Calibri" w:cs="Calibri"/>
          <w:color w:val="44546A"/>
          <w:szCs w:val="20"/>
          <w:lang w:val="sr-Cyrl-CS" w:eastAsia="ja-JP"/>
        </w:rPr>
        <w:lastRenderedPageBreak/>
        <w:t>појединаца и предузетника у Републици Србији, усвојен је Закон о изменама Закона о парничном поступку и друго. На основу Закона о проценитељима вредности непокретности и Одлуке о садржају, роковима и начину достављања извештаја о проценама вредности непокретности које су предмет хипотеке и кредитима обезбеђеним хипотеком, НБС од 2015. године води базу података о проценама вредности непокретности које су предмет хипотеке. У складу с поменутим законом и одлуком, банке и лиценцирани проценитељи могу остварити увид у одређене податке о проценама вредности непокретности које су предмет хипотеке. Крајем 2018. године НБС је усвојила сет подзаконских аката реагујући проактивно на све учесталију појаву ненаменског кредитирања становништва по неоправдано дугим роковима. Ови прописи имају за циљ да допринесу спречавању настанка проблематичних кредита у банкарском сектору и подстакну опрезно преузимање ризика од стране банака њиховим усмеравањем на одрживо кредитирање и избегавање прекомерне изложености одређеним врстама кредитних производа, не нарушавајући тренд раста кредитне активности и водећи рачуна о правима и интересима корисника услуга које пружају банке, а све ради очувања и јачања финансијске стабилности у Републици Србији.</w:t>
      </w:r>
    </w:p>
    <w:p w14:paraId="4104EE78"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У циљу унапређења и даљег развоја тржишта капитала, у периоду од 2019. до 2021. године, на предлог Министарства финансија донети су нови следећи закони: Закон о алтернативним инвестиционим фондовима („Сл. гласник РС”, број 73/19) – усвојен у Народној скупштини 10. октобра 2019. године, почео са применом у априлу 2020. године; Закон о отвореним инвестиционим фондовима са јавном понудом („Сл. гласник РС”, број 73/19) - усвојен у Народној скупштини 10. октобра 2019. године, почео са применом у априлу 2020. године; и Закон o тржишту капитала („Сл. гласник РС”, број 129/21) - усвојен у Народној скупштини 23. децембра 2021. године, почео са применом 5. јануара 2023. године. </w:t>
      </w:r>
    </w:p>
    <w:p w14:paraId="753D36C0"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Влада је 2018. године донела Програм за решавање проблематичних кредита за период 2018–2020. године (у даљем тексту: Програм) заједно са Акционим планом за спровођење тог </w:t>
      </w:r>
      <w:r w:rsidRPr="00F5596D">
        <w:rPr>
          <w:rFonts w:ascii="Calibri" w:eastAsia="MS PGothic" w:hAnsi="Calibri" w:cs="Calibri"/>
          <w:color w:val="44546A"/>
          <w:szCs w:val="20"/>
          <w:lang w:val="sr-Cyrl-CS" w:eastAsia="ja-JP"/>
        </w:rPr>
        <w:t>програма чиме је успешно испуњен и реформски циљ унутар програма сарадње са ММФ и зацртан пут за даљи успешан рад на решавању питања проблематичних потраживања.</w:t>
      </w:r>
    </w:p>
    <w:p w14:paraId="486A56B1"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Главни фокус поменутог документа јавне политике представља решавање питања проблематичних пласмана банака у стечају и пласмана у име и за рачун Републике Србије, којима управља АОД. У складу са тим, усвојени су стратешки и годишњи оперативни планови за АОД, Резолуција портфеља проблематичних пласмана, и развијени су унутрашњи капацитети за њихово решавање. У јуну 2019. године, АОД успешно је окончала продају првог, „пилот портфеља”, номиналне вредности од око 242 милиона евра, док је дана 30. септембра 2019. године објавила оглас за уступање другог, „великог портфеља”, номиналне вредности од 1,82 милијарде евра. Поступак уступања „великог” портфеља је успешно окончан дана 19. априла 2021. године.</w:t>
      </w:r>
    </w:p>
    <w:p w14:paraId="328C905B"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Захваљујући примени Стратегије за решавање проблематичних кредита, као и другим регулаторним активностима Народне банке Србије, учешће проблематичних кредита у укупним кредитима банкарског сектора у протеклом периоду знатно је смањено, а затим и задржано на рекордно ниском нивоу упркос вишедимензионалној кризи с којом се Република Србија суочава у протекле три године. На крају марта 2025. године, учешће проблематичних кредита износило је 2,3%. </w:t>
      </w:r>
    </w:p>
    <w:p w14:paraId="558AB48C" w14:textId="77777777" w:rsidR="00330999" w:rsidRPr="00F5596D" w:rsidRDefault="00330999" w:rsidP="00330999">
      <w:pPr>
        <w:rPr>
          <w:rFonts w:ascii="Calibri" w:eastAsia="MS PGothic" w:hAnsi="Calibri" w:cs="Calibri"/>
          <w:color w:val="44546A"/>
          <w:szCs w:val="20"/>
          <w:highlight w:val="yellow"/>
          <w:lang w:val="sr-Cyrl-CS" w:eastAsia="ja-JP"/>
        </w:rPr>
      </w:pPr>
      <w:r w:rsidRPr="00F5596D">
        <w:rPr>
          <w:rFonts w:ascii="Calibri" w:eastAsia="MS PGothic" w:hAnsi="Calibri" w:cs="Calibri"/>
          <w:color w:val="44546A"/>
          <w:szCs w:val="20"/>
          <w:lang w:val="sr-Cyrl-CS" w:eastAsia="ja-JP"/>
        </w:rPr>
        <w:t>НБС је деловала и изван оквира Стратегије, попут доношења Одлуке о рачуноводственом отпису билансне активе банке, што је употпунило регулаторне активности. Покривеност проблематичних кредита и даље је на високом нивоу – исправке вредности укупних кредита у марту 2025. године износиле су 116,1% бруто проблематичних кредита, док су исправке вредности проблематичних кредита биле на нивоу од 61,7% бруто проблематичних кредита, што, недвосмислено, уз све друге показатеље здравља финансијског система, потврђује стабилност нашег банкарског сектора.</w:t>
      </w:r>
    </w:p>
    <w:p w14:paraId="453D2F42" w14:textId="77777777" w:rsidR="00330999" w:rsidRPr="00F5596D" w:rsidRDefault="00330999" w:rsidP="00330999">
      <w:pPr>
        <w:rPr>
          <w:rFonts w:ascii="Calibri" w:eastAsia="MS PGothic" w:hAnsi="Calibri" w:cs="Calibri"/>
          <w:b/>
          <w:color w:val="2F5496" w:themeColor="accent1" w:themeShade="BF"/>
          <w:sz w:val="22"/>
          <w:szCs w:val="20"/>
          <w:lang w:val="sr-Cyrl-CS" w:eastAsia="ja-JP"/>
        </w:rPr>
      </w:pPr>
      <w:r w:rsidRPr="00F5596D">
        <w:rPr>
          <w:rFonts w:ascii="Calibri" w:eastAsia="MS PGothic" w:hAnsi="Calibri" w:cs="Calibri"/>
          <w:b/>
          <w:color w:val="2F5496" w:themeColor="accent1" w:themeShade="BF"/>
          <w:sz w:val="22"/>
          <w:szCs w:val="20"/>
          <w:lang w:val="sr-Cyrl-CS" w:eastAsia="ja-JP"/>
        </w:rPr>
        <w:t>Осигурање депозита</w:t>
      </w:r>
    </w:p>
    <w:p w14:paraId="574ACCFE"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lastRenderedPageBreak/>
        <w:t>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заштићеном депоненту исплати целокупан износ улога у свакој банци до осигураног износа од 50.000 евра у случају стечаја или ликвидације банке. Осигурање депозита регулисано је Законом о осигурању депозита.</w:t>
      </w:r>
    </w:p>
    <w:p w14:paraId="6BA71A31"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 октобру 2019. године, усвојен је Закон о изменама и допунама Закона о осигурању депозита којим је систем осигурања депозита додатно усклађен са најбољом међународном праксом и стандардима, као и правним тековинама ЕУ и то у погледу: метода обрачуна премије (увођење могућности обрачуна премије на основу нивоа ризика у пословању банака), основице за обрачун премије, висине ванредне премије, заштите депонената спојених или припојених банака, циљног износа фонда за осигурање депозита и др, све са циљем доприноса финансијској стабилности кроз подстицај смањењу ризика у пословању банака, јачање поверења јавности у финансијски систем и повећање ефикасности система осигурања депозита.</w:t>
      </w:r>
    </w:p>
    <w:p w14:paraId="04A4B58D"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Уважавајући одредбе Закона о изменама и допунама Закона о осигурању депозита, премија осигурања депозита се почев од наплате премије за први квартал 2020. године обрачунава на измењену основицу, односно на основу просечног стања укупних осигураних износа до 50.000 евра (осигурањем покривени износ депозита) у банци у претходном тромесечју, уместо на основу просечног стања укупних осигураних депозита. Овом изменом, смањене су обавезе банака по основу плаћања премије осигурања депозита у просеку за око 30%, чиме се посредно омогућила већа инвестициона активност банака.</w:t>
      </w:r>
    </w:p>
    <w:p w14:paraId="3DD59D7E"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Законом је уведена и могућност обрачуна премије на основу нивоа ризика у пословању банака. Агенција је усвојила Методологију за обрачун премије осигурања депозита на основу нивоа ризика у пословању банака. Посебном одлуком Управног одбора Агенције ће се одлучити о почетку примене Методологије.</w:t>
      </w:r>
    </w:p>
    <w:p w14:paraId="4707B840"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У систему осигурања депозита Република Србија је ултимативни гарант исплате осигураних депозита. </w:t>
      </w:r>
      <w:r w:rsidRPr="00F5596D">
        <w:rPr>
          <w:rFonts w:ascii="Calibri" w:eastAsia="MS PGothic" w:hAnsi="Calibri" w:cs="Calibri"/>
          <w:color w:val="44546A"/>
          <w:szCs w:val="20"/>
          <w:lang w:val="sr-Cyrl-CS" w:eastAsia="ja-JP"/>
        </w:rPr>
        <w:t>У сврху обезбеђивања средстава за осигурање депозита АОД наплаћује премију осигурања депозита од банака за рачун Фонда за осигурање депозита, управља имовином фонда и исплаћује депозите до осигураног износа у случају стечаја или ликвидације банке. Додатно, средства фонда се могу користити и за финансирање поступка реструктурирања банака у обиму и под условима утврђеним законом којим се уређују банке. У случају недостајућих средстава у фонду за осигурање депозита, Република Србија обезбеђује исплату било средствима из буџета, било давањем гаранције за задуживање АОД.</w:t>
      </w:r>
    </w:p>
    <w:p w14:paraId="0E34420D"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Влада је 24. марта 2020. године донела Уредбу о улагању за време ванредног стања девизних средстава којима управља Агенција за осигурање депозита, којом је прописано да за време ванредног стања насталог услед болести COVID-19 изазване вирусом SARS-CoV-2 Агенција може улагати више од четвртине девизних средстава Фонда у девизне дужничке хартије од вредности које издаје Република Србија. У складу с Уредбом, Агенција је у року од годину дана од дана престанка ванредног стања (до 6. маја 2021. године) износ девизних средстава Фонда уложених у девизне дужничке хартије од вредности које издаје Република Србија, ускладила на ниво законског лимита од 1/4 укупних девизних средстава Фонда.</w:t>
      </w:r>
    </w:p>
    <w:p w14:paraId="05D69530"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Гаранција исплате осигураних депозита од стране државе, било директно средствима из буџета, или индиректно издавањем гаранција за задуживање АОД,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14260937"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Умањење фискалних ризика по овом основу зависи од стабилности и одрживости банкарског система. Надзор над банкарским системом, обазривост у пласирању средстава и унапређење квалитета имовине банака су основни стубови стабилног банкарског система.</w:t>
      </w:r>
    </w:p>
    <w:p w14:paraId="123C2DFE" w14:textId="77777777" w:rsidR="00330999" w:rsidRPr="00F5596D" w:rsidRDefault="00330999" w:rsidP="00330999">
      <w:pPr>
        <w:rPr>
          <w:rFonts w:ascii="Calibri" w:eastAsia="MS PGothic" w:hAnsi="Calibri" w:cs="Calibri"/>
          <w:b/>
          <w:color w:val="2F5496" w:themeColor="accent1" w:themeShade="BF"/>
          <w:sz w:val="22"/>
          <w:lang w:val="sr-Cyrl-CS" w:eastAsia="ja-JP"/>
        </w:rPr>
      </w:pPr>
      <w:r w:rsidRPr="00F5596D">
        <w:rPr>
          <w:rFonts w:ascii="Calibri" w:eastAsia="MS PGothic" w:hAnsi="Calibri" w:cs="Calibri"/>
          <w:b/>
          <w:color w:val="2F5496" w:themeColor="accent1" w:themeShade="BF"/>
          <w:sz w:val="22"/>
          <w:lang w:val="sr-Cyrl-CS" w:eastAsia="ja-JP"/>
        </w:rPr>
        <w:t>Банкарски сектор</w:t>
      </w:r>
    </w:p>
    <w:p w14:paraId="29BD26CB"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lastRenderedPageBreak/>
        <w:t>Остварени резултати банкарског сектора Републике Србије приказују растућу профитабилност банака. Нето добитак пре опорезивања на нивоу банкарског сектора у 2023. години износио је 138,2 млрд динара, што је за 38,5 млрд динара (или 38,7%) више него претходне године, док је нето добитак пре опорезивања на нивоу банкарског сектора у 2024. години износио је 176,28 млрд динара.</w:t>
      </w:r>
    </w:p>
    <w:p w14:paraId="5885F217" w14:textId="69E3E2C3"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Банкарски сектор Републике Србије адекватно је капитализован како са становишта оствареног нивоа показатеља адекватности капитала тако и са становишта структуре регулаторног капитала. На крају 2020. и 2021. године, просечна вредност показатеља адекватности капитала на нивоу банкарског сектора Републике Србије износила је 22,42%, односно 20,8%. Током 2022. и 2023. године очувана је висока адекватност капитала банкарског сектора (показатељ адекватности капитала износи 20,2%</w:t>
      </w:r>
      <w:r w:rsidRPr="00F5596D">
        <w:rPr>
          <w:lang w:val="sr-Cyrl-CS"/>
        </w:rPr>
        <w:t xml:space="preserve"> </w:t>
      </w:r>
      <w:r w:rsidRPr="00F5596D">
        <w:rPr>
          <w:rFonts w:ascii="Calibri" w:eastAsia="MS PGothic" w:hAnsi="Calibri" w:cs="Calibri"/>
          <w:color w:val="44546A"/>
          <w:szCs w:val="20"/>
          <w:lang w:val="sr-Cyrl-CS" w:eastAsia="ja-JP"/>
        </w:rPr>
        <w:t>на крају 2022, односно 21,4% на крају 2023. године</w:t>
      </w:r>
      <w:r w:rsidR="00CA7F4D" w:rsidRPr="00F5596D">
        <w:rPr>
          <w:rFonts w:ascii="Calibri" w:eastAsia="MS PGothic" w:hAnsi="Calibri" w:cs="Calibri"/>
          <w:color w:val="44546A"/>
          <w:szCs w:val="20"/>
          <w:lang w:val="sr-Cyrl-CS" w:eastAsia="ja-JP"/>
        </w:rPr>
        <w:t>), 21,32% на крају 2024. године.</w:t>
      </w:r>
    </w:p>
    <w:p w14:paraId="25A54CFA"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Показатељ адекватности капитала</w:t>
      </w:r>
      <w:r w:rsidRPr="00F5596D">
        <w:rPr>
          <w:lang w:val="sr-Cyrl-CS"/>
        </w:rPr>
        <w:t xml:space="preserve"> </w:t>
      </w:r>
      <w:r w:rsidRPr="00F5596D">
        <w:rPr>
          <w:rFonts w:ascii="Calibri" w:eastAsia="MS PGothic" w:hAnsi="Calibri" w:cs="Calibri"/>
          <w:color w:val="44546A"/>
          <w:szCs w:val="20"/>
          <w:lang w:val="sr-Cyrl-CS" w:eastAsia="ja-JP"/>
        </w:rPr>
        <w:t xml:space="preserve">на нивоу банкарског сектора на крају првог тромесечја 2025. године износио је 20,95%, што је значајно изнад прописаног регулаторног минимума од 8%, што указује на високу капитализованост и отпорност банкарског сектора на екстерне и домаће ризике. </w:t>
      </w:r>
    </w:p>
    <w:p w14:paraId="5186C685" w14:textId="77777777" w:rsidR="00330999" w:rsidRPr="00F5596D" w:rsidRDefault="00330999" w:rsidP="00330999">
      <w:pPr>
        <w:rPr>
          <w:rFonts w:ascii="Calibri" w:eastAsia="MS PGothic" w:hAnsi="Calibri" w:cs="Calibri"/>
          <w:b/>
          <w:color w:val="2F5496" w:themeColor="accent1" w:themeShade="BF"/>
          <w:sz w:val="22"/>
          <w:lang w:val="sr-Cyrl-CS" w:eastAsia="ja-JP"/>
        </w:rPr>
      </w:pPr>
      <w:r w:rsidRPr="00F5596D">
        <w:rPr>
          <w:rFonts w:ascii="Calibri" w:eastAsia="MS PGothic" w:hAnsi="Calibri" w:cs="Calibri"/>
          <w:b/>
          <w:color w:val="2F5496" w:themeColor="accent1" w:themeShade="BF"/>
          <w:sz w:val="22"/>
          <w:lang w:val="sr-Cyrl-CS" w:eastAsia="ja-JP"/>
        </w:rPr>
        <w:t>Гарантне шеме</w:t>
      </w:r>
    </w:p>
    <w:p w14:paraId="3A7AC2E5"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 COVID-19 предузете су мере подршке привреди које су имале за циљ повећање ликвидности привредних субјеката. Једна од мера јесте била и доношење Уредбе о утврђивању гарантне шеме као мера подршке привреди за ублажавање последица пандемије болести COVID-19 изазване вирусом SARS-CоV-2. Овом уредбом је конституисано утврђивање националне гарантне шеме. Повећање ликвидности привредних субјеката кроз механизам гарантовања Републике Србије за кредите које банке одобравају привредним субјектима за финансирање ликвидности и обртних средстава, а које се </w:t>
      </w:r>
      <w:r w:rsidRPr="00F5596D">
        <w:rPr>
          <w:rFonts w:ascii="Calibri" w:eastAsia="MS PGothic" w:hAnsi="Calibri" w:cs="Calibri"/>
          <w:color w:val="44546A"/>
          <w:szCs w:val="20"/>
          <w:lang w:val="sr-Cyrl-CS" w:eastAsia="ja-JP"/>
        </w:rPr>
        <w:t>омогућава закључењем Уговора о гаранцији Републике Србије за кредитирање привреде с циљем ублажавања негативних последица пандемије болести COVID-19 изазване вирусом SARS-CoV-2, јесте мера која у себи сублимира изузетно важан и нужан механизам ефеката за сва лица са седиштем у Републици Србији укључујући и пољопривредна газдинства, која су регистрована у АПР и класификована као предузетник, или микро, мало и средње привредно друштво у складу са законом којим се уређује рачуноводство, а чија је ликвидност предуслов функционисања привреде Републике Србије.</w:t>
      </w:r>
    </w:p>
    <w:p w14:paraId="12939839"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Банке могу да за реализацију кредита пласирају износ до две милијарде евра, при чему је износ од једне милијарде евра, односно износ иницијалног максималног осигураног портфолија по банкама утврђен сходно тржишном учешћу банке према извештају НБС на дан 29. фебруар 2020. године.</w:t>
      </w:r>
    </w:p>
    <w:p w14:paraId="43436BB1"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С обзиром на чињеницу да је преко пословних банака, до краја новембра 2020. године, привреди пласирано око 1,5 милијарди евра, од укупно расположиве две милијарде евра, а да је Уредбом било прописано да уговор о кредиту мора бити закључен најкасније до 31. децембра 2020. године, као и да уговор o кредиту мора бити пуштен у течај најкасније до 31. јануара 2021. године, јавила се потреба за продужењем рока до када уговор о кредиту мора бити закључен, односно до када уговор o кредиту мора бити пуштен у течај.</w:t>
      </w:r>
    </w:p>
    <w:p w14:paraId="0C874CDB"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Република Србија је препознала потребу за одобравањем додатних 500 милиона евра помоћи, у циљу одржавања ликвидности чиме је укупан износ средстава пласираних путем I гарантне шеме достигао износ од 2,5 милијарде евра. Осим додатних средстава продужен је рок за пуштање кредита у течај најкасније до 31. јула 2022. године.</w:t>
      </w:r>
    </w:p>
    <w:p w14:paraId="3D9C2215"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Пројекције фискалних бруто одлива буџета Републике Србије, по основу прве националне Гарантне шеме износе 3 милиона евра за 2025. годину. Пројекција фискалног бруто одлива буџета Републике Србије по основу друге Гарантне шеме износи 1,4 милиона евра за 2025. годину и милион евра за 2026. годину. По основу обе гарантне шеме </w:t>
      </w:r>
      <w:r w:rsidRPr="00F5596D">
        <w:rPr>
          <w:rFonts w:ascii="Calibri" w:eastAsia="MS PGothic" w:hAnsi="Calibri" w:cs="Calibri"/>
          <w:color w:val="44546A"/>
          <w:szCs w:val="20"/>
          <w:lang w:val="sr-Cyrl-CS" w:eastAsia="ja-JP"/>
        </w:rPr>
        <w:lastRenderedPageBreak/>
        <w:t>реализовано је 2,54 милијарде евра кредита, док је на име активираних гаранција на дан 31. маја 2025. године исплаћено 69,4 милиона евра. На исти пресечни датум на име протестованих гаранција, по обе гарантне шеме, наплаћено је ЕУР 8,3 милиона.</w:t>
      </w:r>
    </w:p>
    <w:p w14:paraId="29D46622"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Како би се младима омогућила куповина прве стамбене непокретности, дана 6. марта 2025. године усвојен је Закон о утврђивању гарантне шеме и субвенционисању дела камате као мера подршке младима у куповини прве стамбене непокретности („Службени гласник РС”, број 19/25). </w:t>
      </w:r>
    </w:p>
    <w:p w14:paraId="545EEC69"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Банке могу да, за реализацију кредита, пласирају износ до четиристотине милиона евра на период до четири године. Кредити се могу одобравати најкасније до 1. априла 2029. године. Република Србија субвенционише део укупне каматне стопе у наредних 6 година. </w:t>
      </w:r>
    </w:p>
    <w:p w14:paraId="58A04B9D"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Уговор о појединачној гаранцији Републике Србије о утврђивању гарантне шеме и субвенционисању дела камате као мера подршке младима у куповини прве стамбене непокретности потписало је 8 банака.</w:t>
      </w:r>
    </w:p>
    <w:p w14:paraId="1881AD37"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Пројекције фискалних бруто одлива буџета Републике Србије, по основу ове Гарантне шеме износи 1,5 милиона евра за 2025. годину, 5 милиона евра за 2026. годину, 7 милиона евра за 2027. годину и 8 милиона евра за 2028. годину.</w:t>
      </w:r>
    </w:p>
    <w:p w14:paraId="41DECF07" w14:textId="5FB4C4CB" w:rsidR="00330999" w:rsidRPr="00F5596D" w:rsidRDefault="002713D8" w:rsidP="00330999">
      <w:pPr>
        <w:rPr>
          <w:rFonts w:ascii="Calibri" w:eastAsia="MS PGothic" w:hAnsi="Calibri" w:cs="Calibri"/>
          <w:b/>
          <w:color w:val="2F5496" w:themeColor="accent1" w:themeShade="BF"/>
          <w:sz w:val="22"/>
          <w:lang w:val="sr-Cyrl-CS" w:eastAsia="ja-JP"/>
        </w:rPr>
      </w:pPr>
      <w:r w:rsidRPr="00F5596D">
        <w:rPr>
          <w:rFonts w:ascii="Calibri" w:eastAsia="MS PGothic" w:hAnsi="Calibri" w:cs="Calibri"/>
          <w:b/>
          <w:color w:val="2F5496" w:themeColor="accent1" w:themeShade="BF"/>
          <w:sz w:val="22"/>
          <w:lang w:val="sr-Cyrl-CS" w:eastAsia="ja-JP"/>
        </w:rPr>
        <w:t>Остале фина</w:t>
      </w:r>
      <w:r w:rsidR="00330999" w:rsidRPr="00F5596D">
        <w:rPr>
          <w:rFonts w:ascii="Calibri" w:eastAsia="MS PGothic" w:hAnsi="Calibri" w:cs="Calibri"/>
          <w:b/>
          <w:color w:val="2F5496" w:themeColor="accent1" w:themeShade="BF"/>
          <w:sz w:val="22"/>
          <w:lang w:val="sr-Cyrl-CS" w:eastAsia="ja-JP"/>
        </w:rPr>
        <w:t>нсијске институције</w:t>
      </w:r>
    </w:p>
    <w:p w14:paraId="1BB9144A"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Република Србија има директан удео у капиталу Компаније Дунав осигурање а.д.о. Београд (у даљем тексту: Дунав осигурање) и Дунав Ре а.д.о. Београд (у даљем тексту. Дунав Ре, као и у Националној корпорацији за осигурање стамбених кредита (у даљем тексту: Корпорација).</w:t>
      </w:r>
    </w:p>
    <w:p w14:paraId="264C1F12"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Успешним и ефикасним спровођењем одредаба закона који је усвојен крајем априла 2021. године – Закона о измени и допунама Закона о осигурању („Службени гласник РС”, број 44/21), а који је био основ за промену власничких права на друштвеном капиталу у друштвима за осигурање, директно учешће Републике Србије у капиталу Дунав је порасло на 76,7%. Такође, како је и у укупном капиталу Дунав Ре постојало мање </w:t>
      </w:r>
      <w:r w:rsidRPr="00F5596D">
        <w:rPr>
          <w:rFonts w:ascii="Calibri" w:eastAsia="MS PGothic" w:hAnsi="Calibri" w:cs="Calibri"/>
          <w:color w:val="44546A"/>
          <w:szCs w:val="20"/>
          <w:lang w:val="sr-Cyrl-CS" w:eastAsia="ja-JP"/>
        </w:rPr>
        <w:t>учешће друштвеног капитала, након промене власничких права у складу са наведеним законом Република Србија је стекла директно учешће од око 4,76% у Дунав Ре.</w:t>
      </w:r>
    </w:p>
    <w:p w14:paraId="5150B441"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Последњих година пословање Дунав осигурања је стабилно, уз константно побољшање већине показатеља. Приметан је тренд раста добити из године у годину (и редовна исплата дивиденди). Дунав осигурање није имало негативних последица у пословању (гледајући кроз најзначајније показатеље) због пандемије COVID-19. Као највећи изазов у предстојећем периоду истиче се усклађивање (организационо, управљачки, капитално итд.) са новим регулаторним стандардом Солвентност 2 које очекује све учеснике на тржишту осигурања у Републици Србији.</w:t>
      </w:r>
    </w:p>
    <w:p w14:paraId="201FFCBA"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Законом о Националној корпорацији за осигурање стамбених кредита („Службени гласник РС”, број 55/04) основана је Корпорација, као правно лице специјализовано за осигурање потраживања по основу стамбених кредита које одобравају банке и друге финансијске организације, која су обезбеђена хипотеком, као и за обављање других послова у вези са тим осигурањем. Оснивач Корпорације је Република Србија која има директно учешће од 100% у капиталу Корпорације (законом је остављена могућност да се Корпорација организује као акционарско друштво, с тим да вредност државног капитала у укупном капиталу Корпорације не може да буде мање од 51%). Законом је, такође, утврђено да укупан номинални износ обавеза Корпорације које произилазе из обављања делатности Корпорације може бити највише до 16 пута већи од износа капитала Корпорације, али и да Влада може да, на образложен захтев Корпорације, да сагласност за повећање обима обавеза Корпорације које произилазе из обављања делатности Корпорације и за преко 16 пута од капитала Корпорације, за одређени временски период.</w:t>
      </w:r>
    </w:p>
    <w:p w14:paraId="062F409E"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Од самог оснивања, Корпорација је имала значајан утицај у креирању тржишних услова и стандарда кредитирања, што је било нужно да би се хипотекарно тржиште уопште развило. То је довело до смањења ризика и обезбеђења интереса, како кредитора, тако и зајмотражилаца, </w:t>
      </w:r>
      <w:r w:rsidRPr="00F5596D">
        <w:rPr>
          <w:rFonts w:ascii="Calibri" w:eastAsia="MS PGothic" w:hAnsi="Calibri" w:cs="Calibri"/>
          <w:color w:val="44546A"/>
          <w:szCs w:val="20"/>
          <w:lang w:val="sr-Cyrl-CS" w:eastAsia="ja-JP"/>
        </w:rPr>
        <w:lastRenderedPageBreak/>
        <w:t>кроз снижавање каматних стопа, што је довело да раста тражње за стамбеним непокретностима (са позитивним ефектом на грађевинску индустрију) и тиме допринело повећању броја станова купљених на кредит.</w:t>
      </w:r>
    </w:p>
    <w:p w14:paraId="5DCEA717"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 xml:space="preserve">У протеклом периоду, није вршена докапитализација Корпорације из средстава буџета Републике Србије, већ је повећање капитала вршено из остварене добити Корпорације. Међутим, како повећање капитала није пратило раст осигураних кредита, Влада је, у складу са законом, сваке године давала сагласност за повећање обима обавеза Корпорације које произилазе из обављања делатности Корпорације и за преко 16 пута од капитала Корпорације. Ово повећање се из године у годину смањивало (нпр. за 2015. годину обим обавеза Корпорације које произилазе из обављања делатности Корпорације је могао да буде до 30 пута већи од капитала Корпорације, док је за 2023. годину могао да износи до 18 пута више од капитала Корпорације) да би у 2024. години укупан номинални износ обавеза Корпорације које произилазе из обављања делатности Корпорације, после дужег временског периода, био у законским оквирима </w:t>
      </w:r>
      <w:r w:rsidRPr="00F5596D">
        <w:rPr>
          <w:rFonts w:ascii="Calibri" w:eastAsia="MS PGothic" w:hAnsi="Calibri" w:cs="Calibri"/>
          <w:color w:val="44546A"/>
          <w:szCs w:val="20"/>
          <w:lang w:val="sr-Cyrl-CS" w:eastAsia="ja-JP"/>
        </w:rPr>
        <w:t>(до 16 пута већи од износа капитала Корпорације), тако да није било потребе да Влада даје предметну сагласност.</w:t>
      </w:r>
    </w:p>
    <w:p w14:paraId="5BED1850" w14:textId="77777777" w:rsidR="00330999" w:rsidRPr="00F5596D" w:rsidRDefault="00330999" w:rsidP="00330999">
      <w:pPr>
        <w:rPr>
          <w:rFonts w:ascii="Calibri" w:eastAsia="MS PGothic" w:hAnsi="Calibri" w:cs="Calibri"/>
          <w:color w:val="44546A"/>
          <w:szCs w:val="20"/>
          <w:lang w:val="sr-Cyrl-CS" w:eastAsia="ja-JP"/>
        </w:rPr>
      </w:pPr>
      <w:r w:rsidRPr="00F5596D">
        <w:rPr>
          <w:rFonts w:ascii="Calibri" w:eastAsia="MS PGothic" w:hAnsi="Calibri" w:cs="Calibri"/>
          <w:color w:val="44546A"/>
          <w:szCs w:val="20"/>
          <w:lang w:val="sr-Cyrl-CS" w:eastAsia="ja-JP"/>
        </w:rPr>
        <w:t>Као потенцијални ризик се појављује велики број тужби клијената против банака у вези са плаћањем премије осигурања Корпорацији. Иако Корпорација није тужена страна, нити Република Србија гарантује за обавезе Корпорације (Корпорација гарантује за своје обавезе до висине свог капитала), потенцијално негативан исход ових спорова може да утиче на евентуалну потребу одређених издатака из буџета. Такође, услед промењених тржишних услова дошло је до спорова са одређеним бројем банака (отказ уговора са Корпорацијом од стране банака), што доводи до значајног смањења осигураних кредита, а тиме и до смањења прихода Корпорације. Имајући у виду дугорочност потенцијалних обавеза које Корпорација преузима (осигурање потраживања по основу стамбених кредита који се одобравају на период и од 30 година), наставак тренда значајног смањења осигураних кредита исто може да утиче на евентуалну потребу одређених издатака из буџета у будућности.</w:t>
      </w:r>
    </w:p>
    <w:p w14:paraId="31CA91AD" w14:textId="77777777" w:rsidR="00330999" w:rsidRPr="00F5596D" w:rsidRDefault="00330999" w:rsidP="00330999">
      <w:pPr>
        <w:jc w:val="left"/>
        <w:rPr>
          <w:rFonts w:cstheme="minorHAnsi"/>
          <w:b/>
          <w:color w:val="2F5496" w:themeColor="accent1" w:themeShade="BF"/>
          <w:sz w:val="22"/>
          <w:lang w:val="sr-Cyrl-CS"/>
        </w:rPr>
        <w:sectPr w:rsidR="00330999" w:rsidRPr="00F5596D" w:rsidSect="00E61B34">
          <w:type w:val="continuous"/>
          <w:pgSz w:w="12240" w:h="15840"/>
          <w:pgMar w:top="1440" w:right="1440" w:bottom="1350" w:left="1440" w:header="720" w:footer="720" w:gutter="0"/>
          <w:cols w:num="2" w:space="720"/>
          <w:docGrid w:linePitch="360"/>
        </w:sectPr>
      </w:pPr>
    </w:p>
    <w:p w14:paraId="434360CE"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Судски поступци</w:t>
      </w:r>
    </w:p>
    <w:p w14:paraId="0AE59934" w14:textId="77777777" w:rsidR="00330999" w:rsidRPr="00F5596D" w:rsidRDefault="00330999" w:rsidP="00330999">
      <w:pPr>
        <w:rPr>
          <w:rFonts w:eastAsia="MS PGothic" w:cstheme="minorHAnsi"/>
          <w:szCs w:val="20"/>
          <w:lang w:val="sr-Cyrl-CS" w:eastAsia="ja-JP"/>
        </w:rPr>
        <w:sectPr w:rsidR="00330999" w:rsidRPr="00F5596D" w:rsidSect="00E61B34">
          <w:type w:val="continuous"/>
          <w:pgSz w:w="12240" w:h="15840"/>
          <w:pgMar w:top="1440" w:right="1440" w:bottom="1350" w:left="1440" w:header="720" w:footer="720" w:gutter="0"/>
          <w:cols w:space="720"/>
          <w:docGrid w:linePitch="360"/>
        </w:sectPr>
      </w:pPr>
    </w:p>
    <w:p w14:paraId="2533159E"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Услед бројних судских поступака, пред домаћим и међународним судовима, где је терет плаћања на Републици Србији као туженој страни, идентификовани су различити фискални ризици који постоје услед неизвесности у вези са исходом ових процеса.</w:t>
      </w:r>
    </w:p>
    <w:p w14:paraId="789D8670" w14:textId="77777777" w:rsidR="008F72B4"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Република Србија је по основу новчаних казни и пенала по решењу судова (економска класификација 483), као и накнаде штете за повреде или штету нанету од стране државних органа (економска класификација 485) у 2022. години из буџета Републике Србије платила 26,8 млрд динара, у 2023. години 25,4 млрд динара, док је извршење у 2024. години износило 24,6 млрд динара. </w:t>
      </w:r>
    </w:p>
    <w:p w14:paraId="759D9065" w14:textId="46D13832" w:rsidR="00330999" w:rsidRPr="00F5596D" w:rsidRDefault="00330999" w:rsidP="004F4BC8">
      <w:pPr>
        <w:rPr>
          <w:rFonts w:eastAsia="MS PGothic" w:cstheme="minorHAnsi"/>
          <w:szCs w:val="20"/>
          <w:lang w:val="sr-Cyrl-CS" w:eastAsia="ja-JP"/>
        </w:rPr>
      </w:pPr>
      <w:r w:rsidRPr="00F5596D">
        <w:rPr>
          <w:rFonts w:eastAsia="MS PGothic" w:cstheme="minorHAnsi"/>
          <w:b/>
          <w:color w:val="002060"/>
          <w:szCs w:val="20"/>
          <w:lang w:val="sr-Cyrl-CS" w:eastAsia="ja-JP"/>
        </w:rPr>
        <w:t>План, апропријације и извршење буџета Републике Србије по ек. класификацијама 483 и 485 у периоду од 2019. до 31. марта 2025. године</w:t>
      </w:r>
    </w:p>
    <w:p w14:paraId="38B97285" w14:textId="77777777" w:rsidR="00330999" w:rsidRPr="00F5596D" w:rsidRDefault="00330999" w:rsidP="00330999">
      <w:pPr>
        <w:spacing w:after="120" w:line="240" w:lineRule="auto"/>
        <w:jc w:val="left"/>
        <w:rPr>
          <w:rFonts w:eastAsia="MS PGothic" w:cstheme="minorHAnsi"/>
          <w:sz w:val="16"/>
          <w:szCs w:val="18"/>
          <w:lang w:val="sr-Cyrl-CS" w:eastAsia="ja-JP"/>
        </w:rPr>
      </w:pPr>
      <w:r w:rsidRPr="00F5596D">
        <w:rPr>
          <w:rFonts w:eastAsia="MS PGothic" w:cstheme="minorHAnsi"/>
          <w:noProof/>
          <w:sz w:val="16"/>
          <w:szCs w:val="18"/>
        </w:rPr>
        <w:drawing>
          <wp:inline distT="0" distB="0" distL="0" distR="0" wp14:anchorId="6D8D9ABC" wp14:editId="6C76150E">
            <wp:extent cx="2833303" cy="1663065"/>
            <wp:effectExtent l="0" t="0" r="571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92350" cy="1697724"/>
                    </a:xfrm>
                    <a:prstGeom prst="rect">
                      <a:avLst/>
                    </a:prstGeom>
                    <a:noFill/>
                  </pic:spPr>
                </pic:pic>
              </a:graphicData>
            </a:graphic>
          </wp:inline>
        </w:drawing>
      </w:r>
    </w:p>
    <w:p w14:paraId="3D6B2DA9" w14:textId="77777777" w:rsidR="00330999" w:rsidRPr="00F5596D" w:rsidRDefault="00330999" w:rsidP="00330999">
      <w:pPr>
        <w:spacing w:after="120"/>
        <w:jc w:val="left"/>
        <w:rPr>
          <w:rFonts w:eastAsia="MS PGothic" w:cstheme="minorHAnsi"/>
          <w:b/>
          <w:color w:val="002060"/>
          <w:szCs w:val="20"/>
          <w:lang w:val="sr-Cyrl-CS" w:eastAsia="ja-JP"/>
        </w:rPr>
      </w:pPr>
      <w:r w:rsidRPr="00F5596D">
        <w:rPr>
          <w:rFonts w:eastAsia="MS PGothic" w:cstheme="minorHAnsi"/>
          <w:sz w:val="16"/>
          <w:szCs w:val="18"/>
          <w:lang w:val="sr-Cyrl-CS" w:eastAsia="ja-JP"/>
        </w:rPr>
        <w:t>Извор: Министарство финансија, Управа за трезор, Сектор буџета</w:t>
      </w:r>
    </w:p>
    <w:p w14:paraId="53C381F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У првом кварталу 2025. године извршење буџета по овом основу износи 10,5 млрд динара. </w:t>
      </w:r>
    </w:p>
    <w:p w14:paraId="0E5DA4D8" w14:textId="4B1CB951"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Према подацима Државног правобранилаштва, 31.12.2022. године било је укупно 306.727 активних судских спорова. На исти дан 2023. године било је 320.860 активних предмета, а 31.12.2024. године број предмета у раду био је 306.101. На крају првог тромесечја 2025. године </w:t>
      </w:r>
      <w:r w:rsidRPr="00F5596D">
        <w:rPr>
          <w:rFonts w:eastAsia="MS PGothic" w:cstheme="minorHAnsi"/>
          <w:szCs w:val="20"/>
          <w:lang w:val="sr-Cyrl-CS" w:eastAsia="ja-JP"/>
        </w:rPr>
        <w:lastRenderedPageBreak/>
        <w:t>пред Државним правобранилаштвом води се 311.758. судских поступака</w:t>
      </w:r>
      <w:r w:rsidR="00400C34" w:rsidRPr="00F5596D">
        <w:rPr>
          <w:rFonts w:eastAsia="MS PGothic" w:cstheme="minorHAnsi"/>
          <w:szCs w:val="20"/>
          <w:lang w:val="sr-Cyrl-CS" w:eastAsia="ja-JP"/>
        </w:rPr>
        <w:t>.</w:t>
      </w:r>
      <w:r w:rsidRPr="00F5596D">
        <w:rPr>
          <w:rFonts w:eastAsia="MS PGothic" w:cstheme="minorHAnsi"/>
          <w:szCs w:val="20"/>
          <w:lang w:val="sr-Cyrl-CS" w:eastAsia="ja-JP"/>
        </w:rPr>
        <w:t xml:space="preserve"> </w:t>
      </w:r>
    </w:p>
    <w:p w14:paraId="3989AA37" w14:textId="77777777" w:rsidR="00330999" w:rsidRPr="00F5596D" w:rsidRDefault="00330999" w:rsidP="00330999">
      <w:pPr>
        <w:spacing w:after="4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Укупан број активних спорова у Државном правобранилаштву Републике Србије</w:t>
      </w:r>
    </w:p>
    <w:p w14:paraId="7153DF36" w14:textId="77777777" w:rsidR="00330999" w:rsidRPr="00F5596D" w:rsidRDefault="00330999" w:rsidP="00330999">
      <w:pPr>
        <w:spacing w:after="40"/>
        <w:rPr>
          <w:rFonts w:eastAsia="MS PGothic" w:cstheme="minorHAnsi"/>
          <w:b/>
          <w:color w:val="002060"/>
          <w:szCs w:val="20"/>
          <w:lang w:val="sr-Cyrl-CS" w:eastAsia="ja-JP"/>
        </w:rPr>
      </w:pPr>
      <w:r w:rsidRPr="00F5596D">
        <w:rPr>
          <w:rFonts w:eastAsia="MS PGothic" w:cstheme="minorHAnsi"/>
          <w:b/>
          <w:noProof/>
          <w:color w:val="002060"/>
          <w:szCs w:val="20"/>
        </w:rPr>
        <w:drawing>
          <wp:inline distT="0" distB="0" distL="0" distR="0" wp14:anchorId="0912B68C" wp14:editId="2DF1C119">
            <wp:extent cx="2807335" cy="223448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27280" cy="2250359"/>
                    </a:xfrm>
                    <a:prstGeom prst="rect">
                      <a:avLst/>
                    </a:prstGeom>
                    <a:noFill/>
                  </pic:spPr>
                </pic:pic>
              </a:graphicData>
            </a:graphic>
          </wp:inline>
        </w:drawing>
      </w:r>
    </w:p>
    <w:p w14:paraId="39A715A6" w14:textId="77777777" w:rsidR="00330999" w:rsidRPr="00F5596D" w:rsidRDefault="00330999" w:rsidP="00330999">
      <w:pPr>
        <w:spacing w:after="0"/>
        <w:jc w:val="left"/>
        <w:rPr>
          <w:rFonts w:ascii="Calibri" w:eastAsia="MS PGothic" w:hAnsi="Calibri" w:cs="Calibri"/>
          <w:sz w:val="16"/>
          <w:szCs w:val="18"/>
          <w:lang w:val="sr-Cyrl-CS" w:eastAsia="ja-JP"/>
        </w:rPr>
      </w:pPr>
      <w:r w:rsidRPr="00F5596D">
        <w:rPr>
          <w:rFonts w:ascii="Calibri" w:eastAsia="MS PGothic" w:hAnsi="Calibri" w:cs="Calibri"/>
          <w:sz w:val="16"/>
          <w:szCs w:val="18"/>
          <w:lang w:val="sr-Cyrl-CS" w:eastAsia="ja-JP"/>
        </w:rPr>
        <w:t>Извор: Државно правобранилаштво Републике Србије</w:t>
      </w:r>
    </w:p>
    <w:p w14:paraId="59F66508" w14:textId="77777777" w:rsidR="00330999" w:rsidRPr="00F5596D" w:rsidRDefault="00330999" w:rsidP="00330999">
      <w:pPr>
        <w:rPr>
          <w:rFonts w:eastAsia="MS PGothic" w:cstheme="minorHAnsi"/>
          <w:szCs w:val="20"/>
          <w:lang w:val="sr-Cyrl-CS" w:eastAsia="ja-JP"/>
        </w:rPr>
      </w:pPr>
    </w:p>
    <w:p w14:paraId="5D8024F6" w14:textId="77777777" w:rsidR="008F72B4"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Број примљених предмета у 2019. години био је 165.061, док је овај број у 2024. години износио 111.397, а у периоду јануар-март 2025. године примљено је 29.469 нових предмета. Са друге стране, број архивираних предмета је у 2019. години износио 165.440, док је у 2024. години број архивираних предмета износио 125.548 предмета. У периоду јануар – март 2025. године решено је 27.</w:t>
      </w:r>
      <w:r w:rsidR="008F72B4" w:rsidRPr="00F5596D">
        <w:rPr>
          <w:rFonts w:eastAsia="MS PGothic" w:cstheme="minorHAnsi"/>
          <w:szCs w:val="20"/>
          <w:lang w:val="sr-Cyrl-CS" w:eastAsia="ja-JP"/>
        </w:rPr>
        <w:t xml:space="preserve">959 предмета. </w:t>
      </w:r>
    </w:p>
    <w:p w14:paraId="6F76077D" w14:textId="2488E15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Број нових предмета у периоду од 2019. до 2024. године је у опадању и са нивоа од 35,7% у 2019. години, учешће нових предмета у укупном броју предмета на дан 31.12.2024. године опада на 25,8%. Када су архивирани - решени предмети у питању, учешће ових предмета у укупном броју предмета варира и креће се са 35,8% у 2019. години до 2</w:t>
      </w:r>
      <w:r w:rsidR="00400C34" w:rsidRPr="00F5596D">
        <w:rPr>
          <w:rFonts w:eastAsia="MS PGothic" w:cstheme="minorHAnsi"/>
          <w:szCs w:val="20"/>
          <w:lang w:val="sr-Cyrl-CS" w:eastAsia="ja-JP"/>
        </w:rPr>
        <w:t xml:space="preserve">9,1% у 2024. години. </w:t>
      </w:r>
    </w:p>
    <w:p w14:paraId="1E0A4617" w14:textId="62F27B4B" w:rsidR="00330999" w:rsidRPr="00F5596D" w:rsidRDefault="00330999" w:rsidP="004F4BC8">
      <w:pPr>
        <w:spacing w:after="40"/>
        <w:rPr>
          <w:rFonts w:eastAsia="MS PGothic" w:cstheme="minorHAnsi"/>
          <w:b/>
          <w:color w:val="002060"/>
          <w:szCs w:val="20"/>
          <w:lang w:val="sr-Cyrl-CS" w:eastAsia="ja-JP"/>
        </w:rPr>
      </w:pPr>
      <w:r w:rsidRPr="00F5596D">
        <w:rPr>
          <w:rFonts w:eastAsia="MS PGothic" w:cstheme="minorHAnsi"/>
          <w:b/>
          <w:color w:val="002060"/>
          <w:szCs w:val="20"/>
          <w:lang w:val="sr-Cyrl-CS" w:eastAsia="ja-JP"/>
        </w:rPr>
        <w:t>Динамика судских спорова у Државном правобранилаштву Републике Србије у периоду 2019 – 2024. године</w:t>
      </w:r>
    </w:p>
    <w:p w14:paraId="0B2FA79E" w14:textId="77777777" w:rsidR="00330999" w:rsidRPr="00F5596D" w:rsidRDefault="00330999" w:rsidP="00330999">
      <w:pPr>
        <w:spacing w:after="0" w:line="240" w:lineRule="auto"/>
        <w:rPr>
          <w:rFonts w:eastAsia="MS PGothic" w:cstheme="minorHAnsi"/>
          <w:noProof/>
          <w:szCs w:val="20"/>
          <w:lang w:val="sr-Cyrl-CS"/>
        </w:rPr>
      </w:pPr>
      <w:r w:rsidRPr="00F5596D">
        <w:rPr>
          <w:rFonts w:eastAsia="MS PGothic" w:cstheme="minorHAnsi"/>
          <w:noProof/>
          <w:szCs w:val="20"/>
        </w:rPr>
        <w:drawing>
          <wp:inline distT="0" distB="0" distL="0" distR="0" wp14:anchorId="2E89A450" wp14:editId="161C7FE0">
            <wp:extent cx="2833635" cy="1637665"/>
            <wp:effectExtent l="0" t="0" r="508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95005" cy="1673133"/>
                    </a:xfrm>
                    <a:prstGeom prst="rect">
                      <a:avLst/>
                    </a:prstGeom>
                    <a:noFill/>
                  </pic:spPr>
                </pic:pic>
              </a:graphicData>
            </a:graphic>
          </wp:inline>
        </w:drawing>
      </w:r>
    </w:p>
    <w:p w14:paraId="3E3E01E9" w14:textId="77777777" w:rsidR="00330999" w:rsidRPr="00F5596D" w:rsidRDefault="00330999" w:rsidP="00330999">
      <w:pPr>
        <w:spacing w:after="120" w:line="240" w:lineRule="auto"/>
        <w:rPr>
          <w:rFonts w:eastAsia="MS PGothic" w:cstheme="minorHAnsi"/>
          <w:szCs w:val="20"/>
          <w:lang w:val="sr-Cyrl-CS" w:eastAsia="ja-JP"/>
        </w:rPr>
      </w:pPr>
      <w:r w:rsidRPr="00F5596D">
        <w:rPr>
          <w:rFonts w:ascii="Calibri" w:eastAsia="MS PGothic" w:hAnsi="Calibri" w:cs="Calibri"/>
          <w:sz w:val="16"/>
          <w:szCs w:val="18"/>
          <w:lang w:val="sr-Cyrl-CS" w:eastAsia="ja-JP"/>
        </w:rPr>
        <w:t>Извор: Државно правобранилаштво Републике Србије</w:t>
      </w:r>
    </w:p>
    <w:p w14:paraId="6BDC133F"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У циљу смањења трошкова у тзв. „буџетским” поступцима, у току 2019. године дошло је до измена Закона о извршењу и обезбеђењу („Службени гласник РС”, бр. 106/15, 106/15 – аутентично тумачење, 113/17 – аутентично тумачење и 54/19), који је ступио на снагу 1. јануара 2020. године. Наведеним законом је прописано да је извршни поверилац дужан да о намери подношења предлога за извршење писменим путем обавести министарство надлежно за финансије најкасније 30 дана пре подношења предлога за извршење, уколико се као извршни дужник појављује Република Србија, аутономна покрајина, јединица локалне самоуправе, директни или индиректни корисник буџетских средстава.</w:t>
      </w:r>
    </w:p>
    <w:p w14:paraId="13553674" w14:textId="77777777" w:rsidR="002C0E25"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Намера је била да се наведеном мером подстакне добровољно плаћање обавезе од стране надлежног органа, како би се избегли трошкови принудне наплате. Међутим, у пракси ова мера није донела очекиване резултате. </w:t>
      </w:r>
    </w:p>
    <w:p w14:paraId="77F46F6E" w14:textId="3CAEA74E" w:rsidR="002C0E25"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У складу са постојећим трендом кретања извршења републичког буџета у периоду од 2019. до 2024. године можемо очекивати да ће се у наредне 3 године расходи републичког буџета по основу судских поступака, базирано на пројекцијама по изведеној константној стопи раста у наведеном периоду, кретати на нивоу од 26,4 до 30,2 млрд динара, односно оквирно 28,3 млрд динара просечно годишње. </w:t>
      </w:r>
    </w:p>
    <w:p w14:paraId="5166C678" w14:textId="77777777" w:rsidR="00330999" w:rsidRPr="00F5596D" w:rsidRDefault="00330999" w:rsidP="00330999">
      <w:pPr>
        <w:rPr>
          <w:rFonts w:eastAsia="MS PGothic" w:cstheme="minorHAnsi"/>
          <w:color w:val="1F4E79" w:themeColor="accent5" w:themeShade="80"/>
          <w:szCs w:val="20"/>
          <w:lang w:val="sr-Cyrl-CS" w:eastAsia="ja-JP"/>
        </w:rPr>
        <w:sectPr w:rsidR="00330999" w:rsidRPr="00F5596D" w:rsidSect="00E61B34">
          <w:type w:val="continuous"/>
          <w:pgSz w:w="12240" w:h="15840"/>
          <w:pgMar w:top="1440" w:right="1440" w:bottom="1350" w:left="1440" w:header="720" w:footer="720" w:gutter="0"/>
          <w:cols w:num="2" w:space="720"/>
          <w:docGrid w:linePitch="360"/>
        </w:sectPr>
      </w:pPr>
      <w:r w:rsidRPr="00F5596D">
        <w:rPr>
          <w:rFonts w:eastAsia="MS PGothic" w:cstheme="minorHAnsi"/>
          <w:szCs w:val="20"/>
          <w:lang w:val="sr-Cyrl-CS" w:eastAsia="ja-JP"/>
        </w:rPr>
        <w:t xml:space="preserve">У 2025. години и даље се ради на унапређењу система за праћење фискалних ризика по основу судских поступака са циљем идентификације и оцене ризика. Посебна пажња се придаје расположивим базама података и унапређивању квалитета и доступности података који се у њима </w:t>
      </w:r>
      <w:r w:rsidRPr="00F5596D">
        <w:rPr>
          <w:rFonts w:eastAsia="MS PGothic" w:cstheme="minorHAnsi"/>
          <w:szCs w:val="20"/>
          <w:lang w:val="sr-Cyrl-CS" w:eastAsia="ja-JP"/>
        </w:rPr>
        <w:lastRenderedPageBreak/>
        <w:t>налазе, а све у циљу спровођења анализе фискалних ризика и квантификације ових расхода у наредном периоду.</w:t>
      </w:r>
    </w:p>
    <w:p w14:paraId="6ED8C035" w14:textId="77777777" w:rsidR="00330999" w:rsidRPr="00F5596D" w:rsidRDefault="00330999" w:rsidP="00330999">
      <w:pPr>
        <w:jc w:val="left"/>
        <w:rPr>
          <w:rFonts w:cstheme="minorHAnsi"/>
          <w:b/>
          <w:color w:val="2F5496" w:themeColor="accent1" w:themeShade="BF"/>
          <w:sz w:val="22"/>
          <w:lang w:val="sr-Cyrl-CS"/>
        </w:rPr>
      </w:pPr>
      <w:r w:rsidRPr="00F5596D">
        <w:rPr>
          <w:rFonts w:cstheme="minorHAnsi"/>
          <w:b/>
          <w:color w:val="2F5496" w:themeColor="accent1" w:themeShade="BF"/>
          <w:sz w:val="22"/>
          <w:lang w:val="sr-Cyrl-CS"/>
        </w:rPr>
        <w:t>Елементарне непогоде</w:t>
      </w:r>
    </w:p>
    <w:p w14:paraId="0C52B090" w14:textId="77777777" w:rsidR="00330999" w:rsidRPr="00F5596D" w:rsidRDefault="00330999" w:rsidP="00330999">
      <w:pPr>
        <w:rPr>
          <w:rFonts w:eastAsia="MS PGothic" w:cstheme="minorHAnsi"/>
          <w:szCs w:val="20"/>
          <w:lang w:val="sr-Cyrl-CS" w:eastAsia="ja-JP"/>
        </w:rPr>
        <w:sectPr w:rsidR="00330999" w:rsidRPr="00F5596D" w:rsidSect="00E61B34">
          <w:type w:val="continuous"/>
          <w:pgSz w:w="12240" w:h="15840"/>
          <w:pgMar w:top="1440" w:right="1440" w:bottom="1350" w:left="1440" w:header="720" w:footer="720" w:gutter="0"/>
          <w:cols w:space="720"/>
          <w:docGrid w:linePitch="360"/>
        </w:sectPr>
      </w:pPr>
    </w:p>
    <w:p w14:paraId="5B4C28CD" w14:textId="7779A91E"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Стално присутан ризик од елементарних непогода и природних катастрофа налаже улагања у програме превенције, како би се умањили потенцијални фискални трошкови за отклањање штета насталих по том основу. Превенција обухвата укључивање ширег спектра финансијских инструмената, као што су резервни фондови, потенцијалне кредитне линије и осигурање имовине. Република Србија се у 2014. години суочила са катастрофалним последицама поплава, чија је укупна штета (са губицима) процењена на више од 1,7 млрд евра. Влада је у децембру 2014. године усвојила Национални програм за управљање ризицима од елементарних непогода, који се спроводи у сарадњи са Светском банком, Уједињеним нацијама и Европском унијом. У складу са наведеним програмом, новембра 2018. године донет је Закон о смањењу ризика од катастрофа и управљању ванредним ситуацијама („Службени гласник РС”, број 87/18). У току 2022. године посебна радна група отпочела је процес ревидирања Стратегије смањења ризика од катастрофа и управљања ванредним ситуацијама у Републици Србији (2023-2030), са циљем израде новог Акционог плана за период 2023–2030. године</w:t>
      </w:r>
    </w:p>
    <w:p w14:paraId="233944BB" w14:textId="77777777" w:rsidR="009C66BB" w:rsidRPr="00F5596D" w:rsidRDefault="00330999" w:rsidP="009C66BB">
      <w:pPr>
        <w:rPr>
          <w:lang w:val="sr-Cyrl-CS" w:eastAsia="ja-JP"/>
        </w:rPr>
      </w:pPr>
      <w:r w:rsidRPr="00F5596D">
        <w:rPr>
          <w:lang w:val="sr-Cyrl-CS" w:eastAsia="ja-JP"/>
        </w:rPr>
        <w:t xml:space="preserve">Република Србија је у 2019. години платила 4,2 млрд динара на име накнаде штете за повреде или штете настале услед елементарних непогода и других природних узрока. У току 2020. године за ову намену, по економској класификацији 484 (без интервенцијских средстава за ублажавање последица болести COVID-19) издвојено је 2,9 млрд динара, док је за 2021. годину износ потрошен на ове намене смањен и износио је 520,3 милиона динара. Издвојена средства за ову намену током 2022. године износила су 263,9 милиона динара. У току 2023. године дошло је до повећања расхода републичког буџета по овом основу на 824,8 милиона динара, због појаве екстремних временских прилика и поплава у мају и јуну месецу 2023. године, као и олујног ветра, града и кише који је проузроковао неочекиване </w:t>
      </w:r>
      <w:r w:rsidRPr="00F5596D">
        <w:rPr>
          <w:lang w:val="sr-Cyrl-CS" w:eastAsia="ja-JP"/>
        </w:rPr>
        <w:t>штете у јулу 2023. године. За 2024. годину су првобитно планирана средства у буџету од 117,3 милиона динара увећана кроз апропријацију на 923,4 милиона динара, а до 31. децембра 2024. године извршење буџета износило је 708,9 милиона динара. За 2025. годину, планирана средства за ову намену износе свега 428,8 милиона динара, док у првом кварталу 2025. године, извршење буџета износи 51,2 милиона динара.</w:t>
      </w:r>
    </w:p>
    <w:p w14:paraId="1068621B" w14:textId="77777777" w:rsidR="00156046" w:rsidRPr="00F5596D" w:rsidRDefault="00156046" w:rsidP="009C66BB">
      <w:pPr>
        <w:rPr>
          <w:rFonts w:eastAsia="MS PGothic" w:cstheme="minorHAnsi"/>
          <w:b/>
          <w:color w:val="002060"/>
          <w:szCs w:val="20"/>
          <w:lang w:val="sr-Cyrl-CS" w:eastAsia="ja-JP"/>
        </w:rPr>
      </w:pPr>
    </w:p>
    <w:p w14:paraId="357602B6" w14:textId="573F2FB0" w:rsidR="00330999" w:rsidRPr="00F5596D" w:rsidRDefault="00156046" w:rsidP="00156046">
      <w:pPr>
        <w:rPr>
          <w:lang w:val="sr-Cyrl-CS" w:eastAsia="ja-JP"/>
        </w:rPr>
      </w:pPr>
      <w:r w:rsidRPr="00F5596D">
        <w:rPr>
          <w:noProof/>
        </w:rPr>
        <w:drawing>
          <wp:anchor distT="0" distB="0" distL="114300" distR="114300" simplePos="0" relativeHeight="251709952" behindDoc="1" locked="0" layoutInCell="1" allowOverlap="1" wp14:anchorId="7C4EB149" wp14:editId="29976B1D">
            <wp:simplePos x="0" y="0"/>
            <wp:positionH relativeFrom="column">
              <wp:align>left</wp:align>
            </wp:positionH>
            <wp:positionV relativeFrom="paragraph">
              <wp:posOffset>526381</wp:posOffset>
            </wp:positionV>
            <wp:extent cx="2512060" cy="1977390"/>
            <wp:effectExtent l="0" t="0" r="2540" b="3810"/>
            <wp:wrapTight wrapText="bothSides">
              <wp:wrapPolygon edited="0">
                <wp:start x="0" y="0"/>
                <wp:lineTo x="0" y="21434"/>
                <wp:lineTo x="21458" y="21434"/>
                <wp:lineTo x="21458" y="0"/>
                <wp:lineTo x="0" y="0"/>
              </wp:wrapPolygon>
            </wp:wrapTight>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512060" cy="1977390"/>
                    </a:xfrm>
                    <a:prstGeom prst="rect">
                      <a:avLst/>
                    </a:prstGeom>
                    <a:noFill/>
                  </pic:spPr>
                </pic:pic>
              </a:graphicData>
            </a:graphic>
          </wp:anchor>
        </w:drawing>
      </w:r>
      <w:r w:rsidR="00330999" w:rsidRPr="00F5596D">
        <w:rPr>
          <w:rFonts w:eastAsia="MS PGothic" w:cstheme="minorHAnsi"/>
          <w:b/>
          <w:color w:val="002060"/>
          <w:szCs w:val="20"/>
          <w:lang w:val="sr-Cyrl-CS" w:eastAsia="ja-JP"/>
        </w:rPr>
        <w:t>Расходи буџета Републике Србије по основу елементарних непогода и других природних узрока</w:t>
      </w:r>
    </w:p>
    <w:p w14:paraId="4E339169" w14:textId="29EA5531" w:rsidR="00156046" w:rsidRPr="00F5596D" w:rsidRDefault="00330999" w:rsidP="00330999">
      <w:pPr>
        <w:spacing w:after="40"/>
        <w:rPr>
          <w:rFonts w:eastAsia="MS PGothic" w:cstheme="minorHAnsi"/>
          <w:sz w:val="16"/>
          <w:szCs w:val="18"/>
          <w:lang w:val="sr-Cyrl-CS" w:eastAsia="ja-JP"/>
        </w:rPr>
      </w:pPr>
      <w:r w:rsidRPr="00F5596D">
        <w:rPr>
          <w:rFonts w:eastAsia="MS PGothic" w:cstheme="minorHAnsi"/>
          <w:sz w:val="16"/>
          <w:szCs w:val="18"/>
          <w:lang w:val="sr-Cyrl-CS" w:eastAsia="ja-JP"/>
        </w:rPr>
        <w:t xml:space="preserve">Извор: Министарство финансија, </w:t>
      </w:r>
      <w:r w:rsidR="004F4BC8" w:rsidRPr="00F5596D">
        <w:rPr>
          <w:rFonts w:eastAsia="MS PGothic" w:cstheme="minorHAnsi"/>
          <w:sz w:val="16"/>
          <w:szCs w:val="18"/>
          <w:lang w:val="sr-Cyrl-CS" w:eastAsia="ja-JP"/>
        </w:rPr>
        <w:t>Управа за трезор, Сектор буџета</w:t>
      </w:r>
    </w:p>
    <w:p w14:paraId="02CE6836"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Све већа учесталост и интензитет елементарних и других непогода као и повећање расхода за санирање последица истих, наглашава потребу за константним опрезом када је ова врста фискалних ризика у питању.</w:t>
      </w:r>
    </w:p>
    <w:p w14:paraId="4380920B"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Закључком Владе 05 Број: 40-9575/2021 од 21. октобра 2021. године усвојена је Јединствена методологија за праћење фискалних ризика у Републици Србији која, између осталог, обухвата и Методологију за праћење фискалних ризика који се јављају као последица елементарних непогода.</w:t>
      </w:r>
    </w:p>
    <w:p w14:paraId="366F9334" w14:textId="07702AA3"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Модел за праћење фискалних ризика од елементарних непогода даје квантификовану </w:t>
      </w:r>
      <w:r w:rsidRPr="00F5596D">
        <w:rPr>
          <w:rFonts w:eastAsia="MS PGothic" w:cstheme="minorHAnsi"/>
          <w:szCs w:val="20"/>
          <w:lang w:val="sr-Cyrl-CS" w:eastAsia="ja-JP"/>
        </w:rPr>
        <w:lastRenderedPageBreak/>
        <w:t xml:space="preserve">процену негативног ефекта елементарне непогоде на бруто домаћи производ земље, фискални </w:t>
      </w:r>
      <w:r w:rsidR="00400C34" w:rsidRPr="00F5596D">
        <w:rPr>
          <w:rFonts w:eastAsia="MS PGothic" w:cstheme="minorHAnsi"/>
          <w:szCs w:val="20"/>
          <w:lang w:val="sr-Cyrl-CS" w:eastAsia="ja-JP"/>
        </w:rPr>
        <w:t>дефицит и последично јавни дуг.</w:t>
      </w:r>
      <w:r w:rsidRPr="00F5596D">
        <w:rPr>
          <w:rFonts w:eastAsia="MS PGothic" w:cstheme="minorHAnsi"/>
          <w:szCs w:val="20"/>
          <w:lang w:val="sr-Cyrl-CS" w:eastAsia="ja-JP"/>
        </w:rPr>
        <w:t xml:space="preserve"> </w:t>
      </w:r>
    </w:p>
    <w:p w14:paraId="716F0F40"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Елементарне непогоде проузрокују штету на продуктивном капиталу и критичној инфраструктури што последично доводи до контракције друштвеног бруто производа и мањег раста БДП у односу на раст који би иначе био остварен. Овај ефекат је карактеристичан за годину у којој се елементарна непогода дoгодила. Додатно, због умањених јавних прихода и повећаних јавних расхода, шок проузрокован елементарном непогодом утиче и на повећање фискалног дефицита, што у крајњој линији доводи до потребе за додатним финансирањем, односно за последицу има повећање јавног дуга.</w:t>
      </w:r>
    </w:p>
    <w:p w14:paraId="4CA8F087"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На крају 2022. године је, у сарадњи са Светском банком, развијен модел за процену фискалних ризика од елементарних непогода. У току 2023. године спроведене су обуке и неопходна ажурирања модела чиме су се стекли услови да се почне са пуном применом наведеног модела. </w:t>
      </w:r>
    </w:p>
    <w:p w14:paraId="082042A3"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Оригинални подаци компаније за моделирање ризика „Applied Research Institute Worldwide Corporation“ - из тзв. „АIR“ модела за Републику Србију су добијени емпиријским путем у току 2019. године, што је веома значајно с обзиром на раширену праксу многих земаља које углавном, по аналогији са другим, сличним земљама за које су ови подаци доступни, користе туђе податке. Индексацијом ових вредности за годишњу инфлацију и раст приватних и јавних фиксних</w:t>
      </w:r>
      <w:r w:rsidRPr="00F5596D">
        <w:rPr>
          <w:lang w:val="sr-Cyrl-CS"/>
        </w:rPr>
        <w:t xml:space="preserve"> </w:t>
      </w:r>
      <w:r w:rsidRPr="00F5596D">
        <w:rPr>
          <w:rFonts w:eastAsia="MS PGothic" w:cstheme="minorHAnsi"/>
          <w:szCs w:val="20"/>
          <w:lang w:val="sr-Cyrl-CS" w:eastAsia="ja-JP"/>
        </w:rPr>
        <w:t>фондова у периоду од 2019. до 2024. године добијене су нове ажуриране вредности које се користе за процену потенцијалне штете проузроковане поплавама и земљотресима различитог интензитета.</w:t>
      </w:r>
    </w:p>
    <w:p w14:paraId="58A927A7" w14:textId="77777777" w:rsidR="00330999" w:rsidRPr="00F5596D" w:rsidRDefault="00330999" w:rsidP="00330999">
      <w:pPr>
        <w:rPr>
          <w:rFonts w:eastAsia="MS PGothic" w:cstheme="minorHAnsi"/>
          <w:szCs w:val="20"/>
          <w:lang w:val="sr-Cyrl-CS" w:eastAsia="ja-JP"/>
        </w:rPr>
      </w:pPr>
      <w:r w:rsidRPr="00F5596D">
        <w:rPr>
          <w:rFonts w:eastAsia="MS PGothic" w:cstheme="minorHAnsi"/>
          <w:szCs w:val="20"/>
          <w:lang w:val="sr-Cyrl-CS" w:eastAsia="ja-JP"/>
        </w:rPr>
        <w:t xml:space="preserve">У складу са наведеним, процене изведене на основу података компаније за моделирање ризика „Applied Research Institute Worldwide Corporation“ - из тзв. „АIR“ модела, показују да потенцијалне штете у Републици Србији у 2025. години повезане са поплавама, зависно од интензитета и вероватноће дешавања, могу да се крећу од 150 милиона долара до 6,4 милијарди долара. Иако се ризици од земљотреса сматрају </w:t>
      </w:r>
      <w:r w:rsidRPr="00F5596D">
        <w:rPr>
          <w:rFonts w:eastAsia="MS PGothic" w:cstheme="minorHAnsi"/>
          <w:szCs w:val="20"/>
          <w:lang w:val="sr-Cyrl-CS" w:eastAsia="ja-JP"/>
        </w:rPr>
        <w:t>умереним, према истим проценама, штете повезане са земљотресима могу се кретати од 160 милиона долара до чак 8,5 милијарди долара.</w:t>
      </w:r>
    </w:p>
    <w:p w14:paraId="0FED799B" w14:textId="1592753A" w:rsidR="00330999" w:rsidRPr="00F5596D" w:rsidRDefault="00330999" w:rsidP="00330999">
      <w:pPr>
        <w:spacing w:after="0" w:line="240" w:lineRule="auto"/>
        <w:rPr>
          <w:rFonts w:ascii="Calibri" w:eastAsia="MS PGothic" w:hAnsi="Calibri" w:cs="Calibri"/>
          <w:b/>
          <w:bCs/>
          <w:szCs w:val="20"/>
          <w:lang w:val="sr-Cyrl-CS" w:eastAsia="ja-JP"/>
        </w:rPr>
      </w:pPr>
      <w:r w:rsidRPr="00F5596D">
        <w:rPr>
          <w:rFonts w:ascii="Calibri" w:eastAsia="MS PGothic" w:hAnsi="Calibri" w:cs="Calibri"/>
          <w:b/>
          <w:bCs/>
          <w:szCs w:val="20"/>
          <w:lang w:val="sr-Cyrl-CS" w:eastAsia="ja-JP"/>
        </w:rPr>
        <w:t>Графички приказ процене потенцијалних штета од поплава и земљотреса у Републици Србији</w:t>
      </w:r>
    </w:p>
    <w:p w14:paraId="245EDF31" w14:textId="77777777" w:rsidR="00330999" w:rsidRPr="00F5596D" w:rsidRDefault="00330999" w:rsidP="00330999">
      <w:pPr>
        <w:spacing w:line="256" w:lineRule="auto"/>
        <w:jc w:val="center"/>
        <w:rPr>
          <w:rFonts w:ascii="Calibri" w:eastAsia="MS PGothic" w:hAnsi="Calibri" w:cs="Calibri"/>
          <w:b/>
          <w:bCs/>
          <w:szCs w:val="20"/>
          <w:lang w:val="sr-Cyrl-CS" w:eastAsia="ja-JP"/>
        </w:rPr>
      </w:pPr>
      <w:r w:rsidRPr="00F5596D">
        <w:rPr>
          <w:rFonts w:ascii="Calibri" w:eastAsia="MS PGothic" w:hAnsi="Calibri" w:cs="Calibri"/>
          <w:b/>
          <w:bCs/>
          <w:szCs w:val="20"/>
          <w:lang w:val="sr-Cyrl-CS" w:eastAsia="ja-JP"/>
        </w:rPr>
        <w:t>(у милионима долара)</w:t>
      </w:r>
    </w:p>
    <w:p w14:paraId="66A510E6" w14:textId="77777777" w:rsidR="00330999" w:rsidRPr="00F5596D" w:rsidRDefault="00330999" w:rsidP="00330999">
      <w:pPr>
        <w:spacing w:after="120" w:line="240" w:lineRule="auto"/>
        <w:rPr>
          <w:rFonts w:ascii="Calibri" w:eastAsia="MS PGothic" w:hAnsi="Calibri" w:cs="Calibri"/>
          <w:noProof/>
          <w:szCs w:val="20"/>
          <w:lang w:val="sr-Cyrl-CS"/>
        </w:rPr>
      </w:pPr>
      <w:r w:rsidRPr="00F5596D">
        <w:rPr>
          <w:rFonts w:ascii="Calibri" w:eastAsia="MS PGothic" w:hAnsi="Calibri" w:cs="Calibri"/>
          <w:noProof/>
          <w:szCs w:val="20"/>
        </w:rPr>
        <w:drawing>
          <wp:inline distT="0" distB="0" distL="0" distR="0" wp14:anchorId="44D3D466" wp14:editId="471AD96B">
            <wp:extent cx="2667927" cy="1469991"/>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918858" cy="1608251"/>
                    </a:xfrm>
                    <a:prstGeom prst="rect">
                      <a:avLst/>
                    </a:prstGeom>
                    <a:noFill/>
                  </pic:spPr>
                </pic:pic>
              </a:graphicData>
            </a:graphic>
          </wp:inline>
        </w:drawing>
      </w:r>
    </w:p>
    <w:p w14:paraId="658626F0" w14:textId="77777777" w:rsidR="00330999" w:rsidRPr="00F5596D" w:rsidRDefault="00330999" w:rsidP="00330999">
      <w:pPr>
        <w:spacing w:line="256" w:lineRule="auto"/>
        <w:jc w:val="left"/>
        <w:rPr>
          <w:rFonts w:ascii="Calibri" w:eastAsia="MS PGothic" w:hAnsi="Calibri" w:cs="Calibri"/>
          <w:bCs/>
          <w:iCs/>
          <w:sz w:val="16"/>
          <w:szCs w:val="16"/>
          <w:lang w:val="sr-Cyrl-CS" w:eastAsia="ja-JP"/>
        </w:rPr>
      </w:pPr>
      <w:r w:rsidRPr="00F5596D">
        <w:rPr>
          <w:rFonts w:ascii="Calibri" w:eastAsia="MS PGothic" w:hAnsi="Calibri" w:cs="Calibri"/>
          <w:bCs/>
          <w:iCs/>
          <w:sz w:val="16"/>
          <w:szCs w:val="16"/>
          <w:lang w:val="sr-Cyrl-CS" w:eastAsia="ja-JP"/>
        </w:rPr>
        <w:t xml:space="preserve">Извор: Модел за процену фискалних ризика од елементарних непогода за Републику Србију </w:t>
      </w:r>
    </w:p>
    <w:p w14:paraId="0A2C20EF" w14:textId="0AA0A751" w:rsidR="00AD59C6" w:rsidRPr="00F5596D" w:rsidRDefault="00330999" w:rsidP="00330999">
      <w:pPr>
        <w:spacing w:line="256" w:lineRule="auto"/>
        <w:rPr>
          <w:rFonts w:eastAsia="MS PGothic" w:cstheme="minorHAnsi"/>
          <w:szCs w:val="20"/>
          <w:lang w:val="sr-Cyrl-CS" w:eastAsia="ja-JP"/>
        </w:rPr>
      </w:pPr>
      <w:r w:rsidRPr="00F5596D">
        <w:rPr>
          <w:rFonts w:eastAsia="MS PGothic" w:cstheme="minorHAnsi"/>
          <w:szCs w:val="20"/>
          <w:lang w:val="sr-Cyrl-CS" w:eastAsia="ja-JP"/>
        </w:rPr>
        <w:t>Зависно од врсте и интензитета елементарне непогоде, разликује се и очекивана контракција БДП, односно остваривање мањег раста БДП у години манифестовања елементарне непогоде, у односу на раст БДП који би се остварио да се елементарна непогода није догодила.</w:t>
      </w:r>
    </w:p>
    <w:p w14:paraId="6DE08B75" w14:textId="554F87D5" w:rsidR="00046048" w:rsidRPr="00F5596D" w:rsidRDefault="00330999" w:rsidP="00AD59C6">
      <w:pPr>
        <w:spacing w:line="256" w:lineRule="auto"/>
        <w:rPr>
          <w:rFonts w:eastAsia="MS PGothic" w:cstheme="minorHAnsi"/>
          <w:szCs w:val="20"/>
          <w:lang w:val="sr-Cyrl-CS" w:eastAsia="ja-JP"/>
        </w:rPr>
      </w:pPr>
      <w:r w:rsidRPr="00F5596D">
        <w:rPr>
          <w:rFonts w:eastAsia="MS PGothic" w:cstheme="minorHAnsi"/>
          <w:szCs w:val="20"/>
          <w:lang w:val="sr-Cyrl-CS" w:eastAsia="ja-JP"/>
        </w:rPr>
        <w:t>Када су будући очекивани трошкови у питању, фискални ефекти елементарних непогода, у смислу утицаја на фискални дефицит и последично, на јавни дуг су још израженији и рефлектују размере очекиваног негативног ефекта оваквих шокова на макроекономску стабилност државе, уколико би се ове елементарне непогоде манифестовале.</w:t>
      </w:r>
      <w:r w:rsidR="00AD59C6" w:rsidRPr="00F5596D">
        <w:rPr>
          <w:rFonts w:eastAsia="MS PGothic" w:cstheme="minorHAnsi"/>
          <w:szCs w:val="20"/>
          <w:lang w:val="sr-Cyrl-CS" w:eastAsia="ja-JP"/>
        </w:rPr>
        <w:t xml:space="preserve"> </w:t>
      </w:r>
    </w:p>
    <w:p w14:paraId="5230F994" w14:textId="3AEE67D8" w:rsidR="00330999" w:rsidRPr="00F5596D" w:rsidRDefault="00330999" w:rsidP="00AD59C6">
      <w:pPr>
        <w:spacing w:line="256" w:lineRule="auto"/>
        <w:rPr>
          <w:rFonts w:eastAsia="MS PGothic" w:cstheme="minorHAnsi"/>
          <w:szCs w:val="20"/>
          <w:lang w:val="sr-Cyrl-CS" w:eastAsia="ja-JP"/>
        </w:rPr>
      </w:pPr>
      <w:r w:rsidRPr="00F5596D">
        <w:rPr>
          <w:rFonts w:eastAsia="MS PGothic" w:cstheme="minorHAnsi"/>
          <w:szCs w:val="20"/>
          <w:lang w:val="sr-Cyrl-CS" w:eastAsia="ja-JP"/>
        </w:rPr>
        <w:t>На бази модела за процену фискалних ризика од елементарних непогода за Републику Србију, може се закључити да се, у случају земљотреса који би се догодио у 2025. години, фискални дефицит може повећати</w:t>
      </w:r>
      <w:r w:rsidRPr="00F5596D">
        <w:rPr>
          <w:rFonts w:eastAsia="MS PGothic" w:cstheme="minorHAnsi"/>
          <w:bCs/>
          <w:color w:val="1F4E79" w:themeColor="accent5" w:themeShade="80"/>
          <w:szCs w:val="20"/>
          <w:lang w:val="sr-Cyrl-CS" w:eastAsia="ja-JP"/>
        </w:rPr>
        <w:t xml:space="preserve"> </w:t>
      </w:r>
      <w:r w:rsidRPr="00F5596D">
        <w:rPr>
          <w:rFonts w:eastAsia="MS PGothic" w:cstheme="minorHAnsi"/>
          <w:szCs w:val="20"/>
          <w:lang w:val="sr-Cyrl-CS" w:eastAsia="ja-JP"/>
        </w:rPr>
        <w:t>до 2,7% БДП годишње, што даље може утицати на раст јавног дуга до чак 10,0% БДП из 2025. године у годинама након шока, проузрокованог земљотресом већег интензитета. У случају поплава које би се догодиле 2025. године, имамо сличну ситуацију, односно фискални дефицит се може повећати и до 2,1% БДП годишње, што би утицало на раст јавног дуга и до 7,5% БДП из 2025. године, у годинама након шока, у случају поплава већих размера.</w:t>
      </w:r>
    </w:p>
    <w:p w14:paraId="2EAB5C8F" w14:textId="33C96F45" w:rsidR="00046048" w:rsidRPr="00F5596D" w:rsidRDefault="00046048" w:rsidP="00046048">
      <w:pPr>
        <w:spacing w:after="0" w:line="240" w:lineRule="auto"/>
        <w:jc w:val="center"/>
        <w:rPr>
          <w:rFonts w:ascii="Calibri" w:eastAsia="Times New Roman" w:hAnsi="Calibri" w:cs="Calibri"/>
          <w:b/>
          <w:bCs/>
          <w:color w:val="000000"/>
          <w:szCs w:val="20"/>
          <w:lang w:val="sr-Cyrl-CS"/>
        </w:rPr>
      </w:pPr>
    </w:p>
    <w:p w14:paraId="74F2B7ED" w14:textId="77777777" w:rsidR="00046048" w:rsidRPr="00F5596D" w:rsidRDefault="00046048" w:rsidP="00046048">
      <w:pPr>
        <w:spacing w:after="120"/>
        <w:jc w:val="center"/>
        <w:rPr>
          <w:rFonts w:eastAsia="MS PGothic" w:cstheme="minorHAnsi"/>
          <w:b/>
          <w:color w:val="002060"/>
          <w:szCs w:val="20"/>
          <w:lang w:val="sr-Cyrl-CS" w:eastAsia="ja-JP"/>
        </w:rPr>
        <w:sectPr w:rsidR="00046048" w:rsidRPr="00F5596D" w:rsidSect="00E61B34">
          <w:type w:val="continuous"/>
          <w:pgSz w:w="12240" w:h="15840"/>
          <w:pgMar w:top="1440" w:right="1440" w:bottom="1440" w:left="1440" w:header="720" w:footer="720" w:gutter="0"/>
          <w:cols w:num="2" w:space="720"/>
        </w:sectPr>
      </w:pPr>
    </w:p>
    <w:p w14:paraId="6BF3336D" w14:textId="68BFBAC2" w:rsidR="00046048" w:rsidRPr="00F5596D" w:rsidRDefault="00046048" w:rsidP="00046048">
      <w:pPr>
        <w:spacing w:after="120"/>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lastRenderedPageBreak/>
        <w:t>Табеларни приказ промене фискалних варијабли изражених у % БДП, зависно од врсте елементарних непогода</w:t>
      </w:r>
    </w:p>
    <w:p w14:paraId="51BE7F7C" w14:textId="77777777" w:rsidR="00046048" w:rsidRPr="00F5596D" w:rsidRDefault="00046048" w:rsidP="00046048">
      <w:pPr>
        <w:spacing w:after="0" w:line="240" w:lineRule="auto"/>
        <w:jc w:val="center"/>
        <w:rPr>
          <w:rFonts w:ascii="Calibri" w:eastAsia="Times New Roman" w:hAnsi="Calibri" w:cs="Calibri"/>
          <w:b/>
          <w:bCs/>
          <w:color w:val="000000"/>
          <w:szCs w:val="20"/>
          <w:lang w:val="sr-Cyrl-CS"/>
        </w:rPr>
        <w:sectPr w:rsidR="00046048" w:rsidRPr="00F5596D" w:rsidSect="00046048">
          <w:type w:val="continuous"/>
          <w:pgSz w:w="12240" w:h="15840"/>
          <w:pgMar w:top="1440" w:right="1440" w:bottom="1440" w:left="1440" w:header="720" w:footer="720" w:gutter="0"/>
          <w:cols w:space="720"/>
        </w:sectPr>
      </w:pPr>
    </w:p>
    <w:tbl>
      <w:tblPr>
        <w:tblW w:w="9240" w:type="dxa"/>
        <w:tblLook w:val="04A0" w:firstRow="1" w:lastRow="0" w:firstColumn="1" w:lastColumn="0" w:noHBand="0" w:noVBand="1"/>
      </w:tblPr>
      <w:tblGrid>
        <w:gridCol w:w="920"/>
        <w:gridCol w:w="1427"/>
        <w:gridCol w:w="1319"/>
        <w:gridCol w:w="929"/>
        <w:gridCol w:w="929"/>
        <w:gridCol w:w="929"/>
        <w:gridCol w:w="929"/>
        <w:gridCol w:w="929"/>
        <w:gridCol w:w="929"/>
      </w:tblGrid>
      <w:tr w:rsidR="00046048" w:rsidRPr="00F5596D" w14:paraId="2D2029B2" w14:textId="77777777" w:rsidTr="00046048">
        <w:trPr>
          <w:trHeight w:val="1140"/>
        </w:trPr>
        <w:tc>
          <w:tcPr>
            <w:tcW w:w="2347" w:type="dxa"/>
            <w:gridSpan w:val="2"/>
            <w:tcBorders>
              <w:top w:val="single" w:sz="4" w:space="0" w:color="auto"/>
              <w:left w:val="single" w:sz="4" w:space="0" w:color="auto"/>
              <w:bottom w:val="single" w:sz="4" w:space="0" w:color="auto"/>
              <w:right w:val="single" w:sz="4" w:space="0" w:color="000000"/>
            </w:tcBorders>
            <w:shd w:val="clear" w:color="000000" w:fill="DEEAF6"/>
            <w:vAlign w:val="center"/>
            <w:hideMark/>
          </w:tcPr>
          <w:p w14:paraId="4367B4FA" w14:textId="53B0197A" w:rsidR="00046048" w:rsidRPr="00F5596D" w:rsidRDefault="00400C34" w:rsidP="00046048">
            <w:pPr>
              <w:spacing w:after="0" w:line="240" w:lineRule="auto"/>
              <w:jc w:val="center"/>
              <w:rPr>
                <w:rFonts w:ascii="Calibri" w:eastAsia="Times New Roman" w:hAnsi="Calibri" w:cs="Calibri"/>
                <w:b/>
                <w:bCs/>
                <w:color w:val="000000"/>
                <w:szCs w:val="20"/>
                <w:lang w:val="sr-Cyrl-CS"/>
              </w:rPr>
            </w:pPr>
            <w:r w:rsidRPr="00F5596D">
              <w:rPr>
                <w:rFonts w:ascii="Calibri" w:eastAsia="Times New Roman" w:hAnsi="Calibri" w:cs="Calibri"/>
                <w:b/>
                <w:bCs/>
                <w:color w:val="000000"/>
                <w:szCs w:val="20"/>
                <w:lang w:val="sr-Cyrl-CS"/>
              </w:rPr>
              <w:t xml:space="preserve"> </w:t>
            </w:r>
            <w:r w:rsidR="00046048" w:rsidRPr="00F5596D">
              <w:rPr>
                <w:rFonts w:ascii="Calibri" w:eastAsia="Times New Roman" w:hAnsi="Calibri" w:cs="Calibri"/>
                <w:b/>
                <w:bCs/>
                <w:color w:val="000000"/>
                <w:szCs w:val="20"/>
                <w:lang w:val="sr-Cyrl-CS"/>
              </w:rPr>
              <w:t>у % БДП</w:t>
            </w:r>
          </w:p>
        </w:tc>
        <w:tc>
          <w:tcPr>
            <w:tcW w:w="1319" w:type="dxa"/>
            <w:tcBorders>
              <w:top w:val="single" w:sz="4" w:space="0" w:color="auto"/>
              <w:left w:val="nil"/>
              <w:bottom w:val="single" w:sz="4" w:space="0" w:color="auto"/>
              <w:right w:val="single" w:sz="4" w:space="0" w:color="auto"/>
            </w:tcBorders>
            <w:shd w:val="clear" w:color="000000" w:fill="DEEAF6"/>
            <w:vAlign w:val="center"/>
            <w:hideMark/>
          </w:tcPr>
          <w:p w14:paraId="7C96B328"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Вероватноћа догађаја</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3C640BA7"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 xml:space="preserve">t </w:t>
            </w:r>
            <w:r w:rsidRPr="00F5596D">
              <w:rPr>
                <w:rFonts w:ascii="Calibri" w:eastAsia="Times New Roman" w:hAnsi="Calibri" w:cs="Calibri"/>
                <w:color w:val="000000"/>
                <w:szCs w:val="20"/>
                <w:lang w:val="sr-Cyrl-CS"/>
              </w:rPr>
              <w:br/>
              <w:t>(2025)</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651FE4E6"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t+1</w:t>
            </w:r>
            <w:r w:rsidRPr="00F5596D">
              <w:rPr>
                <w:rFonts w:ascii="Calibri" w:eastAsia="Times New Roman" w:hAnsi="Calibri" w:cs="Calibri"/>
                <w:color w:val="000000"/>
                <w:szCs w:val="20"/>
                <w:lang w:val="sr-Cyrl-CS"/>
              </w:rPr>
              <w:br/>
              <w:t>(2026)</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139D4697"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t+2</w:t>
            </w:r>
            <w:r w:rsidRPr="00F5596D">
              <w:rPr>
                <w:rFonts w:ascii="Calibri" w:eastAsia="Times New Roman" w:hAnsi="Calibri" w:cs="Calibri"/>
                <w:color w:val="000000"/>
                <w:szCs w:val="20"/>
                <w:lang w:val="sr-Cyrl-CS"/>
              </w:rPr>
              <w:br/>
              <w:t>(2027)</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13A9CC13"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t+3</w:t>
            </w:r>
            <w:r w:rsidRPr="00F5596D">
              <w:rPr>
                <w:rFonts w:ascii="Calibri" w:eastAsia="Times New Roman" w:hAnsi="Calibri" w:cs="Calibri"/>
                <w:color w:val="000000"/>
                <w:szCs w:val="20"/>
                <w:lang w:val="sr-Cyrl-CS"/>
              </w:rPr>
              <w:br/>
              <w:t>(2028)</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7406B7BC"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t+4</w:t>
            </w:r>
            <w:r w:rsidRPr="00F5596D">
              <w:rPr>
                <w:rFonts w:ascii="Calibri" w:eastAsia="Times New Roman" w:hAnsi="Calibri" w:cs="Calibri"/>
                <w:color w:val="000000"/>
                <w:szCs w:val="20"/>
                <w:lang w:val="sr-Cyrl-CS"/>
              </w:rPr>
              <w:br/>
              <w:t>(2029)</w:t>
            </w:r>
          </w:p>
        </w:tc>
        <w:tc>
          <w:tcPr>
            <w:tcW w:w="929" w:type="dxa"/>
            <w:tcBorders>
              <w:top w:val="single" w:sz="4" w:space="0" w:color="auto"/>
              <w:left w:val="nil"/>
              <w:bottom w:val="single" w:sz="4" w:space="0" w:color="auto"/>
              <w:right w:val="single" w:sz="4" w:space="0" w:color="auto"/>
            </w:tcBorders>
            <w:shd w:val="clear" w:color="000000" w:fill="DEEAF6"/>
            <w:vAlign w:val="center"/>
            <w:hideMark/>
          </w:tcPr>
          <w:p w14:paraId="40C3A866" w14:textId="77777777" w:rsidR="00046048" w:rsidRPr="00F5596D" w:rsidRDefault="00046048" w:rsidP="00046048">
            <w:pPr>
              <w:spacing w:after="0" w:line="240" w:lineRule="auto"/>
              <w:jc w:val="center"/>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t+5</w:t>
            </w:r>
            <w:r w:rsidRPr="00F5596D">
              <w:rPr>
                <w:rFonts w:ascii="Calibri" w:eastAsia="Times New Roman" w:hAnsi="Calibri" w:cs="Calibri"/>
                <w:color w:val="000000"/>
                <w:szCs w:val="20"/>
                <w:lang w:val="sr-Cyrl-CS"/>
              </w:rPr>
              <w:br/>
              <w:t>(2030)</w:t>
            </w:r>
          </w:p>
        </w:tc>
      </w:tr>
      <w:tr w:rsidR="00046048" w:rsidRPr="00F5596D" w14:paraId="1F4EB1AB" w14:textId="77777777" w:rsidTr="00046048">
        <w:trPr>
          <w:trHeight w:val="210"/>
        </w:trPr>
        <w:tc>
          <w:tcPr>
            <w:tcW w:w="920" w:type="dxa"/>
            <w:vMerge w:val="restart"/>
            <w:tcBorders>
              <w:top w:val="nil"/>
              <w:left w:val="single" w:sz="4" w:space="0" w:color="auto"/>
              <w:bottom w:val="single" w:sz="4" w:space="0" w:color="auto"/>
              <w:right w:val="single" w:sz="4" w:space="0" w:color="auto"/>
            </w:tcBorders>
            <w:shd w:val="clear" w:color="000000" w:fill="DEEAF6"/>
            <w:textDirection w:val="btLr"/>
            <w:vAlign w:val="center"/>
            <w:hideMark/>
          </w:tcPr>
          <w:p w14:paraId="45EC66EF" w14:textId="77777777" w:rsidR="00046048" w:rsidRPr="00F5596D" w:rsidRDefault="00046048" w:rsidP="00046048">
            <w:pPr>
              <w:spacing w:after="0" w:line="240" w:lineRule="auto"/>
              <w:jc w:val="center"/>
              <w:rPr>
                <w:rFonts w:ascii="Calibri" w:eastAsia="Times New Roman" w:hAnsi="Calibri" w:cs="Calibri"/>
                <w:color w:val="000000"/>
                <w:sz w:val="32"/>
                <w:szCs w:val="32"/>
                <w:lang w:val="sr-Cyrl-CS"/>
              </w:rPr>
            </w:pPr>
            <w:r w:rsidRPr="00F5596D">
              <w:rPr>
                <w:rFonts w:ascii="Calibri" w:eastAsia="Times New Roman" w:hAnsi="Calibri" w:cs="Calibri"/>
                <w:color w:val="000000"/>
                <w:sz w:val="32"/>
                <w:szCs w:val="32"/>
                <w:lang w:val="sr-Cyrl-CS"/>
              </w:rPr>
              <w:t>ЗЕМЉОТРЕСИ</w:t>
            </w:r>
          </w:p>
        </w:tc>
        <w:tc>
          <w:tcPr>
            <w:tcW w:w="1427" w:type="dxa"/>
            <w:vMerge w:val="restart"/>
            <w:tcBorders>
              <w:top w:val="nil"/>
              <w:left w:val="single" w:sz="4" w:space="0" w:color="auto"/>
              <w:bottom w:val="single" w:sz="4" w:space="0" w:color="auto"/>
              <w:right w:val="single" w:sz="4" w:space="0" w:color="auto"/>
            </w:tcBorders>
            <w:shd w:val="clear" w:color="000000" w:fill="DEEAF6"/>
            <w:vAlign w:val="center"/>
            <w:hideMark/>
          </w:tcPr>
          <w:p w14:paraId="1935AD6D" w14:textId="77777777" w:rsidR="00046048" w:rsidRPr="00F5596D" w:rsidRDefault="00046048" w:rsidP="00046048">
            <w:pPr>
              <w:spacing w:after="0" w:line="240" w:lineRule="auto"/>
              <w:jc w:val="center"/>
              <w:rPr>
                <w:rFonts w:ascii="Calibri" w:eastAsia="Times New Roman" w:hAnsi="Calibri" w:cs="Calibri"/>
                <w:color w:val="000000"/>
                <w:sz w:val="24"/>
                <w:szCs w:val="24"/>
                <w:lang w:val="sr-Cyrl-CS"/>
              </w:rPr>
            </w:pPr>
            <w:r w:rsidRPr="00F5596D">
              <w:rPr>
                <w:rFonts w:ascii="Calibri" w:eastAsia="Times New Roman" w:hAnsi="Calibri" w:cs="Calibri"/>
                <w:color w:val="000000"/>
                <w:sz w:val="24"/>
                <w:szCs w:val="24"/>
                <w:lang w:val="sr-Cyrl-CS"/>
              </w:rPr>
              <w:t>Фискални биланс</w:t>
            </w:r>
          </w:p>
        </w:tc>
        <w:tc>
          <w:tcPr>
            <w:tcW w:w="1319" w:type="dxa"/>
            <w:tcBorders>
              <w:top w:val="nil"/>
              <w:left w:val="nil"/>
              <w:bottom w:val="single" w:sz="4" w:space="0" w:color="auto"/>
              <w:right w:val="single" w:sz="4" w:space="0" w:color="auto"/>
            </w:tcBorders>
            <w:shd w:val="clear" w:color="000000" w:fill="E5ECF7"/>
            <w:vAlign w:val="center"/>
            <w:hideMark/>
          </w:tcPr>
          <w:p w14:paraId="3B4AF6D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годишње</w:t>
            </w:r>
          </w:p>
        </w:tc>
        <w:tc>
          <w:tcPr>
            <w:tcW w:w="929" w:type="dxa"/>
            <w:tcBorders>
              <w:top w:val="nil"/>
              <w:left w:val="nil"/>
              <w:bottom w:val="single" w:sz="4" w:space="0" w:color="auto"/>
              <w:right w:val="single" w:sz="4" w:space="0" w:color="auto"/>
            </w:tcBorders>
            <w:shd w:val="clear" w:color="auto" w:fill="auto"/>
            <w:vAlign w:val="center"/>
            <w:hideMark/>
          </w:tcPr>
          <w:p w14:paraId="45EC00C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09E5A88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4A7E462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69558E6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124599A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132576E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r>
      <w:tr w:rsidR="00046048" w:rsidRPr="00F5596D" w14:paraId="0AE774F1"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2902A060"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64CF3FA4"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7DC95C5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50%</w:t>
            </w:r>
          </w:p>
        </w:tc>
        <w:tc>
          <w:tcPr>
            <w:tcW w:w="929" w:type="dxa"/>
            <w:tcBorders>
              <w:top w:val="nil"/>
              <w:left w:val="nil"/>
              <w:bottom w:val="single" w:sz="4" w:space="0" w:color="auto"/>
              <w:right w:val="single" w:sz="4" w:space="0" w:color="auto"/>
            </w:tcBorders>
            <w:shd w:val="clear" w:color="auto" w:fill="auto"/>
            <w:vAlign w:val="center"/>
            <w:hideMark/>
          </w:tcPr>
          <w:p w14:paraId="30E7F5F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4DD4749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6A8915C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2816309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7653DA6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09EE02A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r>
      <w:tr w:rsidR="00046048" w:rsidRPr="00F5596D" w14:paraId="29B85E63"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6C7DF998"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37DD3754"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3CA055C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6E0778F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2FB8E5D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6355320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66E269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ACB511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44F297D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r>
      <w:tr w:rsidR="00046048" w:rsidRPr="00F5596D" w14:paraId="5ABFD64C"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2109CDCA"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10287F59"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7CAA3F5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w:t>
            </w:r>
          </w:p>
        </w:tc>
        <w:tc>
          <w:tcPr>
            <w:tcW w:w="929" w:type="dxa"/>
            <w:tcBorders>
              <w:top w:val="nil"/>
              <w:left w:val="nil"/>
              <w:bottom w:val="single" w:sz="4" w:space="0" w:color="auto"/>
              <w:right w:val="single" w:sz="4" w:space="0" w:color="auto"/>
            </w:tcBorders>
            <w:shd w:val="clear" w:color="auto" w:fill="auto"/>
            <w:vAlign w:val="center"/>
            <w:hideMark/>
          </w:tcPr>
          <w:p w14:paraId="2A4BD2E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39E7B97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09C3159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-0.3%</w:t>
            </w:r>
          </w:p>
        </w:tc>
        <w:tc>
          <w:tcPr>
            <w:tcW w:w="929" w:type="dxa"/>
            <w:tcBorders>
              <w:top w:val="nil"/>
              <w:left w:val="nil"/>
              <w:bottom w:val="single" w:sz="4" w:space="0" w:color="auto"/>
              <w:right w:val="single" w:sz="4" w:space="0" w:color="auto"/>
            </w:tcBorders>
            <w:shd w:val="clear" w:color="auto" w:fill="auto"/>
            <w:vAlign w:val="center"/>
            <w:hideMark/>
          </w:tcPr>
          <w:p w14:paraId="1C2062B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217852BD"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200AD5F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r>
      <w:tr w:rsidR="00046048" w:rsidRPr="00F5596D" w14:paraId="37539829"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0C8D12D4"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1B18141A"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05C7EF0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w:t>
            </w:r>
          </w:p>
        </w:tc>
        <w:tc>
          <w:tcPr>
            <w:tcW w:w="929" w:type="dxa"/>
            <w:tcBorders>
              <w:top w:val="nil"/>
              <w:left w:val="nil"/>
              <w:bottom w:val="single" w:sz="4" w:space="0" w:color="auto"/>
              <w:right w:val="single" w:sz="4" w:space="0" w:color="auto"/>
            </w:tcBorders>
            <w:shd w:val="clear" w:color="auto" w:fill="auto"/>
            <w:vAlign w:val="center"/>
            <w:hideMark/>
          </w:tcPr>
          <w:p w14:paraId="622ABC1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1C7F57B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-0.9%</w:t>
            </w:r>
          </w:p>
        </w:tc>
        <w:tc>
          <w:tcPr>
            <w:tcW w:w="929" w:type="dxa"/>
            <w:tcBorders>
              <w:top w:val="nil"/>
              <w:left w:val="nil"/>
              <w:bottom w:val="single" w:sz="4" w:space="0" w:color="auto"/>
              <w:right w:val="single" w:sz="4" w:space="0" w:color="auto"/>
            </w:tcBorders>
            <w:shd w:val="clear" w:color="auto" w:fill="auto"/>
            <w:vAlign w:val="center"/>
            <w:hideMark/>
          </w:tcPr>
          <w:p w14:paraId="5C54BD4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c>
          <w:tcPr>
            <w:tcW w:w="929" w:type="dxa"/>
            <w:tcBorders>
              <w:top w:val="nil"/>
              <w:left w:val="nil"/>
              <w:bottom w:val="single" w:sz="4" w:space="0" w:color="auto"/>
              <w:right w:val="single" w:sz="4" w:space="0" w:color="auto"/>
            </w:tcBorders>
            <w:shd w:val="clear" w:color="auto" w:fill="auto"/>
            <w:vAlign w:val="center"/>
            <w:hideMark/>
          </w:tcPr>
          <w:p w14:paraId="39EE36A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02B40AD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-0.3%</w:t>
            </w:r>
          </w:p>
        </w:tc>
        <w:tc>
          <w:tcPr>
            <w:tcW w:w="929" w:type="dxa"/>
            <w:tcBorders>
              <w:top w:val="nil"/>
              <w:left w:val="nil"/>
              <w:bottom w:val="single" w:sz="4" w:space="0" w:color="auto"/>
              <w:right w:val="single" w:sz="4" w:space="0" w:color="auto"/>
            </w:tcBorders>
            <w:shd w:val="clear" w:color="auto" w:fill="auto"/>
            <w:vAlign w:val="center"/>
            <w:hideMark/>
          </w:tcPr>
          <w:p w14:paraId="501100A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-0.3%</w:t>
            </w:r>
          </w:p>
        </w:tc>
      </w:tr>
      <w:tr w:rsidR="00046048" w:rsidRPr="00F5596D" w14:paraId="45202629"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1D0126ED"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503F1741"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1F6C0B8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0F04127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-2.4%</w:t>
            </w:r>
          </w:p>
        </w:tc>
        <w:tc>
          <w:tcPr>
            <w:tcW w:w="929" w:type="dxa"/>
            <w:tcBorders>
              <w:top w:val="nil"/>
              <w:left w:val="nil"/>
              <w:bottom w:val="single" w:sz="4" w:space="0" w:color="auto"/>
              <w:right w:val="single" w:sz="4" w:space="0" w:color="auto"/>
            </w:tcBorders>
            <w:shd w:val="clear" w:color="auto" w:fill="auto"/>
            <w:vAlign w:val="center"/>
            <w:hideMark/>
          </w:tcPr>
          <w:p w14:paraId="2A461F5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-2.7%</w:t>
            </w:r>
          </w:p>
        </w:tc>
        <w:tc>
          <w:tcPr>
            <w:tcW w:w="929" w:type="dxa"/>
            <w:tcBorders>
              <w:top w:val="nil"/>
              <w:left w:val="nil"/>
              <w:bottom w:val="single" w:sz="4" w:space="0" w:color="auto"/>
              <w:right w:val="single" w:sz="4" w:space="0" w:color="auto"/>
            </w:tcBorders>
            <w:shd w:val="clear" w:color="auto" w:fill="auto"/>
            <w:vAlign w:val="center"/>
            <w:hideMark/>
          </w:tcPr>
          <w:p w14:paraId="5F2C8BC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-1.8%</w:t>
            </w:r>
          </w:p>
        </w:tc>
        <w:tc>
          <w:tcPr>
            <w:tcW w:w="929" w:type="dxa"/>
            <w:tcBorders>
              <w:top w:val="nil"/>
              <w:left w:val="nil"/>
              <w:bottom w:val="single" w:sz="4" w:space="0" w:color="auto"/>
              <w:right w:val="single" w:sz="4" w:space="0" w:color="auto"/>
            </w:tcBorders>
            <w:shd w:val="clear" w:color="auto" w:fill="auto"/>
            <w:vAlign w:val="center"/>
            <w:hideMark/>
          </w:tcPr>
          <w:p w14:paraId="4AFBC00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-1.3%</w:t>
            </w:r>
          </w:p>
        </w:tc>
        <w:tc>
          <w:tcPr>
            <w:tcW w:w="929" w:type="dxa"/>
            <w:tcBorders>
              <w:top w:val="nil"/>
              <w:left w:val="nil"/>
              <w:bottom w:val="single" w:sz="4" w:space="0" w:color="auto"/>
              <w:right w:val="single" w:sz="4" w:space="0" w:color="auto"/>
            </w:tcBorders>
            <w:shd w:val="clear" w:color="auto" w:fill="auto"/>
            <w:vAlign w:val="center"/>
            <w:hideMark/>
          </w:tcPr>
          <w:p w14:paraId="3702280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68C7695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r>
      <w:tr w:rsidR="00046048" w:rsidRPr="00F5596D" w14:paraId="6D35A5F8"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7D64D5A6"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val="restart"/>
            <w:tcBorders>
              <w:top w:val="nil"/>
              <w:left w:val="single" w:sz="4" w:space="0" w:color="auto"/>
              <w:bottom w:val="single" w:sz="4" w:space="0" w:color="auto"/>
              <w:right w:val="single" w:sz="4" w:space="0" w:color="auto"/>
            </w:tcBorders>
            <w:shd w:val="clear" w:color="000000" w:fill="DEEAF6"/>
            <w:vAlign w:val="center"/>
            <w:hideMark/>
          </w:tcPr>
          <w:p w14:paraId="20652A95" w14:textId="77777777" w:rsidR="00046048" w:rsidRPr="00F5596D" w:rsidRDefault="00046048" w:rsidP="00046048">
            <w:pPr>
              <w:spacing w:after="0" w:line="240" w:lineRule="auto"/>
              <w:jc w:val="center"/>
              <w:rPr>
                <w:rFonts w:ascii="Calibri" w:eastAsia="Times New Roman" w:hAnsi="Calibri" w:cs="Calibri"/>
                <w:color w:val="000000"/>
                <w:sz w:val="24"/>
                <w:szCs w:val="24"/>
                <w:lang w:val="sr-Cyrl-CS"/>
              </w:rPr>
            </w:pPr>
            <w:r w:rsidRPr="00F5596D">
              <w:rPr>
                <w:rFonts w:ascii="Calibri" w:eastAsia="Times New Roman" w:hAnsi="Calibri" w:cs="Calibri"/>
                <w:color w:val="000000"/>
                <w:sz w:val="24"/>
                <w:szCs w:val="24"/>
                <w:lang w:val="sr-Cyrl-CS"/>
              </w:rPr>
              <w:t>Јавни дуг</w:t>
            </w:r>
          </w:p>
        </w:tc>
        <w:tc>
          <w:tcPr>
            <w:tcW w:w="1319" w:type="dxa"/>
            <w:tcBorders>
              <w:top w:val="nil"/>
              <w:left w:val="nil"/>
              <w:bottom w:val="single" w:sz="4" w:space="0" w:color="auto"/>
              <w:right w:val="single" w:sz="4" w:space="0" w:color="auto"/>
            </w:tcBorders>
            <w:shd w:val="clear" w:color="000000" w:fill="E5ECF7"/>
            <w:vAlign w:val="center"/>
            <w:hideMark/>
          </w:tcPr>
          <w:p w14:paraId="641F518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годишње</w:t>
            </w:r>
          </w:p>
        </w:tc>
        <w:tc>
          <w:tcPr>
            <w:tcW w:w="929" w:type="dxa"/>
            <w:tcBorders>
              <w:top w:val="nil"/>
              <w:left w:val="nil"/>
              <w:bottom w:val="single" w:sz="4" w:space="0" w:color="auto"/>
              <w:right w:val="single" w:sz="4" w:space="0" w:color="auto"/>
            </w:tcBorders>
            <w:shd w:val="clear" w:color="auto" w:fill="auto"/>
            <w:vAlign w:val="center"/>
            <w:hideMark/>
          </w:tcPr>
          <w:p w14:paraId="2088434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26899EF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08A4F92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3BF5F05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6512A19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16CDB8C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r>
      <w:tr w:rsidR="00046048" w:rsidRPr="00F5596D" w14:paraId="3F8F19A6"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3E2CFD7A"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5F04F7D4"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5CA456E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50%</w:t>
            </w:r>
          </w:p>
        </w:tc>
        <w:tc>
          <w:tcPr>
            <w:tcW w:w="929" w:type="dxa"/>
            <w:tcBorders>
              <w:top w:val="nil"/>
              <w:left w:val="nil"/>
              <w:bottom w:val="single" w:sz="4" w:space="0" w:color="auto"/>
              <w:right w:val="single" w:sz="4" w:space="0" w:color="auto"/>
            </w:tcBorders>
            <w:shd w:val="clear" w:color="auto" w:fill="auto"/>
            <w:vAlign w:val="center"/>
            <w:hideMark/>
          </w:tcPr>
          <w:p w14:paraId="27A7DD4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6DE0A71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E76DCF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1107F82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79C8A74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21C5E28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r>
      <w:tr w:rsidR="00046048" w:rsidRPr="00F5596D" w14:paraId="68644DBB"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6FD7C447"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4391C2DE"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49ED87D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3881A1C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6028BC4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15CC510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5A4D53D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6395E77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08DEDA2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r>
      <w:tr w:rsidR="00046048" w:rsidRPr="00F5596D" w14:paraId="39253D0A"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6B06DBEB"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012FB02D"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1D864DB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w:t>
            </w:r>
          </w:p>
        </w:tc>
        <w:tc>
          <w:tcPr>
            <w:tcW w:w="929" w:type="dxa"/>
            <w:tcBorders>
              <w:top w:val="nil"/>
              <w:left w:val="nil"/>
              <w:bottom w:val="single" w:sz="4" w:space="0" w:color="auto"/>
              <w:right w:val="single" w:sz="4" w:space="0" w:color="auto"/>
            </w:tcBorders>
            <w:shd w:val="clear" w:color="auto" w:fill="auto"/>
            <w:vAlign w:val="center"/>
            <w:hideMark/>
          </w:tcPr>
          <w:p w14:paraId="44614FF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6446535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78F8429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-1.1%</w:t>
            </w:r>
          </w:p>
        </w:tc>
        <w:tc>
          <w:tcPr>
            <w:tcW w:w="929" w:type="dxa"/>
            <w:tcBorders>
              <w:top w:val="nil"/>
              <w:left w:val="nil"/>
              <w:bottom w:val="single" w:sz="4" w:space="0" w:color="auto"/>
              <w:right w:val="single" w:sz="4" w:space="0" w:color="auto"/>
            </w:tcBorders>
            <w:shd w:val="clear" w:color="auto" w:fill="auto"/>
            <w:vAlign w:val="center"/>
            <w:hideMark/>
          </w:tcPr>
          <w:p w14:paraId="671E883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-1.3%</w:t>
            </w:r>
          </w:p>
        </w:tc>
        <w:tc>
          <w:tcPr>
            <w:tcW w:w="929" w:type="dxa"/>
            <w:tcBorders>
              <w:top w:val="nil"/>
              <w:left w:val="nil"/>
              <w:bottom w:val="single" w:sz="4" w:space="0" w:color="auto"/>
              <w:right w:val="single" w:sz="4" w:space="0" w:color="auto"/>
            </w:tcBorders>
            <w:shd w:val="clear" w:color="auto" w:fill="auto"/>
            <w:vAlign w:val="center"/>
            <w:hideMark/>
          </w:tcPr>
          <w:p w14:paraId="195CBA9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-1.5%</w:t>
            </w:r>
          </w:p>
        </w:tc>
        <w:tc>
          <w:tcPr>
            <w:tcW w:w="929" w:type="dxa"/>
            <w:tcBorders>
              <w:top w:val="nil"/>
              <w:left w:val="nil"/>
              <w:bottom w:val="single" w:sz="4" w:space="0" w:color="auto"/>
              <w:right w:val="single" w:sz="4" w:space="0" w:color="auto"/>
            </w:tcBorders>
            <w:shd w:val="clear" w:color="auto" w:fill="auto"/>
            <w:vAlign w:val="center"/>
            <w:hideMark/>
          </w:tcPr>
          <w:p w14:paraId="156E079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-1.6%</w:t>
            </w:r>
          </w:p>
        </w:tc>
      </w:tr>
      <w:tr w:rsidR="00046048" w:rsidRPr="00F5596D" w14:paraId="749C8F50"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64A369AB"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6C19B86F"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31C5691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w:t>
            </w:r>
          </w:p>
        </w:tc>
        <w:tc>
          <w:tcPr>
            <w:tcW w:w="929" w:type="dxa"/>
            <w:tcBorders>
              <w:top w:val="nil"/>
              <w:left w:val="nil"/>
              <w:bottom w:val="single" w:sz="4" w:space="0" w:color="auto"/>
              <w:right w:val="single" w:sz="4" w:space="0" w:color="auto"/>
            </w:tcBorders>
            <w:shd w:val="clear" w:color="auto" w:fill="auto"/>
            <w:vAlign w:val="center"/>
            <w:hideMark/>
          </w:tcPr>
          <w:p w14:paraId="7D5C9CF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64FFCB1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-1.6%</w:t>
            </w:r>
          </w:p>
        </w:tc>
        <w:tc>
          <w:tcPr>
            <w:tcW w:w="929" w:type="dxa"/>
            <w:tcBorders>
              <w:top w:val="nil"/>
              <w:left w:val="nil"/>
              <w:bottom w:val="single" w:sz="4" w:space="0" w:color="auto"/>
              <w:right w:val="single" w:sz="4" w:space="0" w:color="auto"/>
            </w:tcBorders>
            <w:shd w:val="clear" w:color="auto" w:fill="auto"/>
            <w:vAlign w:val="center"/>
            <w:hideMark/>
          </w:tcPr>
          <w:p w14:paraId="441EECE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-2.2%</w:t>
            </w:r>
          </w:p>
        </w:tc>
        <w:tc>
          <w:tcPr>
            <w:tcW w:w="929" w:type="dxa"/>
            <w:tcBorders>
              <w:top w:val="nil"/>
              <w:left w:val="nil"/>
              <w:bottom w:val="single" w:sz="4" w:space="0" w:color="auto"/>
              <w:right w:val="single" w:sz="4" w:space="0" w:color="auto"/>
            </w:tcBorders>
            <w:shd w:val="clear" w:color="auto" w:fill="auto"/>
            <w:vAlign w:val="center"/>
            <w:hideMark/>
          </w:tcPr>
          <w:p w14:paraId="7174031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-2.6%</w:t>
            </w:r>
          </w:p>
        </w:tc>
        <w:tc>
          <w:tcPr>
            <w:tcW w:w="929" w:type="dxa"/>
            <w:tcBorders>
              <w:top w:val="nil"/>
              <w:left w:val="nil"/>
              <w:bottom w:val="single" w:sz="4" w:space="0" w:color="auto"/>
              <w:right w:val="single" w:sz="4" w:space="0" w:color="auto"/>
            </w:tcBorders>
            <w:shd w:val="clear" w:color="auto" w:fill="auto"/>
            <w:vAlign w:val="center"/>
            <w:hideMark/>
          </w:tcPr>
          <w:p w14:paraId="0AA7254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-2.8%</w:t>
            </w:r>
          </w:p>
        </w:tc>
        <w:tc>
          <w:tcPr>
            <w:tcW w:w="929" w:type="dxa"/>
            <w:tcBorders>
              <w:top w:val="nil"/>
              <w:left w:val="nil"/>
              <w:bottom w:val="single" w:sz="4" w:space="0" w:color="auto"/>
              <w:right w:val="single" w:sz="4" w:space="0" w:color="auto"/>
            </w:tcBorders>
            <w:shd w:val="clear" w:color="auto" w:fill="auto"/>
            <w:vAlign w:val="center"/>
            <w:hideMark/>
          </w:tcPr>
          <w:p w14:paraId="494EF1B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-3.1%</w:t>
            </w:r>
          </w:p>
        </w:tc>
      </w:tr>
      <w:tr w:rsidR="00046048" w:rsidRPr="00F5596D" w14:paraId="71998822"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3532DDFC"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7B7AD201"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31D758D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2D77057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-2.4%</w:t>
            </w:r>
          </w:p>
        </w:tc>
        <w:tc>
          <w:tcPr>
            <w:tcW w:w="929" w:type="dxa"/>
            <w:tcBorders>
              <w:top w:val="nil"/>
              <w:left w:val="nil"/>
              <w:bottom w:val="single" w:sz="4" w:space="0" w:color="auto"/>
              <w:right w:val="single" w:sz="4" w:space="0" w:color="auto"/>
            </w:tcBorders>
            <w:shd w:val="clear" w:color="auto" w:fill="auto"/>
            <w:vAlign w:val="center"/>
            <w:hideMark/>
          </w:tcPr>
          <w:p w14:paraId="4A1A9C1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-5.2%</w:t>
            </w:r>
          </w:p>
        </w:tc>
        <w:tc>
          <w:tcPr>
            <w:tcW w:w="929" w:type="dxa"/>
            <w:tcBorders>
              <w:top w:val="nil"/>
              <w:left w:val="nil"/>
              <w:bottom w:val="single" w:sz="4" w:space="0" w:color="auto"/>
              <w:right w:val="single" w:sz="4" w:space="0" w:color="auto"/>
            </w:tcBorders>
            <w:shd w:val="clear" w:color="auto" w:fill="auto"/>
            <w:vAlign w:val="center"/>
            <w:hideMark/>
          </w:tcPr>
          <w:p w14:paraId="79E439E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-7.0%</w:t>
            </w:r>
          </w:p>
        </w:tc>
        <w:tc>
          <w:tcPr>
            <w:tcW w:w="929" w:type="dxa"/>
            <w:tcBorders>
              <w:top w:val="nil"/>
              <w:left w:val="nil"/>
              <w:bottom w:val="single" w:sz="4" w:space="0" w:color="auto"/>
              <w:right w:val="single" w:sz="4" w:space="0" w:color="auto"/>
            </w:tcBorders>
            <w:shd w:val="clear" w:color="auto" w:fill="auto"/>
            <w:vAlign w:val="center"/>
            <w:hideMark/>
          </w:tcPr>
          <w:p w14:paraId="438F7C8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-8.3%</w:t>
            </w:r>
          </w:p>
        </w:tc>
        <w:tc>
          <w:tcPr>
            <w:tcW w:w="929" w:type="dxa"/>
            <w:tcBorders>
              <w:top w:val="nil"/>
              <w:left w:val="nil"/>
              <w:bottom w:val="single" w:sz="4" w:space="0" w:color="auto"/>
              <w:right w:val="single" w:sz="4" w:space="0" w:color="auto"/>
            </w:tcBorders>
            <w:shd w:val="clear" w:color="auto" w:fill="auto"/>
            <w:vAlign w:val="center"/>
            <w:hideMark/>
          </w:tcPr>
          <w:p w14:paraId="72A87CA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-9.1%</w:t>
            </w:r>
          </w:p>
        </w:tc>
        <w:tc>
          <w:tcPr>
            <w:tcW w:w="929" w:type="dxa"/>
            <w:tcBorders>
              <w:top w:val="nil"/>
              <w:left w:val="nil"/>
              <w:bottom w:val="single" w:sz="4" w:space="0" w:color="auto"/>
              <w:right w:val="single" w:sz="4" w:space="0" w:color="auto"/>
            </w:tcBorders>
            <w:shd w:val="clear" w:color="auto" w:fill="auto"/>
            <w:vAlign w:val="center"/>
            <w:hideMark/>
          </w:tcPr>
          <w:p w14:paraId="44C26B4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-10.0%</w:t>
            </w:r>
          </w:p>
        </w:tc>
      </w:tr>
      <w:tr w:rsidR="00046048" w:rsidRPr="00F5596D" w14:paraId="26878F8E" w14:textId="77777777" w:rsidTr="00046048">
        <w:trPr>
          <w:trHeight w:val="210"/>
        </w:trPr>
        <w:tc>
          <w:tcPr>
            <w:tcW w:w="920" w:type="dxa"/>
            <w:tcBorders>
              <w:top w:val="nil"/>
              <w:left w:val="single" w:sz="4" w:space="0" w:color="auto"/>
              <w:bottom w:val="single" w:sz="4" w:space="0" w:color="auto"/>
              <w:right w:val="single" w:sz="4" w:space="0" w:color="auto"/>
            </w:tcBorders>
            <w:shd w:val="clear" w:color="000000" w:fill="DEEAF6"/>
            <w:textDirection w:val="btLr"/>
            <w:vAlign w:val="center"/>
            <w:hideMark/>
          </w:tcPr>
          <w:p w14:paraId="2A08734B" w14:textId="77777777" w:rsidR="00046048" w:rsidRPr="00F5596D" w:rsidRDefault="00046048" w:rsidP="00046048">
            <w:pPr>
              <w:spacing w:after="0" w:line="240" w:lineRule="auto"/>
              <w:jc w:val="left"/>
              <w:rPr>
                <w:rFonts w:ascii="Calibri" w:eastAsia="Times New Roman" w:hAnsi="Calibri" w:cs="Calibri"/>
                <w:color w:val="000000"/>
                <w:szCs w:val="20"/>
                <w:lang w:val="sr-Cyrl-CS"/>
              </w:rPr>
            </w:pPr>
            <w:r w:rsidRPr="00F5596D">
              <w:rPr>
                <w:rFonts w:ascii="Calibri" w:eastAsia="Times New Roman" w:hAnsi="Calibri" w:cs="Calibri"/>
                <w:color w:val="000000"/>
                <w:szCs w:val="20"/>
                <w:lang w:val="sr-Cyrl-CS"/>
              </w:rPr>
              <w:t> </w:t>
            </w:r>
          </w:p>
        </w:tc>
        <w:tc>
          <w:tcPr>
            <w:tcW w:w="1427" w:type="dxa"/>
            <w:tcBorders>
              <w:top w:val="nil"/>
              <w:left w:val="nil"/>
              <w:bottom w:val="single" w:sz="4" w:space="0" w:color="auto"/>
              <w:right w:val="single" w:sz="4" w:space="0" w:color="auto"/>
            </w:tcBorders>
            <w:shd w:val="clear" w:color="000000" w:fill="DEEAF6"/>
            <w:textDirection w:val="btLr"/>
            <w:vAlign w:val="center"/>
            <w:hideMark/>
          </w:tcPr>
          <w:p w14:paraId="213BD04D"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r w:rsidRPr="00F5596D">
              <w:rPr>
                <w:rFonts w:ascii="Calibri" w:eastAsia="Times New Roman" w:hAnsi="Calibri" w:cs="Calibri"/>
                <w:color w:val="000000"/>
                <w:sz w:val="24"/>
                <w:szCs w:val="24"/>
                <w:lang w:val="sr-Cyrl-CS"/>
              </w:rPr>
              <w:t> </w:t>
            </w:r>
          </w:p>
        </w:tc>
        <w:tc>
          <w:tcPr>
            <w:tcW w:w="1319" w:type="dxa"/>
            <w:tcBorders>
              <w:top w:val="nil"/>
              <w:left w:val="nil"/>
              <w:bottom w:val="single" w:sz="4" w:space="0" w:color="auto"/>
              <w:right w:val="single" w:sz="4" w:space="0" w:color="auto"/>
            </w:tcBorders>
            <w:shd w:val="clear" w:color="000000" w:fill="DEEAF6"/>
            <w:textDirection w:val="btLr"/>
            <w:vAlign w:val="center"/>
            <w:hideMark/>
          </w:tcPr>
          <w:p w14:paraId="0EB2DB77"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7E9A0E43"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77221CB8"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72B4ACC3"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1854A0AA"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01A45BEC"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c>
          <w:tcPr>
            <w:tcW w:w="929" w:type="dxa"/>
            <w:tcBorders>
              <w:top w:val="nil"/>
              <w:left w:val="nil"/>
              <w:bottom w:val="single" w:sz="4" w:space="0" w:color="auto"/>
              <w:right w:val="single" w:sz="4" w:space="0" w:color="auto"/>
            </w:tcBorders>
            <w:shd w:val="clear" w:color="000000" w:fill="DEEAF6"/>
            <w:textDirection w:val="btLr"/>
            <w:vAlign w:val="center"/>
            <w:hideMark/>
          </w:tcPr>
          <w:p w14:paraId="19672F20" w14:textId="77777777" w:rsidR="00046048" w:rsidRPr="00F5596D" w:rsidRDefault="00046048" w:rsidP="00046048">
            <w:pPr>
              <w:spacing w:after="0" w:line="240" w:lineRule="auto"/>
              <w:jc w:val="left"/>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 </w:t>
            </w:r>
          </w:p>
        </w:tc>
      </w:tr>
      <w:tr w:rsidR="00046048" w:rsidRPr="00F5596D" w14:paraId="205E04BB" w14:textId="77777777" w:rsidTr="00046048">
        <w:trPr>
          <w:trHeight w:val="210"/>
        </w:trPr>
        <w:tc>
          <w:tcPr>
            <w:tcW w:w="920" w:type="dxa"/>
            <w:vMerge w:val="restart"/>
            <w:tcBorders>
              <w:top w:val="nil"/>
              <w:left w:val="single" w:sz="4" w:space="0" w:color="auto"/>
              <w:bottom w:val="single" w:sz="4" w:space="0" w:color="auto"/>
              <w:right w:val="single" w:sz="4" w:space="0" w:color="auto"/>
            </w:tcBorders>
            <w:shd w:val="clear" w:color="000000" w:fill="DEEAF6"/>
            <w:textDirection w:val="btLr"/>
            <w:vAlign w:val="center"/>
            <w:hideMark/>
          </w:tcPr>
          <w:p w14:paraId="399B1104" w14:textId="77777777" w:rsidR="00046048" w:rsidRPr="00F5596D" w:rsidRDefault="00046048" w:rsidP="00046048">
            <w:pPr>
              <w:spacing w:after="0" w:line="240" w:lineRule="auto"/>
              <w:jc w:val="center"/>
              <w:rPr>
                <w:rFonts w:ascii="Calibri" w:eastAsia="Times New Roman" w:hAnsi="Calibri" w:cs="Calibri"/>
                <w:color w:val="000000"/>
                <w:sz w:val="32"/>
                <w:szCs w:val="32"/>
                <w:lang w:val="sr-Cyrl-CS"/>
              </w:rPr>
            </w:pPr>
            <w:r w:rsidRPr="00F5596D">
              <w:rPr>
                <w:rFonts w:ascii="Calibri" w:eastAsia="Times New Roman" w:hAnsi="Calibri" w:cs="Calibri"/>
                <w:color w:val="000000"/>
                <w:sz w:val="32"/>
                <w:szCs w:val="32"/>
                <w:lang w:val="sr-Cyrl-CS"/>
              </w:rPr>
              <w:t>ПОПЛАВЕ</w:t>
            </w:r>
          </w:p>
        </w:tc>
        <w:tc>
          <w:tcPr>
            <w:tcW w:w="1427" w:type="dxa"/>
            <w:vMerge w:val="restart"/>
            <w:tcBorders>
              <w:top w:val="nil"/>
              <w:left w:val="single" w:sz="4" w:space="0" w:color="auto"/>
              <w:bottom w:val="single" w:sz="4" w:space="0" w:color="auto"/>
              <w:right w:val="single" w:sz="4" w:space="0" w:color="auto"/>
            </w:tcBorders>
            <w:shd w:val="clear" w:color="000000" w:fill="DEEAF6"/>
            <w:vAlign w:val="center"/>
            <w:hideMark/>
          </w:tcPr>
          <w:p w14:paraId="0CE8A128" w14:textId="77777777" w:rsidR="00046048" w:rsidRPr="00F5596D" w:rsidRDefault="00046048" w:rsidP="00046048">
            <w:pPr>
              <w:spacing w:after="0" w:line="240" w:lineRule="auto"/>
              <w:jc w:val="center"/>
              <w:rPr>
                <w:rFonts w:ascii="Calibri" w:eastAsia="Times New Roman" w:hAnsi="Calibri" w:cs="Calibri"/>
                <w:color w:val="000000"/>
                <w:sz w:val="24"/>
                <w:szCs w:val="24"/>
                <w:lang w:val="sr-Cyrl-CS"/>
              </w:rPr>
            </w:pPr>
            <w:r w:rsidRPr="00F5596D">
              <w:rPr>
                <w:rFonts w:ascii="Calibri" w:eastAsia="Times New Roman" w:hAnsi="Calibri" w:cs="Calibri"/>
                <w:color w:val="000000"/>
                <w:sz w:val="24"/>
                <w:szCs w:val="24"/>
                <w:lang w:val="sr-Cyrl-CS"/>
              </w:rPr>
              <w:t>Фискални биланс</w:t>
            </w:r>
          </w:p>
        </w:tc>
        <w:tc>
          <w:tcPr>
            <w:tcW w:w="1319" w:type="dxa"/>
            <w:tcBorders>
              <w:top w:val="nil"/>
              <w:left w:val="nil"/>
              <w:bottom w:val="single" w:sz="4" w:space="0" w:color="auto"/>
              <w:right w:val="single" w:sz="4" w:space="0" w:color="auto"/>
            </w:tcBorders>
            <w:shd w:val="clear" w:color="000000" w:fill="E5ECF7"/>
            <w:vAlign w:val="center"/>
            <w:hideMark/>
          </w:tcPr>
          <w:p w14:paraId="537B3D7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годишње</w:t>
            </w:r>
          </w:p>
        </w:tc>
        <w:tc>
          <w:tcPr>
            <w:tcW w:w="929" w:type="dxa"/>
            <w:tcBorders>
              <w:top w:val="nil"/>
              <w:left w:val="nil"/>
              <w:bottom w:val="single" w:sz="4" w:space="0" w:color="auto"/>
              <w:right w:val="single" w:sz="4" w:space="0" w:color="auto"/>
            </w:tcBorders>
            <w:shd w:val="clear" w:color="auto" w:fill="auto"/>
            <w:vAlign w:val="center"/>
            <w:hideMark/>
          </w:tcPr>
          <w:p w14:paraId="39F1F87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12D4C45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077D2DC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6851DB8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276062CD"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37BB1D4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r>
      <w:tr w:rsidR="00046048" w:rsidRPr="00F5596D" w14:paraId="46587BFB"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51E843AA"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5678A068"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6CAE92D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50%</w:t>
            </w:r>
          </w:p>
        </w:tc>
        <w:tc>
          <w:tcPr>
            <w:tcW w:w="929" w:type="dxa"/>
            <w:tcBorders>
              <w:top w:val="nil"/>
              <w:left w:val="nil"/>
              <w:bottom w:val="single" w:sz="4" w:space="0" w:color="auto"/>
              <w:right w:val="single" w:sz="4" w:space="0" w:color="auto"/>
            </w:tcBorders>
            <w:shd w:val="clear" w:color="auto" w:fill="auto"/>
            <w:vAlign w:val="center"/>
            <w:hideMark/>
          </w:tcPr>
          <w:p w14:paraId="004432E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3607D1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37AB9A4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4D4B2DA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823238D"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5717C7C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r>
      <w:tr w:rsidR="00046048" w:rsidRPr="00F5596D" w14:paraId="224A08D3"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4B991FBA"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4C6310B7"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0F8516C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7FC758A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1DA2189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6E969C7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22FE71B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165DD26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285D672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r>
      <w:tr w:rsidR="00046048" w:rsidRPr="00F5596D" w14:paraId="73D78A04"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0D414419"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1BDE2476"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3429913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w:t>
            </w:r>
          </w:p>
        </w:tc>
        <w:tc>
          <w:tcPr>
            <w:tcW w:w="929" w:type="dxa"/>
            <w:tcBorders>
              <w:top w:val="nil"/>
              <w:left w:val="nil"/>
              <w:bottom w:val="single" w:sz="4" w:space="0" w:color="auto"/>
              <w:right w:val="single" w:sz="4" w:space="0" w:color="auto"/>
            </w:tcBorders>
            <w:shd w:val="clear" w:color="auto" w:fill="auto"/>
            <w:vAlign w:val="center"/>
            <w:hideMark/>
          </w:tcPr>
          <w:p w14:paraId="39B5D13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-0.7%</w:t>
            </w:r>
          </w:p>
        </w:tc>
        <w:tc>
          <w:tcPr>
            <w:tcW w:w="929" w:type="dxa"/>
            <w:tcBorders>
              <w:top w:val="nil"/>
              <w:left w:val="nil"/>
              <w:bottom w:val="single" w:sz="4" w:space="0" w:color="auto"/>
              <w:right w:val="single" w:sz="4" w:space="0" w:color="auto"/>
            </w:tcBorders>
            <w:shd w:val="clear" w:color="auto" w:fill="auto"/>
            <w:vAlign w:val="center"/>
            <w:hideMark/>
          </w:tcPr>
          <w:p w14:paraId="0F27EEB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09FDC41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-0.5%</w:t>
            </w:r>
          </w:p>
        </w:tc>
        <w:tc>
          <w:tcPr>
            <w:tcW w:w="929" w:type="dxa"/>
            <w:tcBorders>
              <w:top w:val="nil"/>
              <w:left w:val="nil"/>
              <w:bottom w:val="single" w:sz="4" w:space="0" w:color="auto"/>
              <w:right w:val="single" w:sz="4" w:space="0" w:color="auto"/>
            </w:tcBorders>
            <w:shd w:val="clear" w:color="auto" w:fill="auto"/>
            <w:vAlign w:val="center"/>
            <w:hideMark/>
          </w:tcPr>
          <w:p w14:paraId="67595A0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69DEF7E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29D88E4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r>
      <w:tr w:rsidR="00046048" w:rsidRPr="00F5596D" w14:paraId="22BB6EA1"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2ED6B331"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7DA51C77"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4241EDE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w:t>
            </w:r>
          </w:p>
        </w:tc>
        <w:tc>
          <w:tcPr>
            <w:tcW w:w="929" w:type="dxa"/>
            <w:tcBorders>
              <w:top w:val="nil"/>
              <w:left w:val="nil"/>
              <w:bottom w:val="single" w:sz="4" w:space="0" w:color="auto"/>
              <w:right w:val="single" w:sz="4" w:space="0" w:color="auto"/>
            </w:tcBorders>
            <w:shd w:val="clear" w:color="auto" w:fill="auto"/>
            <w:vAlign w:val="center"/>
            <w:hideMark/>
          </w:tcPr>
          <w:p w14:paraId="764F92E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-1.2%</w:t>
            </w:r>
          </w:p>
        </w:tc>
        <w:tc>
          <w:tcPr>
            <w:tcW w:w="929" w:type="dxa"/>
            <w:tcBorders>
              <w:top w:val="nil"/>
              <w:left w:val="nil"/>
              <w:bottom w:val="single" w:sz="4" w:space="0" w:color="auto"/>
              <w:right w:val="single" w:sz="4" w:space="0" w:color="auto"/>
            </w:tcBorders>
            <w:shd w:val="clear" w:color="auto" w:fill="auto"/>
            <w:vAlign w:val="center"/>
            <w:hideMark/>
          </w:tcPr>
          <w:p w14:paraId="65C36A4D"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-1.3%</w:t>
            </w:r>
          </w:p>
        </w:tc>
        <w:tc>
          <w:tcPr>
            <w:tcW w:w="929" w:type="dxa"/>
            <w:tcBorders>
              <w:top w:val="nil"/>
              <w:left w:val="nil"/>
              <w:bottom w:val="single" w:sz="4" w:space="0" w:color="auto"/>
              <w:right w:val="single" w:sz="4" w:space="0" w:color="auto"/>
            </w:tcBorders>
            <w:shd w:val="clear" w:color="auto" w:fill="auto"/>
            <w:vAlign w:val="center"/>
            <w:hideMark/>
          </w:tcPr>
          <w:p w14:paraId="14D209C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-0.9%</w:t>
            </w:r>
          </w:p>
        </w:tc>
        <w:tc>
          <w:tcPr>
            <w:tcW w:w="929" w:type="dxa"/>
            <w:tcBorders>
              <w:top w:val="nil"/>
              <w:left w:val="nil"/>
              <w:bottom w:val="single" w:sz="4" w:space="0" w:color="auto"/>
              <w:right w:val="single" w:sz="4" w:space="0" w:color="auto"/>
            </w:tcBorders>
            <w:shd w:val="clear" w:color="auto" w:fill="auto"/>
            <w:vAlign w:val="center"/>
            <w:hideMark/>
          </w:tcPr>
          <w:p w14:paraId="58CDF02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c>
          <w:tcPr>
            <w:tcW w:w="929" w:type="dxa"/>
            <w:tcBorders>
              <w:top w:val="nil"/>
              <w:left w:val="nil"/>
              <w:bottom w:val="single" w:sz="4" w:space="0" w:color="auto"/>
              <w:right w:val="single" w:sz="4" w:space="0" w:color="auto"/>
            </w:tcBorders>
            <w:shd w:val="clear" w:color="auto" w:fill="auto"/>
            <w:vAlign w:val="center"/>
            <w:hideMark/>
          </w:tcPr>
          <w:p w14:paraId="6F8318B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135799F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r>
      <w:tr w:rsidR="00046048" w:rsidRPr="00F5596D" w14:paraId="194A7762"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0B8FE9AA"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2B03C3B3"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4A77728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6372AB3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-1.8%</w:t>
            </w:r>
          </w:p>
        </w:tc>
        <w:tc>
          <w:tcPr>
            <w:tcW w:w="929" w:type="dxa"/>
            <w:tcBorders>
              <w:top w:val="nil"/>
              <w:left w:val="nil"/>
              <w:bottom w:val="single" w:sz="4" w:space="0" w:color="auto"/>
              <w:right w:val="single" w:sz="4" w:space="0" w:color="auto"/>
            </w:tcBorders>
            <w:shd w:val="clear" w:color="auto" w:fill="auto"/>
            <w:vAlign w:val="center"/>
            <w:hideMark/>
          </w:tcPr>
          <w:p w14:paraId="411E6F7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-2.1%</w:t>
            </w:r>
          </w:p>
        </w:tc>
        <w:tc>
          <w:tcPr>
            <w:tcW w:w="929" w:type="dxa"/>
            <w:tcBorders>
              <w:top w:val="nil"/>
              <w:left w:val="nil"/>
              <w:bottom w:val="single" w:sz="4" w:space="0" w:color="auto"/>
              <w:right w:val="single" w:sz="4" w:space="0" w:color="auto"/>
            </w:tcBorders>
            <w:shd w:val="clear" w:color="auto" w:fill="auto"/>
            <w:vAlign w:val="center"/>
            <w:hideMark/>
          </w:tcPr>
          <w:p w14:paraId="47A5E01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-1.3%</w:t>
            </w:r>
          </w:p>
        </w:tc>
        <w:tc>
          <w:tcPr>
            <w:tcW w:w="929" w:type="dxa"/>
            <w:tcBorders>
              <w:top w:val="nil"/>
              <w:left w:val="nil"/>
              <w:bottom w:val="single" w:sz="4" w:space="0" w:color="auto"/>
              <w:right w:val="single" w:sz="4" w:space="0" w:color="auto"/>
            </w:tcBorders>
            <w:shd w:val="clear" w:color="auto" w:fill="auto"/>
            <w:vAlign w:val="center"/>
            <w:hideMark/>
          </w:tcPr>
          <w:p w14:paraId="4192F2B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3D75B22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c>
          <w:tcPr>
            <w:tcW w:w="929" w:type="dxa"/>
            <w:tcBorders>
              <w:top w:val="nil"/>
              <w:left w:val="nil"/>
              <w:bottom w:val="single" w:sz="4" w:space="0" w:color="auto"/>
              <w:right w:val="single" w:sz="4" w:space="0" w:color="auto"/>
            </w:tcBorders>
            <w:shd w:val="clear" w:color="auto" w:fill="auto"/>
            <w:vAlign w:val="center"/>
            <w:hideMark/>
          </w:tcPr>
          <w:p w14:paraId="673FE53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r>
      <w:tr w:rsidR="00046048" w:rsidRPr="00F5596D" w14:paraId="375CBECC"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58D2A7BE"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val="restart"/>
            <w:tcBorders>
              <w:top w:val="nil"/>
              <w:left w:val="single" w:sz="4" w:space="0" w:color="auto"/>
              <w:bottom w:val="single" w:sz="4" w:space="0" w:color="auto"/>
              <w:right w:val="single" w:sz="4" w:space="0" w:color="auto"/>
            </w:tcBorders>
            <w:shd w:val="clear" w:color="000000" w:fill="DEEAF6"/>
            <w:vAlign w:val="center"/>
            <w:hideMark/>
          </w:tcPr>
          <w:p w14:paraId="247A0642" w14:textId="77777777" w:rsidR="00046048" w:rsidRPr="00F5596D" w:rsidRDefault="00046048" w:rsidP="00046048">
            <w:pPr>
              <w:spacing w:after="0" w:line="240" w:lineRule="auto"/>
              <w:jc w:val="center"/>
              <w:rPr>
                <w:rFonts w:ascii="Calibri" w:eastAsia="Times New Roman" w:hAnsi="Calibri" w:cs="Calibri"/>
                <w:color w:val="000000"/>
                <w:sz w:val="24"/>
                <w:szCs w:val="24"/>
                <w:lang w:val="sr-Cyrl-CS"/>
              </w:rPr>
            </w:pPr>
            <w:r w:rsidRPr="00F5596D">
              <w:rPr>
                <w:rFonts w:ascii="Calibri" w:eastAsia="Times New Roman" w:hAnsi="Calibri" w:cs="Calibri"/>
                <w:color w:val="000000"/>
                <w:sz w:val="24"/>
                <w:szCs w:val="24"/>
                <w:lang w:val="sr-Cyrl-CS"/>
              </w:rPr>
              <w:t>Јавни дуг</w:t>
            </w:r>
          </w:p>
        </w:tc>
        <w:tc>
          <w:tcPr>
            <w:tcW w:w="1319" w:type="dxa"/>
            <w:tcBorders>
              <w:top w:val="nil"/>
              <w:left w:val="nil"/>
              <w:bottom w:val="single" w:sz="4" w:space="0" w:color="auto"/>
              <w:right w:val="single" w:sz="4" w:space="0" w:color="auto"/>
            </w:tcBorders>
            <w:shd w:val="clear" w:color="000000" w:fill="E5ECF7"/>
            <w:vAlign w:val="center"/>
            <w:hideMark/>
          </w:tcPr>
          <w:p w14:paraId="784ECA7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годишње</w:t>
            </w:r>
          </w:p>
        </w:tc>
        <w:tc>
          <w:tcPr>
            <w:tcW w:w="929" w:type="dxa"/>
            <w:tcBorders>
              <w:top w:val="nil"/>
              <w:left w:val="nil"/>
              <w:bottom w:val="single" w:sz="4" w:space="0" w:color="auto"/>
              <w:right w:val="single" w:sz="4" w:space="0" w:color="auto"/>
            </w:tcBorders>
            <w:shd w:val="clear" w:color="auto" w:fill="auto"/>
            <w:vAlign w:val="center"/>
            <w:hideMark/>
          </w:tcPr>
          <w:p w14:paraId="01BA5C27"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656DEFB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w:t>
            </w:r>
          </w:p>
        </w:tc>
        <w:tc>
          <w:tcPr>
            <w:tcW w:w="929" w:type="dxa"/>
            <w:tcBorders>
              <w:top w:val="nil"/>
              <w:left w:val="nil"/>
              <w:bottom w:val="single" w:sz="4" w:space="0" w:color="auto"/>
              <w:right w:val="single" w:sz="4" w:space="0" w:color="auto"/>
            </w:tcBorders>
            <w:shd w:val="clear" w:color="auto" w:fill="auto"/>
            <w:vAlign w:val="center"/>
            <w:hideMark/>
          </w:tcPr>
          <w:p w14:paraId="4591945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-0.5%</w:t>
            </w:r>
          </w:p>
        </w:tc>
        <w:tc>
          <w:tcPr>
            <w:tcW w:w="929" w:type="dxa"/>
            <w:tcBorders>
              <w:top w:val="nil"/>
              <w:left w:val="nil"/>
              <w:bottom w:val="single" w:sz="4" w:space="0" w:color="auto"/>
              <w:right w:val="single" w:sz="4" w:space="0" w:color="auto"/>
            </w:tcBorders>
            <w:shd w:val="clear" w:color="auto" w:fill="auto"/>
            <w:vAlign w:val="center"/>
            <w:hideMark/>
          </w:tcPr>
          <w:p w14:paraId="7CF40D0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c>
          <w:tcPr>
            <w:tcW w:w="929" w:type="dxa"/>
            <w:tcBorders>
              <w:top w:val="nil"/>
              <w:left w:val="nil"/>
              <w:bottom w:val="single" w:sz="4" w:space="0" w:color="auto"/>
              <w:right w:val="single" w:sz="4" w:space="0" w:color="auto"/>
            </w:tcBorders>
            <w:shd w:val="clear" w:color="auto" w:fill="auto"/>
            <w:vAlign w:val="center"/>
            <w:hideMark/>
          </w:tcPr>
          <w:p w14:paraId="39A43CA1"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-0.7%</w:t>
            </w:r>
          </w:p>
        </w:tc>
        <w:tc>
          <w:tcPr>
            <w:tcW w:w="929" w:type="dxa"/>
            <w:tcBorders>
              <w:top w:val="nil"/>
              <w:left w:val="nil"/>
              <w:bottom w:val="single" w:sz="4" w:space="0" w:color="auto"/>
              <w:right w:val="single" w:sz="4" w:space="0" w:color="auto"/>
            </w:tcBorders>
            <w:shd w:val="clear" w:color="auto" w:fill="auto"/>
            <w:vAlign w:val="center"/>
            <w:hideMark/>
          </w:tcPr>
          <w:p w14:paraId="6CB6AEC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-0.7%</w:t>
            </w:r>
          </w:p>
        </w:tc>
      </w:tr>
      <w:tr w:rsidR="00046048" w:rsidRPr="00F5596D" w14:paraId="66FB95B7"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7C106728"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1C525B93"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1E8FDB9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50%</w:t>
            </w:r>
          </w:p>
        </w:tc>
        <w:tc>
          <w:tcPr>
            <w:tcW w:w="929" w:type="dxa"/>
            <w:tcBorders>
              <w:top w:val="nil"/>
              <w:left w:val="nil"/>
              <w:bottom w:val="single" w:sz="4" w:space="0" w:color="auto"/>
              <w:right w:val="single" w:sz="4" w:space="0" w:color="auto"/>
            </w:tcBorders>
            <w:shd w:val="clear" w:color="auto" w:fill="auto"/>
            <w:vAlign w:val="center"/>
            <w:hideMark/>
          </w:tcPr>
          <w:p w14:paraId="0FE6EFE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0.0%</w:t>
            </w:r>
          </w:p>
        </w:tc>
        <w:tc>
          <w:tcPr>
            <w:tcW w:w="929" w:type="dxa"/>
            <w:tcBorders>
              <w:top w:val="nil"/>
              <w:left w:val="nil"/>
              <w:bottom w:val="single" w:sz="4" w:space="0" w:color="auto"/>
              <w:right w:val="single" w:sz="4" w:space="0" w:color="auto"/>
            </w:tcBorders>
            <w:shd w:val="clear" w:color="auto" w:fill="auto"/>
            <w:vAlign w:val="center"/>
            <w:hideMark/>
          </w:tcPr>
          <w:p w14:paraId="298DC9B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3F80E4D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4ED8317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-0.1%</w:t>
            </w:r>
          </w:p>
        </w:tc>
        <w:tc>
          <w:tcPr>
            <w:tcW w:w="929" w:type="dxa"/>
            <w:tcBorders>
              <w:top w:val="nil"/>
              <w:left w:val="nil"/>
              <w:bottom w:val="single" w:sz="4" w:space="0" w:color="auto"/>
              <w:right w:val="single" w:sz="4" w:space="0" w:color="auto"/>
            </w:tcBorders>
            <w:shd w:val="clear" w:color="auto" w:fill="auto"/>
            <w:vAlign w:val="center"/>
            <w:hideMark/>
          </w:tcPr>
          <w:p w14:paraId="56EEC43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20EAB3A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r>
      <w:tr w:rsidR="00046048" w:rsidRPr="00F5596D" w14:paraId="2BD41771"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5CAB6B37"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373CFFBD"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3A2BB89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3A549ABF"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-0.2%</w:t>
            </w:r>
          </w:p>
        </w:tc>
        <w:tc>
          <w:tcPr>
            <w:tcW w:w="929" w:type="dxa"/>
            <w:tcBorders>
              <w:top w:val="nil"/>
              <w:left w:val="nil"/>
              <w:bottom w:val="single" w:sz="4" w:space="0" w:color="auto"/>
              <w:right w:val="single" w:sz="4" w:space="0" w:color="auto"/>
            </w:tcBorders>
            <w:shd w:val="clear" w:color="auto" w:fill="auto"/>
            <w:vAlign w:val="center"/>
            <w:hideMark/>
          </w:tcPr>
          <w:p w14:paraId="5AC165D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-0.5%</w:t>
            </w:r>
          </w:p>
        </w:tc>
        <w:tc>
          <w:tcPr>
            <w:tcW w:w="929" w:type="dxa"/>
            <w:tcBorders>
              <w:top w:val="nil"/>
              <w:left w:val="nil"/>
              <w:bottom w:val="single" w:sz="4" w:space="0" w:color="auto"/>
              <w:right w:val="single" w:sz="4" w:space="0" w:color="auto"/>
            </w:tcBorders>
            <w:shd w:val="clear" w:color="auto" w:fill="auto"/>
            <w:vAlign w:val="center"/>
            <w:hideMark/>
          </w:tcPr>
          <w:p w14:paraId="486C6B0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-0.6%</w:t>
            </w:r>
          </w:p>
        </w:tc>
        <w:tc>
          <w:tcPr>
            <w:tcW w:w="929" w:type="dxa"/>
            <w:tcBorders>
              <w:top w:val="nil"/>
              <w:left w:val="nil"/>
              <w:bottom w:val="single" w:sz="4" w:space="0" w:color="auto"/>
              <w:right w:val="single" w:sz="4" w:space="0" w:color="auto"/>
            </w:tcBorders>
            <w:shd w:val="clear" w:color="auto" w:fill="auto"/>
            <w:vAlign w:val="center"/>
            <w:hideMark/>
          </w:tcPr>
          <w:p w14:paraId="0253C74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-0.7%</w:t>
            </w:r>
          </w:p>
        </w:tc>
        <w:tc>
          <w:tcPr>
            <w:tcW w:w="929" w:type="dxa"/>
            <w:tcBorders>
              <w:top w:val="nil"/>
              <w:left w:val="nil"/>
              <w:bottom w:val="single" w:sz="4" w:space="0" w:color="auto"/>
              <w:right w:val="single" w:sz="4" w:space="0" w:color="auto"/>
            </w:tcBorders>
            <w:shd w:val="clear" w:color="auto" w:fill="auto"/>
            <w:vAlign w:val="center"/>
            <w:hideMark/>
          </w:tcPr>
          <w:p w14:paraId="6311152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-0.8%</w:t>
            </w:r>
          </w:p>
        </w:tc>
        <w:tc>
          <w:tcPr>
            <w:tcW w:w="929" w:type="dxa"/>
            <w:tcBorders>
              <w:top w:val="nil"/>
              <w:left w:val="nil"/>
              <w:bottom w:val="single" w:sz="4" w:space="0" w:color="auto"/>
              <w:right w:val="single" w:sz="4" w:space="0" w:color="auto"/>
            </w:tcBorders>
            <w:shd w:val="clear" w:color="auto" w:fill="auto"/>
            <w:vAlign w:val="center"/>
            <w:hideMark/>
          </w:tcPr>
          <w:p w14:paraId="21649C7C"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-0.9%</w:t>
            </w:r>
          </w:p>
        </w:tc>
      </w:tr>
      <w:tr w:rsidR="00046048" w:rsidRPr="00F5596D" w14:paraId="191F377B"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02940E17"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04ED3923"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1BB5B0B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2.0%</w:t>
            </w:r>
          </w:p>
        </w:tc>
        <w:tc>
          <w:tcPr>
            <w:tcW w:w="929" w:type="dxa"/>
            <w:tcBorders>
              <w:top w:val="nil"/>
              <w:left w:val="nil"/>
              <w:bottom w:val="single" w:sz="4" w:space="0" w:color="auto"/>
              <w:right w:val="single" w:sz="4" w:space="0" w:color="auto"/>
            </w:tcBorders>
            <w:shd w:val="clear" w:color="auto" w:fill="auto"/>
            <w:vAlign w:val="center"/>
            <w:hideMark/>
          </w:tcPr>
          <w:p w14:paraId="2448FB0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-0.7%</w:t>
            </w:r>
          </w:p>
        </w:tc>
        <w:tc>
          <w:tcPr>
            <w:tcW w:w="929" w:type="dxa"/>
            <w:tcBorders>
              <w:top w:val="nil"/>
              <w:left w:val="nil"/>
              <w:bottom w:val="single" w:sz="4" w:space="0" w:color="auto"/>
              <w:right w:val="single" w:sz="4" w:space="0" w:color="auto"/>
            </w:tcBorders>
            <w:shd w:val="clear" w:color="auto" w:fill="auto"/>
            <w:vAlign w:val="center"/>
            <w:hideMark/>
          </w:tcPr>
          <w:p w14:paraId="1ED3A3C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-1.5%</w:t>
            </w:r>
          </w:p>
        </w:tc>
        <w:tc>
          <w:tcPr>
            <w:tcW w:w="929" w:type="dxa"/>
            <w:tcBorders>
              <w:top w:val="nil"/>
              <w:left w:val="nil"/>
              <w:bottom w:val="single" w:sz="4" w:space="0" w:color="auto"/>
              <w:right w:val="single" w:sz="4" w:space="0" w:color="auto"/>
            </w:tcBorders>
            <w:shd w:val="clear" w:color="auto" w:fill="auto"/>
            <w:vAlign w:val="center"/>
            <w:hideMark/>
          </w:tcPr>
          <w:p w14:paraId="383F1C7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-2.0%</w:t>
            </w:r>
          </w:p>
        </w:tc>
        <w:tc>
          <w:tcPr>
            <w:tcW w:w="929" w:type="dxa"/>
            <w:tcBorders>
              <w:top w:val="nil"/>
              <w:left w:val="nil"/>
              <w:bottom w:val="single" w:sz="4" w:space="0" w:color="auto"/>
              <w:right w:val="single" w:sz="4" w:space="0" w:color="auto"/>
            </w:tcBorders>
            <w:shd w:val="clear" w:color="auto" w:fill="auto"/>
            <w:vAlign w:val="center"/>
            <w:hideMark/>
          </w:tcPr>
          <w:p w14:paraId="6834CE06"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-2.4%</w:t>
            </w:r>
          </w:p>
        </w:tc>
        <w:tc>
          <w:tcPr>
            <w:tcW w:w="929" w:type="dxa"/>
            <w:tcBorders>
              <w:top w:val="nil"/>
              <w:left w:val="nil"/>
              <w:bottom w:val="single" w:sz="4" w:space="0" w:color="auto"/>
              <w:right w:val="single" w:sz="4" w:space="0" w:color="auto"/>
            </w:tcBorders>
            <w:shd w:val="clear" w:color="auto" w:fill="auto"/>
            <w:vAlign w:val="center"/>
            <w:hideMark/>
          </w:tcPr>
          <w:p w14:paraId="4CD09FD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-2.6%</w:t>
            </w:r>
          </w:p>
        </w:tc>
        <w:tc>
          <w:tcPr>
            <w:tcW w:w="929" w:type="dxa"/>
            <w:tcBorders>
              <w:top w:val="nil"/>
              <w:left w:val="nil"/>
              <w:bottom w:val="single" w:sz="4" w:space="0" w:color="auto"/>
              <w:right w:val="single" w:sz="4" w:space="0" w:color="auto"/>
            </w:tcBorders>
            <w:shd w:val="clear" w:color="auto" w:fill="auto"/>
            <w:vAlign w:val="center"/>
            <w:hideMark/>
          </w:tcPr>
          <w:p w14:paraId="7A909E8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-2.9%</w:t>
            </w:r>
          </w:p>
        </w:tc>
      </w:tr>
      <w:tr w:rsidR="00046048" w:rsidRPr="00F5596D" w14:paraId="771B9DC0"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5DA01C42"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6269011E"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715CC060"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1.0%</w:t>
            </w:r>
          </w:p>
        </w:tc>
        <w:tc>
          <w:tcPr>
            <w:tcW w:w="929" w:type="dxa"/>
            <w:tcBorders>
              <w:top w:val="nil"/>
              <w:left w:val="nil"/>
              <w:bottom w:val="single" w:sz="4" w:space="0" w:color="auto"/>
              <w:right w:val="single" w:sz="4" w:space="0" w:color="auto"/>
            </w:tcBorders>
            <w:shd w:val="clear" w:color="auto" w:fill="auto"/>
            <w:vAlign w:val="center"/>
            <w:hideMark/>
          </w:tcPr>
          <w:p w14:paraId="0E4D12F9"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-1.2%</w:t>
            </w:r>
          </w:p>
        </w:tc>
        <w:tc>
          <w:tcPr>
            <w:tcW w:w="929" w:type="dxa"/>
            <w:tcBorders>
              <w:top w:val="nil"/>
              <w:left w:val="nil"/>
              <w:bottom w:val="single" w:sz="4" w:space="0" w:color="auto"/>
              <w:right w:val="single" w:sz="4" w:space="0" w:color="auto"/>
            </w:tcBorders>
            <w:shd w:val="clear" w:color="auto" w:fill="auto"/>
            <w:vAlign w:val="center"/>
            <w:hideMark/>
          </w:tcPr>
          <w:p w14:paraId="3DDD83BE"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-2.5%</w:t>
            </w:r>
          </w:p>
        </w:tc>
        <w:tc>
          <w:tcPr>
            <w:tcW w:w="929" w:type="dxa"/>
            <w:tcBorders>
              <w:top w:val="nil"/>
              <w:left w:val="nil"/>
              <w:bottom w:val="single" w:sz="4" w:space="0" w:color="auto"/>
              <w:right w:val="single" w:sz="4" w:space="0" w:color="auto"/>
            </w:tcBorders>
            <w:shd w:val="clear" w:color="auto" w:fill="auto"/>
            <w:vAlign w:val="center"/>
            <w:hideMark/>
          </w:tcPr>
          <w:p w14:paraId="7613ED1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-3.3%</w:t>
            </w:r>
          </w:p>
        </w:tc>
        <w:tc>
          <w:tcPr>
            <w:tcW w:w="929" w:type="dxa"/>
            <w:tcBorders>
              <w:top w:val="nil"/>
              <w:left w:val="nil"/>
              <w:bottom w:val="single" w:sz="4" w:space="0" w:color="auto"/>
              <w:right w:val="single" w:sz="4" w:space="0" w:color="auto"/>
            </w:tcBorders>
            <w:shd w:val="clear" w:color="auto" w:fill="auto"/>
            <w:vAlign w:val="center"/>
            <w:hideMark/>
          </w:tcPr>
          <w:p w14:paraId="757B2F6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-4.0%</w:t>
            </w:r>
          </w:p>
        </w:tc>
        <w:tc>
          <w:tcPr>
            <w:tcW w:w="929" w:type="dxa"/>
            <w:tcBorders>
              <w:top w:val="nil"/>
              <w:left w:val="nil"/>
              <w:bottom w:val="single" w:sz="4" w:space="0" w:color="auto"/>
              <w:right w:val="single" w:sz="4" w:space="0" w:color="auto"/>
            </w:tcBorders>
            <w:shd w:val="clear" w:color="auto" w:fill="auto"/>
            <w:vAlign w:val="center"/>
            <w:hideMark/>
          </w:tcPr>
          <w:p w14:paraId="11D61DC5"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-4.4%</w:t>
            </w:r>
          </w:p>
        </w:tc>
        <w:tc>
          <w:tcPr>
            <w:tcW w:w="929" w:type="dxa"/>
            <w:tcBorders>
              <w:top w:val="nil"/>
              <w:left w:val="nil"/>
              <w:bottom w:val="single" w:sz="4" w:space="0" w:color="auto"/>
              <w:right w:val="single" w:sz="4" w:space="0" w:color="auto"/>
            </w:tcBorders>
            <w:shd w:val="clear" w:color="auto" w:fill="auto"/>
            <w:vAlign w:val="center"/>
            <w:hideMark/>
          </w:tcPr>
          <w:p w14:paraId="5E40CD94"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-4.8%</w:t>
            </w:r>
          </w:p>
        </w:tc>
      </w:tr>
      <w:tr w:rsidR="00046048" w:rsidRPr="00F5596D" w14:paraId="00458357" w14:textId="77777777" w:rsidTr="00046048">
        <w:trPr>
          <w:trHeight w:val="210"/>
        </w:trPr>
        <w:tc>
          <w:tcPr>
            <w:tcW w:w="920" w:type="dxa"/>
            <w:vMerge/>
            <w:tcBorders>
              <w:top w:val="nil"/>
              <w:left w:val="single" w:sz="4" w:space="0" w:color="auto"/>
              <w:bottom w:val="single" w:sz="4" w:space="0" w:color="auto"/>
              <w:right w:val="single" w:sz="4" w:space="0" w:color="auto"/>
            </w:tcBorders>
            <w:vAlign w:val="center"/>
            <w:hideMark/>
          </w:tcPr>
          <w:p w14:paraId="797FB9AB" w14:textId="77777777" w:rsidR="00046048" w:rsidRPr="00F5596D" w:rsidRDefault="00046048" w:rsidP="00046048">
            <w:pPr>
              <w:spacing w:after="0" w:line="240" w:lineRule="auto"/>
              <w:jc w:val="left"/>
              <w:rPr>
                <w:rFonts w:ascii="Calibri" w:eastAsia="Times New Roman" w:hAnsi="Calibri" w:cs="Calibri"/>
                <w:color w:val="000000"/>
                <w:sz w:val="32"/>
                <w:szCs w:val="32"/>
                <w:lang w:val="sr-Cyrl-CS"/>
              </w:rPr>
            </w:pPr>
          </w:p>
        </w:tc>
        <w:tc>
          <w:tcPr>
            <w:tcW w:w="1427" w:type="dxa"/>
            <w:vMerge/>
            <w:tcBorders>
              <w:top w:val="nil"/>
              <w:left w:val="single" w:sz="4" w:space="0" w:color="auto"/>
              <w:bottom w:val="single" w:sz="4" w:space="0" w:color="auto"/>
              <w:right w:val="single" w:sz="4" w:space="0" w:color="auto"/>
            </w:tcBorders>
            <w:vAlign w:val="center"/>
            <w:hideMark/>
          </w:tcPr>
          <w:p w14:paraId="3402DD1E" w14:textId="77777777" w:rsidR="00046048" w:rsidRPr="00F5596D" w:rsidRDefault="00046048" w:rsidP="00046048">
            <w:pPr>
              <w:spacing w:after="0" w:line="240" w:lineRule="auto"/>
              <w:jc w:val="left"/>
              <w:rPr>
                <w:rFonts w:ascii="Calibri" w:eastAsia="Times New Roman" w:hAnsi="Calibri" w:cs="Calibri"/>
                <w:color w:val="000000"/>
                <w:sz w:val="24"/>
                <w:szCs w:val="24"/>
                <w:lang w:val="sr-Cyrl-CS"/>
              </w:rPr>
            </w:pPr>
          </w:p>
        </w:tc>
        <w:tc>
          <w:tcPr>
            <w:tcW w:w="1319" w:type="dxa"/>
            <w:tcBorders>
              <w:top w:val="nil"/>
              <w:left w:val="nil"/>
              <w:bottom w:val="single" w:sz="4" w:space="0" w:color="auto"/>
              <w:right w:val="single" w:sz="4" w:space="0" w:color="auto"/>
            </w:tcBorders>
            <w:shd w:val="clear" w:color="000000" w:fill="E5ECF7"/>
            <w:vAlign w:val="center"/>
            <w:hideMark/>
          </w:tcPr>
          <w:p w14:paraId="6CE99572"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0.40%</w:t>
            </w:r>
          </w:p>
        </w:tc>
        <w:tc>
          <w:tcPr>
            <w:tcW w:w="929" w:type="dxa"/>
            <w:tcBorders>
              <w:top w:val="nil"/>
              <w:left w:val="nil"/>
              <w:bottom w:val="single" w:sz="4" w:space="0" w:color="auto"/>
              <w:right w:val="single" w:sz="4" w:space="0" w:color="auto"/>
            </w:tcBorders>
            <w:shd w:val="clear" w:color="auto" w:fill="auto"/>
            <w:vAlign w:val="center"/>
            <w:hideMark/>
          </w:tcPr>
          <w:p w14:paraId="5817368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-1.8%</w:t>
            </w:r>
          </w:p>
        </w:tc>
        <w:tc>
          <w:tcPr>
            <w:tcW w:w="929" w:type="dxa"/>
            <w:tcBorders>
              <w:top w:val="nil"/>
              <w:left w:val="nil"/>
              <w:bottom w:val="single" w:sz="4" w:space="0" w:color="auto"/>
              <w:right w:val="single" w:sz="4" w:space="0" w:color="auto"/>
            </w:tcBorders>
            <w:shd w:val="clear" w:color="auto" w:fill="auto"/>
            <w:vAlign w:val="center"/>
            <w:hideMark/>
          </w:tcPr>
          <w:p w14:paraId="0D943D5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-3.9%</w:t>
            </w:r>
          </w:p>
        </w:tc>
        <w:tc>
          <w:tcPr>
            <w:tcW w:w="929" w:type="dxa"/>
            <w:tcBorders>
              <w:top w:val="nil"/>
              <w:left w:val="nil"/>
              <w:bottom w:val="single" w:sz="4" w:space="0" w:color="auto"/>
              <w:right w:val="single" w:sz="4" w:space="0" w:color="auto"/>
            </w:tcBorders>
            <w:shd w:val="clear" w:color="auto" w:fill="auto"/>
            <w:vAlign w:val="center"/>
            <w:hideMark/>
          </w:tcPr>
          <w:p w14:paraId="0B026AC8"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-5.3%</w:t>
            </w:r>
          </w:p>
        </w:tc>
        <w:tc>
          <w:tcPr>
            <w:tcW w:w="929" w:type="dxa"/>
            <w:tcBorders>
              <w:top w:val="nil"/>
              <w:left w:val="nil"/>
              <w:bottom w:val="single" w:sz="4" w:space="0" w:color="auto"/>
              <w:right w:val="single" w:sz="4" w:space="0" w:color="auto"/>
            </w:tcBorders>
            <w:shd w:val="clear" w:color="auto" w:fill="auto"/>
            <w:vAlign w:val="center"/>
            <w:hideMark/>
          </w:tcPr>
          <w:p w14:paraId="76C74043"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-6.2%</w:t>
            </w:r>
          </w:p>
        </w:tc>
        <w:tc>
          <w:tcPr>
            <w:tcW w:w="929" w:type="dxa"/>
            <w:tcBorders>
              <w:top w:val="nil"/>
              <w:left w:val="nil"/>
              <w:bottom w:val="single" w:sz="4" w:space="0" w:color="auto"/>
              <w:right w:val="single" w:sz="4" w:space="0" w:color="auto"/>
            </w:tcBorders>
            <w:shd w:val="clear" w:color="auto" w:fill="auto"/>
            <w:vAlign w:val="center"/>
            <w:hideMark/>
          </w:tcPr>
          <w:p w14:paraId="54F940BA"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-6.9%</w:t>
            </w:r>
          </w:p>
        </w:tc>
        <w:tc>
          <w:tcPr>
            <w:tcW w:w="929" w:type="dxa"/>
            <w:tcBorders>
              <w:top w:val="nil"/>
              <w:left w:val="nil"/>
              <w:bottom w:val="single" w:sz="4" w:space="0" w:color="auto"/>
              <w:right w:val="single" w:sz="4" w:space="0" w:color="auto"/>
            </w:tcBorders>
            <w:shd w:val="clear" w:color="auto" w:fill="auto"/>
            <w:vAlign w:val="center"/>
            <w:hideMark/>
          </w:tcPr>
          <w:p w14:paraId="7934F91B" w14:textId="77777777" w:rsidR="00046048" w:rsidRPr="00F5596D" w:rsidRDefault="00046048" w:rsidP="00046048">
            <w:pPr>
              <w:spacing w:after="0" w:line="240" w:lineRule="auto"/>
              <w:jc w:val="center"/>
              <w:rPr>
                <w:rFonts w:ascii="Calibri" w:eastAsia="Times New Roman" w:hAnsi="Calibri" w:cs="Calibri"/>
                <w:color w:val="000000"/>
                <w:sz w:val="18"/>
                <w:szCs w:val="18"/>
                <w:lang w:val="sr-Cyrl-CS"/>
              </w:rPr>
            </w:pPr>
            <w:r w:rsidRPr="00F5596D">
              <w:rPr>
                <w:rFonts w:ascii="Calibri" w:eastAsia="Times New Roman" w:hAnsi="Calibri" w:cs="Calibri"/>
                <w:color w:val="000000"/>
                <w:sz w:val="18"/>
                <w:szCs w:val="18"/>
                <w:lang w:val="sr-Cyrl-CS"/>
              </w:rPr>
              <w:t>-7.5%</w:t>
            </w:r>
          </w:p>
        </w:tc>
      </w:tr>
    </w:tbl>
    <w:p w14:paraId="6BBDE102" w14:textId="77777777" w:rsidR="00046048" w:rsidRPr="00F5596D" w:rsidRDefault="00046048" w:rsidP="00046048">
      <w:pPr>
        <w:spacing w:after="0" w:line="240" w:lineRule="auto"/>
        <w:rPr>
          <w:rFonts w:ascii="Times New Roman" w:eastAsia="Times New Roman" w:hAnsi="Times New Roman" w:cs="Times New Roman"/>
          <w:color w:val="auto"/>
          <w:sz w:val="16"/>
          <w:szCs w:val="16"/>
          <w:lang w:val="sr-Cyrl-CS"/>
        </w:rPr>
      </w:pPr>
      <w:r w:rsidRPr="00F5596D">
        <w:rPr>
          <w:rFonts w:ascii="Calibri" w:eastAsiaTheme="minorEastAsia" w:hAnsi="Calibri" w:cs="Calibri"/>
          <w:iCs/>
          <w:color w:val="50637D" w:themeColor="text2" w:themeTint="E6"/>
          <w:kern w:val="24"/>
          <w:sz w:val="16"/>
          <w:szCs w:val="16"/>
          <w:lang w:val="sr-Cyrl-CS"/>
        </w:rPr>
        <w:t>Извор: Модел за процену фискалних ризика од елементарних непогода за Републику Србију</w:t>
      </w:r>
    </w:p>
    <w:p w14:paraId="269312CE" w14:textId="34EE2C21" w:rsidR="00046048" w:rsidRPr="00F5596D" w:rsidRDefault="00046048" w:rsidP="00330999">
      <w:pPr>
        <w:rPr>
          <w:rFonts w:eastAsia="MS PGothic" w:cstheme="minorHAnsi"/>
          <w:bCs/>
          <w:szCs w:val="20"/>
          <w:lang w:val="sr-Cyrl-CS" w:eastAsia="ja-JP"/>
        </w:rPr>
      </w:pPr>
    </w:p>
    <w:p w14:paraId="301FBE2A" w14:textId="77777777" w:rsidR="00046048" w:rsidRPr="00F5596D" w:rsidRDefault="00046048" w:rsidP="00330999">
      <w:pPr>
        <w:rPr>
          <w:rFonts w:eastAsia="MS PGothic" w:cstheme="minorHAnsi"/>
          <w:bCs/>
          <w:szCs w:val="20"/>
          <w:lang w:val="sr-Cyrl-CS" w:eastAsia="ja-JP"/>
        </w:rPr>
        <w:sectPr w:rsidR="00046048" w:rsidRPr="00F5596D" w:rsidSect="00046048">
          <w:type w:val="continuous"/>
          <w:pgSz w:w="12240" w:h="15840"/>
          <w:pgMar w:top="1440" w:right="1440" w:bottom="1440" w:left="1440" w:header="720" w:footer="720" w:gutter="0"/>
          <w:cols w:space="720"/>
        </w:sectPr>
      </w:pPr>
    </w:p>
    <w:p w14:paraId="3BE37676" w14:textId="23F5D189"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Буџетски систем Републике Србије обезбеђује два инструмента финансирања ризика од катастрофа: сталну буџетску резерву - резерва за непредвиђене случајеве (СБР) и накнаду штете за повреде или штету насталу услед елементарних непогода или других природних узрока (рачун 484). Приметно је да се после великих поплава које су задесиле Републику Србију 2014. године и периода успешно изведене обнове, оба ова инструмента не планирају у довољним износима како би минимизирале појаву фискалног ризика, поготово у случају појаве елементарне непогоде значајнијег интензитета.</w:t>
      </w:r>
    </w:p>
    <w:p w14:paraId="20446296" w14:textId="10BA5FCF"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 xml:space="preserve">Стална буџетска резерва се из године у годину планира у скромним износима, иако је законом дефинисани максимални дозвољени износ значајних 0,5% буџетских прихода. </w:t>
      </w:r>
    </w:p>
    <w:p w14:paraId="7A86E689" w14:textId="77777777" w:rsidR="00330999" w:rsidRPr="00F5596D" w:rsidRDefault="00330999" w:rsidP="00330999">
      <w:pPr>
        <w:rPr>
          <w:rFonts w:eastAsia="MS PGothic" w:cstheme="minorHAnsi"/>
          <w:bCs/>
          <w:szCs w:val="20"/>
          <w:lang w:val="sr-Cyrl-CS" w:eastAsia="ja-JP"/>
        </w:rPr>
        <w:sectPr w:rsidR="00330999" w:rsidRPr="00F5596D" w:rsidSect="00E61B34">
          <w:type w:val="continuous"/>
          <w:pgSz w:w="12240" w:h="15840"/>
          <w:pgMar w:top="1440" w:right="1440" w:bottom="1440" w:left="1440" w:header="720" w:footer="720" w:gutter="0"/>
          <w:cols w:num="2" w:space="720"/>
        </w:sectPr>
      </w:pPr>
      <w:r w:rsidRPr="00F5596D">
        <w:rPr>
          <w:rFonts w:eastAsia="MS PGothic" w:cstheme="minorHAnsi"/>
          <w:bCs/>
          <w:szCs w:val="20"/>
          <w:lang w:val="sr-Cyrl-CS" w:eastAsia="ja-JP"/>
        </w:rPr>
        <w:t>Накнада штете за повреде или штету насталу услед елементарних непогода или других природних узрока (економски класификатор 484) се такође може користити за пружање почетне финансијске подршке за помоћ након катастрофе и ту не постоји минимални или максимални законски лимит за планирање годишњег износа ове накнаде. Међутим, с обзиром на извршење буџета у последњих неколико година које се мери са неколико стотина милиона динара годишње, услед чињенице да земљу није задесила нека озбиљнија елементарна непогода, ни ова позиција у буџету се не планира на нивоу довољном да обезбеди несметану реакцију државе у случају појаве елементарне непогоде значајнијег интензитета.</w:t>
      </w:r>
    </w:p>
    <w:p w14:paraId="24471201" w14:textId="77777777" w:rsidR="00330999" w:rsidRPr="00F5596D" w:rsidRDefault="00330999" w:rsidP="00330999">
      <w:pPr>
        <w:jc w:val="left"/>
        <w:rPr>
          <w:rFonts w:eastAsia="MS PGothic" w:cstheme="minorHAnsi"/>
          <w:b/>
          <w:color w:val="2F5496" w:themeColor="accent1" w:themeShade="BF"/>
          <w:sz w:val="22"/>
          <w:szCs w:val="20"/>
          <w:lang w:val="sr-Cyrl-CS" w:eastAsia="ja-JP"/>
        </w:rPr>
      </w:pPr>
      <w:r w:rsidRPr="00F5596D">
        <w:rPr>
          <w:rFonts w:eastAsia="MS PGothic" w:cstheme="minorHAnsi"/>
          <w:b/>
          <w:color w:val="2F5496" w:themeColor="accent1" w:themeShade="BF"/>
          <w:sz w:val="22"/>
          <w:szCs w:val="20"/>
          <w:lang w:val="sr-Cyrl-CS" w:eastAsia="ja-JP"/>
        </w:rPr>
        <w:lastRenderedPageBreak/>
        <w:t>Функционисање локалних самоуправа</w:t>
      </w:r>
    </w:p>
    <w:p w14:paraId="558A6A22" w14:textId="77777777" w:rsidR="00330999" w:rsidRPr="00F5596D" w:rsidRDefault="00330999" w:rsidP="00330999">
      <w:pPr>
        <w:rPr>
          <w:rFonts w:cstheme="minorHAnsi"/>
          <w:szCs w:val="20"/>
          <w:lang w:val="sr-Cyrl-CS"/>
        </w:rPr>
      </w:pPr>
      <w:r w:rsidRPr="00F5596D">
        <w:rPr>
          <w:rFonts w:eastAsia="MS PGothic" w:cstheme="minorHAnsi"/>
          <w:bCs/>
          <w:szCs w:val="20"/>
          <w:lang w:val="sr-Cyrl-CS" w:eastAsia="ja-JP"/>
        </w:rPr>
        <w:t>Када су у питању локалне власти на територији Републике Србије Устав Републике Србије у члану 146. прописује да грађани имају право на покрајинску аутономију и локалну самоуправу, које остварују непосредно или преко својих слободно изабраних представника, као и да Аутономне покрајине и јединице локалне самоуправе</w:t>
      </w:r>
      <w:r w:rsidRPr="00F5596D">
        <w:rPr>
          <w:rFonts w:cstheme="minorHAnsi"/>
          <w:szCs w:val="20"/>
          <w:lang w:val="sr-Cyrl-CS"/>
        </w:rPr>
        <w:t xml:space="preserve"> имају статус правних лица.</w:t>
      </w:r>
    </w:p>
    <w:p w14:paraId="3A1675EA"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Jединице локалне самоуправе су надлежне за питања која се, на сврсисходан начин, могу остваривати унутар њихове територије, а могу им бити поверена и поједина питања из надлежности Републике Србије уколико се оцени да је то целисходно.</w:t>
      </w:r>
    </w:p>
    <w:p w14:paraId="0AB66A80"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 xml:space="preserve">Послове за која је утврђена њихова надлежност или који су им поверени, јединице локалне самоуправе финансирају средствима из свог буџета која су према члану 5. Закона о финансирању локалне самоуправе подељена на: </w:t>
      </w:r>
    </w:p>
    <w:p w14:paraId="132077D6" w14:textId="77777777" w:rsidR="00330999" w:rsidRPr="00F5596D" w:rsidRDefault="00330999" w:rsidP="008B068E">
      <w:pPr>
        <w:pStyle w:val="ListParagraph"/>
        <w:numPr>
          <w:ilvl w:val="0"/>
          <w:numId w:val="28"/>
        </w:numPr>
        <w:ind w:left="450" w:hanging="270"/>
        <w:rPr>
          <w:rFonts w:eastAsia="MS PGothic" w:cstheme="minorHAnsi"/>
          <w:bCs/>
          <w:szCs w:val="20"/>
          <w:lang w:val="sr-Cyrl-CS" w:eastAsia="ja-JP"/>
        </w:rPr>
      </w:pPr>
      <w:r w:rsidRPr="00F5596D">
        <w:rPr>
          <w:rFonts w:eastAsia="MS PGothic" w:cstheme="minorHAnsi"/>
          <w:b/>
          <w:bCs/>
          <w:szCs w:val="20"/>
          <w:lang w:val="sr-Cyrl-CS" w:eastAsia="ja-JP"/>
        </w:rPr>
        <w:t xml:space="preserve">изворне приходе </w:t>
      </w:r>
      <w:r w:rsidRPr="00F5596D">
        <w:rPr>
          <w:rFonts w:eastAsia="MS PGothic" w:cstheme="minorHAnsi"/>
          <w:bCs/>
          <w:szCs w:val="20"/>
          <w:lang w:val="sr-Cyrl-CS" w:eastAsia="ja-JP"/>
        </w:rPr>
        <w:t>- приходе чију стопу, односно начин и мерила за утврђивање висине износа, утврђује јединица локалне самоуправе;</w:t>
      </w:r>
    </w:p>
    <w:p w14:paraId="5FA1FD38" w14:textId="77777777" w:rsidR="00330999" w:rsidRPr="00F5596D" w:rsidRDefault="00330999" w:rsidP="008B068E">
      <w:pPr>
        <w:pStyle w:val="ListParagraph"/>
        <w:numPr>
          <w:ilvl w:val="0"/>
          <w:numId w:val="28"/>
        </w:numPr>
        <w:ind w:left="450" w:hanging="270"/>
        <w:rPr>
          <w:rFonts w:eastAsia="MS PGothic" w:cstheme="minorHAnsi"/>
          <w:bCs/>
          <w:szCs w:val="20"/>
          <w:lang w:val="sr-Cyrl-CS" w:eastAsia="ja-JP"/>
        </w:rPr>
      </w:pPr>
      <w:r w:rsidRPr="00F5596D">
        <w:rPr>
          <w:rFonts w:eastAsia="MS PGothic" w:cstheme="minorHAnsi"/>
          <w:b/>
          <w:bCs/>
          <w:szCs w:val="20"/>
          <w:lang w:val="sr-Cyrl-CS" w:eastAsia="ja-JP"/>
        </w:rPr>
        <w:t>уступљене приходе</w:t>
      </w:r>
      <w:r w:rsidRPr="00F5596D">
        <w:rPr>
          <w:rFonts w:eastAsia="MS PGothic" w:cstheme="minorHAnsi"/>
          <w:bCs/>
          <w:szCs w:val="20"/>
          <w:lang w:val="sr-Cyrl-CS" w:eastAsia="ja-JP"/>
        </w:rPr>
        <w:t xml:space="preserve"> - приходе чија се основица и стопа, односно начин и мерила за утврђивање висине износа утврђују законом, а приход остварен на територији јединице локалне самоуправе уступа у целини или делимично тој јединици локалне самоуправе;</w:t>
      </w:r>
    </w:p>
    <w:p w14:paraId="647C3B30" w14:textId="77777777" w:rsidR="00330999" w:rsidRPr="00F5596D" w:rsidRDefault="00330999" w:rsidP="008B068E">
      <w:pPr>
        <w:pStyle w:val="ListParagraph"/>
        <w:numPr>
          <w:ilvl w:val="0"/>
          <w:numId w:val="28"/>
        </w:numPr>
        <w:ind w:left="450" w:hanging="270"/>
        <w:rPr>
          <w:rFonts w:eastAsia="MS PGothic" w:cstheme="minorHAnsi"/>
          <w:bCs/>
          <w:szCs w:val="20"/>
          <w:lang w:val="sr-Cyrl-CS" w:eastAsia="ja-JP"/>
        </w:rPr>
      </w:pPr>
      <w:r w:rsidRPr="00F5596D">
        <w:rPr>
          <w:rFonts w:eastAsia="MS PGothic" w:cstheme="minorHAnsi"/>
          <w:b/>
          <w:bCs/>
          <w:szCs w:val="20"/>
          <w:lang w:val="sr-Cyrl-CS" w:eastAsia="ja-JP"/>
        </w:rPr>
        <w:t>трансфере</w:t>
      </w:r>
      <w:r w:rsidRPr="00F5596D">
        <w:rPr>
          <w:rFonts w:eastAsia="MS PGothic" w:cstheme="minorHAnsi"/>
          <w:bCs/>
          <w:szCs w:val="20"/>
          <w:lang w:val="sr-Cyrl-CS" w:eastAsia="ja-JP"/>
        </w:rPr>
        <w:t>, тј. ненаменска или наменска средства која се на основу претходно утврђених критеријума расподељују од стране Републике Србије или Аутономне покрајине, јединицама локалне самоуправе</w:t>
      </w:r>
    </w:p>
    <w:p w14:paraId="0CF78538" w14:textId="77777777" w:rsidR="00330999" w:rsidRPr="00F5596D" w:rsidRDefault="00330999" w:rsidP="008B068E">
      <w:pPr>
        <w:pStyle w:val="ListParagraph"/>
        <w:numPr>
          <w:ilvl w:val="0"/>
          <w:numId w:val="28"/>
        </w:numPr>
        <w:ind w:left="450" w:hanging="270"/>
        <w:rPr>
          <w:rFonts w:eastAsia="MS PGothic" w:cstheme="minorHAnsi"/>
          <w:bCs/>
          <w:szCs w:val="20"/>
          <w:lang w:val="sr-Cyrl-CS" w:eastAsia="ja-JP"/>
        </w:rPr>
      </w:pPr>
      <w:r w:rsidRPr="00F5596D">
        <w:rPr>
          <w:rFonts w:eastAsia="MS PGothic" w:cstheme="minorHAnsi"/>
          <w:b/>
          <w:bCs/>
          <w:szCs w:val="20"/>
          <w:lang w:val="sr-Cyrl-CS" w:eastAsia="ja-JP"/>
        </w:rPr>
        <w:t>примања по основу задуживања;</w:t>
      </w:r>
    </w:p>
    <w:p w14:paraId="0EBE7496" w14:textId="77777777" w:rsidR="00330999" w:rsidRPr="00F5596D" w:rsidRDefault="00330999" w:rsidP="008B068E">
      <w:pPr>
        <w:pStyle w:val="ListParagraph"/>
        <w:numPr>
          <w:ilvl w:val="0"/>
          <w:numId w:val="28"/>
        </w:numPr>
        <w:ind w:left="450" w:hanging="270"/>
        <w:rPr>
          <w:rFonts w:eastAsia="MS PGothic" w:cstheme="minorHAnsi"/>
          <w:bCs/>
          <w:szCs w:val="20"/>
          <w:lang w:val="sr-Cyrl-CS" w:eastAsia="ja-JP"/>
        </w:rPr>
      </w:pPr>
      <w:r w:rsidRPr="00F5596D">
        <w:rPr>
          <w:rFonts w:eastAsia="MS PGothic" w:cstheme="minorHAnsi"/>
          <w:b/>
          <w:bCs/>
          <w:szCs w:val="20"/>
          <w:lang w:val="sr-Cyrl-CS" w:eastAsia="ja-JP"/>
        </w:rPr>
        <w:t>друге приходе и примања</w:t>
      </w:r>
      <w:r w:rsidRPr="00F5596D">
        <w:rPr>
          <w:rFonts w:eastAsia="MS PGothic" w:cstheme="minorHAnsi"/>
          <w:bCs/>
          <w:szCs w:val="20"/>
          <w:lang w:val="sr-Cyrl-CS" w:eastAsia="ja-JP"/>
        </w:rPr>
        <w:t xml:space="preserve"> утврђене законом.</w:t>
      </w:r>
    </w:p>
    <w:p w14:paraId="3B8B5DA8"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Имајући у виду сложеност послова која обављају јединице локалне самоуправе, као и систем њиховог финансирања, неопходно је извршити идентификацију фискалних ризика чије остварење може имати негативне ефекте како по буџете самих јединица локалних самоуправа, тако и по буџет Републике Србије.</w:t>
      </w:r>
    </w:p>
    <w:p w14:paraId="6F0B866C" w14:textId="77777777" w:rsidR="004F4BC8" w:rsidRPr="00F5596D" w:rsidRDefault="004F4BC8" w:rsidP="00330999">
      <w:pPr>
        <w:rPr>
          <w:rFonts w:eastAsia="MS PGothic" w:cstheme="minorHAnsi"/>
          <w:bCs/>
          <w:szCs w:val="20"/>
          <w:lang w:val="sr-Cyrl-CS" w:eastAsia="ja-JP"/>
        </w:rPr>
      </w:pPr>
    </w:p>
    <w:p w14:paraId="6C94D497" w14:textId="2D068AE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Министарство финансија је у сарадњи са Светском банком, извршило ревизију модела за анализу, оцену и праћење фискалних ризика за јединице локалне самоуправе из Методологије за праћење фискалних ризика по буџет Републике Србије, те су у априлу 2025. године добијени први резултати везани за праћење фискалних ризика јединица локалне самоуправе.</w:t>
      </w:r>
    </w:p>
    <w:p w14:paraId="24AC878A"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У раду су коришћени подаци из електронских система (ИСИБ ЈЛС АП, СПИРИ, ИСКРА и СИЈД), а који се односе на планиране и остварене приходе и примања, односно расходе и издатке јединица локалне самоуправе, њихова кредитна задужења и неизмирене обавезе, број запослених у ЈЛС, стање на консолидованом рачуну трезора и пласмани код пословних банака.</w:t>
      </w:r>
    </w:p>
    <w:p w14:paraId="09D87527"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Ради сагледавања целокупног стања у јединицама локалне самоуправе коришћени су горе наведени подаци за 2022, 2023. и 2024. годину, као</w:t>
      </w:r>
      <w:r w:rsidRPr="00F5596D">
        <w:rPr>
          <w:rFonts w:cstheme="minorHAnsi"/>
          <w:szCs w:val="20"/>
          <w:lang w:val="sr-Cyrl-CS"/>
        </w:rPr>
        <w:t xml:space="preserve"> </w:t>
      </w:r>
      <w:r w:rsidRPr="00F5596D">
        <w:rPr>
          <w:rFonts w:eastAsia="MS PGothic" w:cstheme="minorHAnsi"/>
          <w:bCs/>
          <w:szCs w:val="20"/>
          <w:lang w:val="sr-Cyrl-CS" w:eastAsia="ja-JP"/>
        </w:rPr>
        <w:t>и за период јануар – април 2025. године.</w:t>
      </w:r>
    </w:p>
    <w:p w14:paraId="50131F9A"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Процена ризика је заснована на два индекса: 1) индекс за процену способности самофинансирања јединица локалних самоуправа и 2) индекс оптерећења плаћањима.</w:t>
      </w:r>
    </w:p>
    <w:p w14:paraId="08B026E6" w14:textId="77777777" w:rsidR="00330999" w:rsidRPr="00F5596D" w:rsidRDefault="00330999" w:rsidP="00330999">
      <w:pPr>
        <w:jc w:val="left"/>
        <w:rPr>
          <w:rFonts w:eastAsia="MS PGothic" w:cstheme="minorHAnsi"/>
          <w:b/>
          <w:color w:val="2F5496" w:themeColor="accent1" w:themeShade="BF"/>
          <w:sz w:val="22"/>
          <w:szCs w:val="20"/>
          <w:lang w:val="sr-Cyrl-CS" w:eastAsia="ja-JP"/>
        </w:rPr>
      </w:pPr>
      <w:r w:rsidRPr="00F5596D">
        <w:rPr>
          <w:rFonts w:eastAsia="MS PGothic" w:cstheme="minorHAnsi"/>
          <w:b/>
          <w:color w:val="2F5496" w:themeColor="accent1" w:themeShade="BF"/>
          <w:sz w:val="22"/>
          <w:szCs w:val="20"/>
          <w:lang w:val="sr-Cyrl-CS" w:eastAsia="ja-JP"/>
        </w:rPr>
        <w:t>Индекс процене способности самофинансирања</w:t>
      </w:r>
    </w:p>
    <w:p w14:paraId="68D0F1C3" w14:textId="77777777" w:rsidR="00330999" w:rsidRPr="00F5596D" w:rsidRDefault="00330999" w:rsidP="00330999">
      <w:pPr>
        <w:rPr>
          <w:rFonts w:eastAsia="MS PGothic" w:cstheme="minorHAnsi"/>
          <w:bCs/>
          <w:szCs w:val="20"/>
          <w:lang w:val="sr-Cyrl-CS" w:eastAsia="ja-JP"/>
        </w:rPr>
      </w:pPr>
      <w:r w:rsidRPr="00F5596D">
        <w:rPr>
          <w:rFonts w:eastAsia="MS PGothic" w:cstheme="minorHAnsi"/>
          <w:bCs/>
          <w:szCs w:val="20"/>
          <w:lang w:val="sr-Cyrl-CS" w:eastAsia="ja-JP"/>
        </w:rPr>
        <w:t>Индекс процене способности самофинансирања има за циљ да покаже да ли јединице локалне самоуправе на основу прихода које остварују могу да испуњавају обавезе тј. расходе и издатке које преузимају.</w:t>
      </w:r>
    </w:p>
    <w:p w14:paraId="32D7A620" w14:textId="77777777" w:rsidR="00330999" w:rsidRPr="00F5596D" w:rsidRDefault="00330999" w:rsidP="00330999">
      <w:pPr>
        <w:jc w:val="center"/>
        <w:rPr>
          <w:rFonts w:eastAsia="MS PGothic" w:cstheme="minorHAnsi"/>
          <w:b/>
          <w:color w:val="002060"/>
          <w:szCs w:val="20"/>
          <w:lang w:val="sr-Cyrl-CS" w:eastAsia="ja-JP"/>
        </w:rPr>
      </w:pPr>
      <w:r w:rsidRPr="00F5596D">
        <w:rPr>
          <w:rFonts w:eastAsia="MS PGothic" w:cstheme="minorHAnsi"/>
          <w:b/>
          <w:color w:val="002060"/>
          <w:szCs w:val="20"/>
          <w:lang w:val="sr-Cyrl-CS" w:eastAsia="ja-JP"/>
        </w:rPr>
        <w:t>Табеларни приказ способности самофинансирања ЈЛС</w:t>
      </w:r>
    </w:p>
    <w:tbl>
      <w:tblPr>
        <w:tblW w:w="4582" w:type="dxa"/>
        <w:tblInd w:w="-180" w:type="dxa"/>
        <w:tblLook w:val="04A0" w:firstRow="1" w:lastRow="0" w:firstColumn="1" w:lastColumn="0" w:noHBand="0" w:noVBand="1"/>
      </w:tblPr>
      <w:tblGrid>
        <w:gridCol w:w="1254"/>
        <w:gridCol w:w="156"/>
        <w:gridCol w:w="460"/>
        <w:gridCol w:w="156"/>
        <w:gridCol w:w="561"/>
        <w:gridCol w:w="156"/>
        <w:gridCol w:w="736"/>
        <w:gridCol w:w="156"/>
        <w:gridCol w:w="796"/>
        <w:gridCol w:w="151"/>
      </w:tblGrid>
      <w:tr w:rsidR="00330999" w:rsidRPr="00F5596D" w14:paraId="4AFD8D85" w14:textId="77777777" w:rsidTr="00E61B34">
        <w:trPr>
          <w:gridAfter w:val="1"/>
          <w:wAfter w:w="151" w:type="dxa"/>
          <w:trHeight w:val="20"/>
        </w:trPr>
        <w:tc>
          <w:tcPr>
            <w:tcW w:w="1254" w:type="dxa"/>
            <w:tcBorders>
              <w:top w:val="single" w:sz="8" w:space="0" w:color="auto"/>
              <w:left w:val="nil"/>
              <w:bottom w:val="single" w:sz="8" w:space="0" w:color="auto"/>
              <w:right w:val="nil"/>
            </w:tcBorders>
            <w:shd w:val="clear" w:color="auto" w:fill="auto"/>
            <w:noWrap/>
            <w:vAlign w:val="center"/>
            <w:hideMark/>
          </w:tcPr>
          <w:p w14:paraId="160CDCC3" w14:textId="77777777" w:rsidR="00330999" w:rsidRPr="00F5596D" w:rsidRDefault="00330999" w:rsidP="00E61B34">
            <w:pPr>
              <w:spacing w:after="0" w:line="360" w:lineRule="auto"/>
              <w:ind w:right="-378" w:hanging="288"/>
              <w:jc w:val="center"/>
              <w:rPr>
                <w:rFonts w:cstheme="minorHAnsi"/>
                <w:b/>
                <w:sz w:val="18"/>
                <w:szCs w:val="18"/>
                <w:lang w:val="sr-Cyrl-CS"/>
              </w:rPr>
            </w:pPr>
            <w:r w:rsidRPr="00F5596D">
              <w:rPr>
                <w:rFonts w:cstheme="minorHAnsi"/>
                <w:b/>
                <w:sz w:val="18"/>
                <w:szCs w:val="18"/>
                <w:lang w:val="sr-Cyrl-CS"/>
              </w:rPr>
              <w:t>Степен ризика</w:t>
            </w:r>
          </w:p>
        </w:tc>
        <w:tc>
          <w:tcPr>
            <w:tcW w:w="616" w:type="dxa"/>
            <w:gridSpan w:val="2"/>
            <w:tcBorders>
              <w:top w:val="single" w:sz="8" w:space="0" w:color="auto"/>
              <w:left w:val="nil"/>
              <w:bottom w:val="single" w:sz="8" w:space="0" w:color="auto"/>
              <w:right w:val="nil"/>
            </w:tcBorders>
            <w:shd w:val="clear" w:color="auto" w:fill="auto"/>
            <w:noWrap/>
            <w:vAlign w:val="center"/>
            <w:hideMark/>
          </w:tcPr>
          <w:p w14:paraId="067DF518" w14:textId="47185A1F" w:rsidR="00330999" w:rsidRPr="00F5596D" w:rsidRDefault="00400C34" w:rsidP="00400C34">
            <w:pPr>
              <w:spacing w:after="0" w:line="360" w:lineRule="auto"/>
              <w:ind w:right="-162"/>
              <w:rPr>
                <w:rFonts w:cstheme="minorHAnsi"/>
                <w:b/>
                <w:sz w:val="18"/>
                <w:szCs w:val="18"/>
                <w:lang w:val="sr-Cyrl-CS"/>
              </w:rPr>
            </w:pPr>
            <w:r w:rsidRPr="00F5596D">
              <w:rPr>
                <w:rFonts w:cstheme="minorHAnsi"/>
                <w:b/>
                <w:sz w:val="18"/>
                <w:szCs w:val="18"/>
                <w:lang w:val="sr-Cyrl-CS"/>
              </w:rPr>
              <w:t xml:space="preserve">   </w:t>
            </w:r>
            <w:r w:rsidR="00330999" w:rsidRPr="00F5596D">
              <w:rPr>
                <w:rFonts w:cstheme="minorHAnsi"/>
                <w:b/>
                <w:sz w:val="18"/>
                <w:szCs w:val="18"/>
                <w:lang w:val="sr-Cyrl-CS"/>
              </w:rPr>
              <w:t>2022</w:t>
            </w:r>
          </w:p>
        </w:tc>
        <w:tc>
          <w:tcPr>
            <w:tcW w:w="717" w:type="dxa"/>
            <w:gridSpan w:val="2"/>
            <w:tcBorders>
              <w:top w:val="single" w:sz="8" w:space="0" w:color="auto"/>
              <w:left w:val="nil"/>
              <w:bottom w:val="single" w:sz="8" w:space="0" w:color="auto"/>
              <w:right w:val="nil"/>
            </w:tcBorders>
            <w:shd w:val="clear" w:color="auto" w:fill="auto"/>
            <w:noWrap/>
            <w:vAlign w:val="center"/>
            <w:hideMark/>
          </w:tcPr>
          <w:p w14:paraId="29303B70" w14:textId="22D0B592" w:rsidR="00330999" w:rsidRPr="00F5596D" w:rsidRDefault="00330999" w:rsidP="00400C34">
            <w:pPr>
              <w:spacing w:after="0" w:line="360" w:lineRule="auto"/>
              <w:jc w:val="right"/>
              <w:rPr>
                <w:rFonts w:cstheme="minorHAnsi"/>
                <w:b/>
                <w:sz w:val="18"/>
                <w:szCs w:val="18"/>
                <w:lang w:val="sr-Cyrl-CS"/>
              </w:rPr>
            </w:pPr>
            <w:r w:rsidRPr="00F5596D">
              <w:rPr>
                <w:rFonts w:cstheme="minorHAnsi"/>
                <w:b/>
                <w:sz w:val="18"/>
                <w:szCs w:val="18"/>
                <w:lang w:val="sr-Cyrl-CS"/>
              </w:rPr>
              <w:t>2023</w:t>
            </w:r>
          </w:p>
        </w:tc>
        <w:tc>
          <w:tcPr>
            <w:tcW w:w="892" w:type="dxa"/>
            <w:gridSpan w:val="2"/>
            <w:tcBorders>
              <w:top w:val="single" w:sz="8" w:space="0" w:color="auto"/>
              <w:left w:val="nil"/>
              <w:bottom w:val="single" w:sz="8" w:space="0" w:color="auto"/>
              <w:right w:val="nil"/>
            </w:tcBorders>
            <w:shd w:val="clear" w:color="auto" w:fill="auto"/>
            <w:noWrap/>
            <w:vAlign w:val="center"/>
            <w:hideMark/>
          </w:tcPr>
          <w:p w14:paraId="3A65077D" w14:textId="23FB8E1F" w:rsidR="00330999" w:rsidRPr="00F5596D" w:rsidRDefault="00330999" w:rsidP="00400C34">
            <w:pPr>
              <w:spacing w:after="0" w:line="360" w:lineRule="auto"/>
              <w:jc w:val="right"/>
              <w:rPr>
                <w:rFonts w:cstheme="minorHAnsi"/>
                <w:b/>
                <w:sz w:val="18"/>
                <w:szCs w:val="18"/>
                <w:lang w:val="sr-Cyrl-CS"/>
              </w:rPr>
            </w:pPr>
            <w:r w:rsidRPr="00F5596D">
              <w:rPr>
                <w:rFonts w:cstheme="minorHAnsi"/>
                <w:b/>
                <w:sz w:val="18"/>
                <w:szCs w:val="18"/>
                <w:lang w:val="sr-Cyrl-CS"/>
              </w:rPr>
              <w:t>2024</w:t>
            </w:r>
          </w:p>
        </w:tc>
        <w:tc>
          <w:tcPr>
            <w:tcW w:w="952" w:type="dxa"/>
            <w:gridSpan w:val="2"/>
            <w:tcBorders>
              <w:top w:val="single" w:sz="8" w:space="0" w:color="auto"/>
              <w:left w:val="nil"/>
              <w:bottom w:val="single" w:sz="8" w:space="0" w:color="auto"/>
              <w:right w:val="nil"/>
            </w:tcBorders>
            <w:shd w:val="clear" w:color="auto" w:fill="auto"/>
            <w:noWrap/>
            <w:vAlign w:val="center"/>
            <w:hideMark/>
          </w:tcPr>
          <w:p w14:paraId="50DD0B0B" w14:textId="77777777" w:rsidR="00330999" w:rsidRPr="00F5596D" w:rsidRDefault="00330999" w:rsidP="00E61B34">
            <w:pPr>
              <w:spacing w:after="0" w:line="240" w:lineRule="auto"/>
              <w:jc w:val="center"/>
              <w:rPr>
                <w:rFonts w:cstheme="minorHAnsi"/>
                <w:b/>
                <w:sz w:val="18"/>
                <w:szCs w:val="18"/>
                <w:lang w:val="sr-Cyrl-CS"/>
              </w:rPr>
            </w:pPr>
            <w:r w:rsidRPr="00F5596D">
              <w:rPr>
                <w:rFonts w:cstheme="minorHAnsi"/>
                <w:b/>
                <w:sz w:val="18"/>
                <w:szCs w:val="18"/>
                <w:lang w:val="sr-Cyrl-CS"/>
              </w:rPr>
              <w:t xml:space="preserve">  јaн-апр  2025</w:t>
            </w:r>
          </w:p>
        </w:tc>
      </w:tr>
      <w:tr w:rsidR="00330999" w:rsidRPr="00F5596D" w14:paraId="21FFB99F" w14:textId="77777777" w:rsidTr="00E61B34">
        <w:trPr>
          <w:trHeight w:val="20"/>
        </w:trPr>
        <w:tc>
          <w:tcPr>
            <w:tcW w:w="1410" w:type="dxa"/>
            <w:gridSpan w:val="2"/>
            <w:tcBorders>
              <w:top w:val="nil"/>
              <w:left w:val="nil"/>
              <w:bottom w:val="nil"/>
              <w:right w:val="nil"/>
            </w:tcBorders>
            <w:shd w:val="clear" w:color="auto" w:fill="auto"/>
            <w:noWrap/>
            <w:vAlign w:val="center"/>
            <w:hideMark/>
          </w:tcPr>
          <w:p w14:paraId="7C2B1010" w14:textId="77777777" w:rsidR="00330999" w:rsidRPr="00F5596D" w:rsidRDefault="00330999" w:rsidP="00E61B34">
            <w:pPr>
              <w:spacing w:after="0" w:line="360" w:lineRule="auto"/>
              <w:ind w:hanging="108"/>
              <w:jc w:val="center"/>
              <w:rPr>
                <w:rFonts w:ascii="Calibri" w:eastAsia="Times New Roman" w:hAnsi="Calibri" w:cs="Calibri"/>
                <w:color w:val="44546A"/>
                <w:sz w:val="18"/>
                <w:szCs w:val="18"/>
                <w:lang w:val="sr-Cyrl-CS"/>
              </w:rPr>
            </w:pPr>
            <w:r w:rsidRPr="00F5596D">
              <w:rPr>
                <w:rFonts w:ascii="Calibri" w:eastAsia="Times New Roman" w:hAnsi="Calibri" w:cs="Calibri"/>
                <w:color w:val="44546A"/>
                <w:sz w:val="18"/>
                <w:szCs w:val="18"/>
                <w:lang w:val="sr-Cyrl-CS"/>
              </w:rPr>
              <w:t>Нормалан ризик</w:t>
            </w:r>
          </w:p>
        </w:tc>
        <w:tc>
          <w:tcPr>
            <w:tcW w:w="616" w:type="dxa"/>
            <w:gridSpan w:val="2"/>
            <w:tcBorders>
              <w:top w:val="nil"/>
              <w:left w:val="nil"/>
              <w:bottom w:val="nil"/>
              <w:right w:val="nil"/>
            </w:tcBorders>
            <w:shd w:val="clear" w:color="auto" w:fill="auto"/>
            <w:noWrap/>
            <w:vAlign w:val="center"/>
            <w:hideMark/>
          </w:tcPr>
          <w:p w14:paraId="1B143378"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82</w:t>
            </w:r>
          </w:p>
        </w:tc>
        <w:tc>
          <w:tcPr>
            <w:tcW w:w="717" w:type="dxa"/>
            <w:gridSpan w:val="2"/>
            <w:tcBorders>
              <w:top w:val="nil"/>
              <w:left w:val="nil"/>
              <w:bottom w:val="nil"/>
              <w:right w:val="nil"/>
            </w:tcBorders>
            <w:shd w:val="clear" w:color="auto" w:fill="auto"/>
            <w:noWrap/>
            <w:vAlign w:val="center"/>
            <w:hideMark/>
          </w:tcPr>
          <w:p w14:paraId="71074D98"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83</w:t>
            </w:r>
          </w:p>
        </w:tc>
        <w:tc>
          <w:tcPr>
            <w:tcW w:w="892" w:type="dxa"/>
            <w:gridSpan w:val="2"/>
            <w:tcBorders>
              <w:top w:val="nil"/>
              <w:left w:val="nil"/>
              <w:bottom w:val="nil"/>
              <w:right w:val="nil"/>
            </w:tcBorders>
            <w:shd w:val="clear" w:color="auto" w:fill="auto"/>
            <w:noWrap/>
            <w:vAlign w:val="center"/>
            <w:hideMark/>
          </w:tcPr>
          <w:p w14:paraId="4038B99A"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76</w:t>
            </w:r>
          </w:p>
        </w:tc>
        <w:tc>
          <w:tcPr>
            <w:tcW w:w="947" w:type="dxa"/>
            <w:gridSpan w:val="2"/>
            <w:tcBorders>
              <w:top w:val="nil"/>
              <w:left w:val="nil"/>
              <w:bottom w:val="nil"/>
              <w:right w:val="nil"/>
            </w:tcBorders>
            <w:shd w:val="clear" w:color="auto" w:fill="auto"/>
            <w:noWrap/>
            <w:vAlign w:val="center"/>
            <w:hideMark/>
          </w:tcPr>
          <w:p w14:paraId="5B352CAC"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45</w:t>
            </w:r>
          </w:p>
        </w:tc>
      </w:tr>
      <w:tr w:rsidR="00330999" w:rsidRPr="00F5596D" w14:paraId="72E68281" w14:textId="77777777" w:rsidTr="00E61B34">
        <w:trPr>
          <w:trHeight w:val="20"/>
        </w:trPr>
        <w:tc>
          <w:tcPr>
            <w:tcW w:w="1410" w:type="dxa"/>
            <w:gridSpan w:val="2"/>
            <w:tcBorders>
              <w:top w:val="nil"/>
              <w:left w:val="nil"/>
              <w:bottom w:val="nil"/>
              <w:right w:val="nil"/>
            </w:tcBorders>
            <w:shd w:val="clear" w:color="auto" w:fill="auto"/>
            <w:noWrap/>
            <w:vAlign w:val="center"/>
            <w:hideMark/>
          </w:tcPr>
          <w:p w14:paraId="6A80DB41" w14:textId="77777777" w:rsidR="00330999" w:rsidRPr="00F5596D" w:rsidRDefault="00330999" w:rsidP="00E61B34">
            <w:pPr>
              <w:spacing w:after="0" w:line="360" w:lineRule="auto"/>
              <w:jc w:val="center"/>
              <w:rPr>
                <w:rFonts w:ascii="Calibri" w:eastAsia="Times New Roman" w:hAnsi="Calibri" w:cs="Calibri"/>
                <w:color w:val="44546A"/>
                <w:sz w:val="18"/>
                <w:szCs w:val="18"/>
                <w:lang w:val="sr-Cyrl-CS"/>
              </w:rPr>
            </w:pPr>
            <w:r w:rsidRPr="00F5596D">
              <w:rPr>
                <w:rFonts w:ascii="Calibri" w:eastAsia="Times New Roman" w:hAnsi="Calibri" w:cs="Calibri"/>
                <w:color w:val="44546A"/>
                <w:sz w:val="18"/>
                <w:szCs w:val="18"/>
                <w:lang w:val="sr-Cyrl-CS"/>
              </w:rPr>
              <w:t>Под надзором</w:t>
            </w:r>
          </w:p>
        </w:tc>
        <w:tc>
          <w:tcPr>
            <w:tcW w:w="616" w:type="dxa"/>
            <w:gridSpan w:val="2"/>
            <w:tcBorders>
              <w:top w:val="nil"/>
              <w:left w:val="nil"/>
              <w:bottom w:val="nil"/>
              <w:right w:val="nil"/>
            </w:tcBorders>
            <w:shd w:val="clear" w:color="auto" w:fill="auto"/>
            <w:noWrap/>
            <w:vAlign w:val="center"/>
            <w:hideMark/>
          </w:tcPr>
          <w:p w14:paraId="6C684C4A"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49</w:t>
            </w:r>
          </w:p>
        </w:tc>
        <w:tc>
          <w:tcPr>
            <w:tcW w:w="717" w:type="dxa"/>
            <w:gridSpan w:val="2"/>
            <w:tcBorders>
              <w:top w:val="nil"/>
              <w:left w:val="nil"/>
              <w:bottom w:val="nil"/>
              <w:right w:val="nil"/>
            </w:tcBorders>
            <w:shd w:val="clear" w:color="auto" w:fill="auto"/>
            <w:noWrap/>
            <w:vAlign w:val="center"/>
            <w:hideMark/>
          </w:tcPr>
          <w:p w14:paraId="7843A080"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47</w:t>
            </w:r>
          </w:p>
        </w:tc>
        <w:tc>
          <w:tcPr>
            <w:tcW w:w="892" w:type="dxa"/>
            <w:gridSpan w:val="2"/>
            <w:tcBorders>
              <w:top w:val="nil"/>
              <w:left w:val="nil"/>
              <w:bottom w:val="nil"/>
              <w:right w:val="nil"/>
            </w:tcBorders>
            <w:shd w:val="clear" w:color="auto" w:fill="auto"/>
            <w:noWrap/>
            <w:vAlign w:val="center"/>
            <w:hideMark/>
          </w:tcPr>
          <w:p w14:paraId="557144D0"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56</w:t>
            </w:r>
          </w:p>
        </w:tc>
        <w:tc>
          <w:tcPr>
            <w:tcW w:w="947" w:type="dxa"/>
            <w:gridSpan w:val="2"/>
            <w:tcBorders>
              <w:top w:val="nil"/>
              <w:left w:val="nil"/>
              <w:bottom w:val="nil"/>
              <w:right w:val="nil"/>
            </w:tcBorders>
            <w:shd w:val="clear" w:color="auto" w:fill="auto"/>
            <w:noWrap/>
            <w:vAlign w:val="center"/>
            <w:hideMark/>
          </w:tcPr>
          <w:p w14:paraId="7569B235"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79</w:t>
            </w:r>
          </w:p>
        </w:tc>
      </w:tr>
      <w:tr w:rsidR="00330999" w:rsidRPr="00F5596D" w14:paraId="3FE2904A" w14:textId="77777777" w:rsidTr="00E61B34">
        <w:trPr>
          <w:trHeight w:val="20"/>
        </w:trPr>
        <w:tc>
          <w:tcPr>
            <w:tcW w:w="1410" w:type="dxa"/>
            <w:gridSpan w:val="2"/>
            <w:tcBorders>
              <w:top w:val="nil"/>
              <w:left w:val="nil"/>
              <w:bottom w:val="single" w:sz="8" w:space="0" w:color="auto"/>
              <w:right w:val="nil"/>
            </w:tcBorders>
            <w:shd w:val="clear" w:color="auto" w:fill="auto"/>
            <w:noWrap/>
            <w:vAlign w:val="center"/>
            <w:hideMark/>
          </w:tcPr>
          <w:p w14:paraId="10297465" w14:textId="77777777" w:rsidR="00330999" w:rsidRPr="00F5596D" w:rsidRDefault="00330999" w:rsidP="00E61B34">
            <w:pPr>
              <w:spacing w:after="0" w:line="360" w:lineRule="auto"/>
              <w:jc w:val="center"/>
              <w:rPr>
                <w:rFonts w:ascii="Calibri" w:eastAsia="Times New Roman" w:hAnsi="Calibri" w:cs="Calibri"/>
                <w:color w:val="44546A"/>
                <w:sz w:val="18"/>
                <w:szCs w:val="18"/>
                <w:lang w:val="sr-Cyrl-CS"/>
              </w:rPr>
            </w:pPr>
            <w:r w:rsidRPr="00F5596D">
              <w:rPr>
                <w:rFonts w:ascii="Calibri" w:eastAsia="Times New Roman" w:hAnsi="Calibri" w:cs="Calibri"/>
                <w:color w:val="44546A"/>
                <w:sz w:val="18"/>
                <w:szCs w:val="18"/>
                <w:lang w:val="sr-Cyrl-CS"/>
              </w:rPr>
              <w:t>У ризику</w:t>
            </w:r>
          </w:p>
        </w:tc>
        <w:tc>
          <w:tcPr>
            <w:tcW w:w="616" w:type="dxa"/>
            <w:gridSpan w:val="2"/>
            <w:tcBorders>
              <w:top w:val="nil"/>
              <w:left w:val="nil"/>
              <w:bottom w:val="single" w:sz="8" w:space="0" w:color="auto"/>
              <w:right w:val="nil"/>
            </w:tcBorders>
            <w:shd w:val="clear" w:color="auto" w:fill="auto"/>
            <w:noWrap/>
            <w:vAlign w:val="center"/>
            <w:hideMark/>
          </w:tcPr>
          <w:p w14:paraId="2162FEF7"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14</w:t>
            </w:r>
          </w:p>
        </w:tc>
        <w:tc>
          <w:tcPr>
            <w:tcW w:w="717" w:type="dxa"/>
            <w:gridSpan w:val="2"/>
            <w:tcBorders>
              <w:top w:val="nil"/>
              <w:left w:val="nil"/>
              <w:bottom w:val="single" w:sz="8" w:space="0" w:color="auto"/>
              <w:right w:val="nil"/>
            </w:tcBorders>
            <w:shd w:val="clear" w:color="auto" w:fill="auto"/>
            <w:noWrap/>
            <w:vAlign w:val="center"/>
            <w:hideMark/>
          </w:tcPr>
          <w:p w14:paraId="6DDC0D03"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15</w:t>
            </w:r>
          </w:p>
        </w:tc>
        <w:tc>
          <w:tcPr>
            <w:tcW w:w="892" w:type="dxa"/>
            <w:gridSpan w:val="2"/>
            <w:tcBorders>
              <w:top w:val="nil"/>
              <w:left w:val="nil"/>
              <w:bottom w:val="single" w:sz="8" w:space="0" w:color="auto"/>
              <w:right w:val="nil"/>
            </w:tcBorders>
            <w:shd w:val="clear" w:color="auto" w:fill="auto"/>
            <w:noWrap/>
            <w:vAlign w:val="center"/>
            <w:hideMark/>
          </w:tcPr>
          <w:p w14:paraId="2DEC30A4"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13</w:t>
            </w:r>
          </w:p>
        </w:tc>
        <w:tc>
          <w:tcPr>
            <w:tcW w:w="947" w:type="dxa"/>
            <w:gridSpan w:val="2"/>
            <w:tcBorders>
              <w:top w:val="nil"/>
              <w:left w:val="nil"/>
              <w:bottom w:val="single" w:sz="8" w:space="0" w:color="auto"/>
              <w:right w:val="nil"/>
            </w:tcBorders>
            <w:shd w:val="clear" w:color="auto" w:fill="auto"/>
            <w:noWrap/>
            <w:vAlign w:val="center"/>
            <w:hideMark/>
          </w:tcPr>
          <w:p w14:paraId="5912C37E" w14:textId="77777777" w:rsidR="00330999" w:rsidRPr="00F5596D" w:rsidRDefault="00330999" w:rsidP="00E61B34">
            <w:pPr>
              <w:spacing w:after="0" w:line="360" w:lineRule="auto"/>
              <w:jc w:val="center"/>
              <w:rPr>
                <w:rFonts w:ascii="Calibri" w:eastAsia="Times New Roman" w:hAnsi="Calibri" w:cs="Calibri"/>
                <w:b/>
                <w:bCs/>
                <w:color w:val="44546A"/>
                <w:sz w:val="18"/>
                <w:szCs w:val="18"/>
                <w:lang w:val="sr-Cyrl-CS"/>
              </w:rPr>
            </w:pPr>
            <w:r w:rsidRPr="00F5596D">
              <w:rPr>
                <w:rFonts w:ascii="Calibri" w:eastAsia="Times New Roman" w:hAnsi="Calibri" w:cs="Calibri"/>
                <w:b/>
                <w:bCs/>
                <w:color w:val="44546A"/>
                <w:sz w:val="18"/>
                <w:szCs w:val="18"/>
                <w:lang w:val="sr-Cyrl-CS"/>
              </w:rPr>
              <w:t>21</w:t>
            </w:r>
          </w:p>
        </w:tc>
      </w:tr>
    </w:tbl>
    <w:p w14:paraId="71C646B7" w14:textId="77777777" w:rsidR="00330999" w:rsidRPr="00F5596D" w:rsidRDefault="00330999" w:rsidP="00330999">
      <w:pPr>
        <w:jc w:val="left"/>
        <w:rPr>
          <w:rFonts w:ascii="Calibri" w:eastAsia="Calibri" w:hAnsi="Calibri" w:cs="Calibri"/>
          <w:bCs/>
          <w:color w:val="2F5496" w:themeColor="accent1" w:themeShade="BF"/>
          <w:szCs w:val="20"/>
          <w:lang w:val="sr-Cyrl-CS"/>
        </w:rPr>
      </w:pPr>
    </w:p>
    <w:p w14:paraId="5E93C088"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 xml:space="preserve">Према добијеним подацима, у односу на укупан број јединица локалне самоуправе (145), у просеку </w:t>
      </w:r>
      <w:r w:rsidRPr="00F5596D">
        <w:rPr>
          <w:rFonts w:ascii="Calibri" w:eastAsia="Calibri" w:hAnsi="Calibri" w:cs="Calibri"/>
          <w:bCs/>
          <w:szCs w:val="20"/>
          <w:lang w:val="sr-Cyrl-CS"/>
        </w:rPr>
        <w:lastRenderedPageBreak/>
        <w:t>до 10% јединица локалне самоуправе се налази у ризику немогућности испуњавања обавеза из прихода које остварују. У питању су углавном јединице локалне самоуправе са мањим бројем становника које су најчешће недовољно привредно развијене.</w:t>
      </w:r>
    </w:p>
    <w:p w14:paraId="654E0A87"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 xml:space="preserve">Такође, у 2024. години уочено је да расте број јединица локалних самоуправа чије поступање захтева надзор Министарства финансија. С тим у вези, Министарство финансија је у циљу ефикаснијег праћења и благовременог поступања, у четвртом кварталу 2024. године укључило све јединице локалне самоуправе и њихове буџетске кориснике у Систем за централизовани обрачун зарада – ИСКРА, док су у јануару 2025. године јединице локалне самоуправе укључене у Систем за планирање, извршење, рачуноводство и извештавање – СПИРИ. </w:t>
      </w:r>
    </w:p>
    <w:p w14:paraId="7DF6D72C"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Поред наведеног у Упутству за припрему одлука о буџету локалних власти за 2025. годину, прецизиране су смернице за планирање текућих прихода у циљу спречавања да се исти нереално планирају и самим тим преузимају обавезе за чије испуњење не постоје довољна средства.</w:t>
      </w:r>
    </w:p>
    <w:p w14:paraId="01A9B60A"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Последњим изменама Закона о буџетском систему предвиђена је и прекршајна одговорност у случају непоштовања смерница из Упутства за припрему одлука о буџету локалних власти од стране одговорних лица.</w:t>
      </w:r>
    </w:p>
    <w:p w14:paraId="66B94545"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Када су у питању подаци везани за период јануар-април 2025. године уочен је значајан пораст јединица локалне самоуправе чије поступање захтева надзор Министарства финансија. Међутим, код наведених резултата треба узети у обзир то да према динамици остварења прихода у свакој буџетској години у првом кварталу је уобичајено ниже остварење истих (пореза, такси, накнада), као и то да је степен извршења издатака за набавку нефинансијске имовине у истом периоду нижи, те да наведене податке треба пратити на годишњем нивоу.</w:t>
      </w:r>
    </w:p>
    <w:p w14:paraId="6CA34547"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 xml:space="preserve">У вези даљег поступања Министарство финансија планира да у Упутству за припрему одлука о буџету локалних власти за 2026. годину додатно прецизира смернице за планирање износа у одлукама о буџету локалних власти, нарочито </w:t>
      </w:r>
      <w:r w:rsidRPr="00F5596D">
        <w:rPr>
          <w:rFonts w:ascii="Calibri" w:eastAsia="Calibri" w:hAnsi="Calibri" w:cs="Calibri"/>
          <w:bCs/>
          <w:szCs w:val="20"/>
          <w:lang w:val="sr-Cyrl-CS"/>
        </w:rPr>
        <w:t>текућих прихода и расхода за планирање зарада запослених.</w:t>
      </w:r>
    </w:p>
    <w:p w14:paraId="4EA59899" w14:textId="77777777" w:rsidR="00330999" w:rsidRPr="00F5596D" w:rsidRDefault="00330999" w:rsidP="00330999">
      <w:pPr>
        <w:jc w:val="center"/>
        <w:rPr>
          <w:rFonts w:eastAsia="MS PGothic" w:cstheme="minorHAnsi"/>
          <w:b/>
          <w:color w:val="2F5496" w:themeColor="accent1" w:themeShade="BF"/>
          <w:sz w:val="22"/>
          <w:szCs w:val="20"/>
          <w:lang w:val="sr-Cyrl-CS" w:eastAsia="ja-JP"/>
        </w:rPr>
      </w:pPr>
      <w:r w:rsidRPr="00F5596D">
        <w:rPr>
          <w:rFonts w:eastAsia="MS PGothic" w:cstheme="minorHAnsi"/>
          <w:b/>
          <w:color w:val="2F5496" w:themeColor="accent1" w:themeShade="BF"/>
          <w:sz w:val="22"/>
          <w:szCs w:val="20"/>
          <w:lang w:val="sr-Cyrl-CS" w:eastAsia="ja-JP"/>
        </w:rPr>
        <w:t>Индекс оптерећења плаћањима</w:t>
      </w:r>
    </w:p>
    <w:p w14:paraId="41DBFD53" w14:textId="7F8ECA64"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Индекс оптерећења плаћањима има за циљ да покаже у којој мери су буџети јединица локалних самоуправа способни да у кратком року измирују обавезе плаћања, у којој мери преузете обавезе утичу на њихову финансијску одрживост, као и у којој мери су јединице локалне са</w:t>
      </w:r>
      <w:r w:rsidR="00F5596D">
        <w:rPr>
          <w:rFonts w:ascii="Calibri" w:eastAsia="Calibri" w:hAnsi="Calibri" w:cs="Calibri"/>
          <w:bCs/>
          <w:szCs w:val="20"/>
          <w:lang w:val="sr-Cyrl-CS"/>
        </w:rPr>
        <w:t>м</w:t>
      </w:r>
      <w:r w:rsidRPr="00F5596D">
        <w:rPr>
          <w:rFonts w:ascii="Calibri" w:eastAsia="Calibri" w:hAnsi="Calibri" w:cs="Calibri"/>
          <w:bCs/>
          <w:szCs w:val="20"/>
          <w:lang w:val="sr-Cyrl-CS"/>
        </w:rPr>
        <w:t>оуправе способне да из текућих прихода сервисирају кредитни дуг и висину каматног оптерећења.</w:t>
      </w:r>
    </w:p>
    <w:p w14:paraId="2F922787" w14:textId="77777777" w:rsidR="00330999" w:rsidRPr="00F5596D" w:rsidRDefault="00330999" w:rsidP="00330999">
      <w:pPr>
        <w:jc w:val="center"/>
        <w:rPr>
          <w:rFonts w:cstheme="minorHAnsi"/>
          <w:b/>
          <w:szCs w:val="20"/>
          <w:lang w:val="sr-Cyrl-CS"/>
        </w:rPr>
      </w:pPr>
      <w:r w:rsidRPr="00F5596D">
        <w:rPr>
          <w:rFonts w:ascii="Calibri" w:eastAsia="Calibri" w:hAnsi="Calibri" w:cs="Calibri"/>
          <w:bCs/>
          <w:color w:val="2F5496" w:themeColor="accent1" w:themeShade="BF"/>
          <w:szCs w:val="20"/>
          <w:lang w:val="sr-Cyrl-CS"/>
        </w:rPr>
        <w:t xml:space="preserve"> </w:t>
      </w:r>
      <w:r w:rsidRPr="00F5596D">
        <w:rPr>
          <w:rFonts w:eastAsia="MS PGothic" w:cstheme="minorHAnsi"/>
          <w:b/>
          <w:color w:val="002060"/>
          <w:szCs w:val="20"/>
          <w:lang w:val="sr-Cyrl-CS" w:eastAsia="ja-JP"/>
        </w:rPr>
        <w:t>Табеларни приказ оптерећења плаћањима ЈЛС</w:t>
      </w:r>
    </w:p>
    <w:tbl>
      <w:tblPr>
        <w:tblW w:w="4375" w:type="dxa"/>
        <w:tblLook w:val="04A0" w:firstRow="1" w:lastRow="0" w:firstColumn="1" w:lastColumn="0" w:noHBand="0" w:noVBand="1"/>
      </w:tblPr>
      <w:tblGrid>
        <w:gridCol w:w="1392"/>
        <w:gridCol w:w="764"/>
        <w:gridCol w:w="691"/>
        <w:gridCol w:w="691"/>
        <w:gridCol w:w="837"/>
      </w:tblGrid>
      <w:tr w:rsidR="00330999" w:rsidRPr="00F5596D" w14:paraId="711D4B29" w14:textId="77777777" w:rsidTr="00E61B34">
        <w:trPr>
          <w:trHeight w:val="515"/>
        </w:trPr>
        <w:tc>
          <w:tcPr>
            <w:tcW w:w="1392" w:type="dxa"/>
            <w:tcBorders>
              <w:top w:val="single" w:sz="4" w:space="0" w:color="auto"/>
              <w:left w:val="nil"/>
              <w:bottom w:val="single" w:sz="4" w:space="0" w:color="auto"/>
              <w:right w:val="nil"/>
            </w:tcBorders>
            <w:shd w:val="clear" w:color="auto" w:fill="auto"/>
            <w:noWrap/>
            <w:vAlign w:val="bottom"/>
            <w:hideMark/>
          </w:tcPr>
          <w:p w14:paraId="15033FBC"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Степен ризика</w:t>
            </w:r>
          </w:p>
        </w:tc>
        <w:tc>
          <w:tcPr>
            <w:tcW w:w="764" w:type="dxa"/>
            <w:tcBorders>
              <w:top w:val="single" w:sz="4" w:space="0" w:color="auto"/>
              <w:left w:val="nil"/>
              <w:bottom w:val="single" w:sz="4" w:space="0" w:color="auto"/>
              <w:right w:val="nil"/>
            </w:tcBorders>
            <w:shd w:val="clear" w:color="auto" w:fill="auto"/>
            <w:noWrap/>
            <w:vAlign w:val="bottom"/>
            <w:hideMark/>
          </w:tcPr>
          <w:p w14:paraId="38B0D308"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2022</w:t>
            </w:r>
          </w:p>
        </w:tc>
        <w:tc>
          <w:tcPr>
            <w:tcW w:w="691" w:type="dxa"/>
            <w:tcBorders>
              <w:top w:val="single" w:sz="4" w:space="0" w:color="auto"/>
              <w:left w:val="nil"/>
              <w:bottom w:val="single" w:sz="4" w:space="0" w:color="auto"/>
              <w:right w:val="nil"/>
            </w:tcBorders>
            <w:shd w:val="clear" w:color="auto" w:fill="auto"/>
            <w:noWrap/>
            <w:vAlign w:val="bottom"/>
            <w:hideMark/>
          </w:tcPr>
          <w:p w14:paraId="729CBB89"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2023</w:t>
            </w:r>
          </w:p>
        </w:tc>
        <w:tc>
          <w:tcPr>
            <w:tcW w:w="691" w:type="dxa"/>
            <w:tcBorders>
              <w:top w:val="single" w:sz="4" w:space="0" w:color="auto"/>
              <w:left w:val="nil"/>
              <w:bottom w:val="single" w:sz="4" w:space="0" w:color="auto"/>
              <w:right w:val="nil"/>
            </w:tcBorders>
            <w:shd w:val="clear" w:color="auto" w:fill="auto"/>
            <w:noWrap/>
            <w:vAlign w:val="bottom"/>
            <w:hideMark/>
          </w:tcPr>
          <w:p w14:paraId="01D36A9D"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2024</w:t>
            </w:r>
          </w:p>
        </w:tc>
        <w:tc>
          <w:tcPr>
            <w:tcW w:w="837" w:type="dxa"/>
            <w:tcBorders>
              <w:top w:val="single" w:sz="4" w:space="0" w:color="auto"/>
              <w:left w:val="nil"/>
              <w:bottom w:val="single" w:sz="4" w:space="0" w:color="auto"/>
              <w:right w:val="nil"/>
            </w:tcBorders>
            <w:shd w:val="clear" w:color="auto" w:fill="auto"/>
            <w:noWrap/>
            <w:vAlign w:val="bottom"/>
            <w:hideMark/>
          </w:tcPr>
          <w:p w14:paraId="26ADB59F"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јaн-aпр 2025</w:t>
            </w:r>
          </w:p>
        </w:tc>
      </w:tr>
      <w:tr w:rsidR="00330999" w:rsidRPr="00F5596D" w14:paraId="38DD2881" w14:textId="77777777" w:rsidTr="00E61B34">
        <w:trPr>
          <w:trHeight w:val="262"/>
        </w:trPr>
        <w:tc>
          <w:tcPr>
            <w:tcW w:w="1392" w:type="dxa"/>
            <w:tcBorders>
              <w:top w:val="nil"/>
              <w:left w:val="nil"/>
              <w:bottom w:val="nil"/>
              <w:right w:val="nil"/>
            </w:tcBorders>
            <w:shd w:val="clear" w:color="auto" w:fill="auto"/>
            <w:noWrap/>
            <w:vAlign w:val="bottom"/>
            <w:hideMark/>
          </w:tcPr>
          <w:p w14:paraId="0BD94FCB" w14:textId="77777777" w:rsidR="00330999" w:rsidRPr="00F5596D" w:rsidRDefault="00330999" w:rsidP="00E61B34">
            <w:pPr>
              <w:spacing w:after="0"/>
              <w:jc w:val="center"/>
              <w:rPr>
                <w:rFonts w:cstheme="minorHAnsi"/>
                <w:sz w:val="18"/>
                <w:szCs w:val="18"/>
                <w:lang w:val="sr-Cyrl-CS"/>
              </w:rPr>
            </w:pPr>
            <w:r w:rsidRPr="00F5596D">
              <w:rPr>
                <w:rFonts w:cstheme="minorHAnsi"/>
                <w:sz w:val="18"/>
                <w:szCs w:val="18"/>
                <w:lang w:val="sr-Cyrl-CS"/>
              </w:rPr>
              <w:t>Нормалан ризик</w:t>
            </w:r>
          </w:p>
        </w:tc>
        <w:tc>
          <w:tcPr>
            <w:tcW w:w="764" w:type="dxa"/>
            <w:tcBorders>
              <w:top w:val="nil"/>
              <w:left w:val="nil"/>
              <w:bottom w:val="nil"/>
              <w:right w:val="nil"/>
            </w:tcBorders>
            <w:shd w:val="clear" w:color="auto" w:fill="auto"/>
            <w:noWrap/>
            <w:vAlign w:val="center"/>
            <w:hideMark/>
          </w:tcPr>
          <w:p w14:paraId="2AD6E7CE"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78</w:t>
            </w:r>
          </w:p>
        </w:tc>
        <w:tc>
          <w:tcPr>
            <w:tcW w:w="691" w:type="dxa"/>
            <w:tcBorders>
              <w:top w:val="nil"/>
              <w:left w:val="nil"/>
              <w:bottom w:val="nil"/>
              <w:right w:val="nil"/>
            </w:tcBorders>
            <w:shd w:val="clear" w:color="auto" w:fill="auto"/>
            <w:noWrap/>
            <w:vAlign w:val="center"/>
            <w:hideMark/>
          </w:tcPr>
          <w:p w14:paraId="11878123"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78</w:t>
            </w:r>
          </w:p>
        </w:tc>
        <w:tc>
          <w:tcPr>
            <w:tcW w:w="691" w:type="dxa"/>
            <w:tcBorders>
              <w:top w:val="nil"/>
              <w:left w:val="nil"/>
              <w:bottom w:val="nil"/>
              <w:right w:val="nil"/>
            </w:tcBorders>
            <w:shd w:val="clear" w:color="auto" w:fill="auto"/>
            <w:noWrap/>
            <w:vAlign w:val="center"/>
            <w:hideMark/>
          </w:tcPr>
          <w:p w14:paraId="1671D124"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88</w:t>
            </w:r>
          </w:p>
        </w:tc>
        <w:tc>
          <w:tcPr>
            <w:tcW w:w="837" w:type="dxa"/>
            <w:tcBorders>
              <w:top w:val="nil"/>
              <w:left w:val="nil"/>
              <w:bottom w:val="nil"/>
              <w:right w:val="nil"/>
            </w:tcBorders>
            <w:shd w:val="clear" w:color="auto" w:fill="auto"/>
            <w:noWrap/>
            <w:vAlign w:val="bottom"/>
            <w:hideMark/>
          </w:tcPr>
          <w:p w14:paraId="2771191D" w14:textId="77777777" w:rsidR="00330999" w:rsidRPr="00F5596D" w:rsidRDefault="00330999" w:rsidP="00E61B34">
            <w:pPr>
              <w:spacing w:after="0" w:line="360" w:lineRule="auto"/>
              <w:jc w:val="center"/>
              <w:rPr>
                <w:rFonts w:cstheme="minorHAnsi"/>
                <w:b/>
                <w:sz w:val="18"/>
                <w:szCs w:val="18"/>
                <w:lang w:val="sr-Cyrl-CS"/>
              </w:rPr>
            </w:pPr>
            <w:r w:rsidRPr="00F5596D">
              <w:rPr>
                <w:rFonts w:cstheme="minorHAnsi"/>
                <w:b/>
                <w:sz w:val="18"/>
                <w:szCs w:val="18"/>
                <w:lang w:val="sr-Cyrl-CS"/>
              </w:rPr>
              <w:t>95</w:t>
            </w:r>
          </w:p>
        </w:tc>
      </w:tr>
      <w:tr w:rsidR="00330999" w:rsidRPr="00F5596D" w14:paraId="049F8D34" w14:textId="77777777" w:rsidTr="00E61B34">
        <w:trPr>
          <w:trHeight w:val="262"/>
        </w:trPr>
        <w:tc>
          <w:tcPr>
            <w:tcW w:w="1392" w:type="dxa"/>
            <w:tcBorders>
              <w:top w:val="nil"/>
              <w:left w:val="nil"/>
              <w:bottom w:val="nil"/>
              <w:right w:val="nil"/>
            </w:tcBorders>
            <w:shd w:val="clear" w:color="auto" w:fill="auto"/>
            <w:noWrap/>
            <w:vAlign w:val="bottom"/>
            <w:hideMark/>
          </w:tcPr>
          <w:p w14:paraId="1767B4D5" w14:textId="77777777" w:rsidR="00330999" w:rsidRPr="00F5596D" w:rsidRDefault="00330999" w:rsidP="00E61B34">
            <w:pPr>
              <w:spacing w:after="0"/>
              <w:jc w:val="center"/>
              <w:rPr>
                <w:rFonts w:cstheme="minorHAnsi"/>
                <w:sz w:val="18"/>
                <w:szCs w:val="18"/>
                <w:lang w:val="sr-Cyrl-CS"/>
              </w:rPr>
            </w:pPr>
            <w:r w:rsidRPr="00F5596D">
              <w:rPr>
                <w:rFonts w:cstheme="minorHAnsi"/>
                <w:sz w:val="18"/>
                <w:szCs w:val="18"/>
                <w:lang w:val="sr-Cyrl-CS"/>
              </w:rPr>
              <w:t>Под надзором</w:t>
            </w:r>
          </w:p>
        </w:tc>
        <w:tc>
          <w:tcPr>
            <w:tcW w:w="764" w:type="dxa"/>
            <w:tcBorders>
              <w:top w:val="nil"/>
              <w:left w:val="nil"/>
              <w:bottom w:val="nil"/>
              <w:right w:val="nil"/>
            </w:tcBorders>
            <w:shd w:val="clear" w:color="auto" w:fill="auto"/>
            <w:noWrap/>
            <w:vAlign w:val="center"/>
            <w:hideMark/>
          </w:tcPr>
          <w:p w14:paraId="00910C4D"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44</w:t>
            </w:r>
          </w:p>
        </w:tc>
        <w:tc>
          <w:tcPr>
            <w:tcW w:w="691" w:type="dxa"/>
            <w:tcBorders>
              <w:top w:val="nil"/>
              <w:left w:val="nil"/>
              <w:bottom w:val="nil"/>
              <w:right w:val="nil"/>
            </w:tcBorders>
            <w:shd w:val="clear" w:color="auto" w:fill="auto"/>
            <w:noWrap/>
            <w:vAlign w:val="center"/>
            <w:hideMark/>
          </w:tcPr>
          <w:p w14:paraId="57918CEF"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43</w:t>
            </w:r>
          </w:p>
        </w:tc>
        <w:tc>
          <w:tcPr>
            <w:tcW w:w="691" w:type="dxa"/>
            <w:tcBorders>
              <w:top w:val="nil"/>
              <w:left w:val="nil"/>
              <w:bottom w:val="nil"/>
              <w:right w:val="nil"/>
            </w:tcBorders>
            <w:shd w:val="clear" w:color="auto" w:fill="auto"/>
            <w:noWrap/>
            <w:vAlign w:val="center"/>
            <w:hideMark/>
          </w:tcPr>
          <w:p w14:paraId="05D8980D"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34</w:t>
            </w:r>
          </w:p>
        </w:tc>
        <w:tc>
          <w:tcPr>
            <w:tcW w:w="837" w:type="dxa"/>
            <w:tcBorders>
              <w:top w:val="nil"/>
              <w:left w:val="nil"/>
              <w:bottom w:val="nil"/>
              <w:right w:val="nil"/>
            </w:tcBorders>
            <w:shd w:val="clear" w:color="auto" w:fill="auto"/>
            <w:noWrap/>
            <w:vAlign w:val="bottom"/>
            <w:hideMark/>
          </w:tcPr>
          <w:p w14:paraId="614DE6E3" w14:textId="77777777" w:rsidR="00330999" w:rsidRPr="00F5596D" w:rsidRDefault="00330999" w:rsidP="00E61B34">
            <w:pPr>
              <w:spacing w:after="0" w:line="360" w:lineRule="auto"/>
              <w:jc w:val="center"/>
              <w:rPr>
                <w:rFonts w:cstheme="minorHAnsi"/>
                <w:b/>
                <w:sz w:val="18"/>
                <w:szCs w:val="18"/>
                <w:lang w:val="sr-Cyrl-CS"/>
              </w:rPr>
            </w:pPr>
            <w:r w:rsidRPr="00F5596D">
              <w:rPr>
                <w:rFonts w:cstheme="minorHAnsi"/>
                <w:b/>
                <w:sz w:val="18"/>
                <w:szCs w:val="18"/>
                <w:lang w:val="sr-Cyrl-CS"/>
              </w:rPr>
              <w:t>34</w:t>
            </w:r>
          </w:p>
        </w:tc>
      </w:tr>
      <w:tr w:rsidR="00330999" w:rsidRPr="00F5596D" w14:paraId="247F7FAC" w14:textId="77777777" w:rsidTr="00E61B34">
        <w:trPr>
          <w:trHeight w:val="272"/>
        </w:trPr>
        <w:tc>
          <w:tcPr>
            <w:tcW w:w="1392" w:type="dxa"/>
            <w:tcBorders>
              <w:top w:val="nil"/>
              <w:left w:val="nil"/>
              <w:bottom w:val="single" w:sz="8" w:space="0" w:color="auto"/>
              <w:right w:val="nil"/>
            </w:tcBorders>
            <w:shd w:val="clear" w:color="auto" w:fill="auto"/>
            <w:noWrap/>
            <w:vAlign w:val="bottom"/>
            <w:hideMark/>
          </w:tcPr>
          <w:p w14:paraId="77F8A53B" w14:textId="77777777" w:rsidR="00330999" w:rsidRPr="00F5596D" w:rsidRDefault="00330999" w:rsidP="00E61B34">
            <w:pPr>
              <w:spacing w:after="0"/>
              <w:jc w:val="center"/>
              <w:rPr>
                <w:rFonts w:cstheme="minorHAnsi"/>
                <w:sz w:val="18"/>
                <w:szCs w:val="18"/>
                <w:lang w:val="sr-Cyrl-CS"/>
              </w:rPr>
            </w:pPr>
            <w:r w:rsidRPr="00F5596D">
              <w:rPr>
                <w:rFonts w:cstheme="minorHAnsi"/>
                <w:sz w:val="18"/>
                <w:szCs w:val="18"/>
                <w:lang w:val="sr-Cyrl-CS"/>
              </w:rPr>
              <w:t>У ризику</w:t>
            </w:r>
          </w:p>
        </w:tc>
        <w:tc>
          <w:tcPr>
            <w:tcW w:w="764" w:type="dxa"/>
            <w:tcBorders>
              <w:top w:val="nil"/>
              <w:left w:val="nil"/>
              <w:bottom w:val="single" w:sz="8" w:space="0" w:color="auto"/>
              <w:right w:val="nil"/>
            </w:tcBorders>
            <w:shd w:val="clear" w:color="auto" w:fill="auto"/>
            <w:noWrap/>
            <w:vAlign w:val="center"/>
            <w:hideMark/>
          </w:tcPr>
          <w:p w14:paraId="18E7C21F"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23</w:t>
            </w:r>
          </w:p>
        </w:tc>
        <w:tc>
          <w:tcPr>
            <w:tcW w:w="691" w:type="dxa"/>
            <w:tcBorders>
              <w:top w:val="nil"/>
              <w:left w:val="nil"/>
              <w:bottom w:val="single" w:sz="8" w:space="0" w:color="auto"/>
              <w:right w:val="nil"/>
            </w:tcBorders>
            <w:shd w:val="clear" w:color="auto" w:fill="auto"/>
            <w:noWrap/>
            <w:vAlign w:val="center"/>
            <w:hideMark/>
          </w:tcPr>
          <w:p w14:paraId="0E0ED224"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24</w:t>
            </w:r>
          </w:p>
        </w:tc>
        <w:tc>
          <w:tcPr>
            <w:tcW w:w="691" w:type="dxa"/>
            <w:tcBorders>
              <w:top w:val="nil"/>
              <w:left w:val="nil"/>
              <w:bottom w:val="single" w:sz="8" w:space="0" w:color="auto"/>
              <w:right w:val="nil"/>
            </w:tcBorders>
            <w:shd w:val="clear" w:color="auto" w:fill="auto"/>
            <w:noWrap/>
            <w:vAlign w:val="center"/>
            <w:hideMark/>
          </w:tcPr>
          <w:p w14:paraId="69A06F5D" w14:textId="77777777" w:rsidR="00330999" w:rsidRPr="00F5596D" w:rsidRDefault="00330999" w:rsidP="00E61B34">
            <w:pPr>
              <w:spacing w:after="0"/>
              <w:jc w:val="center"/>
              <w:rPr>
                <w:rFonts w:cstheme="minorHAnsi"/>
                <w:b/>
                <w:sz w:val="18"/>
                <w:szCs w:val="18"/>
                <w:lang w:val="sr-Cyrl-CS"/>
              </w:rPr>
            </w:pPr>
            <w:r w:rsidRPr="00F5596D">
              <w:rPr>
                <w:rFonts w:cstheme="minorHAnsi"/>
                <w:b/>
                <w:sz w:val="18"/>
                <w:szCs w:val="18"/>
                <w:lang w:val="sr-Cyrl-CS"/>
              </w:rPr>
              <w:t>23</w:t>
            </w:r>
          </w:p>
        </w:tc>
        <w:tc>
          <w:tcPr>
            <w:tcW w:w="837" w:type="dxa"/>
            <w:tcBorders>
              <w:top w:val="nil"/>
              <w:left w:val="nil"/>
              <w:bottom w:val="single" w:sz="8" w:space="0" w:color="auto"/>
              <w:right w:val="nil"/>
            </w:tcBorders>
            <w:shd w:val="clear" w:color="auto" w:fill="auto"/>
            <w:noWrap/>
            <w:vAlign w:val="bottom"/>
            <w:hideMark/>
          </w:tcPr>
          <w:p w14:paraId="4ADD3D25" w14:textId="77777777" w:rsidR="00330999" w:rsidRPr="00F5596D" w:rsidRDefault="00330999" w:rsidP="00E61B34">
            <w:pPr>
              <w:spacing w:after="0" w:line="360" w:lineRule="auto"/>
              <w:jc w:val="center"/>
              <w:rPr>
                <w:rFonts w:cstheme="minorHAnsi"/>
                <w:b/>
                <w:sz w:val="18"/>
                <w:szCs w:val="18"/>
                <w:lang w:val="sr-Cyrl-CS"/>
              </w:rPr>
            </w:pPr>
            <w:r w:rsidRPr="00F5596D">
              <w:rPr>
                <w:rFonts w:cstheme="minorHAnsi"/>
                <w:b/>
                <w:sz w:val="18"/>
                <w:szCs w:val="18"/>
                <w:lang w:val="sr-Cyrl-CS"/>
              </w:rPr>
              <w:t> 16</w:t>
            </w:r>
          </w:p>
        </w:tc>
      </w:tr>
    </w:tbl>
    <w:p w14:paraId="4A51AB0C" w14:textId="77777777" w:rsidR="00330999" w:rsidRPr="00F5596D" w:rsidRDefault="00330999" w:rsidP="00330999">
      <w:pPr>
        <w:rPr>
          <w:rFonts w:ascii="Calibri" w:eastAsia="Calibri" w:hAnsi="Calibri" w:cs="Calibri"/>
          <w:bCs/>
          <w:color w:val="2F5496" w:themeColor="accent1" w:themeShade="BF"/>
          <w:szCs w:val="20"/>
          <w:lang w:val="sr-Cyrl-CS"/>
        </w:rPr>
      </w:pPr>
    </w:p>
    <w:p w14:paraId="3A1BC2BA"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Према добијеним подацима везаним за стање оптерећења плаћањима јединица локалних самоуправа у периоду 2022-2024. године. утврђено је да већина јединица локалних самоуправа функционише под нормалним ризиком (56%), да око 27% јединица локалних самоуправа захтева надзор, док око 15% јединица локалних самоуправа је у ризику.</w:t>
      </w:r>
    </w:p>
    <w:p w14:paraId="560A2B77"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Јединице локалне самоуправе које су у ризику су најчешће оне јединице локалне самоуправе које поред кредитног задужења за потребе реализације капиталних пројеката, имају и друге преузете обавезе на расходној страни које значајно оптерећују њихов буџет.</w:t>
      </w:r>
    </w:p>
    <w:p w14:paraId="5F326286"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 xml:space="preserve">Када су у питању подаци везани за период јануар-април 2025. године уочен је значајан пораст јединица локалних самоуправа које функционишу са ниским ризиком. Mеђутим, као и код индекса процене способности самофинансирања, и овде треба имати у виду да су у посматраном периоду одређени параметри на ниском нивоу (нпр. краткорочне обавезе), те да ове податке треба пратити на годишњем нивоу. </w:t>
      </w:r>
    </w:p>
    <w:p w14:paraId="2AFA96E8"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lastRenderedPageBreak/>
        <w:t>У циљу контроле задуживања јединица локалних самоуправа Министарство финансија је у складу са чл. 33-37. Закона о јавном дугу у претходним годинама преузело значајне кораке.</w:t>
      </w:r>
    </w:p>
    <w:p w14:paraId="6A7C0F28"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Јединице локалне самоуправе које желе да се кредитно задуже ради финансирања капиталних пројеката или текуће ликвидности морају пре доношења скупштинскe одлуке о задуживању да претходно прибаве сагласност Министарства финансија.</w:t>
      </w:r>
    </w:p>
    <w:p w14:paraId="345E594F"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Министарство финансија приликом разматрања захтева за кредитно задуживање првенствено посматра да ли су јединице локалне самоуправе поштовале смернице из Упутства за припрему одлука о буџету локалних власти за текућу годину, те уколико нису то чиниле не могу добити сагласност за кредитно задуживање.</w:t>
      </w:r>
    </w:p>
    <w:p w14:paraId="2294F522" w14:textId="0B93C266"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Поред наведеног Законом о јавном дугу су постављени и лимити до којих се локалне власти могу кредитно задужити. Јединице локалне самоуправе се могу кредитно задужити ради финансирања текуће ликв</w:t>
      </w:r>
      <w:r w:rsidR="00F5596D">
        <w:rPr>
          <w:rFonts w:ascii="Calibri" w:eastAsia="Calibri" w:hAnsi="Calibri" w:cs="Calibri"/>
          <w:bCs/>
          <w:szCs w:val="20"/>
          <w:lang w:val="sr-Cyrl-CS"/>
        </w:rPr>
        <w:t>и</w:t>
      </w:r>
      <w:r w:rsidRPr="00F5596D">
        <w:rPr>
          <w:rFonts w:ascii="Calibri" w:eastAsia="Calibri" w:hAnsi="Calibri" w:cs="Calibri"/>
          <w:bCs/>
          <w:szCs w:val="20"/>
          <w:lang w:val="sr-Cyrl-CS"/>
        </w:rPr>
        <w:t>дности до висине од 5% од износа остварених текућих прихода у претходној буџетској години, с тим што тај износ кредита мора бити враћен то краја текуће буџетске године и исти се не може рефинансирати нити преносити у наредну буџетску годину.</w:t>
      </w:r>
    </w:p>
    <w:p w14:paraId="478CCD20"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 xml:space="preserve">Кредитно задуживање јединица локалне самоуправе ради финансирања капиталних </w:t>
      </w:r>
      <w:r w:rsidRPr="00F5596D">
        <w:rPr>
          <w:rFonts w:ascii="Calibri" w:eastAsia="Calibri" w:hAnsi="Calibri" w:cs="Calibri"/>
          <w:bCs/>
          <w:szCs w:val="20"/>
          <w:lang w:val="sr-Cyrl-CS"/>
        </w:rPr>
        <w:t>пројеката је ограничено до 50% од вредности остварених текућих прихода у претходној буџетској години, с тим да износ главнице и камате који доспева у свакој години на сва неизмирена дугорочна задуживања за финансирање капиталних инвестиционих расхода, не може бити већи од 15% укупно остварених текућих прихода буџета локалне власти у претходној години.</w:t>
      </w:r>
    </w:p>
    <w:p w14:paraId="7FA6322B"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Уз примену ових законских одредби, као и редовну контролу која се врши од стране Министарства финансија спречено је да јединице локалне самоуправе могу доћи у стање презадужености, те омогућавања да уз постојеће стање дуга могу нормално да функционишу и обављају послове из своје надлежности.</w:t>
      </w:r>
    </w:p>
    <w:p w14:paraId="25DF8AE4" w14:textId="77777777" w:rsidR="00330999" w:rsidRPr="00F5596D" w:rsidRDefault="00330999" w:rsidP="00330999">
      <w:pPr>
        <w:rPr>
          <w:rFonts w:ascii="Calibri" w:eastAsia="Calibri" w:hAnsi="Calibri" w:cs="Calibri"/>
          <w:bCs/>
          <w:szCs w:val="20"/>
          <w:lang w:val="sr-Cyrl-CS"/>
        </w:rPr>
      </w:pPr>
      <w:r w:rsidRPr="00F5596D">
        <w:rPr>
          <w:rFonts w:ascii="Calibri" w:eastAsia="Calibri" w:hAnsi="Calibri" w:cs="Calibri"/>
          <w:bCs/>
          <w:szCs w:val="20"/>
          <w:lang w:val="sr-Cyrl-CS"/>
        </w:rPr>
        <w:t>Поред наведеног, у новембру 2023. године локалне власти су укључене у Систем за извештавање о стању јавног дуга аутономних покрајина и јединица локалне самоуправе (СИЈД) који омогућава праћење података о задужењима и отплати кредита, пласману новчаних средстава и емисији и отплати хартија од вредности, као и креирање захтева за добијање сагласности о задуживању.</w:t>
      </w:r>
    </w:p>
    <w:p w14:paraId="6DAFD6A6" w14:textId="21D43A9D" w:rsidR="00531E48" w:rsidRPr="00F5596D" w:rsidRDefault="00330999" w:rsidP="00330999">
      <w:pPr>
        <w:rPr>
          <w:rFonts w:ascii="Calibri" w:eastAsia="Calibri" w:hAnsi="Calibri" w:cs="Calibri"/>
          <w:bCs/>
          <w:szCs w:val="20"/>
          <w:lang w:val="sr-Cyrl-CS"/>
        </w:rPr>
        <w:sectPr w:rsidR="00531E48" w:rsidRPr="00F5596D" w:rsidSect="00531E48">
          <w:headerReference w:type="even" r:id="rId191"/>
          <w:footerReference w:type="even" r:id="rId192"/>
          <w:footerReference w:type="default" r:id="rId193"/>
          <w:headerReference w:type="first" r:id="rId194"/>
          <w:type w:val="continuous"/>
          <w:pgSz w:w="12240" w:h="15840" w:code="1"/>
          <w:pgMar w:top="1440" w:right="1440" w:bottom="1440" w:left="1440" w:header="720" w:footer="720" w:gutter="0"/>
          <w:cols w:num="2" w:space="720"/>
          <w:docGrid w:linePitch="360"/>
        </w:sectPr>
      </w:pPr>
      <w:r w:rsidRPr="00F5596D">
        <w:rPr>
          <w:rFonts w:ascii="Calibri" w:eastAsia="Calibri" w:hAnsi="Calibri" w:cs="Calibri"/>
          <w:bCs/>
          <w:szCs w:val="20"/>
          <w:lang w:val="sr-Cyrl-CS"/>
        </w:rPr>
        <w:t>Министарство финансија у наредном периоду планира да настави рад са свим јединицама локалне самоуправе, а нарочито са оним чије је функционисање према наведеним пар</w:t>
      </w:r>
      <w:r w:rsidR="00846B62" w:rsidRPr="00F5596D">
        <w:rPr>
          <w:rFonts w:ascii="Calibri" w:eastAsia="Calibri" w:hAnsi="Calibri" w:cs="Calibri"/>
          <w:bCs/>
          <w:szCs w:val="20"/>
          <w:lang w:val="sr-Cyrl-CS"/>
        </w:rPr>
        <w:t>аметрима</w:t>
      </w:r>
      <w:r w:rsidR="00531E48" w:rsidRPr="00F5596D">
        <w:rPr>
          <w:rFonts w:ascii="Calibri" w:eastAsia="Calibri" w:hAnsi="Calibri" w:cs="Calibri"/>
          <w:bCs/>
          <w:szCs w:val="20"/>
          <w:lang w:val="sr-Cyrl-CS"/>
        </w:rPr>
        <w:t xml:space="preserve"> означено као ризично.</w:t>
      </w:r>
    </w:p>
    <w:p w14:paraId="1163B3D5" w14:textId="77777777" w:rsidR="004F4BC8" w:rsidRPr="00F5596D" w:rsidRDefault="004F4BC8">
      <w:pPr>
        <w:jc w:val="left"/>
        <w:rPr>
          <w:rFonts w:eastAsiaTheme="majorEastAsia" w:cstheme="minorHAnsi"/>
          <w:b/>
          <w:color w:val="2F5496" w:themeColor="accent1" w:themeShade="BF"/>
          <w:sz w:val="24"/>
          <w:szCs w:val="26"/>
          <w:lang w:val="sr-Cyrl-CS"/>
        </w:rPr>
      </w:pPr>
      <w:r w:rsidRPr="00F5596D">
        <w:rPr>
          <w:rFonts w:cstheme="minorHAnsi"/>
          <w:lang w:val="sr-Cyrl-CS"/>
        </w:rPr>
        <w:br w:type="page"/>
      </w:r>
    </w:p>
    <w:p w14:paraId="76AF6D71" w14:textId="63587E43" w:rsidR="00683785" w:rsidRPr="00F5596D" w:rsidRDefault="00683785" w:rsidP="004F4BC8">
      <w:pPr>
        <w:pStyle w:val="Heading2"/>
        <w:numPr>
          <w:ilvl w:val="0"/>
          <w:numId w:val="28"/>
        </w:numPr>
        <w:rPr>
          <w:rFonts w:asciiTheme="minorHAnsi" w:hAnsiTheme="minorHAnsi" w:cstheme="minorHAnsi"/>
          <w:lang w:val="sr-Cyrl-CS"/>
        </w:rPr>
      </w:pPr>
      <w:bookmarkStart w:id="55" w:name="_Toc200117999"/>
      <w:r w:rsidRPr="00F5596D">
        <w:rPr>
          <w:rFonts w:asciiTheme="minorHAnsi" w:hAnsiTheme="minorHAnsi" w:cstheme="minorHAnsi"/>
          <w:lang w:val="sr-Cyrl-CS"/>
        </w:rPr>
        <w:lastRenderedPageBreak/>
        <w:t>Циклично прилагођени и структурни фискални биланс</w:t>
      </w:r>
      <w:bookmarkEnd w:id="55"/>
    </w:p>
    <w:p w14:paraId="3212B8BB" w14:textId="77777777" w:rsidR="004F4BC8" w:rsidRPr="00F5596D" w:rsidRDefault="004F4BC8" w:rsidP="004F4BC8">
      <w:pPr>
        <w:pStyle w:val="ListParagraph"/>
        <w:rPr>
          <w:lang w:val="sr-Cyrl-CS"/>
        </w:rPr>
      </w:pPr>
    </w:p>
    <w:p w14:paraId="6DBFEEEA" w14:textId="77777777" w:rsidR="004F4BC8" w:rsidRPr="00F5596D" w:rsidRDefault="004F4BC8" w:rsidP="004F4BC8">
      <w:pPr>
        <w:rPr>
          <w:lang w:val="sr-Cyrl-CS"/>
        </w:rPr>
        <w:sectPr w:rsidR="004F4BC8" w:rsidRPr="00F5596D" w:rsidSect="008D31CC">
          <w:type w:val="continuous"/>
          <w:pgSz w:w="12240" w:h="15840" w:code="1"/>
          <w:pgMar w:top="1440" w:right="1440" w:bottom="1440" w:left="1440" w:header="720" w:footer="720" w:gutter="0"/>
          <w:cols w:space="720"/>
          <w:docGrid w:linePitch="360"/>
        </w:sectPr>
      </w:pPr>
    </w:p>
    <w:p w14:paraId="430688DA" w14:textId="77777777" w:rsidR="00683785" w:rsidRPr="00F5596D" w:rsidRDefault="00683785" w:rsidP="00683785">
      <w:pPr>
        <w:spacing w:after="120"/>
        <w:rPr>
          <w:rFonts w:ascii="Calibri" w:eastAsia="MS PGothic" w:hAnsi="Calibri" w:cs="Calibri"/>
          <w:szCs w:val="20"/>
          <w:lang w:val="sr-Cyrl-CS" w:eastAsia="ja-JP"/>
        </w:rPr>
      </w:pPr>
      <w:bookmarkStart w:id="56" w:name="_Toc499650054"/>
      <w:bookmarkStart w:id="57" w:name="_Toc530635110"/>
      <w:bookmarkStart w:id="58" w:name="_Toc11155996"/>
      <w:r w:rsidRPr="00F5596D">
        <w:rPr>
          <w:rFonts w:eastAsia="MS PGothic" w:cstheme="minorHAnsi"/>
          <w:szCs w:val="20"/>
          <w:lang w:val="sr-Cyrl-CS" w:eastAsia="ja-JP"/>
        </w:rPr>
        <w:t>Циклично прилагођени фискални биланс је фискални биланс из кога је искључен изоловани утицај привредног циклуса, а</w:t>
      </w:r>
      <w:r w:rsidRPr="00F5596D">
        <w:rPr>
          <w:rFonts w:ascii="Calibri" w:eastAsia="MS PGothic" w:hAnsi="Calibri" w:cs="Calibri"/>
          <w:szCs w:val="20"/>
          <w:lang w:val="sr-Cyrl-CS" w:eastAsia="ja-JP"/>
        </w:rPr>
        <w:t xml:space="preserve"> идентитет од кога се полази је следећи:</w:t>
      </w:r>
    </w:p>
    <w:p w14:paraId="6CBCF653" w14:textId="5FC83AA9" w:rsidR="00683785" w:rsidRPr="00F5596D" w:rsidRDefault="00683785" w:rsidP="00683785">
      <w:pPr>
        <w:spacing w:after="120"/>
        <w:jc w:val="center"/>
        <w:rPr>
          <w:rFonts w:ascii="Calibri" w:eastAsia="MS PGothic" w:hAnsi="Calibri" w:cs="Calibri"/>
          <w:szCs w:val="20"/>
          <w:lang w:val="sr-Cyrl-CS" w:eastAsia="ja-JP"/>
        </w:rPr>
      </w:pPr>
      <w:r w:rsidRPr="00F5596D">
        <w:rPr>
          <w:rFonts w:ascii="Calibri" w:eastAsia="MS PGothic" w:hAnsi="Calibri" w:cs="Calibri"/>
          <w:sz w:val="18"/>
          <w:szCs w:val="20"/>
          <w:vertAlign w:val="superscript"/>
          <w:lang w:val="sr-Cyrl-CS" w:eastAsia="ja-JP"/>
        </w:rPr>
        <w:footnoteReference w:id="6"/>
      </w:r>
      <w:r w:rsidRPr="00F5596D">
        <w:rPr>
          <w:rFonts w:ascii="Calibri" w:eastAsia="MS PGothic" w:hAnsi="Calibri" w:cs="Calibri"/>
          <w:szCs w:val="20"/>
          <w:lang w:val="sr-Cyrl-CS" w:eastAsia="ja-JP"/>
        </w:rPr>
        <w:t>FB = CB + CAB</w:t>
      </w:r>
    </w:p>
    <w:p w14:paraId="1DF17A2B" w14:textId="0E322D03" w:rsidR="00483D7D" w:rsidRPr="00F5596D" w:rsidRDefault="00683785" w:rsidP="00683785">
      <w:pPr>
        <w:spacing w:after="120"/>
        <w:rPr>
          <w:rFonts w:eastAsia="MS PGothic" w:cstheme="minorHAnsi"/>
          <w:szCs w:val="20"/>
          <w:lang w:val="sr-Cyrl-CS" w:eastAsia="ja-JP"/>
        </w:rPr>
      </w:pPr>
      <w:r w:rsidRPr="00F5596D">
        <w:rPr>
          <w:rFonts w:ascii="Calibri" w:eastAsia="MS PGothic" w:hAnsi="Calibri" w:cs="Calibri"/>
          <w:szCs w:val="20"/>
          <w:lang w:val="sr-Cyrl-CS" w:eastAsia="ja-JP"/>
        </w:rPr>
        <w:t>Део фискалног биланса (FB)</w:t>
      </w:r>
      <w:r w:rsidRPr="00F5596D">
        <w:rPr>
          <w:rFonts w:ascii="Calibri" w:eastAsia="MS PGothic" w:hAnsi="Calibri" w:cs="Calibri"/>
          <w:i/>
          <w:szCs w:val="20"/>
          <w:lang w:val="sr-Cyrl-CS" w:eastAsia="ja-JP"/>
        </w:rPr>
        <w:t xml:space="preserve"> </w:t>
      </w:r>
      <w:r w:rsidRPr="00F5596D">
        <w:rPr>
          <w:rFonts w:ascii="Calibri" w:eastAsia="MS PGothic" w:hAnsi="Calibri" w:cs="Calibri"/>
          <w:szCs w:val="20"/>
          <w:lang w:val="sr-Cyrl-CS" w:eastAsia="ja-JP"/>
        </w:rPr>
        <w:t>који није под утицајем цикличних флуктуација назива се циклично прилагођени фискални биланс (CAB),</w:t>
      </w:r>
      <w:r w:rsidRPr="00F5596D">
        <w:rPr>
          <w:rFonts w:ascii="Calibri" w:eastAsia="MS PGothic" w:hAnsi="Calibri" w:cs="Calibri"/>
          <w:i/>
          <w:szCs w:val="20"/>
          <w:lang w:val="sr-Cyrl-CS" w:eastAsia="ja-JP"/>
        </w:rPr>
        <w:t xml:space="preserve"> </w:t>
      </w:r>
      <w:r w:rsidRPr="00F5596D">
        <w:rPr>
          <w:rFonts w:ascii="Calibri" w:eastAsia="MS PGothic" w:hAnsi="Calibri" w:cs="Calibri"/>
          <w:szCs w:val="20"/>
          <w:lang w:val="sr-Cyrl-CS" w:eastAsia="ja-JP"/>
        </w:rPr>
        <w:t xml:space="preserve">а циљ ове процедуре је изоловање цикличне компоненте </w:t>
      </w:r>
      <w:r w:rsidRPr="00F5596D">
        <w:rPr>
          <w:rFonts w:eastAsia="MS PGothic" w:cstheme="minorHAnsi"/>
          <w:szCs w:val="20"/>
          <w:lang w:val="sr-Cyrl-C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w:t>
      </w:r>
      <w:r w:rsidR="00483D7D" w:rsidRPr="00F5596D">
        <w:rPr>
          <w:rFonts w:eastAsia="MS PGothic" w:cstheme="minorHAnsi"/>
          <w:szCs w:val="20"/>
          <w:lang w:val="sr-Cyrl-CS" w:eastAsia="ja-JP"/>
        </w:rPr>
        <w:t>рну (трајну) фискалну позицију.</w:t>
      </w:r>
    </w:p>
    <w:p w14:paraId="203D2A37" w14:textId="4682AB46" w:rsidR="004F4BC8" w:rsidRPr="00F5596D" w:rsidRDefault="00683785" w:rsidP="00683785">
      <w:pPr>
        <w:spacing w:after="120"/>
        <w:rPr>
          <w:rFonts w:eastAsia="MS PGothic" w:cstheme="minorHAnsi"/>
          <w:szCs w:val="20"/>
          <w:lang w:val="sr-Cyrl-CS" w:eastAsia="ja-JP"/>
        </w:rPr>
      </w:pPr>
      <w:r w:rsidRPr="00F5596D">
        <w:rPr>
          <w:rFonts w:ascii="Calibri" w:eastAsia="MS PGothic" w:hAnsi="Calibri" w:cs="Calibri"/>
          <w:szCs w:val="20"/>
          <w:lang w:val="sr-Cyrl-CS" w:eastAsia="ja-JP"/>
        </w:rPr>
        <w:t>Ф</w:t>
      </w:r>
      <w:r w:rsidRPr="00F5596D">
        <w:rPr>
          <w:rFonts w:eastAsia="MS PGothic" w:cstheme="minorHAnsi"/>
          <w:szCs w:val="20"/>
          <w:lang w:val="sr-Cyrl-CS" w:eastAsia="ja-JP"/>
        </w:rPr>
        <w:t>искални простор креиран у претходном периоду и значајно структурно унапређена фискална позиција земље, омогућили су простор за релаксацију фискалне политике у кризним временима.</w:t>
      </w:r>
    </w:p>
    <w:p w14:paraId="28FCF5C5" w14:textId="77777777" w:rsidR="00483D7D" w:rsidRPr="00F5596D" w:rsidRDefault="00483D7D" w:rsidP="00683785">
      <w:pPr>
        <w:spacing w:after="120"/>
        <w:rPr>
          <w:rFonts w:ascii="Calibri" w:eastAsia="MS PGothic" w:hAnsi="Calibri" w:cs="Calibri"/>
          <w:spacing w:val="-2"/>
          <w:szCs w:val="20"/>
          <w:lang w:val="sr-Cyrl-CS" w:eastAsia="ja-JP"/>
        </w:rPr>
      </w:pPr>
    </w:p>
    <w:p w14:paraId="21A3F1BB" w14:textId="77777777" w:rsidR="00483D7D" w:rsidRPr="00F5596D" w:rsidRDefault="00483D7D" w:rsidP="00683785">
      <w:pPr>
        <w:spacing w:after="120"/>
        <w:rPr>
          <w:rFonts w:ascii="Calibri" w:eastAsia="MS PGothic" w:hAnsi="Calibri" w:cs="Calibri"/>
          <w:spacing w:val="-2"/>
          <w:szCs w:val="20"/>
          <w:lang w:val="sr-Cyrl-CS" w:eastAsia="ja-JP"/>
        </w:rPr>
      </w:pPr>
    </w:p>
    <w:p w14:paraId="3611A404" w14:textId="77777777" w:rsidR="00483D7D" w:rsidRPr="00F5596D" w:rsidRDefault="00483D7D" w:rsidP="00683785">
      <w:pPr>
        <w:spacing w:after="120"/>
        <w:rPr>
          <w:rFonts w:ascii="Calibri" w:eastAsia="MS PGothic" w:hAnsi="Calibri" w:cs="Calibri"/>
          <w:spacing w:val="-2"/>
          <w:szCs w:val="20"/>
          <w:lang w:val="sr-Cyrl-CS" w:eastAsia="ja-JP"/>
        </w:rPr>
      </w:pPr>
    </w:p>
    <w:p w14:paraId="5188DF89" w14:textId="77777777" w:rsidR="00483D7D" w:rsidRPr="00F5596D" w:rsidRDefault="00483D7D" w:rsidP="00683785">
      <w:pPr>
        <w:spacing w:after="120"/>
        <w:rPr>
          <w:rFonts w:ascii="Calibri" w:eastAsia="MS PGothic" w:hAnsi="Calibri" w:cs="Calibri"/>
          <w:spacing w:val="-2"/>
          <w:szCs w:val="20"/>
          <w:lang w:val="sr-Cyrl-CS" w:eastAsia="ja-JP"/>
        </w:rPr>
      </w:pPr>
    </w:p>
    <w:p w14:paraId="62526FDE" w14:textId="77777777" w:rsidR="00483D7D" w:rsidRPr="00F5596D" w:rsidRDefault="00483D7D" w:rsidP="00683785">
      <w:pPr>
        <w:spacing w:after="120"/>
        <w:rPr>
          <w:rFonts w:ascii="Calibri" w:eastAsia="MS PGothic" w:hAnsi="Calibri" w:cs="Calibri"/>
          <w:spacing w:val="-2"/>
          <w:szCs w:val="20"/>
          <w:lang w:val="sr-Cyrl-CS" w:eastAsia="ja-JP"/>
        </w:rPr>
      </w:pPr>
    </w:p>
    <w:p w14:paraId="6541F7EC" w14:textId="77777777" w:rsidR="00483D7D" w:rsidRPr="00F5596D" w:rsidRDefault="00483D7D" w:rsidP="00683785">
      <w:pPr>
        <w:spacing w:after="120"/>
        <w:rPr>
          <w:rFonts w:ascii="Calibri" w:eastAsia="MS PGothic" w:hAnsi="Calibri" w:cs="Calibri"/>
          <w:spacing w:val="-2"/>
          <w:szCs w:val="20"/>
          <w:lang w:val="sr-Cyrl-CS" w:eastAsia="ja-JP"/>
        </w:rPr>
      </w:pPr>
    </w:p>
    <w:p w14:paraId="31B0E307" w14:textId="77777777" w:rsidR="00483D7D" w:rsidRPr="00F5596D" w:rsidRDefault="00483D7D" w:rsidP="00683785">
      <w:pPr>
        <w:spacing w:after="120"/>
        <w:rPr>
          <w:rFonts w:ascii="Calibri" w:eastAsia="MS PGothic" w:hAnsi="Calibri" w:cs="Calibri"/>
          <w:spacing w:val="-2"/>
          <w:szCs w:val="20"/>
          <w:lang w:val="sr-Cyrl-CS" w:eastAsia="ja-JP"/>
        </w:rPr>
      </w:pPr>
    </w:p>
    <w:p w14:paraId="39E33663" w14:textId="77777777" w:rsidR="00483D7D" w:rsidRPr="00F5596D" w:rsidRDefault="00483D7D" w:rsidP="00683785">
      <w:pPr>
        <w:spacing w:after="120"/>
        <w:rPr>
          <w:rFonts w:ascii="Calibri" w:eastAsia="MS PGothic" w:hAnsi="Calibri" w:cs="Calibri"/>
          <w:spacing w:val="-2"/>
          <w:szCs w:val="20"/>
          <w:lang w:val="sr-Cyrl-CS" w:eastAsia="ja-JP"/>
        </w:rPr>
      </w:pPr>
    </w:p>
    <w:p w14:paraId="0A3D507A" w14:textId="77777777" w:rsidR="00483D7D" w:rsidRPr="00F5596D" w:rsidRDefault="00483D7D" w:rsidP="00683785">
      <w:pPr>
        <w:spacing w:after="120"/>
        <w:rPr>
          <w:rFonts w:ascii="Calibri" w:eastAsia="MS PGothic" w:hAnsi="Calibri" w:cs="Calibri"/>
          <w:spacing w:val="-2"/>
          <w:szCs w:val="20"/>
          <w:lang w:val="sr-Cyrl-CS" w:eastAsia="ja-JP"/>
        </w:rPr>
      </w:pPr>
    </w:p>
    <w:p w14:paraId="72747DA8" w14:textId="47BBC9E6" w:rsidR="00683785" w:rsidRPr="00F5596D" w:rsidRDefault="00683785" w:rsidP="00683785">
      <w:pPr>
        <w:spacing w:after="120"/>
        <w:rPr>
          <w:rFonts w:eastAsia="MS PGothic" w:cstheme="minorHAnsi"/>
          <w:szCs w:val="20"/>
          <w:lang w:val="sr-Cyrl-CS" w:eastAsia="ja-JP"/>
        </w:rPr>
      </w:pPr>
      <w:r w:rsidRPr="00F5596D">
        <w:rPr>
          <w:rFonts w:ascii="Calibri" w:eastAsia="MS PGothic" w:hAnsi="Calibri" w:cs="Calibri"/>
          <w:spacing w:val="-2"/>
          <w:szCs w:val="20"/>
          <w:lang w:val="sr-Cyrl-CS" w:eastAsia="ja-JP"/>
        </w:rPr>
        <w:t xml:space="preserve">Избијањем пандемије COVID-19 почетком 2020. године и увођењем мера за здравствену заштиту становништва, глобална економија је ушла у кризу без преседана. </w:t>
      </w:r>
      <w:r w:rsidRPr="00F5596D">
        <w:rPr>
          <w:rFonts w:ascii="Calibri" w:eastAsia="Calibri" w:hAnsi="Calibri" w:cs="Calibri"/>
          <w:szCs w:val="20"/>
          <w:lang w:val="sr-Cyrl-CS"/>
        </w:rPr>
        <w:t>Утицај на фискалну позицију је био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r w:rsidRPr="00F5596D">
        <w:rPr>
          <w:rFonts w:ascii="Calibri" w:eastAsia="Calibri" w:hAnsi="Calibri" w:cs="Calibri"/>
          <w:spacing w:val="-2"/>
          <w:szCs w:val="20"/>
          <w:lang w:val="sr-Cyrl-CS"/>
        </w:rPr>
        <w:t xml:space="preserve"> </w:t>
      </w:r>
      <w:r w:rsidRPr="00F5596D">
        <w:rPr>
          <w:rFonts w:ascii="Calibri" w:eastAsia="Calibri" w:hAnsi="Calibri" w:cs="Calibri"/>
          <w:szCs w:val="20"/>
          <w:lang w:val="sr-Cyrl-CS"/>
        </w:rPr>
        <w:t>Одговор фискалне политике на сложену економску ситуацију узроковану пандемијом коронавируса у 2020. и 2021. години, представљен је опсежним пакетом мера помоћи привреди. У случају одсуства мера подршке привреди и становништву благ пад БДП у 2020. години и снажан опоравак током 2021. године би изостао, а већа контракција привреде би утицала на знатно спорији опоравак у наредном средњорочном периоду.</w:t>
      </w:r>
    </w:p>
    <w:p w14:paraId="1BBEFCE9" w14:textId="15EA25F0" w:rsidR="009F37F8" w:rsidRPr="00F5596D" w:rsidRDefault="009F37F8" w:rsidP="00683785">
      <w:pPr>
        <w:spacing w:after="120"/>
        <w:rPr>
          <w:rFonts w:ascii="Calibri" w:eastAsia="Calibri" w:hAnsi="Calibri" w:cs="Calibri"/>
          <w:szCs w:val="20"/>
          <w:lang w:val="sr-Cyrl-CS"/>
        </w:rPr>
      </w:pPr>
    </w:p>
    <w:p w14:paraId="52BE3417" w14:textId="77777777" w:rsidR="00483D7D" w:rsidRPr="00F5596D" w:rsidRDefault="00483D7D" w:rsidP="00683785">
      <w:pPr>
        <w:spacing w:after="120"/>
        <w:rPr>
          <w:rFonts w:ascii="Calibri" w:eastAsia="Calibri" w:hAnsi="Calibri" w:cs="Calibri"/>
          <w:szCs w:val="20"/>
          <w:lang w:val="sr-Cyrl-CS"/>
        </w:rPr>
      </w:pPr>
    </w:p>
    <w:p w14:paraId="71EE1B27" w14:textId="07AD318B" w:rsidR="009F37F8" w:rsidRPr="00F5596D" w:rsidRDefault="009F37F8" w:rsidP="00683785">
      <w:pPr>
        <w:spacing w:after="120"/>
        <w:rPr>
          <w:rFonts w:ascii="Calibri" w:eastAsia="Calibri" w:hAnsi="Calibri" w:cs="Calibri"/>
          <w:szCs w:val="20"/>
          <w:lang w:val="sr-Cyrl-CS"/>
        </w:rPr>
      </w:pPr>
    </w:p>
    <w:p w14:paraId="1A525C05" w14:textId="309539ED" w:rsidR="009F37F8" w:rsidRPr="00F5596D" w:rsidRDefault="009F37F8" w:rsidP="00683785">
      <w:pPr>
        <w:spacing w:after="120"/>
        <w:rPr>
          <w:rFonts w:ascii="Calibri" w:eastAsia="Calibri" w:hAnsi="Calibri" w:cs="Calibri"/>
          <w:szCs w:val="20"/>
          <w:lang w:val="sr-Cyrl-CS"/>
        </w:rPr>
      </w:pPr>
    </w:p>
    <w:p w14:paraId="67DC15C8" w14:textId="58B520BD" w:rsidR="009F37F8" w:rsidRPr="00F5596D" w:rsidRDefault="009F37F8" w:rsidP="00683785">
      <w:pPr>
        <w:spacing w:after="120"/>
        <w:rPr>
          <w:rFonts w:ascii="Calibri" w:eastAsia="Calibri" w:hAnsi="Calibri" w:cs="Calibri"/>
          <w:szCs w:val="20"/>
          <w:lang w:val="sr-Cyrl-CS"/>
        </w:rPr>
      </w:pPr>
    </w:p>
    <w:p w14:paraId="37B5C83B" w14:textId="633E6692" w:rsidR="009F37F8" w:rsidRPr="00F5596D" w:rsidRDefault="009F37F8" w:rsidP="00683785">
      <w:pPr>
        <w:spacing w:after="120"/>
        <w:rPr>
          <w:rFonts w:ascii="Calibri" w:eastAsia="Calibri" w:hAnsi="Calibri" w:cs="Calibri"/>
          <w:szCs w:val="20"/>
          <w:lang w:val="sr-Cyrl-CS"/>
        </w:rPr>
      </w:pPr>
    </w:p>
    <w:p w14:paraId="6BF1D637" w14:textId="2FEEA28B" w:rsidR="009F37F8" w:rsidRPr="00F5596D" w:rsidRDefault="009F37F8" w:rsidP="00683785">
      <w:pPr>
        <w:spacing w:after="120"/>
        <w:rPr>
          <w:rFonts w:ascii="Calibri" w:eastAsia="Calibri" w:hAnsi="Calibri" w:cs="Calibri"/>
          <w:szCs w:val="20"/>
          <w:lang w:val="sr-Cyrl-CS"/>
        </w:rPr>
      </w:pPr>
    </w:p>
    <w:p w14:paraId="31993DF0" w14:textId="23AE0829" w:rsidR="009F37F8" w:rsidRPr="00F5596D" w:rsidRDefault="009F37F8" w:rsidP="00683785">
      <w:pPr>
        <w:spacing w:after="120"/>
        <w:rPr>
          <w:rFonts w:ascii="Calibri" w:eastAsia="Calibri" w:hAnsi="Calibri" w:cs="Calibri"/>
          <w:szCs w:val="20"/>
          <w:lang w:val="sr-Cyrl-CS"/>
        </w:rPr>
      </w:pPr>
    </w:p>
    <w:p w14:paraId="6E07BF8C" w14:textId="2CCB72B1" w:rsidR="009F37F8" w:rsidRPr="00F5596D" w:rsidRDefault="009F37F8" w:rsidP="00683785">
      <w:pPr>
        <w:spacing w:after="120"/>
        <w:rPr>
          <w:rFonts w:ascii="Calibri" w:eastAsia="Calibri" w:hAnsi="Calibri" w:cs="Calibri"/>
          <w:szCs w:val="20"/>
          <w:lang w:val="sr-Cyrl-CS"/>
        </w:rPr>
      </w:pPr>
    </w:p>
    <w:p w14:paraId="263FEE6E" w14:textId="43F878F4" w:rsidR="00483D7D" w:rsidRPr="00F5596D" w:rsidRDefault="00483D7D" w:rsidP="00683785">
      <w:pPr>
        <w:spacing w:after="120"/>
        <w:rPr>
          <w:rFonts w:ascii="Calibri" w:eastAsia="Calibri" w:hAnsi="Calibri" w:cs="Calibri"/>
          <w:szCs w:val="20"/>
          <w:lang w:val="sr-Cyrl-CS"/>
        </w:rPr>
        <w:sectPr w:rsidR="00483D7D" w:rsidRPr="00F5596D" w:rsidSect="00683785">
          <w:type w:val="continuous"/>
          <w:pgSz w:w="12240" w:h="15840" w:code="1"/>
          <w:pgMar w:top="1417" w:right="1417" w:bottom="1417" w:left="1417" w:header="720" w:footer="720" w:gutter="0"/>
          <w:cols w:num="2" w:space="720"/>
        </w:sectPr>
      </w:pPr>
    </w:p>
    <w:tbl>
      <w:tblPr>
        <w:tblStyle w:val="PlainTable2"/>
        <w:tblpPr w:leftFromText="180" w:rightFromText="180" w:vertAnchor="text" w:horzAnchor="margin" w:tblpY="543"/>
        <w:tblW w:w="0" w:type="auto"/>
        <w:tblLook w:val="04A0" w:firstRow="1" w:lastRow="0" w:firstColumn="1" w:lastColumn="0" w:noHBand="0" w:noVBand="1"/>
      </w:tblPr>
      <w:tblGrid>
        <w:gridCol w:w="541"/>
        <w:gridCol w:w="1100"/>
        <w:gridCol w:w="907"/>
        <w:gridCol w:w="1058"/>
        <w:gridCol w:w="1241"/>
        <w:gridCol w:w="1304"/>
        <w:gridCol w:w="1118"/>
        <w:gridCol w:w="1181"/>
        <w:gridCol w:w="956"/>
      </w:tblGrid>
      <w:tr w:rsidR="00D91D79" w:rsidRPr="00F5596D" w14:paraId="0D128EE9" w14:textId="77777777" w:rsidTr="00D91D7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FF6DE79" w14:textId="77777777" w:rsidR="00D91D79" w:rsidRPr="00F5596D" w:rsidRDefault="00D91D79" w:rsidP="00D91D79">
            <w:pPr>
              <w:jc w:val="left"/>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lastRenderedPageBreak/>
              <w:t> </w:t>
            </w:r>
          </w:p>
        </w:tc>
        <w:tc>
          <w:tcPr>
            <w:tcW w:w="0" w:type="auto"/>
            <w:hideMark/>
          </w:tcPr>
          <w:p w14:paraId="4CC19B80"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 xml:space="preserve">Производни јаз </w:t>
            </w:r>
          </w:p>
        </w:tc>
        <w:tc>
          <w:tcPr>
            <w:tcW w:w="0" w:type="auto"/>
            <w:hideMark/>
          </w:tcPr>
          <w:p w14:paraId="3A776BA5"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 xml:space="preserve">Фискални </w:t>
            </w:r>
            <w:r w:rsidRPr="00F5596D">
              <w:rPr>
                <w:rFonts w:eastAsia="Times New Roman" w:cstheme="minorHAnsi"/>
                <w:color w:val="1F4E79" w:themeColor="accent5" w:themeShade="80"/>
                <w:sz w:val="16"/>
                <w:szCs w:val="16"/>
                <w:lang w:val="sr-Cyrl-CS"/>
              </w:rPr>
              <w:br/>
              <w:t>биланс</w:t>
            </w:r>
          </w:p>
        </w:tc>
        <w:tc>
          <w:tcPr>
            <w:tcW w:w="0" w:type="auto"/>
            <w:hideMark/>
          </w:tcPr>
          <w:p w14:paraId="1269733C"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Примарни фискални биланс</w:t>
            </w:r>
          </w:p>
        </w:tc>
        <w:tc>
          <w:tcPr>
            <w:tcW w:w="0" w:type="auto"/>
            <w:hideMark/>
          </w:tcPr>
          <w:p w14:paraId="7276738D"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 xml:space="preserve">Циклично </w:t>
            </w:r>
            <w:r w:rsidRPr="00F5596D">
              <w:rPr>
                <w:rFonts w:eastAsia="Times New Roman" w:cstheme="minorHAnsi"/>
                <w:color w:val="1F4E79" w:themeColor="accent5" w:themeShade="80"/>
                <w:sz w:val="16"/>
                <w:szCs w:val="16"/>
                <w:lang w:val="sr-Cyrl-CS"/>
              </w:rPr>
              <w:br/>
              <w:t>прилагођени  фискални биланс</w:t>
            </w:r>
          </w:p>
        </w:tc>
        <w:tc>
          <w:tcPr>
            <w:tcW w:w="0" w:type="auto"/>
            <w:hideMark/>
          </w:tcPr>
          <w:p w14:paraId="453BCF40"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 xml:space="preserve">Циклично </w:t>
            </w:r>
            <w:r w:rsidRPr="00F5596D">
              <w:rPr>
                <w:rFonts w:eastAsia="Times New Roman" w:cstheme="minorHAnsi"/>
                <w:color w:val="1F4E79" w:themeColor="accent5" w:themeShade="80"/>
                <w:sz w:val="16"/>
                <w:szCs w:val="16"/>
                <w:lang w:val="sr-Cyrl-CS"/>
              </w:rPr>
              <w:br/>
              <w:t>прилагођени примарни фискални биланс</w:t>
            </w:r>
          </w:p>
        </w:tc>
        <w:tc>
          <w:tcPr>
            <w:tcW w:w="0" w:type="auto"/>
            <w:hideMark/>
          </w:tcPr>
          <w:p w14:paraId="228A9ACD"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Структурни  фискални биланс</w:t>
            </w:r>
          </w:p>
        </w:tc>
        <w:tc>
          <w:tcPr>
            <w:tcW w:w="0" w:type="auto"/>
            <w:hideMark/>
          </w:tcPr>
          <w:p w14:paraId="3A616810"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Структурни примарни фискални биланс</w:t>
            </w:r>
          </w:p>
        </w:tc>
        <w:tc>
          <w:tcPr>
            <w:tcW w:w="0" w:type="auto"/>
            <w:hideMark/>
          </w:tcPr>
          <w:p w14:paraId="45E2137D" w14:textId="77777777" w:rsidR="00D91D79" w:rsidRPr="00F5596D" w:rsidRDefault="00D91D79" w:rsidP="00D91D7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rFonts w:eastAsia="Times New Roman" w:cstheme="minorHAnsi"/>
                <w:color w:val="1F4E79" w:themeColor="accent5" w:themeShade="80"/>
                <w:sz w:val="16"/>
                <w:szCs w:val="16"/>
                <w:lang w:val="sr-Cyrl-CS"/>
              </w:rPr>
              <w:t>Фискални импулс</w:t>
            </w:r>
          </w:p>
        </w:tc>
      </w:tr>
      <w:tr w:rsidR="00D91D79" w:rsidRPr="00F5596D" w14:paraId="672F53C5"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C0134B9"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2005</w:t>
            </w:r>
          </w:p>
        </w:tc>
        <w:tc>
          <w:tcPr>
            <w:tcW w:w="0" w:type="auto"/>
            <w:hideMark/>
          </w:tcPr>
          <w:p w14:paraId="755059E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0,0</w:t>
            </w:r>
          </w:p>
        </w:tc>
        <w:tc>
          <w:tcPr>
            <w:tcW w:w="0" w:type="auto"/>
            <w:hideMark/>
          </w:tcPr>
          <w:p w14:paraId="2695AB5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hideMark/>
          </w:tcPr>
          <w:p w14:paraId="56DAF9E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2,0</w:t>
            </w:r>
          </w:p>
        </w:tc>
        <w:tc>
          <w:tcPr>
            <w:tcW w:w="0" w:type="auto"/>
            <w:noWrap/>
            <w:hideMark/>
          </w:tcPr>
          <w:p w14:paraId="29B1EFD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hideMark/>
          </w:tcPr>
          <w:p w14:paraId="2A4A7AD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2,0</w:t>
            </w:r>
          </w:p>
        </w:tc>
        <w:tc>
          <w:tcPr>
            <w:tcW w:w="0" w:type="auto"/>
            <w:noWrap/>
            <w:hideMark/>
          </w:tcPr>
          <w:p w14:paraId="0657A0B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1,3</w:t>
            </w:r>
          </w:p>
        </w:tc>
        <w:tc>
          <w:tcPr>
            <w:tcW w:w="0" w:type="auto"/>
            <w:noWrap/>
            <w:hideMark/>
          </w:tcPr>
          <w:p w14:paraId="6ABD43B3"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2,2</w:t>
            </w:r>
          </w:p>
        </w:tc>
        <w:tc>
          <w:tcPr>
            <w:tcW w:w="0" w:type="auto"/>
            <w:noWrap/>
            <w:hideMark/>
          </w:tcPr>
          <w:p w14:paraId="79DB253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p>
        </w:tc>
      </w:tr>
      <w:tr w:rsidR="00D91D79" w:rsidRPr="00F5596D" w14:paraId="628B6318"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DAD8D9A"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2006</w:t>
            </w:r>
          </w:p>
        </w:tc>
        <w:tc>
          <w:tcPr>
            <w:tcW w:w="0" w:type="auto"/>
            <w:hideMark/>
          </w:tcPr>
          <w:p w14:paraId="261E090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-3,5</w:t>
            </w:r>
          </w:p>
        </w:tc>
        <w:tc>
          <w:tcPr>
            <w:tcW w:w="0" w:type="auto"/>
            <w:hideMark/>
          </w:tcPr>
          <w:p w14:paraId="694D920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-1,4</w:t>
            </w:r>
          </w:p>
        </w:tc>
        <w:tc>
          <w:tcPr>
            <w:tcW w:w="0" w:type="auto"/>
            <w:hideMark/>
          </w:tcPr>
          <w:p w14:paraId="5FE82F1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6963A507"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hideMark/>
          </w:tcPr>
          <w:p w14:paraId="2EBEDA4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hideMark/>
          </w:tcPr>
          <w:p w14:paraId="6AC9B73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c>
          <w:tcPr>
            <w:tcW w:w="0" w:type="auto"/>
            <w:noWrap/>
            <w:hideMark/>
          </w:tcPr>
          <w:p w14:paraId="5787248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1,8</w:t>
            </w:r>
          </w:p>
        </w:tc>
        <w:tc>
          <w:tcPr>
            <w:tcW w:w="0" w:type="auto"/>
            <w:noWrap/>
            <w:hideMark/>
          </w:tcPr>
          <w:p w14:paraId="7692386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0,9</w:t>
            </w:r>
          </w:p>
        </w:tc>
      </w:tr>
      <w:tr w:rsidR="00D91D79" w:rsidRPr="00F5596D" w14:paraId="3DF5C127"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865843C"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2007</w:t>
            </w:r>
          </w:p>
        </w:tc>
        <w:tc>
          <w:tcPr>
            <w:tcW w:w="0" w:type="auto"/>
            <w:hideMark/>
          </w:tcPr>
          <w:p w14:paraId="098EB69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1,2</w:t>
            </w:r>
          </w:p>
        </w:tc>
        <w:tc>
          <w:tcPr>
            <w:tcW w:w="0" w:type="auto"/>
            <w:hideMark/>
          </w:tcPr>
          <w:p w14:paraId="42FF423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c>
          <w:tcPr>
            <w:tcW w:w="0" w:type="auto"/>
            <w:hideMark/>
          </w:tcPr>
          <w:p w14:paraId="559C8B94"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-1,2</w:t>
            </w:r>
          </w:p>
        </w:tc>
        <w:tc>
          <w:tcPr>
            <w:tcW w:w="0" w:type="auto"/>
            <w:noWrap/>
            <w:hideMark/>
          </w:tcPr>
          <w:p w14:paraId="71A384C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hideMark/>
          </w:tcPr>
          <w:p w14:paraId="292ABD1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hideMark/>
          </w:tcPr>
          <w:p w14:paraId="67A4BE58"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-1,8</w:t>
            </w:r>
          </w:p>
        </w:tc>
        <w:tc>
          <w:tcPr>
            <w:tcW w:w="0" w:type="auto"/>
            <w:noWrap/>
            <w:hideMark/>
          </w:tcPr>
          <w:p w14:paraId="36272F81"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-1,3</w:t>
            </w:r>
          </w:p>
        </w:tc>
        <w:tc>
          <w:tcPr>
            <w:tcW w:w="0" w:type="auto"/>
            <w:noWrap/>
            <w:hideMark/>
          </w:tcPr>
          <w:p w14:paraId="1856332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2,7</w:t>
            </w:r>
          </w:p>
        </w:tc>
      </w:tr>
      <w:tr w:rsidR="00D91D79" w:rsidRPr="00F5596D" w14:paraId="148FEF3A"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7FFC86B"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2008</w:t>
            </w:r>
          </w:p>
        </w:tc>
        <w:tc>
          <w:tcPr>
            <w:tcW w:w="0" w:type="auto"/>
            <w:hideMark/>
          </w:tcPr>
          <w:p w14:paraId="4AB85CC7"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4,1</w:t>
            </w:r>
          </w:p>
        </w:tc>
        <w:tc>
          <w:tcPr>
            <w:tcW w:w="0" w:type="auto"/>
            <w:hideMark/>
          </w:tcPr>
          <w:p w14:paraId="1DCC2911"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-2,4</w:t>
            </w:r>
          </w:p>
        </w:tc>
        <w:tc>
          <w:tcPr>
            <w:tcW w:w="0" w:type="auto"/>
            <w:hideMark/>
          </w:tcPr>
          <w:p w14:paraId="3C5044C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-1,9</w:t>
            </w:r>
          </w:p>
        </w:tc>
        <w:tc>
          <w:tcPr>
            <w:tcW w:w="0" w:type="auto"/>
            <w:noWrap/>
            <w:hideMark/>
          </w:tcPr>
          <w:p w14:paraId="6E6C14D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-3,8</w:t>
            </w:r>
          </w:p>
        </w:tc>
        <w:tc>
          <w:tcPr>
            <w:tcW w:w="0" w:type="auto"/>
            <w:hideMark/>
          </w:tcPr>
          <w:p w14:paraId="43691217"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-3,3</w:t>
            </w:r>
          </w:p>
        </w:tc>
        <w:tc>
          <w:tcPr>
            <w:tcW w:w="0" w:type="auto"/>
            <w:hideMark/>
          </w:tcPr>
          <w:p w14:paraId="30E7D20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-3,9</w:t>
            </w:r>
          </w:p>
        </w:tc>
        <w:tc>
          <w:tcPr>
            <w:tcW w:w="0" w:type="auto"/>
            <w:noWrap/>
            <w:hideMark/>
          </w:tcPr>
          <w:p w14:paraId="48701514"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-3,4</w:t>
            </w:r>
          </w:p>
        </w:tc>
        <w:tc>
          <w:tcPr>
            <w:tcW w:w="0" w:type="auto"/>
            <w:noWrap/>
            <w:hideMark/>
          </w:tcPr>
          <w:p w14:paraId="0EE57A4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r>
      <w:tr w:rsidR="00D91D79" w:rsidRPr="00F5596D" w14:paraId="4FB446BC"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70D92EDA"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2009</w:t>
            </w:r>
          </w:p>
        </w:tc>
        <w:tc>
          <w:tcPr>
            <w:tcW w:w="0" w:type="auto"/>
            <w:hideMark/>
          </w:tcPr>
          <w:p w14:paraId="56E75688"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c>
          <w:tcPr>
            <w:tcW w:w="0" w:type="auto"/>
            <w:hideMark/>
          </w:tcPr>
          <w:p w14:paraId="03EF8AA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-4,0</w:t>
            </w:r>
          </w:p>
        </w:tc>
        <w:tc>
          <w:tcPr>
            <w:tcW w:w="0" w:type="auto"/>
            <w:hideMark/>
          </w:tcPr>
          <w:p w14:paraId="17A6198F"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-3,4</w:t>
            </w:r>
          </w:p>
        </w:tc>
        <w:tc>
          <w:tcPr>
            <w:tcW w:w="0" w:type="auto"/>
            <w:noWrap/>
            <w:hideMark/>
          </w:tcPr>
          <w:p w14:paraId="5A2F38F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-3,8</w:t>
            </w:r>
          </w:p>
        </w:tc>
        <w:tc>
          <w:tcPr>
            <w:tcW w:w="0" w:type="auto"/>
            <w:hideMark/>
          </w:tcPr>
          <w:p w14:paraId="60A980DF"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-3,2</w:t>
            </w:r>
          </w:p>
        </w:tc>
        <w:tc>
          <w:tcPr>
            <w:tcW w:w="0" w:type="auto"/>
            <w:hideMark/>
          </w:tcPr>
          <w:p w14:paraId="61C1D1B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-3,9</w:t>
            </w:r>
          </w:p>
        </w:tc>
        <w:tc>
          <w:tcPr>
            <w:tcW w:w="0" w:type="auto"/>
            <w:noWrap/>
            <w:hideMark/>
          </w:tcPr>
          <w:p w14:paraId="63981A9F"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-3,3</w:t>
            </w:r>
          </w:p>
        </w:tc>
        <w:tc>
          <w:tcPr>
            <w:tcW w:w="0" w:type="auto"/>
            <w:noWrap/>
            <w:hideMark/>
          </w:tcPr>
          <w:p w14:paraId="5D42333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r>
      <w:tr w:rsidR="00D91D79" w:rsidRPr="00F5596D" w14:paraId="1B568BC3"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20A6E24"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2010</w:t>
            </w:r>
          </w:p>
        </w:tc>
        <w:tc>
          <w:tcPr>
            <w:tcW w:w="0" w:type="auto"/>
            <w:hideMark/>
          </w:tcPr>
          <w:p w14:paraId="75303EB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c>
          <w:tcPr>
            <w:tcW w:w="0" w:type="auto"/>
            <w:hideMark/>
          </w:tcPr>
          <w:p w14:paraId="56E37C1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-4,2</w:t>
            </w:r>
          </w:p>
        </w:tc>
        <w:tc>
          <w:tcPr>
            <w:tcW w:w="0" w:type="auto"/>
            <w:hideMark/>
          </w:tcPr>
          <w:p w14:paraId="701CC82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-3,2</w:t>
            </w:r>
          </w:p>
        </w:tc>
        <w:tc>
          <w:tcPr>
            <w:tcW w:w="0" w:type="auto"/>
            <w:noWrap/>
            <w:hideMark/>
          </w:tcPr>
          <w:p w14:paraId="1B36C6A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-4,3</w:t>
            </w:r>
          </w:p>
        </w:tc>
        <w:tc>
          <w:tcPr>
            <w:tcW w:w="0" w:type="auto"/>
            <w:hideMark/>
          </w:tcPr>
          <w:p w14:paraId="1F6EAEC9"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-3,4</w:t>
            </w:r>
          </w:p>
        </w:tc>
        <w:tc>
          <w:tcPr>
            <w:tcW w:w="0" w:type="auto"/>
            <w:hideMark/>
          </w:tcPr>
          <w:p w14:paraId="7434138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-4,4</w:t>
            </w:r>
          </w:p>
        </w:tc>
        <w:tc>
          <w:tcPr>
            <w:tcW w:w="0" w:type="auto"/>
            <w:noWrap/>
            <w:hideMark/>
          </w:tcPr>
          <w:p w14:paraId="0CDD4ECD"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-3,5</w:t>
            </w:r>
          </w:p>
        </w:tc>
        <w:tc>
          <w:tcPr>
            <w:tcW w:w="0" w:type="auto"/>
            <w:noWrap/>
            <w:hideMark/>
          </w:tcPr>
          <w:p w14:paraId="2124C99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r>
      <w:tr w:rsidR="00D91D79" w:rsidRPr="00F5596D" w14:paraId="654E9AD5"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23C6C83"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2011</w:t>
            </w:r>
          </w:p>
        </w:tc>
        <w:tc>
          <w:tcPr>
            <w:tcW w:w="0" w:type="auto"/>
            <w:hideMark/>
          </w:tcPr>
          <w:p w14:paraId="431BD20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hideMark/>
          </w:tcPr>
          <w:p w14:paraId="1D553AB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-4,3</w:t>
            </w:r>
          </w:p>
        </w:tc>
        <w:tc>
          <w:tcPr>
            <w:tcW w:w="0" w:type="auto"/>
            <w:hideMark/>
          </w:tcPr>
          <w:p w14:paraId="69BA9F6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-3,2</w:t>
            </w:r>
          </w:p>
        </w:tc>
        <w:tc>
          <w:tcPr>
            <w:tcW w:w="0" w:type="auto"/>
            <w:noWrap/>
            <w:hideMark/>
          </w:tcPr>
          <w:p w14:paraId="3782F8B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hideMark/>
          </w:tcPr>
          <w:p w14:paraId="368CF97F"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-3,3</w:t>
            </w:r>
          </w:p>
        </w:tc>
        <w:tc>
          <w:tcPr>
            <w:tcW w:w="0" w:type="auto"/>
            <w:hideMark/>
          </w:tcPr>
          <w:p w14:paraId="594C55A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-4,7</w:t>
            </w:r>
          </w:p>
        </w:tc>
        <w:tc>
          <w:tcPr>
            <w:tcW w:w="0" w:type="auto"/>
            <w:noWrap/>
            <w:hideMark/>
          </w:tcPr>
          <w:p w14:paraId="607DC8D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-3,5</w:t>
            </w:r>
          </w:p>
        </w:tc>
        <w:tc>
          <w:tcPr>
            <w:tcW w:w="0" w:type="auto"/>
            <w:noWrap/>
            <w:hideMark/>
          </w:tcPr>
          <w:p w14:paraId="548DF721"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0,0</w:t>
            </w:r>
          </w:p>
        </w:tc>
      </w:tr>
      <w:tr w:rsidR="00D91D79" w:rsidRPr="00F5596D" w14:paraId="76E27FCC"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396C229"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2012</w:t>
            </w:r>
          </w:p>
        </w:tc>
        <w:tc>
          <w:tcPr>
            <w:tcW w:w="0" w:type="auto"/>
            <w:hideMark/>
          </w:tcPr>
          <w:p w14:paraId="19A35E2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hideMark/>
          </w:tcPr>
          <w:p w14:paraId="2B5F23E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-6,2</w:t>
            </w:r>
          </w:p>
        </w:tc>
        <w:tc>
          <w:tcPr>
            <w:tcW w:w="0" w:type="auto"/>
            <w:hideMark/>
          </w:tcPr>
          <w:p w14:paraId="7BF04D4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noWrap/>
            <w:hideMark/>
          </w:tcPr>
          <w:p w14:paraId="4CD23F4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-6,2</w:t>
            </w:r>
          </w:p>
        </w:tc>
        <w:tc>
          <w:tcPr>
            <w:tcW w:w="0" w:type="auto"/>
            <w:hideMark/>
          </w:tcPr>
          <w:p w14:paraId="38D2DC44"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hideMark/>
          </w:tcPr>
          <w:p w14:paraId="0C58E324"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-6,1</w:t>
            </w:r>
          </w:p>
        </w:tc>
        <w:tc>
          <w:tcPr>
            <w:tcW w:w="0" w:type="auto"/>
            <w:noWrap/>
            <w:hideMark/>
          </w:tcPr>
          <w:p w14:paraId="490E85A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noWrap/>
            <w:hideMark/>
          </w:tcPr>
          <w:p w14:paraId="4D2A9D54"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1,2</w:t>
            </w:r>
          </w:p>
        </w:tc>
      </w:tr>
      <w:tr w:rsidR="00D91D79" w:rsidRPr="00F5596D" w14:paraId="27669B99"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A4D9E9B"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2013</w:t>
            </w:r>
          </w:p>
        </w:tc>
        <w:tc>
          <w:tcPr>
            <w:tcW w:w="0" w:type="auto"/>
            <w:hideMark/>
          </w:tcPr>
          <w:p w14:paraId="3ECA96EC"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c>
          <w:tcPr>
            <w:tcW w:w="0" w:type="auto"/>
            <w:hideMark/>
          </w:tcPr>
          <w:p w14:paraId="7D0CA3D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-4,9</w:t>
            </w:r>
          </w:p>
        </w:tc>
        <w:tc>
          <w:tcPr>
            <w:tcW w:w="0" w:type="auto"/>
            <w:hideMark/>
          </w:tcPr>
          <w:p w14:paraId="68F558B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c>
          <w:tcPr>
            <w:tcW w:w="0" w:type="auto"/>
            <w:noWrap/>
            <w:hideMark/>
          </w:tcPr>
          <w:p w14:paraId="27599C48"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-5,1</w:t>
            </w:r>
          </w:p>
        </w:tc>
        <w:tc>
          <w:tcPr>
            <w:tcW w:w="0" w:type="auto"/>
            <w:hideMark/>
          </w:tcPr>
          <w:p w14:paraId="33CD3F4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-3,0</w:t>
            </w:r>
          </w:p>
        </w:tc>
        <w:tc>
          <w:tcPr>
            <w:tcW w:w="0" w:type="auto"/>
            <w:hideMark/>
          </w:tcPr>
          <w:p w14:paraId="6401B82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-4,8</w:t>
            </w:r>
          </w:p>
        </w:tc>
        <w:tc>
          <w:tcPr>
            <w:tcW w:w="0" w:type="auto"/>
            <w:noWrap/>
            <w:hideMark/>
          </w:tcPr>
          <w:p w14:paraId="3102617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-2,7</w:t>
            </w:r>
          </w:p>
        </w:tc>
        <w:tc>
          <w:tcPr>
            <w:tcW w:w="0" w:type="auto"/>
            <w:noWrap/>
            <w:hideMark/>
          </w:tcPr>
          <w:p w14:paraId="4362265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-1,5</w:t>
            </w:r>
          </w:p>
        </w:tc>
      </w:tr>
      <w:tr w:rsidR="00D91D79" w:rsidRPr="00F5596D" w14:paraId="6C45C8C9"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266BFFF2"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2014</w:t>
            </w:r>
          </w:p>
        </w:tc>
        <w:tc>
          <w:tcPr>
            <w:tcW w:w="0" w:type="auto"/>
            <w:hideMark/>
          </w:tcPr>
          <w:p w14:paraId="1846A5B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c>
          <w:tcPr>
            <w:tcW w:w="0" w:type="auto"/>
            <w:hideMark/>
          </w:tcPr>
          <w:p w14:paraId="694FCC7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-5,9</w:t>
            </w:r>
          </w:p>
        </w:tc>
        <w:tc>
          <w:tcPr>
            <w:tcW w:w="0" w:type="auto"/>
            <w:hideMark/>
          </w:tcPr>
          <w:p w14:paraId="35640EE1"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-3,4</w:t>
            </w:r>
          </w:p>
        </w:tc>
        <w:tc>
          <w:tcPr>
            <w:tcW w:w="0" w:type="auto"/>
            <w:noWrap/>
            <w:hideMark/>
          </w:tcPr>
          <w:p w14:paraId="5A9BAE2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-5,3</w:t>
            </w:r>
          </w:p>
        </w:tc>
        <w:tc>
          <w:tcPr>
            <w:tcW w:w="0" w:type="auto"/>
            <w:hideMark/>
          </w:tcPr>
          <w:p w14:paraId="21759F0F"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c>
          <w:tcPr>
            <w:tcW w:w="0" w:type="auto"/>
            <w:hideMark/>
          </w:tcPr>
          <w:p w14:paraId="3863CA7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noWrap/>
            <w:hideMark/>
          </w:tcPr>
          <w:p w14:paraId="675AB35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-1,9</w:t>
            </w:r>
          </w:p>
        </w:tc>
        <w:tc>
          <w:tcPr>
            <w:tcW w:w="0" w:type="auto"/>
            <w:noWrap/>
            <w:hideMark/>
          </w:tcPr>
          <w:p w14:paraId="1D9EB30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r>
      <w:tr w:rsidR="00D91D79" w:rsidRPr="00F5596D" w14:paraId="489C9196"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4C34B34A"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2015</w:t>
            </w:r>
          </w:p>
        </w:tc>
        <w:tc>
          <w:tcPr>
            <w:tcW w:w="0" w:type="auto"/>
            <w:hideMark/>
          </w:tcPr>
          <w:p w14:paraId="1CCF09D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-1,5</w:t>
            </w:r>
          </w:p>
        </w:tc>
        <w:tc>
          <w:tcPr>
            <w:tcW w:w="0" w:type="auto"/>
            <w:hideMark/>
          </w:tcPr>
          <w:p w14:paraId="4DB9E69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-3,3</w:t>
            </w:r>
          </w:p>
        </w:tc>
        <w:tc>
          <w:tcPr>
            <w:tcW w:w="0" w:type="auto"/>
            <w:hideMark/>
          </w:tcPr>
          <w:p w14:paraId="6FCFBBA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c>
          <w:tcPr>
            <w:tcW w:w="0" w:type="auto"/>
            <w:noWrap/>
            <w:hideMark/>
          </w:tcPr>
          <w:p w14:paraId="0F5F6B4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c>
          <w:tcPr>
            <w:tcW w:w="0" w:type="auto"/>
            <w:hideMark/>
          </w:tcPr>
          <w:p w14:paraId="5AA3932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hideMark/>
          </w:tcPr>
          <w:p w14:paraId="5052266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-2,0</w:t>
            </w:r>
          </w:p>
        </w:tc>
        <w:tc>
          <w:tcPr>
            <w:tcW w:w="0" w:type="auto"/>
            <w:noWrap/>
            <w:hideMark/>
          </w:tcPr>
          <w:p w14:paraId="7A970278"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0,9</w:t>
            </w:r>
          </w:p>
        </w:tc>
        <w:tc>
          <w:tcPr>
            <w:tcW w:w="0" w:type="auto"/>
            <w:noWrap/>
            <w:hideMark/>
          </w:tcPr>
          <w:p w14:paraId="0E46AE6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r>
      <w:tr w:rsidR="00D91D79" w:rsidRPr="00F5596D" w14:paraId="2D499BA1"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3989F2DF"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2016</w:t>
            </w:r>
          </w:p>
        </w:tc>
        <w:tc>
          <w:tcPr>
            <w:tcW w:w="0" w:type="auto"/>
            <w:noWrap/>
            <w:hideMark/>
          </w:tcPr>
          <w:p w14:paraId="7C37248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c>
          <w:tcPr>
            <w:tcW w:w="0" w:type="auto"/>
            <w:noWrap/>
            <w:hideMark/>
          </w:tcPr>
          <w:p w14:paraId="6A8084B6"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noWrap/>
            <w:hideMark/>
          </w:tcPr>
          <w:p w14:paraId="5F70332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noWrap/>
            <w:hideMark/>
          </w:tcPr>
          <w:p w14:paraId="6E6639E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-1,0</w:t>
            </w:r>
          </w:p>
        </w:tc>
        <w:tc>
          <w:tcPr>
            <w:tcW w:w="0" w:type="auto"/>
            <w:hideMark/>
          </w:tcPr>
          <w:p w14:paraId="62C72BC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1,8</w:t>
            </w:r>
          </w:p>
        </w:tc>
        <w:tc>
          <w:tcPr>
            <w:tcW w:w="0" w:type="auto"/>
            <w:hideMark/>
          </w:tcPr>
          <w:p w14:paraId="0DE65BD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-0,9</w:t>
            </w:r>
          </w:p>
        </w:tc>
        <w:tc>
          <w:tcPr>
            <w:tcW w:w="0" w:type="auto"/>
            <w:noWrap/>
            <w:hideMark/>
          </w:tcPr>
          <w:p w14:paraId="595D0617"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1,9</w:t>
            </w:r>
          </w:p>
        </w:tc>
        <w:tc>
          <w:tcPr>
            <w:tcW w:w="0" w:type="auto"/>
            <w:noWrap/>
            <w:hideMark/>
          </w:tcPr>
          <w:p w14:paraId="60BF7DC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r>
      <w:tr w:rsidR="00D91D79" w:rsidRPr="00F5596D" w14:paraId="37A6BEC2"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7BE442E1"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2017</w:t>
            </w:r>
          </w:p>
        </w:tc>
        <w:tc>
          <w:tcPr>
            <w:tcW w:w="0" w:type="auto"/>
            <w:hideMark/>
          </w:tcPr>
          <w:p w14:paraId="7EE6B84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hideMark/>
          </w:tcPr>
          <w:p w14:paraId="7439913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hideMark/>
          </w:tcPr>
          <w:p w14:paraId="5F8558E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3,5</w:t>
            </w:r>
          </w:p>
        </w:tc>
        <w:tc>
          <w:tcPr>
            <w:tcW w:w="0" w:type="auto"/>
            <w:noWrap/>
            <w:hideMark/>
          </w:tcPr>
          <w:p w14:paraId="19AF7E7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1,3</w:t>
            </w:r>
          </w:p>
        </w:tc>
        <w:tc>
          <w:tcPr>
            <w:tcW w:w="0" w:type="auto"/>
            <w:hideMark/>
          </w:tcPr>
          <w:p w14:paraId="7C945793"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3,7</w:t>
            </w:r>
          </w:p>
        </w:tc>
        <w:tc>
          <w:tcPr>
            <w:tcW w:w="0" w:type="auto"/>
            <w:hideMark/>
          </w:tcPr>
          <w:p w14:paraId="61F09E4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noWrap/>
            <w:hideMark/>
          </w:tcPr>
          <w:p w14:paraId="66F42D8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3,6</w:t>
            </w:r>
          </w:p>
        </w:tc>
        <w:tc>
          <w:tcPr>
            <w:tcW w:w="0" w:type="auto"/>
            <w:noWrap/>
            <w:hideMark/>
          </w:tcPr>
          <w:p w14:paraId="408489C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-1,9</w:t>
            </w:r>
          </w:p>
        </w:tc>
      </w:tr>
      <w:tr w:rsidR="00D91D79" w:rsidRPr="00F5596D" w14:paraId="4B472A25"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2F0F10B"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2018</w:t>
            </w:r>
          </w:p>
        </w:tc>
        <w:tc>
          <w:tcPr>
            <w:tcW w:w="0" w:type="auto"/>
            <w:hideMark/>
          </w:tcPr>
          <w:p w14:paraId="405C014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0,8</w:t>
            </w:r>
          </w:p>
        </w:tc>
        <w:tc>
          <w:tcPr>
            <w:tcW w:w="0" w:type="auto"/>
            <w:hideMark/>
          </w:tcPr>
          <w:p w14:paraId="24AA935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hideMark/>
          </w:tcPr>
          <w:p w14:paraId="3EE2EBB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2,6</w:t>
            </w:r>
          </w:p>
        </w:tc>
        <w:tc>
          <w:tcPr>
            <w:tcW w:w="0" w:type="auto"/>
            <w:noWrap/>
            <w:hideMark/>
          </w:tcPr>
          <w:p w14:paraId="227A6C8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hideMark/>
          </w:tcPr>
          <w:p w14:paraId="4DA3549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2,3</w:t>
            </w:r>
          </w:p>
        </w:tc>
        <w:tc>
          <w:tcPr>
            <w:tcW w:w="0" w:type="auto"/>
            <w:hideMark/>
          </w:tcPr>
          <w:p w14:paraId="0DF0BF89"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c>
          <w:tcPr>
            <w:tcW w:w="0" w:type="auto"/>
            <w:noWrap/>
            <w:hideMark/>
          </w:tcPr>
          <w:p w14:paraId="67F0915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2,2</w:t>
            </w:r>
          </w:p>
        </w:tc>
        <w:tc>
          <w:tcPr>
            <w:tcW w:w="0" w:type="auto"/>
            <w:noWrap/>
            <w:hideMark/>
          </w:tcPr>
          <w:p w14:paraId="13053EC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1,4</w:t>
            </w:r>
          </w:p>
        </w:tc>
      </w:tr>
      <w:tr w:rsidR="00D91D79" w:rsidRPr="00F5596D" w14:paraId="4A1CF31C"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0428A7F5"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2019</w:t>
            </w:r>
          </w:p>
        </w:tc>
        <w:tc>
          <w:tcPr>
            <w:tcW w:w="0" w:type="auto"/>
            <w:hideMark/>
          </w:tcPr>
          <w:p w14:paraId="26C025A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hideMark/>
          </w:tcPr>
          <w:p w14:paraId="3471C56C"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c>
          <w:tcPr>
            <w:tcW w:w="0" w:type="auto"/>
            <w:hideMark/>
          </w:tcPr>
          <w:p w14:paraId="0BAF91D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c>
          <w:tcPr>
            <w:tcW w:w="0" w:type="auto"/>
            <w:noWrap/>
            <w:hideMark/>
          </w:tcPr>
          <w:p w14:paraId="697A6ACC"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-0,9</w:t>
            </w:r>
          </w:p>
        </w:tc>
        <w:tc>
          <w:tcPr>
            <w:tcW w:w="0" w:type="auto"/>
            <w:hideMark/>
          </w:tcPr>
          <w:p w14:paraId="18600CD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1,0</w:t>
            </w:r>
          </w:p>
        </w:tc>
        <w:tc>
          <w:tcPr>
            <w:tcW w:w="0" w:type="auto"/>
            <w:hideMark/>
          </w:tcPr>
          <w:p w14:paraId="37D89FA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noWrap/>
            <w:hideMark/>
          </w:tcPr>
          <w:p w14:paraId="0C7232A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0,8</w:t>
            </w:r>
          </w:p>
        </w:tc>
        <w:tc>
          <w:tcPr>
            <w:tcW w:w="0" w:type="auto"/>
            <w:noWrap/>
            <w:hideMark/>
          </w:tcPr>
          <w:p w14:paraId="140CCCE4"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1,4</w:t>
            </w:r>
          </w:p>
        </w:tc>
      </w:tr>
      <w:tr w:rsidR="00D91D79" w:rsidRPr="00F5596D" w14:paraId="712C9E3D"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3A7606C"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2020</w:t>
            </w:r>
          </w:p>
        </w:tc>
        <w:tc>
          <w:tcPr>
            <w:tcW w:w="0" w:type="auto"/>
            <w:hideMark/>
          </w:tcPr>
          <w:p w14:paraId="572AF49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-2,4</w:t>
            </w:r>
          </w:p>
        </w:tc>
        <w:tc>
          <w:tcPr>
            <w:tcW w:w="0" w:type="auto"/>
            <w:hideMark/>
          </w:tcPr>
          <w:p w14:paraId="25F6FBA9"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-7,7</w:t>
            </w:r>
          </w:p>
        </w:tc>
        <w:tc>
          <w:tcPr>
            <w:tcW w:w="0" w:type="auto"/>
            <w:hideMark/>
          </w:tcPr>
          <w:p w14:paraId="0F2146F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-5,8</w:t>
            </w:r>
          </w:p>
        </w:tc>
        <w:tc>
          <w:tcPr>
            <w:tcW w:w="0" w:type="auto"/>
            <w:noWrap/>
            <w:hideMark/>
          </w:tcPr>
          <w:p w14:paraId="0AABE03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-6,8</w:t>
            </w:r>
          </w:p>
        </w:tc>
        <w:tc>
          <w:tcPr>
            <w:tcW w:w="0" w:type="auto"/>
            <w:hideMark/>
          </w:tcPr>
          <w:p w14:paraId="7EC4CB0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-4,9</w:t>
            </w:r>
          </w:p>
        </w:tc>
        <w:tc>
          <w:tcPr>
            <w:tcW w:w="0" w:type="auto"/>
            <w:hideMark/>
          </w:tcPr>
          <w:p w14:paraId="5EADEF2F"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51BDD2E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1,8</w:t>
            </w:r>
          </w:p>
        </w:tc>
        <w:tc>
          <w:tcPr>
            <w:tcW w:w="0" w:type="auto"/>
            <w:noWrap/>
            <w:hideMark/>
          </w:tcPr>
          <w:p w14:paraId="7A502F1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5,9</w:t>
            </w:r>
          </w:p>
        </w:tc>
      </w:tr>
      <w:tr w:rsidR="00D91D79" w:rsidRPr="00F5596D" w14:paraId="76C0EAC4"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7BF6C3D"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2021</w:t>
            </w:r>
          </w:p>
        </w:tc>
        <w:tc>
          <w:tcPr>
            <w:tcW w:w="0" w:type="auto"/>
            <w:hideMark/>
          </w:tcPr>
          <w:p w14:paraId="65A8578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1,5</w:t>
            </w:r>
          </w:p>
        </w:tc>
        <w:tc>
          <w:tcPr>
            <w:tcW w:w="0" w:type="auto"/>
            <w:hideMark/>
          </w:tcPr>
          <w:p w14:paraId="063270B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-3,9</w:t>
            </w:r>
          </w:p>
        </w:tc>
        <w:tc>
          <w:tcPr>
            <w:tcW w:w="0" w:type="auto"/>
            <w:hideMark/>
          </w:tcPr>
          <w:p w14:paraId="581B0FCB"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-2,3</w:t>
            </w:r>
          </w:p>
        </w:tc>
        <w:tc>
          <w:tcPr>
            <w:tcW w:w="0" w:type="auto"/>
            <w:noWrap/>
            <w:hideMark/>
          </w:tcPr>
          <w:p w14:paraId="2139CD7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-4,5</w:t>
            </w:r>
          </w:p>
        </w:tc>
        <w:tc>
          <w:tcPr>
            <w:tcW w:w="0" w:type="auto"/>
            <w:hideMark/>
          </w:tcPr>
          <w:p w14:paraId="418D201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c>
          <w:tcPr>
            <w:tcW w:w="0" w:type="auto"/>
            <w:hideMark/>
          </w:tcPr>
          <w:p w14:paraId="5E14A024"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noWrap/>
            <w:hideMark/>
          </w:tcPr>
          <w:p w14:paraId="58506F1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noWrap/>
            <w:hideMark/>
          </w:tcPr>
          <w:p w14:paraId="20C3131C"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r>
      <w:tr w:rsidR="00D91D79" w:rsidRPr="00F5596D" w14:paraId="21CCCDAC"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61FB59FC"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2022</w:t>
            </w:r>
          </w:p>
        </w:tc>
        <w:tc>
          <w:tcPr>
            <w:tcW w:w="0" w:type="auto"/>
            <w:hideMark/>
          </w:tcPr>
          <w:p w14:paraId="02B8114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hideMark/>
          </w:tcPr>
          <w:p w14:paraId="6A7ADC5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-3,0</w:t>
            </w:r>
          </w:p>
        </w:tc>
        <w:tc>
          <w:tcPr>
            <w:tcW w:w="0" w:type="auto"/>
            <w:hideMark/>
          </w:tcPr>
          <w:p w14:paraId="06645E9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noWrap/>
            <w:hideMark/>
          </w:tcPr>
          <w:p w14:paraId="538C7A1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-3,1</w:t>
            </w:r>
          </w:p>
        </w:tc>
        <w:tc>
          <w:tcPr>
            <w:tcW w:w="0" w:type="auto"/>
            <w:hideMark/>
          </w:tcPr>
          <w:p w14:paraId="4F341AD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-1,7</w:t>
            </w:r>
          </w:p>
        </w:tc>
        <w:tc>
          <w:tcPr>
            <w:tcW w:w="0" w:type="auto"/>
            <w:hideMark/>
          </w:tcPr>
          <w:p w14:paraId="1CF6B88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401291CD"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1,5</w:t>
            </w:r>
          </w:p>
        </w:tc>
        <w:tc>
          <w:tcPr>
            <w:tcW w:w="0" w:type="auto"/>
            <w:noWrap/>
            <w:hideMark/>
          </w:tcPr>
          <w:p w14:paraId="23702F21"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r>
      <w:tr w:rsidR="00D91D79" w:rsidRPr="00F5596D" w14:paraId="7A1F4D61"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48FAFA4E"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2023</w:t>
            </w:r>
          </w:p>
        </w:tc>
        <w:tc>
          <w:tcPr>
            <w:tcW w:w="0" w:type="auto"/>
            <w:hideMark/>
          </w:tcPr>
          <w:p w14:paraId="5F614C5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hideMark/>
          </w:tcPr>
          <w:p w14:paraId="32BB774F"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hideMark/>
          </w:tcPr>
          <w:p w14:paraId="5CDCDE4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c>
          <w:tcPr>
            <w:tcW w:w="0" w:type="auto"/>
            <w:noWrap/>
            <w:hideMark/>
          </w:tcPr>
          <w:p w14:paraId="204815B3"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hideMark/>
          </w:tcPr>
          <w:p w14:paraId="08752795"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hideMark/>
          </w:tcPr>
          <w:p w14:paraId="117C316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-1,5</w:t>
            </w:r>
          </w:p>
        </w:tc>
        <w:tc>
          <w:tcPr>
            <w:tcW w:w="0" w:type="auto"/>
            <w:noWrap/>
            <w:hideMark/>
          </w:tcPr>
          <w:p w14:paraId="6480380C"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25F31953"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r>
      <w:tr w:rsidR="00D91D79" w:rsidRPr="00F5596D" w14:paraId="5321BB6B"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1DE88657"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2024</w:t>
            </w:r>
          </w:p>
        </w:tc>
        <w:tc>
          <w:tcPr>
            <w:tcW w:w="0" w:type="auto"/>
            <w:hideMark/>
          </w:tcPr>
          <w:p w14:paraId="7C76741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c>
          <w:tcPr>
            <w:tcW w:w="0" w:type="auto"/>
            <w:hideMark/>
          </w:tcPr>
          <w:p w14:paraId="674FC6C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-2,0</w:t>
            </w:r>
          </w:p>
        </w:tc>
        <w:tc>
          <w:tcPr>
            <w:tcW w:w="0" w:type="auto"/>
            <w:hideMark/>
          </w:tcPr>
          <w:p w14:paraId="7A89C46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noWrap/>
            <w:hideMark/>
          </w:tcPr>
          <w:p w14:paraId="12401316"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hideMark/>
          </w:tcPr>
          <w:p w14:paraId="3F28F60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c>
          <w:tcPr>
            <w:tcW w:w="0" w:type="auto"/>
            <w:hideMark/>
          </w:tcPr>
          <w:p w14:paraId="2174405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-1,8</w:t>
            </w:r>
          </w:p>
        </w:tc>
        <w:tc>
          <w:tcPr>
            <w:tcW w:w="0" w:type="auto"/>
            <w:noWrap/>
            <w:hideMark/>
          </w:tcPr>
          <w:p w14:paraId="03D6225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48F0A61E"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r>
      <w:tr w:rsidR="00D91D79" w:rsidRPr="00F5596D" w14:paraId="454A0B0D"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01FCEA3"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2025</w:t>
            </w:r>
          </w:p>
        </w:tc>
        <w:tc>
          <w:tcPr>
            <w:tcW w:w="0" w:type="auto"/>
            <w:hideMark/>
          </w:tcPr>
          <w:p w14:paraId="6F472A1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hideMark/>
          </w:tcPr>
          <w:p w14:paraId="18269D42"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-3,0</w:t>
            </w:r>
          </w:p>
        </w:tc>
        <w:tc>
          <w:tcPr>
            <w:tcW w:w="0" w:type="auto"/>
            <w:hideMark/>
          </w:tcPr>
          <w:p w14:paraId="1C6BABD8"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-1,0</w:t>
            </w:r>
          </w:p>
        </w:tc>
        <w:tc>
          <w:tcPr>
            <w:tcW w:w="0" w:type="auto"/>
            <w:noWrap/>
            <w:hideMark/>
          </w:tcPr>
          <w:p w14:paraId="69AC402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-2,8</w:t>
            </w:r>
          </w:p>
        </w:tc>
        <w:tc>
          <w:tcPr>
            <w:tcW w:w="0" w:type="auto"/>
            <w:hideMark/>
          </w:tcPr>
          <w:p w14:paraId="10260B5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-0,8</w:t>
            </w:r>
          </w:p>
        </w:tc>
        <w:tc>
          <w:tcPr>
            <w:tcW w:w="0" w:type="auto"/>
            <w:hideMark/>
          </w:tcPr>
          <w:p w14:paraId="1E8D9CB0"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-2,1</w:t>
            </w:r>
          </w:p>
        </w:tc>
        <w:tc>
          <w:tcPr>
            <w:tcW w:w="0" w:type="auto"/>
            <w:noWrap/>
            <w:hideMark/>
          </w:tcPr>
          <w:p w14:paraId="39C0D97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c>
          <w:tcPr>
            <w:tcW w:w="0" w:type="auto"/>
            <w:noWrap/>
            <w:hideMark/>
          </w:tcPr>
          <w:p w14:paraId="36646A2D"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r>
      <w:tr w:rsidR="00D91D79" w:rsidRPr="00F5596D" w14:paraId="0CE23D28"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4496CF3C"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2026</w:t>
            </w:r>
          </w:p>
        </w:tc>
        <w:tc>
          <w:tcPr>
            <w:tcW w:w="0" w:type="auto"/>
            <w:hideMark/>
          </w:tcPr>
          <w:p w14:paraId="6898FEA5"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-0,4</w:t>
            </w:r>
          </w:p>
        </w:tc>
        <w:tc>
          <w:tcPr>
            <w:tcW w:w="0" w:type="auto"/>
            <w:hideMark/>
          </w:tcPr>
          <w:p w14:paraId="506DF594"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-3,0</w:t>
            </w:r>
          </w:p>
        </w:tc>
        <w:tc>
          <w:tcPr>
            <w:tcW w:w="0" w:type="auto"/>
            <w:hideMark/>
          </w:tcPr>
          <w:p w14:paraId="25730F5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-1,0</w:t>
            </w:r>
          </w:p>
        </w:tc>
        <w:tc>
          <w:tcPr>
            <w:tcW w:w="0" w:type="auto"/>
            <w:noWrap/>
            <w:hideMark/>
          </w:tcPr>
          <w:p w14:paraId="4A20A857"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-2,9</w:t>
            </w:r>
          </w:p>
        </w:tc>
        <w:tc>
          <w:tcPr>
            <w:tcW w:w="0" w:type="auto"/>
            <w:hideMark/>
          </w:tcPr>
          <w:p w14:paraId="61E6F7B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-0,9</w:t>
            </w:r>
          </w:p>
        </w:tc>
        <w:tc>
          <w:tcPr>
            <w:tcW w:w="0" w:type="auto"/>
            <w:hideMark/>
          </w:tcPr>
          <w:p w14:paraId="74BAB0E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noWrap/>
            <w:hideMark/>
          </w:tcPr>
          <w:p w14:paraId="39206973"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c>
          <w:tcPr>
            <w:tcW w:w="0" w:type="auto"/>
            <w:noWrap/>
            <w:hideMark/>
          </w:tcPr>
          <w:p w14:paraId="2B7A4628"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0,1</w:t>
            </w:r>
          </w:p>
        </w:tc>
      </w:tr>
      <w:tr w:rsidR="00D91D79" w:rsidRPr="00F5596D" w14:paraId="49FA910C" w14:textId="77777777" w:rsidTr="00D91D7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hideMark/>
          </w:tcPr>
          <w:p w14:paraId="5E50EC17"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2027</w:t>
            </w:r>
          </w:p>
        </w:tc>
        <w:tc>
          <w:tcPr>
            <w:tcW w:w="0" w:type="auto"/>
            <w:hideMark/>
          </w:tcPr>
          <w:p w14:paraId="617E0FE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c>
          <w:tcPr>
            <w:tcW w:w="0" w:type="auto"/>
            <w:hideMark/>
          </w:tcPr>
          <w:p w14:paraId="3C354A84"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-3,0</w:t>
            </w:r>
          </w:p>
        </w:tc>
        <w:tc>
          <w:tcPr>
            <w:tcW w:w="0" w:type="auto"/>
            <w:hideMark/>
          </w:tcPr>
          <w:p w14:paraId="637880DE"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-1,1</w:t>
            </w:r>
          </w:p>
        </w:tc>
        <w:tc>
          <w:tcPr>
            <w:tcW w:w="0" w:type="auto"/>
            <w:hideMark/>
          </w:tcPr>
          <w:p w14:paraId="20F4B97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-3,2</w:t>
            </w:r>
          </w:p>
        </w:tc>
        <w:tc>
          <w:tcPr>
            <w:tcW w:w="0" w:type="auto"/>
            <w:hideMark/>
          </w:tcPr>
          <w:p w14:paraId="677BC486"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-1,3</w:t>
            </w:r>
          </w:p>
        </w:tc>
        <w:tc>
          <w:tcPr>
            <w:tcW w:w="0" w:type="auto"/>
            <w:hideMark/>
          </w:tcPr>
          <w:p w14:paraId="122F2EA9"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hideMark/>
          </w:tcPr>
          <w:p w14:paraId="371DC50A"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0,3</w:t>
            </w:r>
          </w:p>
        </w:tc>
        <w:tc>
          <w:tcPr>
            <w:tcW w:w="0" w:type="auto"/>
            <w:noWrap/>
            <w:hideMark/>
          </w:tcPr>
          <w:p w14:paraId="0C1CDA97" w14:textId="77777777" w:rsidR="00D91D79" w:rsidRPr="00F5596D" w:rsidRDefault="00D91D79" w:rsidP="00D91D79">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0,5</w:t>
            </w:r>
          </w:p>
        </w:tc>
      </w:tr>
      <w:tr w:rsidR="00D91D79" w:rsidRPr="00F5596D" w14:paraId="73B181D1" w14:textId="77777777" w:rsidTr="00D91D79">
        <w:trPr>
          <w:trHeight w:val="20"/>
        </w:trPr>
        <w:tc>
          <w:tcPr>
            <w:cnfStyle w:val="001000000000" w:firstRow="0" w:lastRow="0" w:firstColumn="1" w:lastColumn="0" w:oddVBand="0" w:evenVBand="0" w:oddHBand="0" w:evenHBand="0" w:firstRowFirstColumn="0" w:firstRowLastColumn="0" w:lastRowFirstColumn="0" w:lastRowLastColumn="0"/>
            <w:tcW w:w="0" w:type="auto"/>
            <w:noWrap/>
          </w:tcPr>
          <w:p w14:paraId="2C9B4A0F" w14:textId="77777777" w:rsidR="00D91D79" w:rsidRPr="00F5596D" w:rsidRDefault="00D91D79" w:rsidP="00D91D79">
            <w:pPr>
              <w:jc w:val="left"/>
              <w:rPr>
                <w:rFonts w:eastAsia="Times New Roman" w:cstheme="minorHAnsi"/>
                <w:b w:val="0"/>
                <w:color w:val="1F4E79" w:themeColor="accent5" w:themeShade="80"/>
                <w:sz w:val="16"/>
                <w:szCs w:val="16"/>
                <w:lang w:val="sr-Cyrl-CS"/>
              </w:rPr>
            </w:pPr>
            <w:r w:rsidRPr="00F5596D">
              <w:rPr>
                <w:rFonts w:eastAsia="Times New Roman" w:cstheme="minorHAnsi"/>
                <w:b w:val="0"/>
                <w:color w:val="1F4E79" w:themeColor="accent5" w:themeShade="80"/>
                <w:sz w:val="16"/>
                <w:szCs w:val="16"/>
                <w:lang w:val="sr-Cyrl-CS"/>
              </w:rPr>
              <w:t>2028</w:t>
            </w:r>
          </w:p>
        </w:tc>
        <w:tc>
          <w:tcPr>
            <w:tcW w:w="0" w:type="auto"/>
          </w:tcPr>
          <w:p w14:paraId="5C74ECFA"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0,0</w:t>
            </w:r>
          </w:p>
        </w:tc>
        <w:tc>
          <w:tcPr>
            <w:tcW w:w="0" w:type="auto"/>
          </w:tcPr>
          <w:p w14:paraId="0CB4104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-2,5</w:t>
            </w:r>
          </w:p>
        </w:tc>
        <w:tc>
          <w:tcPr>
            <w:tcW w:w="0" w:type="auto"/>
          </w:tcPr>
          <w:p w14:paraId="72E07ADB"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-0,7</w:t>
            </w:r>
          </w:p>
        </w:tc>
        <w:tc>
          <w:tcPr>
            <w:tcW w:w="0" w:type="auto"/>
          </w:tcPr>
          <w:p w14:paraId="28D61D5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-2,5</w:t>
            </w:r>
          </w:p>
        </w:tc>
        <w:tc>
          <w:tcPr>
            <w:tcW w:w="0" w:type="auto"/>
          </w:tcPr>
          <w:p w14:paraId="392F8CB6"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-0,7</w:t>
            </w:r>
          </w:p>
        </w:tc>
        <w:tc>
          <w:tcPr>
            <w:tcW w:w="0" w:type="auto"/>
          </w:tcPr>
          <w:p w14:paraId="7035E540"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-1,6</w:t>
            </w:r>
          </w:p>
        </w:tc>
        <w:tc>
          <w:tcPr>
            <w:tcW w:w="0" w:type="auto"/>
          </w:tcPr>
          <w:p w14:paraId="5EA8BEDC"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0,2</w:t>
            </w:r>
          </w:p>
        </w:tc>
        <w:tc>
          <w:tcPr>
            <w:tcW w:w="0" w:type="auto"/>
            <w:noWrap/>
          </w:tcPr>
          <w:p w14:paraId="0AAEEC72" w14:textId="77777777" w:rsidR="00D91D79" w:rsidRPr="00F5596D" w:rsidRDefault="00D91D79" w:rsidP="00D91D79">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1F4E79" w:themeColor="accent5" w:themeShade="80"/>
                <w:sz w:val="16"/>
                <w:szCs w:val="16"/>
                <w:lang w:val="sr-Cyrl-CS"/>
              </w:rPr>
            </w:pPr>
            <w:r w:rsidRPr="00F5596D">
              <w:rPr>
                <w:sz w:val="16"/>
                <w:szCs w:val="16"/>
                <w:lang w:val="sr-Cyrl-CS"/>
              </w:rPr>
              <w:t>-0,6</w:t>
            </w:r>
          </w:p>
        </w:tc>
      </w:tr>
    </w:tbl>
    <w:p w14:paraId="7A059794" w14:textId="63BDA7C1" w:rsidR="00683785" w:rsidRPr="00F5596D" w:rsidRDefault="00F14A11" w:rsidP="00483D7D">
      <w:pPr>
        <w:rPr>
          <w:rFonts w:ascii="Calibri" w:eastAsia="MS PGothic" w:hAnsi="Calibri" w:cs="Calibri"/>
          <w:b/>
          <w:bCs/>
          <w:color w:val="002060"/>
          <w:lang w:val="sr-Cyrl-CS"/>
        </w:rPr>
      </w:pPr>
      <w:r w:rsidRPr="00F5596D">
        <w:rPr>
          <w:rFonts w:ascii="Calibri" w:eastAsia="MS PGothic" w:hAnsi="Calibri" w:cs="Calibri"/>
          <w:b/>
          <w:bCs/>
          <w:color w:val="002060"/>
          <w:lang w:val="sr-Cyrl-CS"/>
        </w:rPr>
        <w:t>Табела 26</w:t>
      </w:r>
      <w:r w:rsidR="00683785" w:rsidRPr="00F5596D">
        <w:rPr>
          <w:rFonts w:ascii="Calibri" w:eastAsia="MS PGothic" w:hAnsi="Calibri" w:cs="Calibri"/>
          <w:b/>
          <w:bCs/>
          <w:color w:val="002060"/>
          <w:lang w:val="sr-Cyrl-CS"/>
        </w:rPr>
        <w:t xml:space="preserve">. Фискални биланс и компоненте за обрачун циклично прилагођеног биланса </w:t>
      </w:r>
      <w:r w:rsidR="00683785" w:rsidRPr="00F5596D">
        <w:rPr>
          <w:rFonts w:ascii="Calibri" w:eastAsia="MS PGothic" w:hAnsi="Calibri" w:cs="Calibri"/>
          <w:b/>
          <w:bCs/>
          <w:color w:val="002060"/>
          <w:lang w:val="sr-Cyrl-CS"/>
        </w:rPr>
        <w:br w:type="textWrapping" w:clear="all"/>
        <w:t>у периоду 2005–2028. године, % БДП*</w:t>
      </w:r>
    </w:p>
    <w:p w14:paraId="666C9773" w14:textId="6D269BEA" w:rsidR="00683785" w:rsidRPr="00F5596D" w:rsidRDefault="00683785" w:rsidP="00683785">
      <w:pPr>
        <w:shd w:val="clear" w:color="auto" w:fill="FFFFFF" w:themeFill="background1"/>
        <w:spacing w:before="40" w:after="0" w:line="276" w:lineRule="auto"/>
        <w:rPr>
          <w:rFonts w:ascii="Calibri" w:eastAsia="MS PGothic" w:hAnsi="Calibri" w:cs="Calibri"/>
          <w:sz w:val="16"/>
          <w:szCs w:val="16"/>
          <w:lang w:val="sr-Cyrl-CS" w:eastAsia="ja-JP"/>
        </w:rPr>
      </w:pPr>
      <w:r w:rsidRPr="00F5596D">
        <w:rPr>
          <w:rFonts w:ascii="Calibri" w:eastAsia="MS PGothic" w:hAnsi="Calibri" w:cs="Calibri"/>
          <w:bCs/>
          <w:sz w:val="16"/>
          <w:szCs w:val="16"/>
          <w:lang w:val="sr-Cyrl-CS" w:eastAsia="ja-JP"/>
        </w:rPr>
        <w:t xml:space="preserve">* </w:t>
      </w:r>
      <w:r w:rsidR="00091F83" w:rsidRPr="00F5596D">
        <w:rPr>
          <w:rFonts w:ascii="Calibri" w:eastAsia="MS PGothic" w:hAnsi="Calibri" w:cs="Calibri"/>
          <w:sz w:val="16"/>
          <w:szCs w:val="16"/>
          <w:lang w:val="sr-Cyrl-CS" w:eastAsia="ja-JP"/>
        </w:rPr>
        <w:t>За период 2025–2028</w:t>
      </w:r>
      <w:r w:rsidRPr="00F5596D">
        <w:rPr>
          <w:rFonts w:ascii="Calibri" w:eastAsia="MS PGothic" w:hAnsi="Calibri" w:cs="Calibri"/>
          <w:sz w:val="16"/>
          <w:szCs w:val="16"/>
          <w:lang w:val="sr-Cyrl-CS" w:eastAsia="ja-JP"/>
        </w:rPr>
        <w:t>. године приказане су пројектоване вредности.</w:t>
      </w:r>
    </w:p>
    <w:p w14:paraId="6EFAFB67" w14:textId="77777777" w:rsidR="00683785" w:rsidRPr="00F5596D" w:rsidRDefault="00683785" w:rsidP="00683785">
      <w:pPr>
        <w:shd w:val="clear" w:color="auto" w:fill="FFFFFF" w:themeFill="background1"/>
        <w:spacing w:after="0" w:line="276" w:lineRule="auto"/>
        <w:rPr>
          <w:rFonts w:ascii="Calibri" w:eastAsia="MS PGothic" w:hAnsi="Calibri" w:cs="Calibri"/>
          <w:sz w:val="16"/>
          <w:szCs w:val="16"/>
          <w:lang w:val="sr-Cyrl-CS" w:eastAsia="ja-JP"/>
        </w:rPr>
      </w:pPr>
      <w:r w:rsidRPr="00F5596D">
        <w:rPr>
          <w:rFonts w:ascii="Calibri" w:eastAsia="MS PGothic" w:hAnsi="Calibri" w:cs="Calibri"/>
          <w:bCs/>
          <w:sz w:val="16"/>
          <w:szCs w:val="16"/>
          <w:lang w:val="sr-Cyrl-CS" w:eastAsia="ja-JP"/>
        </w:rPr>
        <w:t>** Структурни биланси добијени су искључивањем процењених једнократних прихода и расхода</w:t>
      </w:r>
      <w:r w:rsidRPr="00F5596D">
        <w:rPr>
          <w:rFonts w:ascii="Calibri" w:eastAsia="MS PGothic" w:hAnsi="Calibri" w:cs="Calibri"/>
          <w:sz w:val="16"/>
          <w:szCs w:val="16"/>
          <w:lang w:val="sr-Cyrl-CS" w:eastAsia="ja-JP"/>
        </w:rPr>
        <w:t xml:space="preserve">. За период од 2024. до 2028. године једнократним расходима су третирани и део капиталних расхода за потребе изложбе EXPO 2027, као и део расхода за војну опрему. </w:t>
      </w:r>
    </w:p>
    <w:p w14:paraId="2D8B9C73" w14:textId="77777777" w:rsidR="00683785" w:rsidRPr="00F5596D" w:rsidRDefault="00683785" w:rsidP="00683785">
      <w:pPr>
        <w:spacing w:line="276" w:lineRule="auto"/>
        <w:rPr>
          <w:rFonts w:ascii="Calibri" w:eastAsia="Calibri" w:hAnsi="Calibri" w:cs="Calibri"/>
          <w:sz w:val="16"/>
          <w:szCs w:val="20"/>
          <w:lang w:val="sr-Cyrl-CS"/>
        </w:rPr>
      </w:pPr>
      <w:r w:rsidRPr="00F5596D">
        <w:rPr>
          <w:rFonts w:ascii="Calibri" w:eastAsia="Calibri" w:hAnsi="Calibri" w:cs="Calibri"/>
          <w:sz w:val="16"/>
          <w:szCs w:val="16"/>
          <w:lang w:val="sr-Cyrl-CS"/>
        </w:rPr>
        <w:t xml:space="preserve">Извор: </w:t>
      </w:r>
      <w:r w:rsidRPr="00F5596D">
        <w:rPr>
          <w:rFonts w:ascii="Calibri" w:eastAsia="Calibri" w:hAnsi="Calibri" w:cs="Calibri"/>
          <w:sz w:val="16"/>
          <w:szCs w:val="20"/>
          <w:lang w:val="sr-Cyrl-CS"/>
        </w:rPr>
        <w:t>Министарство финансија</w:t>
      </w:r>
    </w:p>
    <w:p w14:paraId="5FFDAF55" w14:textId="77777777" w:rsidR="00683785" w:rsidRPr="00F5596D" w:rsidRDefault="00683785" w:rsidP="00683785">
      <w:pPr>
        <w:spacing w:line="276" w:lineRule="auto"/>
        <w:rPr>
          <w:rFonts w:ascii="Calibri" w:eastAsia="Calibri" w:hAnsi="Calibri" w:cs="Calibri"/>
          <w:sz w:val="16"/>
          <w:szCs w:val="16"/>
          <w:lang w:val="sr-Cyrl-CS"/>
        </w:rPr>
        <w:sectPr w:rsidR="00683785" w:rsidRPr="00F5596D" w:rsidSect="008D31CC">
          <w:type w:val="continuous"/>
          <w:pgSz w:w="12240" w:h="15840" w:code="1"/>
          <w:pgMar w:top="1417" w:right="1417" w:bottom="1417" w:left="1417" w:header="720" w:footer="720" w:gutter="0"/>
          <w:cols w:space="720"/>
        </w:sectPr>
      </w:pPr>
    </w:p>
    <w:p w14:paraId="223C3BA1" w14:textId="77777777" w:rsidR="00683785" w:rsidRPr="00F5596D" w:rsidRDefault="00683785" w:rsidP="00683785">
      <w:pPr>
        <w:spacing w:after="0"/>
        <w:jc w:val="center"/>
        <w:rPr>
          <w:color w:val="002060"/>
          <w:lang w:val="sr-Cyrl-CS" w:eastAsia="sr-Cyrl-RS"/>
        </w:rPr>
      </w:pPr>
      <w:r w:rsidRPr="00F5596D">
        <w:rPr>
          <w:rFonts w:cstheme="minorHAnsi"/>
          <w:b/>
          <w:color w:val="002060"/>
          <w:lang w:val="sr-Cyrl-CS"/>
        </w:rPr>
        <w:t>Производни јаз, циклично прилаг. и структурни фиск. биланс у периоду 2005–2028. год, % БДП*</w:t>
      </w:r>
    </w:p>
    <w:p w14:paraId="7BC84A9A" w14:textId="77777777" w:rsidR="00683785" w:rsidRPr="00F5596D" w:rsidRDefault="00683785" w:rsidP="00683785">
      <w:pPr>
        <w:spacing w:after="0"/>
        <w:jc w:val="left"/>
        <w:rPr>
          <w:lang w:val="sr-Cyrl-CS" w:eastAsia="sr-Cyrl-RS"/>
        </w:rPr>
      </w:pPr>
      <w:r w:rsidRPr="00F5596D">
        <w:rPr>
          <w:noProof/>
        </w:rPr>
        <w:drawing>
          <wp:inline distT="0" distB="0" distL="0" distR="0" wp14:anchorId="3A33854A" wp14:editId="6D63D06F">
            <wp:extent cx="2757805" cy="2760562"/>
            <wp:effectExtent l="0" t="0" r="4445" b="1905"/>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18D8ACA8" w14:textId="15134291" w:rsidR="00683785" w:rsidRPr="00F5596D" w:rsidRDefault="00683785" w:rsidP="00683785">
      <w:pPr>
        <w:spacing w:after="0"/>
        <w:jc w:val="center"/>
        <w:rPr>
          <w:rFonts w:cstheme="minorHAnsi"/>
          <w:b/>
          <w:color w:val="002060"/>
          <w:lang w:val="sr-Cyrl-CS"/>
        </w:rPr>
      </w:pPr>
      <w:r w:rsidRPr="00F5596D">
        <w:rPr>
          <w:rFonts w:cstheme="minorHAnsi"/>
          <w:b/>
          <w:color w:val="002060"/>
          <w:lang w:val="sr-Cyrl-CS"/>
        </w:rPr>
        <w:t>Карактер и ефекти фискалне политике у периоду 2006–2028. године, % БДП*</w:t>
      </w:r>
    </w:p>
    <w:p w14:paraId="4B64771B" w14:textId="77777777" w:rsidR="00683785" w:rsidRPr="00F5596D" w:rsidRDefault="00683785" w:rsidP="00683785">
      <w:pPr>
        <w:spacing w:after="0"/>
        <w:jc w:val="center"/>
        <w:rPr>
          <w:color w:val="002060"/>
          <w:lang w:val="sr-Cyrl-CS" w:eastAsia="sr-Cyrl-RS"/>
        </w:rPr>
      </w:pPr>
      <w:r w:rsidRPr="00F5596D">
        <w:rPr>
          <w:noProof/>
        </w:rPr>
        <w:drawing>
          <wp:inline distT="0" distB="0" distL="0" distR="0" wp14:anchorId="74AC8412" wp14:editId="33280DEE">
            <wp:extent cx="2757805" cy="2702688"/>
            <wp:effectExtent l="0" t="0" r="4445" b="254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6BA3EB2A" w14:textId="4ABA1841" w:rsidR="005F56BC" w:rsidRPr="00F5596D" w:rsidRDefault="00091F83" w:rsidP="00683785">
      <w:pPr>
        <w:jc w:val="left"/>
        <w:rPr>
          <w:rFonts w:ascii="Calibri" w:eastAsia="MS PGothic" w:hAnsi="Calibri" w:cs="Calibri"/>
          <w:sz w:val="16"/>
          <w:szCs w:val="20"/>
          <w:lang w:val="sr-Cyrl-CS" w:eastAsia="ja-JP"/>
        </w:rPr>
        <w:sectPr w:rsidR="005F56BC" w:rsidRPr="00F5596D" w:rsidSect="008D31CC">
          <w:type w:val="continuous"/>
          <w:pgSz w:w="12240" w:h="15840" w:code="1"/>
          <w:pgMar w:top="1417" w:right="1417" w:bottom="1417" w:left="1417" w:header="720" w:footer="720" w:gutter="0"/>
          <w:cols w:num="2" w:space="720"/>
        </w:sectPr>
      </w:pPr>
      <w:r w:rsidRPr="00F5596D">
        <w:rPr>
          <w:rFonts w:ascii="Calibri" w:eastAsia="MS PGothic" w:hAnsi="Calibri" w:cs="Calibri"/>
          <w:sz w:val="16"/>
          <w:szCs w:val="20"/>
          <w:lang w:val="sr-Cyrl-CS" w:eastAsia="ja-JP"/>
        </w:rPr>
        <w:t>* За период 2025–2028</w:t>
      </w:r>
      <w:r w:rsidR="00683785" w:rsidRPr="00F5596D">
        <w:rPr>
          <w:rFonts w:ascii="Calibri" w:eastAsia="MS PGothic" w:hAnsi="Calibri" w:cs="Calibri"/>
          <w:sz w:val="16"/>
          <w:szCs w:val="20"/>
          <w:lang w:val="sr-Cyrl-CS" w:eastAsia="ja-JP"/>
        </w:rPr>
        <w:t>. године прика</w:t>
      </w:r>
      <w:r w:rsidR="00DE39B0" w:rsidRPr="00F5596D">
        <w:rPr>
          <w:rFonts w:ascii="Calibri" w:eastAsia="MS PGothic" w:hAnsi="Calibri" w:cs="Calibri"/>
          <w:sz w:val="16"/>
          <w:szCs w:val="20"/>
          <w:lang w:val="sr-Cyrl-CS" w:eastAsia="ja-JP"/>
        </w:rPr>
        <w:t>зане су пројектоване вредности.</w:t>
      </w:r>
    </w:p>
    <w:p w14:paraId="2161D220" w14:textId="636C4BBE" w:rsidR="00683785" w:rsidRPr="00F5596D" w:rsidRDefault="00683785" w:rsidP="00683785">
      <w:pPr>
        <w:spacing w:after="120"/>
        <w:rPr>
          <w:lang w:val="sr-Cyrl-CS" w:eastAsia="ja-JP"/>
        </w:rPr>
      </w:pPr>
      <w:r w:rsidRPr="00F5596D">
        <w:rPr>
          <w:rFonts w:ascii="Calibri" w:eastAsia="Calibri" w:hAnsi="Calibri" w:cs="Calibri"/>
          <w:bCs/>
          <w:szCs w:val="20"/>
          <w:lang w:val="sr-Cyrl-CS"/>
        </w:rPr>
        <w:lastRenderedPageBreak/>
        <w:t>Структурна фискална позиција земље није нарушена у периоду између 2020. и 2022. године, због тога што су спроведене мере помоћи привреди и становништву из домена фискалне политике биле временски ограниченог карактера.</w:t>
      </w:r>
      <w:r w:rsidRPr="00F5596D">
        <w:rPr>
          <w:rFonts w:ascii="Calibri" w:eastAsia="Calibri" w:hAnsi="Calibri" w:cs="Calibri"/>
          <w:szCs w:val="20"/>
          <w:lang w:val="sr-Cyrl-CS"/>
        </w:rPr>
        <w:t xml:space="preserve"> Осим тога, енергетска криза условила је значајне интервенције државе у домену обезбеђивања енергетске стабилности у 2022. години. На ове потребе, утрошено је 2,7% БДП. Током 2022</w:t>
      </w:r>
      <w:r w:rsidR="00091F83" w:rsidRPr="00F5596D">
        <w:rPr>
          <w:rFonts w:ascii="Calibri" w:eastAsia="Calibri" w:hAnsi="Calibri" w:cs="Calibri"/>
          <w:szCs w:val="20"/>
          <w:lang w:val="sr-Cyrl-CS"/>
        </w:rPr>
        <w:t>. годинe реализована је и помоћ</w:t>
      </w:r>
      <w:r w:rsidRPr="00F5596D">
        <w:rPr>
          <w:rFonts w:ascii="Calibri" w:eastAsia="Calibri" w:hAnsi="Calibri" w:cs="Calibri"/>
          <w:szCs w:val="20"/>
          <w:lang w:val="sr-Cyrl-CS"/>
        </w:rPr>
        <w:t xml:space="preserve"> становништву у висини од 0,9% БДП. Осим повећаних издатака за енергенте, помоћ становништву и привреди, обезбеђена је и смањењем акциза на </w:t>
      </w:r>
      <w:r w:rsidRPr="00F5596D">
        <w:rPr>
          <w:lang w:val="sr-Cyrl-CS" w:eastAsia="ja-JP"/>
        </w:rPr>
        <w:t>нафтне деривате.</w:t>
      </w:r>
    </w:p>
    <w:p w14:paraId="40C6CAD3" w14:textId="77777777" w:rsidR="00683785" w:rsidRPr="00F5596D" w:rsidRDefault="00683785" w:rsidP="00683785">
      <w:pPr>
        <w:spacing w:after="120"/>
        <w:rPr>
          <w:lang w:val="sr-Cyrl-CS" w:eastAsia="ja-JP"/>
        </w:rPr>
      </w:pPr>
      <w:r w:rsidRPr="00F5596D">
        <w:rPr>
          <w:bCs/>
          <w:lang w:val="sr-Cyrl-CS" w:eastAsia="ja-JP"/>
        </w:rPr>
        <w:t>Током 2023. године</w:t>
      </w:r>
      <w:r w:rsidRPr="00F5596D">
        <w:rPr>
          <w:lang w:val="sr-Cyrl-CS" w:eastAsia="ja-JP"/>
        </w:rPr>
        <w:t>, промена у структурној позицији сектора државе делом је условљена изменом формуле за усклађивање пензија у складу са посебним фискалним правилима као и ванредним повећањем пензија у 2022. и 2023. години. Посебно фискално правило уводи директну везу између начина усклађивања пензија и учешћа овог облика расхода у БДП. Овакво системско решење обезбеђује да примања и стандард пензионера у већој мери рефлектују економску снагу земље, без угрожавања одрживости јавних финансија. Остатак благог погоршања структурне фискалне позиције последица је и раста учешћа расхода за камате у БДП. Увећани трошкови задуживања, као последица мера за сузбијање инфлаторних тенденција на домаћем и међународном тржишту, свакако ће и у наредном периоду имати негативан ефекат сличног интензитета.</w:t>
      </w:r>
    </w:p>
    <w:p w14:paraId="255FD925" w14:textId="4919667B" w:rsidR="00683785" w:rsidRPr="00F5596D" w:rsidRDefault="00683785" w:rsidP="00683785">
      <w:pPr>
        <w:spacing w:after="120"/>
        <w:rPr>
          <w:lang w:val="sr-Cyrl-CS" w:eastAsia="ja-JP"/>
        </w:rPr>
      </w:pPr>
      <w:r w:rsidRPr="00F5596D">
        <w:rPr>
          <w:lang w:val="sr-Cyrl-CS" w:eastAsia="ja-JP"/>
        </w:rPr>
        <w:t>Ванредно повећање пензија крајем 2023. године, као и значајно повећање родитељског додатка у 2024. години, имали су пренети ефекат на кретање структурног резултата и током наредног периода. Међутим, овим фискалним оквиром, одређено је кретање и горња граница структурног фискалног резултата, са основним циљем да се обезбеди одржив ниво и опадајућа путања ја</w:t>
      </w:r>
      <w:r w:rsidR="00091F83" w:rsidRPr="00F5596D">
        <w:rPr>
          <w:lang w:val="sr-Cyrl-CS" w:eastAsia="ja-JP"/>
        </w:rPr>
        <w:t xml:space="preserve">вног дуга. У периоду од 2023. до </w:t>
      </w:r>
      <w:r w:rsidRPr="00F5596D">
        <w:rPr>
          <w:lang w:val="sr-Cyrl-CS" w:eastAsia="ja-JP"/>
        </w:rPr>
        <w:t>2026. године раст расхода за камате у одређеној мери такође повећава ниво структурног дефицита. Након тога, постепеним смањењем учешћа камата у БДП, отвара се простор за повећање других продуктивних облика расхода.</w:t>
      </w:r>
    </w:p>
    <w:p w14:paraId="691A27C5" w14:textId="77777777" w:rsidR="00683785" w:rsidRPr="00F5596D" w:rsidRDefault="00683785" w:rsidP="00683785">
      <w:pPr>
        <w:spacing w:after="120"/>
        <w:rPr>
          <w:lang w:val="sr-Cyrl-CS" w:eastAsia="ja-JP"/>
        </w:rPr>
      </w:pPr>
      <w:r w:rsidRPr="00F5596D">
        <w:rPr>
          <w:lang w:val="sr-Cyrl-CS" w:eastAsia="ja-JP"/>
        </w:rPr>
        <w:t xml:space="preserve">Како је фискални импулс дефинисан као разлика два узастопна циклично прилагођена (примарна) резултата, оцењује се да је фискална политика током 2020. године била изразито експанзивно-контрациклична, усмерена на ублажавање негативног економског циклуса. Услед нешто мањег обима пакета мера економске подршке у 2021. години, фискална политика је рестриктивнија него претходне године, а по карактеру такође контрациклична. За период од 2022. до 2023. године, оцењено је да је фискална политика благо рестриктивна, и поред значајних издвајања за ублажавање енергетске кризе. Делом је то и последица раста расхода за камате који се искључују из обрачуна примарног резултата. У периоду од 2025. до 2027. године, а у складу са планираним фискалним оквиром, оцењена фискална политика је благо експанзивна. Основни разлог за то лежи у реализацији снажног инвестиционог циклуса за потребе манифестације EXPO 2027, али и осталих значајних инфраструктурних пројеката који ће, и у периоду након њихове реализације, утицати на повећање стопе привредног раста. Након тога у 2028. фискални импулс постаје рестриктиван у складу са планираним смањењем општег и примарног фискалног резултата. </w:t>
      </w:r>
    </w:p>
    <w:p w14:paraId="2B74ADC6" w14:textId="03F941F7" w:rsidR="00683785" w:rsidRPr="00F5596D" w:rsidRDefault="00683785" w:rsidP="00597F2E">
      <w:pPr>
        <w:spacing w:after="120"/>
        <w:jc w:val="center"/>
        <w:rPr>
          <w:color w:val="002060"/>
          <w:lang w:val="sr-Cyrl-CS"/>
        </w:rPr>
      </w:pPr>
      <w:r w:rsidRPr="00F5596D">
        <w:rPr>
          <w:rFonts w:cstheme="minorHAnsi"/>
          <w:b/>
          <w:color w:val="002060"/>
          <w:lang w:val="sr-Cyrl-CS"/>
        </w:rPr>
        <w:t>Карактер и ефекти фискалне политике у периоду 2006–2025. године, % БДП</w:t>
      </w:r>
    </w:p>
    <w:p w14:paraId="363B4C6A" w14:textId="77777777" w:rsidR="00683785" w:rsidRPr="00F5596D" w:rsidRDefault="00683785" w:rsidP="00683785">
      <w:pPr>
        <w:rPr>
          <w:lang w:val="sr-Cyrl-CS"/>
        </w:rPr>
      </w:pPr>
      <w:r w:rsidRPr="00F5596D">
        <w:rPr>
          <w:noProof/>
        </w:rPr>
        <w:drawing>
          <wp:inline distT="0" distB="0" distL="0" distR="0" wp14:anchorId="35C6C016" wp14:editId="24C3DF2A">
            <wp:extent cx="2757805" cy="2795286"/>
            <wp:effectExtent l="0" t="0" r="4445" b="5080"/>
            <wp:docPr id="114" name="Chart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1BEF3CED" w14:textId="77777777" w:rsidR="00683785" w:rsidRPr="00F5596D" w:rsidRDefault="00683785" w:rsidP="00683785">
      <w:pPr>
        <w:spacing w:after="120"/>
        <w:rPr>
          <w:rFonts w:ascii="Calibri" w:eastAsia="MS PGothic" w:hAnsi="Calibri" w:cs="Calibri"/>
          <w:color w:val="2F5496" w:themeColor="accent1" w:themeShade="BF"/>
          <w:szCs w:val="20"/>
          <w:lang w:val="sr-Cyrl-CS" w:eastAsia="ja-JP"/>
        </w:rPr>
        <w:sectPr w:rsidR="00683785" w:rsidRPr="00F5596D" w:rsidSect="008D31CC">
          <w:type w:val="continuous"/>
          <w:pgSz w:w="12240" w:h="15840" w:code="1"/>
          <w:pgMar w:top="1417" w:right="1417" w:bottom="1417" w:left="1417" w:header="720" w:footer="720" w:gutter="0"/>
          <w:cols w:num="2" w:space="720"/>
        </w:sectPr>
      </w:pPr>
    </w:p>
    <w:bookmarkEnd w:id="56"/>
    <w:bookmarkEnd w:id="57"/>
    <w:bookmarkEnd w:id="58"/>
    <w:p w14:paraId="251FD321" w14:textId="3FBF8DBD" w:rsidR="00683785" w:rsidRPr="00F5596D" w:rsidRDefault="00683785" w:rsidP="00C131E7">
      <w:pPr>
        <w:pStyle w:val="Heading2"/>
        <w:rPr>
          <w:rFonts w:cstheme="minorBidi"/>
          <w:lang w:val="sr-Cyrl-CS"/>
        </w:rPr>
        <w:sectPr w:rsidR="00683785" w:rsidRPr="00F5596D" w:rsidSect="008D31CC">
          <w:headerReference w:type="even" r:id="rId198"/>
          <w:footerReference w:type="even" r:id="rId199"/>
          <w:footerReference w:type="default" r:id="rId200"/>
          <w:headerReference w:type="first" r:id="rId201"/>
          <w:type w:val="continuous"/>
          <w:pgSz w:w="12240" w:h="15840" w:code="1"/>
          <w:pgMar w:top="1417" w:right="1417" w:bottom="1417" w:left="1417" w:header="720" w:footer="720" w:gutter="0"/>
          <w:cols w:space="720"/>
        </w:sectPr>
      </w:pPr>
      <w:r w:rsidRPr="00F5596D">
        <w:rPr>
          <w:lang w:val="sr-Cyrl-CS"/>
        </w:rPr>
        <w:br w:type="page"/>
      </w:r>
      <w:bookmarkStart w:id="59" w:name="_Toc181190972"/>
      <w:bookmarkStart w:id="60" w:name="_Toc181271507"/>
      <w:bookmarkStart w:id="61" w:name="_Toc200118000"/>
      <w:r w:rsidR="007262BE" w:rsidRPr="00F5596D">
        <w:rPr>
          <w:szCs w:val="24"/>
          <w:lang w:val="sr-Cyrl-CS"/>
        </w:rPr>
        <w:lastRenderedPageBreak/>
        <w:t>7</w:t>
      </w:r>
      <w:r w:rsidRPr="00F5596D">
        <w:rPr>
          <w:szCs w:val="24"/>
          <w:lang w:val="sr-Cyrl-CS"/>
        </w:rPr>
        <w:t>.</w:t>
      </w:r>
      <w:r w:rsidRPr="00F5596D">
        <w:rPr>
          <w:lang w:val="sr-Cyrl-CS"/>
        </w:rPr>
        <w:t xml:space="preserve"> </w:t>
      </w:r>
      <w:r w:rsidRPr="00F5596D">
        <w:rPr>
          <w:rFonts w:eastAsia="MS PGothic"/>
          <w:lang w:val="sr-Cyrl-CS" w:eastAsia="ja-JP"/>
        </w:rPr>
        <w:t>Симулација путање јавног дуга</w:t>
      </w:r>
      <w:bookmarkEnd w:id="59"/>
      <w:bookmarkEnd w:id="60"/>
      <w:bookmarkEnd w:id="61"/>
    </w:p>
    <w:p w14:paraId="50F35574" w14:textId="77777777" w:rsidR="00683785" w:rsidRPr="00F5596D" w:rsidRDefault="00683785" w:rsidP="00683785">
      <w:pPr>
        <w:rPr>
          <w:lang w:val="sr-Cyrl-CS"/>
        </w:rPr>
        <w:sectPr w:rsidR="00683785" w:rsidRPr="00F5596D" w:rsidSect="008D31CC">
          <w:headerReference w:type="even" r:id="rId202"/>
          <w:footerReference w:type="even" r:id="rId203"/>
          <w:footerReference w:type="default" r:id="rId204"/>
          <w:headerReference w:type="first" r:id="rId205"/>
          <w:type w:val="continuous"/>
          <w:pgSz w:w="12240" w:h="15840" w:code="1"/>
          <w:pgMar w:top="1417" w:right="1417" w:bottom="1417" w:left="1417" w:header="720" w:footer="720" w:gutter="0"/>
          <w:cols w:space="720"/>
        </w:sectPr>
      </w:pPr>
    </w:p>
    <w:p w14:paraId="22223363"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У овом делу приказује се сажета ретроспектива кретања јавног дуга у периоду од 2008. до 2025. године, као и пројекције за наредни трогодишњи период, до 2028. године, у складу са постављеним средњорочним фискалним оквиром. Након тога, дата је и симулација алтернативних сценарија кретања јавног дуга у дужем периоду, од 2029. до 2035. године.</w:t>
      </w:r>
    </w:p>
    <w:p w14:paraId="151A1431" w14:textId="77777777" w:rsidR="00683785" w:rsidRPr="00F5596D" w:rsidRDefault="00683785" w:rsidP="00560A12">
      <w:pPr>
        <w:spacing w:after="120"/>
        <w:jc w:val="left"/>
        <w:rPr>
          <w:rFonts w:cstheme="minorHAnsi"/>
          <w:b/>
          <w:color w:val="2F5496" w:themeColor="accent1" w:themeShade="BF"/>
          <w:spacing w:val="-2"/>
          <w:sz w:val="22"/>
          <w:lang w:val="sr-Cyrl-CS"/>
        </w:rPr>
      </w:pPr>
      <w:r w:rsidRPr="00F5596D">
        <w:rPr>
          <w:rFonts w:cstheme="minorHAnsi"/>
          <w:b/>
          <w:color w:val="2F5496" w:themeColor="accent1" w:themeShade="BF"/>
          <w:spacing w:val="-2"/>
          <w:sz w:val="22"/>
          <w:lang w:val="sr-Cyrl-CS"/>
        </w:rPr>
        <w:t>Историјски преглед (2008–2025)</w:t>
      </w:r>
    </w:p>
    <w:p w14:paraId="24854A42"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Период од 2008. до 2014. године карактерисало је континуирано повећање фискалног дефицита, што је, уз одсуство строже буџетске контроле, довело до наглог раста јавног дуга. Учешће јавног дуга у БДП-у је више него удвостручено, услед чега је постављен приоритет усвајања мера фискалне консолидације. Иако су почетни кораци ка фискалној консолидацији направљени крајем 2012. и током 2013. године, њихови ефекти били су ограничени. Смањење примарног дефицита током тог периода није било довољно да заустави раст удела јавног дуга у БДП-у. Посебан изазов представљао је раст неформалне економије након повећања пореских стопа, што је умањило ефекте мера на приходној страни, док су високи издаци по основу камата и одређени једнократни трошкови додатно оптерећивали буџет.</w:t>
      </w:r>
    </w:p>
    <w:p w14:paraId="287E9122" w14:textId="77777777" w:rsidR="00683785" w:rsidRPr="00F5596D" w:rsidRDefault="00683785" w:rsidP="00560A12">
      <w:pPr>
        <w:spacing w:after="120"/>
        <w:jc w:val="left"/>
        <w:rPr>
          <w:rFonts w:cstheme="minorHAnsi"/>
          <w:b/>
          <w:color w:val="002060"/>
          <w:spacing w:val="-2"/>
          <w:lang w:val="sr-Cyrl-CS"/>
        </w:rPr>
      </w:pPr>
      <w:r w:rsidRPr="00F5596D">
        <w:rPr>
          <w:rFonts w:cstheme="minorHAnsi"/>
          <w:b/>
          <w:color w:val="002060"/>
          <w:spacing w:val="-2"/>
          <w:lang w:val="sr-Cyrl-CS"/>
        </w:rPr>
        <w:t xml:space="preserve">Јавни дуг сектора државе у периоду </w:t>
      </w:r>
      <w:r w:rsidRPr="00F5596D">
        <w:rPr>
          <w:rFonts w:cstheme="minorHAnsi"/>
          <w:b/>
          <w:color w:val="002060"/>
          <w:spacing w:val="-2"/>
          <w:lang w:val="sr-Cyrl-CS"/>
        </w:rPr>
        <w:br/>
        <w:t>2008–2025. године, % БДП</w:t>
      </w:r>
    </w:p>
    <w:p w14:paraId="1A927FF3" w14:textId="77777777" w:rsidR="00683785" w:rsidRPr="00F5596D" w:rsidRDefault="00683785" w:rsidP="00683785">
      <w:pPr>
        <w:spacing w:after="120"/>
        <w:rPr>
          <w:rFonts w:ascii="Calibri" w:eastAsia="MS PGothic" w:hAnsi="Calibri" w:cs="Calibri"/>
          <w:b/>
          <w:bCs/>
          <w:szCs w:val="20"/>
          <w:lang w:val="sr-Cyrl-CS" w:eastAsia="ja-JP"/>
        </w:rPr>
      </w:pPr>
      <w:r w:rsidRPr="00F5596D">
        <w:rPr>
          <w:rFonts w:ascii="Calibri" w:eastAsia="MS PGothic" w:hAnsi="Calibri" w:cs="Calibri"/>
          <w:bCs/>
          <w:noProof/>
          <w:szCs w:val="20"/>
        </w:rPr>
        <w:drawing>
          <wp:inline distT="0" distB="0" distL="0" distR="0" wp14:anchorId="09551990" wp14:editId="335CEC98">
            <wp:extent cx="2757805" cy="2276475"/>
            <wp:effectExtent l="0" t="0" r="4445" b="0"/>
            <wp:docPr id="115" name="Chart 115">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01434268" w14:textId="77777777" w:rsidR="00683785" w:rsidRPr="00F5596D" w:rsidRDefault="00683785" w:rsidP="00683785">
      <w:pPr>
        <w:spacing w:after="0" w:line="240" w:lineRule="auto"/>
        <w:rPr>
          <w:rFonts w:ascii="Calibri" w:eastAsia="MS PGothic" w:hAnsi="Calibri" w:cs="Calibri"/>
          <w:bCs/>
          <w:sz w:val="16"/>
          <w:szCs w:val="16"/>
          <w:lang w:val="sr-Cyrl-CS" w:eastAsia="ja-JP"/>
        </w:rPr>
      </w:pPr>
      <w:r w:rsidRPr="00F5596D">
        <w:rPr>
          <w:rFonts w:ascii="Calibri" w:eastAsia="MS PGothic" w:hAnsi="Calibri" w:cs="Calibri"/>
          <w:bCs/>
          <w:sz w:val="16"/>
          <w:szCs w:val="16"/>
          <w:lang w:val="sr-Cyrl-CS" w:eastAsia="ja-JP"/>
        </w:rPr>
        <w:t>* апроксимација локалног дуга</w:t>
      </w:r>
    </w:p>
    <w:p w14:paraId="0C573AF2" w14:textId="77777777" w:rsidR="00683785" w:rsidRPr="00F5596D" w:rsidRDefault="00683785" w:rsidP="00683785">
      <w:pPr>
        <w:spacing w:after="0" w:line="240" w:lineRule="auto"/>
        <w:rPr>
          <w:rFonts w:ascii="Calibri" w:eastAsia="MS PGothic" w:hAnsi="Calibri" w:cs="Calibri"/>
          <w:bCs/>
          <w:sz w:val="16"/>
          <w:szCs w:val="16"/>
          <w:lang w:val="sr-Cyrl-CS" w:eastAsia="ja-JP"/>
        </w:rPr>
      </w:pPr>
      <w:r w:rsidRPr="00F5596D">
        <w:rPr>
          <w:rFonts w:ascii="Calibri" w:eastAsia="MS PGothic" w:hAnsi="Calibri" w:cs="Calibri"/>
          <w:bCs/>
          <w:sz w:val="16"/>
          <w:szCs w:val="16"/>
          <w:lang w:val="sr-Cyrl-CS" w:eastAsia="ja-JP"/>
        </w:rPr>
        <w:t>** процена за 2025. годину</w:t>
      </w:r>
    </w:p>
    <w:p w14:paraId="097CFB02" w14:textId="77777777" w:rsidR="00683785" w:rsidRPr="00F5596D" w:rsidRDefault="00683785" w:rsidP="00683785">
      <w:pPr>
        <w:spacing w:after="120"/>
        <w:rPr>
          <w:rFonts w:ascii="Calibri" w:eastAsia="MS PGothic" w:hAnsi="Calibri" w:cs="Calibri"/>
          <w:bCs/>
          <w:szCs w:val="20"/>
          <w:lang w:val="sr-Cyrl-CS" w:eastAsia="ja-JP"/>
        </w:rPr>
      </w:pPr>
    </w:p>
    <w:p w14:paraId="1AB63756"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Резултати примене свеобухватнијег пакета мера фискалне консолидације, усвојеног крајем 2014. године, постају видљиви већ у 2015. години, када се темпо раста јавног дуга успорава, а током 2016. године долази до преокрета и почетка смањења учешћа јавног дуга у БДП-у. Први примарни суфицит од 1,6% БДП у 2016. години створио је основ за стабилизацију, а већ 2017. године, уз примарни суфицит од 3,5% БДП, удео јавног дуга у БДП-у опао је за око 10 процентних поена, на 56,3%. Тренд смањења настављен је и у 2018. години (52,1% БДП), док је фискална релаксација у 2019. години била пажљиво димензионисана тако да не угрози опадајућу путању јавног дуга – што потврђује остварени примарни суфицит од 1,7% БДП.</w:t>
      </w:r>
    </w:p>
    <w:p w14:paraId="5B759187" w14:textId="0FDBB863"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Период од 2020. године обележен је избијањем глобалне здравствене и економске кризе услед пандемије COVID-19. Значајна повећања фискалне потрошње, како би се очували животи и економска активност, довела су до пораста фискалног дефицита (7,7% БДП укупно, од чега 5,8% примарни дефицит), као и до преокрета тренда смањења јавног дуга. Ипак, захваљујући претходно спроведеној консолидацији и стабилном приступу међународним финансијским тржиштима, Србија је несметано обезбеђивала средства за финансирање дефицита и отплату дугова.</w:t>
      </w:r>
      <w:r w:rsidRPr="00F5596D">
        <w:rPr>
          <w:lang w:val="sr-Cyrl-CS"/>
        </w:rPr>
        <w:t xml:space="preserve"> </w:t>
      </w:r>
      <w:r w:rsidRPr="00F5596D">
        <w:rPr>
          <w:rFonts w:ascii="Calibri" w:eastAsia="MS PGothic" w:hAnsi="Calibri" w:cs="Calibri"/>
          <w:bCs/>
          <w:szCs w:val="20"/>
          <w:lang w:val="sr-Cyrl-CS" w:eastAsia="ja-JP"/>
        </w:rPr>
        <w:t>Упркос израженом фискалном дефициту током здравствене кризе, учешће јавног дуга сектора државе у БДП</w:t>
      </w:r>
      <w:r w:rsidR="00846B62" w:rsidRPr="00F5596D">
        <w:rPr>
          <w:rFonts w:ascii="Calibri" w:eastAsia="MS PGothic" w:hAnsi="Calibri" w:cs="Calibri"/>
          <w:bCs/>
          <w:szCs w:val="20"/>
          <w:lang w:val="sr-Cyrl-CS" w:eastAsia="ja-JP"/>
        </w:rPr>
        <w:t xml:space="preserve"> бележи благо смањење</w:t>
      </w:r>
      <w:r w:rsidRPr="00F5596D">
        <w:rPr>
          <w:rFonts w:ascii="Calibri" w:eastAsia="MS PGothic" w:hAnsi="Calibri" w:cs="Calibri"/>
          <w:bCs/>
          <w:szCs w:val="20"/>
          <w:lang w:val="sr-Cyrl-CS" w:eastAsia="ja-JP"/>
        </w:rPr>
        <w:t xml:space="preserve"> у 2021. години са 55,2% у 2020. години на 54,5% БДП, што указује на очување релативне стабилности јавних финансија у условима појачаних изазова.</w:t>
      </w:r>
    </w:p>
    <w:p w14:paraId="485CE1D7"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Енергетска криза током 2022. и 2023. године, уз пратеће инфлаторне притиске, захтевала је уравнотежен приступ – комбинацију фискалне подршке и контроле расхода. И поред изазова, примарни дефицити у том периоду били су умерени (1,6% БДП у 2022, 0,5% у 2023. и 0,3% у 2024), што је омогућило наставак смањења учешћа дуга у БДП. За 2025. годину пројектован је примарни дефицит од 1% БДП, при чему се очекује да ниво јавног дуга достигне 46,8% БДП.</w:t>
      </w:r>
    </w:p>
    <w:p w14:paraId="2E50C594" w14:textId="77777777" w:rsidR="00683785" w:rsidRPr="00F5596D" w:rsidRDefault="00683785" w:rsidP="00683785">
      <w:pPr>
        <w:spacing w:after="120"/>
        <w:rPr>
          <w:rFonts w:ascii="Calibri" w:eastAsia="MS PGothic" w:hAnsi="Calibri" w:cs="Calibri"/>
          <w:b/>
          <w:bCs/>
          <w:szCs w:val="20"/>
          <w:lang w:val="sr-Cyrl-CS" w:eastAsia="ja-JP"/>
        </w:rPr>
      </w:pPr>
    </w:p>
    <w:p w14:paraId="6BB89BC0"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lastRenderedPageBreak/>
        <w:t>У складу са средњорочним фискалним оквиром, у периоду од 2026. до 2028. године предвиђа се наставак опадајућег тренда јавног дуга, захваљујући пажљиво димензионисаној фискалној политици и умереним примарним фискалним дефицитима. Остваривање блажег, али доследно позитивног примарног стабилизационог јаза у свакој од ових година обезбедиће да удео јавног дуга у БДП-у настави да опада.</w:t>
      </w:r>
    </w:p>
    <w:p w14:paraId="243BFE8D" w14:textId="77777777" w:rsidR="00683785" w:rsidRPr="00F5596D" w:rsidRDefault="00683785" w:rsidP="00560A12">
      <w:pPr>
        <w:spacing w:after="120"/>
        <w:jc w:val="left"/>
        <w:rPr>
          <w:rFonts w:cstheme="minorHAnsi"/>
          <w:b/>
          <w:color w:val="2F5496" w:themeColor="accent1" w:themeShade="BF"/>
          <w:spacing w:val="-2"/>
          <w:sz w:val="22"/>
          <w:lang w:val="sr-Cyrl-CS"/>
        </w:rPr>
      </w:pPr>
      <w:r w:rsidRPr="00F5596D">
        <w:rPr>
          <w:rFonts w:cstheme="minorHAnsi"/>
          <w:b/>
          <w:color w:val="2F5496" w:themeColor="accent1" w:themeShade="BF"/>
          <w:spacing w:val="-2"/>
          <w:sz w:val="22"/>
          <w:lang w:val="sr-Cyrl-CS"/>
        </w:rPr>
        <w:t>Анализа примарног стабилизационог јаза</w:t>
      </w:r>
    </w:p>
    <w:p w14:paraId="2CA12CFB"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Примарни стабилизациони јаз представља разлику између оствареног примарног резултата и резултата неопходног за стабилизацију удела дуга у БДП. Од 2016. године па све до данас, овај индикатор је у већини година позитиван, што потврђује дугорочну одрживост јавних финансија. Највећи позитивни јаз забележен је током 2017. и 2018. године, када је остварено и најинтензивније смањење јавног дуга. Супротан тренд забележен је 2020. године – у време пандемије – али се већ од 2021. године враћа у позитивну зону.</w:t>
      </w:r>
      <w:r w:rsidRPr="00F5596D">
        <w:rPr>
          <w:lang w:val="sr-Cyrl-CS"/>
        </w:rPr>
        <w:t xml:space="preserve"> </w:t>
      </w:r>
      <w:r w:rsidRPr="00F5596D">
        <w:rPr>
          <w:rFonts w:ascii="Calibri" w:eastAsia="MS PGothic" w:hAnsi="Calibri" w:cs="Calibri"/>
          <w:bCs/>
          <w:szCs w:val="20"/>
          <w:lang w:val="sr-Cyrl-CS" w:eastAsia="ja-JP"/>
        </w:rPr>
        <w:t>У периоду 2021–2024. године, примарни стабилизациони јаз поново прелази у позитивну зону, што је створило услове за поступно смањење учешћа јавног дуга у БДП. У складу са фискалним оквиром представљеним у овом документу, у наредном средњорочном периоду (2025–2028) пројектују се умерено позитивне вредности овог индикатора, што ће омогућити наставак одрживе путање јавног дуга.</w:t>
      </w:r>
    </w:p>
    <w:p w14:paraId="3E477725" w14:textId="77777777" w:rsidR="00683785" w:rsidRPr="00F5596D" w:rsidRDefault="00683785" w:rsidP="00560A12">
      <w:pPr>
        <w:spacing w:after="120"/>
        <w:jc w:val="left"/>
        <w:rPr>
          <w:rFonts w:cstheme="minorHAnsi"/>
          <w:b/>
          <w:color w:val="2F5496" w:themeColor="accent1" w:themeShade="BF"/>
          <w:spacing w:val="-2"/>
          <w:sz w:val="22"/>
          <w:lang w:val="sr-Cyrl-CS"/>
        </w:rPr>
      </w:pPr>
      <w:r w:rsidRPr="00F5596D">
        <w:rPr>
          <w:rFonts w:cstheme="minorHAnsi"/>
          <w:b/>
          <w:color w:val="2F5496" w:themeColor="accent1" w:themeShade="BF"/>
          <w:spacing w:val="-2"/>
          <w:sz w:val="22"/>
          <w:lang w:val="sr-Cyrl-CS"/>
        </w:rPr>
        <w:t>Симулација кретања дуга (2029–2035)</w:t>
      </w:r>
    </w:p>
    <w:p w14:paraId="56B297BD" w14:textId="77777777" w:rsidR="00683785" w:rsidRPr="00F5596D" w:rsidRDefault="00683785" w:rsidP="00683785">
      <w:pPr>
        <w:spacing w:after="120"/>
        <w:rPr>
          <w:rFonts w:ascii="Calibri" w:eastAsia="MS PGothic" w:hAnsi="Calibri" w:cs="Calibri"/>
          <w:bCs/>
          <w:szCs w:val="20"/>
          <w:lang w:val="sr-Cyrl-CS" w:eastAsia="ja-JP"/>
        </w:rPr>
      </w:pPr>
      <w:r w:rsidRPr="00F5596D">
        <w:rPr>
          <w:rFonts w:ascii="Calibri" w:eastAsia="MS PGothic" w:hAnsi="Calibri" w:cs="Calibri"/>
          <w:bCs/>
          <w:szCs w:val="20"/>
          <w:lang w:val="sr-Cyrl-CS" w:eastAsia="ja-JP"/>
        </w:rPr>
        <w:t>У циљу јачања средњорочног и дугорочног планирања, припремљене су симулације кретања јавног дуга у различитим сценаријима за период од 2029. до 2035. године. Оне укључују основни сценарио (заснован на претпоставци стабилног економског раста, конзервативне фискалне политике и умерених каматних стопа), као и алтернативне сценарије који укључују шокове на страни раста БДП, курсне флуктуације и неочекиване фискалне трошкове. Ова анализа ће бити представљена у наредном поглављу.</w:t>
      </w:r>
    </w:p>
    <w:p w14:paraId="1C740A93" w14:textId="77777777" w:rsidR="00683785" w:rsidRPr="00F5596D" w:rsidRDefault="00683785" w:rsidP="00683785">
      <w:pPr>
        <w:spacing w:after="120"/>
        <w:jc w:val="center"/>
        <w:rPr>
          <w:rFonts w:cstheme="minorHAnsi"/>
          <w:b/>
          <w:color w:val="002060"/>
          <w:spacing w:val="-2"/>
          <w:lang w:val="sr-Cyrl-CS"/>
        </w:rPr>
      </w:pPr>
    </w:p>
    <w:p w14:paraId="2AC665DF" w14:textId="77777777" w:rsidR="00683785" w:rsidRPr="00F5596D" w:rsidRDefault="00683785" w:rsidP="00683785">
      <w:pPr>
        <w:spacing w:after="120"/>
        <w:jc w:val="center"/>
        <w:rPr>
          <w:rFonts w:cstheme="minorHAnsi"/>
          <w:b/>
          <w:color w:val="002060"/>
          <w:spacing w:val="-2"/>
          <w:lang w:val="sr-Cyrl-CS"/>
        </w:rPr>
      </w:pPr>
    </w:p>
    <w:p w14:paraId="183EE5E5" w14:textId="77777777" w:rsidR="00683785" w:rsidRPr="00F5596D" w:rsidRDefault="00683785" w:rsidP="00683785">
      <w:pPr>
        <w:spacing w:after="120"/>
        <w:jc w:val="center"/>
        <w:rPr>
          <w:rFonts w:cstheme="minorHAnsi"/>
          <w:b/>
          <w:color w:val="002060"/>
          <w:spacing w:val="-2"/>
          <w:lang w:val="sr-Cyrl-CS"/>
        </w:rPr>
      </w:pPr>
    </w:p>
    <w:p w14:paraId="4006396A" w14:textId="77777777" w:rsidR="00683785" w:rsidRPr="00F5596D" w:rsidRDefault="00683785" w:rsidP="00683785">
      <w:pPr>
        <w:spacing w:after="120"/>
        <w:jc w:val="center"/>
        <w:rPr>
          <w:rFonts w:cstheme="minorHAnsi"/>
          <w:b/>
          <w:color w:val="002060"/>
          <w:spacing w:val="-2"/>
          <w:lang w:val="sr-Cyrl-CS"/>
        </w:rPr>
      </w:pPr>
      <w:r w:rsidRPr="00F5596D">
        <w:rPr>
          <w:rFonts w:cstheme="minorHAnsi"/>
          <w:b/>
          <w:color w:val="002060"/>
          <w:spacing w:val="-2"/>
          <w:lang w:val="sr-Cyrl-CS"/>
        </w:rPr>
        <w:t>Примарни резултат који стабилизује учешће дуга у БДП и остварени/пројектовани резултат*, % БДП</w:t>
      </w:r>
    </w:p>
    <w:p w14:paraId="49D56C54" w14:textId="77777777" w:rsidR="00683785" w:rsidRPr="00F5596D" w:rsidRDefault="00683785" w:rsidP="00683785">
      <w:pPr>
        <w:spacing w:after="40"/>
        <w:rPr>
          <w:lang w:val="sr-Cyrl-CS"/>
        </w:rPr>
      </w:pPr>
      <w:r w:rsidRPr="00F5596D">
        <w:rPr>
          <w:noProof/>
        </w:rPr>
        <w:drawing>
          <wp:inline distT="0" distB="0" distL="0" distR="0" wp14:anchorId="5E963EB6" wp14:editId="63A710F8">
            <wp:extent cx="2757805" cy="2188028"/>
            <wp:effectExtent l="0" t="0" r="4445" b="0"/>
            <wp:docPr id="116" name="Chart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1BA99DAC" w14:textId="77777777" w:rsidR="00683785" w:rsidRPr="00F5596D" w:rsidRDefault="00683785" w:rsidP="00683785">
      <w:pPr>
        <w:spacing w:after="0"/>
        <w:rPr>
          <w:rFonts w:cstheme="minorHAnsi"/>
          <w:bCs/>
          <w:sz w:val="16"/>
          <w:szCs w:val="72"/>
          <w:lang w:val="sr-Cyrl-CS"/>
        </w:rPr>
      </w:pPr>
      <w:r w:rsidRPr="00F5596D">
        <w:rPr>
          <w:rFonts w:ascii="Calibri" w:eastAsia="Calibri" w:hAnsi="Calibri" w:cs="Calibri"/>
          <w:sz w:val="16"/>
          <w:szCs w:val="16"/>
          <w:lang w:val="sr-Cyrl-CS"/>
        </w:rPr>
        <w:t xml:space="preserve">* </w:t>
      </w:r>
      <w:r w:rsidRPr="00F5596D">
        <w:rPr>
          <w:rFonts w:cstheme="minorHAnsi"/>
          <w:bCs/>
          <w:sz w:val="16"/>
          <w:szCs w:val="72"/>
          <w:lang w:val="sr-Cyrl-CS"/>
        </w:rPr>
        <w:t>За период 2024. до 2027. дате су пројектоване вредности.</w:t>
      </w:r>
    </w:p>
    <w:p w14:paraId="55128A14" w14:textId="77777777" w:rsidR="00683785" w:rsidRPr="00F5596D" w:rsidRDefault="00683785" w:rsidP="00683785">
      <w:pPr>
        <w:rPr>
          <w:rFonts w:ascii="Calibri" w:eastAsia="MS PGothic" w:hAnsi="Calibri" w:cs="Calibri"/>
          <w:b/>
          <w:szCs w:val="20"/>
          <w:lang w:val="sr-Cyrl-CS" w:eastAsia="ja-JP"/>
        </w:rPr>
      </w:pPr>
      <w:r w:rsidRPr="00F5596D">
        <w:rPr>
          <w:rFonts w:cstheme="minorHAnsi"/>
          <w:bCs/>
          <w:sz w:val="16"/>
          <w:szCs w:val="72"/>
          <w:lang w:val="sr-Cyrl-CS"/>
        </w:rPr>
        <w:t>Извор: Министарство финансија</w:t>
      </w:r>
    </w:p>
    <w:p w14:paraId="4347FCC1" w14:textId="77777777" w:rsidR="00683785" w:rsidRPr="00F5596D" w:rsidRDefault="00683785" w:rsidP="00683785">
      <w:pPr>
        <w:widowControl w:val="0"/>
        <w:spacing w:after="120"/>
        <w:rPr>
          <w:rFonts w:ascii="Calibri" w:eastAsia="Calibri" w:hAnsi="Calibri" w:cs="Calibri"/>
          <w:bCs/>
          <w:szCs w:val="20"/>
          <w:lang w:val="sr-Cyrl-CS"/>
        </w:rPr>
      </w:pPr>
      <w:r w:rsidRPr="00F5596D">
        <w:rPr>
          <w:rFonts w:ascii="Calibri" w:eastAsia="Calibri" w:hAnsi="Calibri" w:cs="Calibri"/>
          <w:bCs/>
          <w:szCs w:val="20"/>
          <w:lang w:val="sr-Cyrl-CS"/>
        </w:rPr>
        <w:t>Основни сценарио кретања јавног дуга предвиђен овим документом заснива се на задржавању фискалног дефицита на нивоу од 3% БДП у периоду од 2025. до 2027. године, уз постепено смањење на 2,5% БДП у 2028. години. Према таквој путањи дефицита, очекује се наставак силазне трајекторије јавног дуга, са пројекцијом његовог учешћа у БДП од 46,2% на крају 2028. године.</w:t>
      </w:r>
    </w:p>
    <w:p w14:paraId="3BB849A3" w14:textId="283AEF66" w:rsidR="00683785" w:rsidRPr="00F5596D" w:rsidRDefault="00683785" w:rsidP="00683785">
      <w:pPr>
        <w:widowControl w:val="0"/>
        <w:spacing w:after="120"/>
        <w:rPr>
          <w:rFonts w:ascii="Calibri" w:eastAsia="Calibri" w:hAnsi="Calibri" w:cs="Calibri"/>
          <w:bCs/>
          <w:szCs w:val="20"/>
          <w:lang w:val="sr-Cyrl-CS"/>
        </w:rPr>
      </w:pPr>
      <w:r w:rsidRPr="00F5596D">
        <w:rPr>
          <w:rFonts w:ascii="Calibri" w:eastAsia="Calibri" w:hAnsi="Calibri" w:cs="Calibri"/>
          <w:bCs/>
          <w:szCs w:val="20"/>
          <w:lang w:val="sr-Cyrl-CS"/>
        </w:rPr>
        <w:t>За период од 2029. до 2035. године спроведена је симулација три алтернативна сценарија кретања јавног дуга, уз претпоставку да држава у сваком од случајева адекватно реагује прилагођавањем нивоа фискалног дефицита. Два од три сценарија предвиђају ефекте екстерних фискалних или макроекономских шокова, и пратеће мере прилагођавања фискалне политике.</w:t>
      </w:r>
    </w:p>
    <w:p w14:paraId="77FEEFE5" w14:textId="03C82634" w:rsidR="00263D62" w:rsidRPr="00F5596D" w:rsidRDefault="00263D62" w:rsidP="00683785">
      <w:pPr>
        <w:widowControl w:val="0"/>
        <w:spacing w:after="120"/>
        <w:rPr>
          <w:rFonts w:ascii="Calibri" w:eastAsia="Calibri" w:hAnsi="Calibri" w:cs="Calibri"/>
          <w:bCs/>
          <w:szCs w:val="20"/>
          <w:lang w:val="sr-Cyrl-CS"/>
        </w:rPr>
      </w:pPr>
    </w:p>
    <w:p w14:paraId="306E3DFB" w14:textId="4AD57F3F" w:rsidR="00263D62" w:rsidRPr="00F5596D" w:rsidRDefault="00263D62" w:rsidP="00683785">
      <w:pPr>
        <w:widowControl w:val="0"/>
        <w:spacing w:after="120"/>
        <w:rPr>
          <w:rFonts w:ascii="Calibri" w:eastAsia="Calibri" w:hAnsi="Calibri" w:cs="Calibri"/>
          <w:bCs/>
          <w:szCs w:val="20"/>
          <w:lang w:val="sr-Cyrl-CS"/>
        </w:rPr>
      </w:pPr>
    </w:p>
    <w:p w14:paraId="7B7F6A20" w14:textId="67BD0C50" w:rsidR="00263D62" w:rsidRPr="00F5596D" w:rsidRDefault="00263D62" w:rsidP="00683785">
      <w:pPr>
        <w:widowControl w:val="0"/>
        <w:spacing w:after="120"/>
        <w:rPr>
          <w:rFonts w:ascii="Calibri" w:eastAsia="Calibri" w:hAnsi="Calibri" w:cs="Calibri"/>
          <w:bCs/>
          <w:szCs w:val="20"/>
          <w:lang w:val="sr-Cyrl-CS"/>
        </w:rPr>
      </w:pPr>
    </w:p>
    <w:p w14:paraId="5A8E5657" w14:textId="44FD4654" w:rsidR="00263D62" w:rsidRPr="00F5596D" w:rsidRDefault="00263D62" w:rsidP="00683785">
      <w:pPr>
        <w:widowControl w:val="0"/>
        <w:spacing w:after="120"/>
        <w:rPr>
          <w:rFonts w:ascii="Calibri" w:eastAsia="Calibri" w:hAnsi="Calibri" w:cs="Calibri"/>
          <w:bCs/>
          <w:szCs w:val="20"/>
          <w:lang w:val="sr-Cyrl-CS"/>
        </w:rPr>
      </w:pPr>
    </w:p>
    <w:p w14:paraId="437FCEC5" w14:textId="5F288DCB" w:rsidR="00263D62" w:rsidRPr="00F5596D" w:rsidRDefault="00263D62" w:rsidP="00683785">
      <w:pPr>
        <w:widowControl w:val="0"/>
        <w:spacing w:after="120"/>
        <w:rPr>
          <w:rFonts w:ascii="Calibri" w:eastAsia="Calibri" w:hAnsi="Calibri" w:cs="Calibri"/>
          <w:bCs/>
          <w:szCs w:val="20"/>
          <w:lang w:val="sr-Cyrl-CS"/>
        </w:rPr>
      </w:pPr>
    </w:p>
    <w:p w14:paraId="31D49092" w14:textId="1EEF50FA" w:rsidR="00263D62" w:rsidRPr="00F5596D" w:rsidRDefault="00263D62" w:rsidP="00683785">
      <w:pPr>
        <w:widowControl w:val="0"/>
        <w:spacing w:after="120"/>
        <w:rPr>
          <w:rFonts w:ascii="Calibri" w:eastAsia="Calibri" w:hAnsi="Calibri" w:cs="Calibri"/>
          <w:bCs/>
          <w:szCs w:val="20"/>
          <w:lang w:val="sr-Cyrl-CS"/>
        </w:rPr>
      </w:pPr>
    </w:p>
    <w:p w14:paraId="5E023F64" w14:textId="31D22072" w:rsidR="00263D62" w:rsidRPr="00F5596D" w:rsidRDefault="00263D62" w:rsidP="00683785">
      <w:pPr>
        <w:widowControl w:val="0"/>
        <w:spacing w:after="120"/>
        <w:rPr>
          <w:rFonts w:ascii="Calibri" w:eastAsia="Calibri" w:hAnsi="Calibri" w:cs="Calibri"/>
          <w:bCs/>
          <w:szCs w:val="20"/>
          <w:lang w:val="sr-Cyrl-CS"/>
        </w:rPr>
      </w:pPr>
    </w:p>
    <w:p w14:paraId="6533788C" w14:textId="4D419343" w:rsidR="00263D62" w:rsidRPr="00F5596D" w:rsidRDefault="00263D62" w:rsidP="00683785">
      <w:pPr>
        <w:widowControl w:val="0"/>
        <w:spacing w:after="120"/>
        <w:rPr>
          <w:rFonts w:ascii="Calibri" w:eastAsia="Calibri" w:hAnsi="Calibri" w:cs="Calibri"/>
          <w:bCs/>
          <w:szCs w:val="20"/>
          <w:lang w:val="sr-Cyrl-CS"/>
        </w:rPr>
      </w:pPr>
    </w:p>
    <w:p w14:paraId="67BB56CA" w14:textId="52BC9A10" w:rsidR="00263D62" w:rsidRPr="00F5596D" w:rsidRDefault="00263D62" w:rsidP="00683785">
      <w:pPr>
        <w:widowControl w:val="0"/>
        <w:spacing w:after="120"/>
        <w:rPr>
          <w:rFonts w:ascii="Calibri" w:eastAsia="Calibri" w:hAnsi="Calibri" w:cs="Calibri"/>
          <w:bCs/>
          <w:szCs w:val="20"/>
          <w:lang w:val="sr-Cyrl-CS"/>
        </w:rPr>
      </w:pPr>
    </w:p>
    <w:p w14:paraId="286F2EA8" w14:textId="77777777" w:rsidR="00263D62" w:rsidRPr="00F5596D" w:rsidRDefault="00263D62" w:rsidP="00683785">
      <w:pPr>
        <w:widowControl w:val="0"/>
        <w:spacing w:after="120"/>
        <w:rPr>
          <w:rFonts w:ascii="Calibri" w:eastAsia="Calibri" w:hAnsi="Calibri" w:cs="Calibri"/>
          <w:bCs/>
          <w:szCs w:val="20"/>
          <w:lang w:val="sr-Cyrl-CS"/>
        </w:rPr>
      </w:pPr>
    </w:p>
    <w:p w14:paraId="27EDBDAB" w14:textId="77777777" w:rsidR="00683785" w:rsidRPr="00F5596D" w:rsidRDefault="00683785" w:rsidP="00683785">
      <w:pPr>
        <w:widowControl w:val="0"/>
        <w:spacing w:after="120"/>
        <w:rPr>
          <w:rFonts w:ascii="Calibri" w:eastAsia="Calibri" w:hAnsi="Calibri" w:cs="Calibri"/>
          <w:bCs/>
          <w:szCs w:val="20"/>
          <w:lang w:val="sr-Cyrl-CS"/>
        </w:rPr>
      </w:pPr>
      <w:r w:rsidRPr="00F5596D">
        <w:rPr>
          <w:rFonts w:ascii="Calibri" w:eastAsia="Calibri" w:hAnsi="Calibri" w:cs="Calibri"/>
          <w:bCs/>
          <w:szCs w:val="20"/>
          <w:lang w:val="sr-Cyrl-CS"/>
        </w:rPr>
        <w:lastRenderedPageBreak/>
        <w:t>Кључне претпоставке на којима почива основни сценарио су следеће:</w:t>
      </w:r>
    </w:p>
    <w:p w14:paraId="66921F96"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Фискални дефицит у периоду 2025–2028. планира се у складу са оквиром утврђеним у овом документу. Почев од 2029. године, планира се смањење дефицита на ниво од највише 2% БДП, иако важећа фискална правила дозвољавају и веће дефиците уколико је ниво јавног дуга испод прага од 45% БДП. Оваквим приступом, уз остале повољне претпоставке, омогућава се континуирано смањење учешћа дуга, са пројекцијом од 42,6% БДП у 2035. години;</w:t>
      </w:r>
    </w:p>
    <w:p w14:paraId="0ED2AEDD"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Просечна реална стопа раста БДП пројектује се на 3,7% у дугом року, што представља ниво раста који омогућава очување пожељне динамике јавног дуга и у условима умерено експанзивне фискалне политике;</w:t>
      </w:r>
    </w:p>
    <w:p w14:paraId="438B00F1"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Инфлација се стабилизује и у наставку периода одржава на нивоу од 3% у просеку у дужем року, што доприноси предвидивости макроекономског окружења и трошкова финансирања;</w:t>
      </w:r>
    </w:p>
    <w:p w14:paraId="46B00148"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 xml:space="preserve">Раст фискалних прихода пројектује се нешто спорије од номиналног раста БДП, услед очекиване промене у структури економије, </w:t>
      </w:r>
      <w:r w:rsidRPr="00F5596D">
        <w:rPr>
          <w:rFonts w:ascii="Calibri" w:eastAsia="Calibri" w:hAnsi="Calibri" w:cs="Calibri"/>
          <w:bCs/>
          <w:szCs w:val="20"/>
          <w:lang w:val="sr-Cyrl-CS"/>
        </w:rPr>
        <w:t>већег учешћа инвестиција и извоза, као и одсуства значајнијих измена пореске политике. Истовремено, капитална потрошња се одржава на релативно високом нивоу у функцији подршке економском расту;</w:t>
      </w:r>
    </w:p>
    <w:p w14:paraId="692DF7ED"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Након 2028. године не очекује се нови нето прираст државних гаранција, што ограничава потенцијалне обавезе по том основу;</w:t>
      </w:r>
    </w:p>
    <w:p w14:paraId="238D37F6" w14:textId="77777777" w:rsidR="00683785" w:rsidRPr="00F5596D" w:rsidRDefault="00683785" w:rsidP="00263D62">
      <w:pPr>
        <w:pStyle w:val="ListParagraph"/>
        <w:widowControl w:val="0"/>
        <w:numPr>
          <w:ilvl w:val="0"/>
          <w:numId w:val="29"/>
        </w:numPr>
        <w:spacing w:after="120"/>
        <w:ind w:left="450" w:hanging="270"/>
        <w:rPr>
          <w:rFonts w:ascii="Calibri" w:eastAsia="Calibri" w:hAnsi="Calibri" w:cs="Calibri"/>
          <w:bCs/>
          <w:szCs w:val="20"/>
          <w:lang w:val="sr-Cyrl-CS"/>
        </w:rPr>
      </w:pPr>
      <w:r w:rsidRPr="00F5596D">
        <w:rPr>
          <w:rFonts w:ascii="Calibri" w:eastAsia="Calibri" w:hAnsi="Calibri" w:cs="Calibri"/>
          <w:bCs/>
          <w:szCs w:val="20"/>
          <w:lang w:val="sr-Cyrl-CS"/>
        </w:rPr>
        <w:t>Не предвиђају се приходи од приватизације. Уколико до њих ипак дође, они ће додатно умањити потребу за задуживањем и убрзати смањење јавног дуга.</w:t>
      </w:r>
    </w:p>
    <w:p w14:paraId="7BA88B51" w14:textId="77777777" w:rsidR="00683785" w:rsidRPr="00F5596D" w:rsidRDefault="00683785" w:rsidP="00683785">
      <w:pPr>
        <w:spacing w:after="120"/>
        <w:ind w:left="181"/>
        <w:rPr>
          <w:rFonts w:ascii="Calibri" w:eastAsia="Calibri" w:hAnsi="Calibri" w:cs="Calibri"/>
          <w:szCs w:val="20"/>
          <w:lang w:val="sr-Cyrl-CS"/>
        </w:rPr>
      </w:pPr>
      <w:r w:rsidRPr="00F5596D">
        <w:rPr>
          <w:rFonts w:ascii="Calibri" w:eastAsia="Calibri" w:hAnsi="Calibri" w:cs="Calibri"/>
          <w:szCs w:val="20"/>
          <w:lang w:val="sr-Cyrl-CS"/>
        </w:rPr>
        <w:t>Управљање и одрживост јавног дуга ће се додатно обезбедити:</w:t>
      </w:r>
    </w:p>
    <w:p w14:paraId="0BF5900D" w14:textId="77777777" w:rsidR="00683785" w:rsidRPr="00F5596D" w:rsidRDefault="00683785" w:rsidP="00263D62">
      <w:pPr>
        <w:numPr>
          <w:ilvl w:val="0"/>
          <w:numId w:val="3"/>
        </w:numPr>
        <w:spacing w:after="120"/>
        <w:ind w:left="450" w:hanging="270"/>
        <w:rPr>
          <w:rFonts w:ascii="Calibri" w:eastAsia="Calibri" w:hAnsi="Calibri" w:cs="Calibri"/>
          <w:szCs w:val="20"/>
          <w:lang w:val="sr-Cyrl-CS"/>
        </w:rPr>
      </w:pPr>
      <w:r w:rsidRPr="00F5596D">
        <w:rPr>
          <w:rFonts w:ascii="Calibri" w:eastAsia="Calibri" w:hAnsi="Calibri" w:cs="Calibri"/>
          <w:szCs w:val="20"/>
          <w:lang w:val="sr-Cyrl-CS"/>
        </w:rPr>
        <w:t>ограничењем закључивања нових пројектних зајмова у случајевима да претходно одобрени зајмови нису ефикасно коришћени;</w:t>
      </w:r>
    </w:p>
    <w:p w14:paraId="66A3EC4E" w14:textId="77777777" w:rsidR="00683785" w:rsidRPr="00F5596D" w:rsidRDefault="00683785" w:rsidP="00263D62">
      <w:pPr>
        <w:numPr>
          <w:ilvl w:val="0"/>
          <w:numId w:val="3"/>
        </w:numPr>
        <w:spacing w:after="120"/>
        <w:ind w:left="450" w:hanging="270"/>
        <w:rPr>
          <w:rFonts w:ascii="Calibri" w:eastAsia="Calibri" w:hAnsi="Calibri" w:cs="Calibri"/>
          <w:szCs w:val="20"/>
          <w:lang w:val="sr-Cyrl-CS"/>
        </w:rPr>
      </w:pPr>
      <w:r w:rsidRPr="00F5596D">
        <w:rPr>
          <w:rFonts w:ascii="Calibri" w:eastAsia="Calibri" w:hAnsi="Calibri" w:cs="Calibri"/>
          <w:szCs w:val="20"/>
          <w:lang w:val="sr-Cyrl-CS"/>
        </w:rPr>
        <w:t>откупом једног дела скупог дуга коришћењем средстава из повољнијих зајмова или приватизационих прихода уколико за то постоје могућности;</w:t>
      </w:r>
    </w:p>
    <w:p w14:paraId="39AD6545" w14:textId="77777777" w:rsidR="00683785" w:rsidRPr="00F5596D" w:rsidRDefault="00683785" w:rsidP="00263D62">
      <w:pPr>
        <w:numPr>
          <w:ilvl w:val="0"/>
          <w:numId w:val="2"/>
        </w:numPr>
        <w:spacing w:after="120"/>
        <w:ind w:left="450" w:hanging="270"/>
        <w:rPr>
          <w:rFonts w:ascii="Calibri" w:eastAsia="Calibri" w:hAnsi="Calibri" w:cs="Calibri"/>
          <w:szCs w:val="20"/>
          <w:lang w:val="sr-Cyrl-CS"/>
        </w:rPr>
      </w:pPr>
      <w:r w:rsidRPr="00F5596D">
        <w:rPr>
          <w:rFonts w:ascii="Calibri" w:eastAsia="Calibri" w:hAnsi="Calibri" w:cs="Calibri"/>
          <w:szCs w:val="20"/>
          <w:lang w:val="sr-Cyrl-CS"/>
        </w:rPr>
        <w:t>идентификацијом и бољим управљањем фискалним ризицима.</w:t>
      </w:r>
    </w:p>
    <w:p w14:paraId="4C12E859" w14:textId="77777777" w:rsidR="00683785" w:rsidRPr="00F5596D" w:rsidRDefault="00683785" w:rsidP="00263D62">
      <w:pPr>
        <w:rPr>
          <w:rFonts w:cs="Calibri"/>
          <w:szCs w:val="20"/>
          <w:lang w:val="sr-Cyrl-CS" w:eastAsia="ja-JP"/>
        </w:rPr>
        <w:sectPr w:rsidR="00683785" w:rsidRPr="00F5596D" w:rsidSect="008D31CC">
          <w:type w:val="continuous"/>
          <w:pgSz w:w="12240" w:h="15840" w:code="1"/>
          <w:pgMar w:top="1417" w:right="1417" w:bottom="1417" w:left="1417" w:header="720" w:footer="720" w:gutter="0"/>
          <w:cols w:num="2" w:space="720"/>
        </w:sectPr>
      </w:pPr>
    </w:p>
    <w:p w14:paraId="1CD547E6" w14:textId="77777777" w:rsidR="00192DFD" w:rsidRPr="00F5596D" w:rsidRDefault="00192DFD" w:rsidP="00683785">
      <w:pPr>
        <w:spacing w:after="40"/>
        <w:jc w:val="center"/>
        <w:rPr>
          <w:rFonts w:cstheme="minorHAnsi"/>
          <w:b/>
          <w:color w:val="002060"/>
          <w:lang w:val="sr-Cyrl-CS"/>
        </w:rPr>
      </w:pPr>
    </w:p>
    <w:p w14:paraId="0C6887D6" w14:textId="7D206AF5" w:rsidR="00683785" w:rsidRPr="00F5596D" w:rsidRDefault="00F14A11" w:rsidP="00F14A11">
      <w:pPr>
        <w:spacing w:after="40"/>
        <w:jc w:val="center"/>
        <w:rPr>
          <w:rFonts w:cstheme="minorHAnsi"/>
          <w:b/>
          <w:color w:val="002060"/>
          <w:lang w:val="sr-Cyrl-CS"/>
        </w:rPr>
      </w:pPr>
      <w:r w:rsidRPr="00F5596D">
        <w:rPr>
          <w:rFonts w:cstheme="minorHAnsi"/>
          <w:b/>
          <w:color w:val="002060"/>
          <w:lang w:val="sr-Cyrl-CS"/>
        </w:rPr>
        <w:t>Табела 27</w:t>
      </w:r>
      <w:r w:rsidR="00683785" w:rsidRPr="00F5596D">
        <w:rPr>
          <w:rFonts w:cstheme="minorHAnsi"/>
          <w:b/>
          <w:color w:val="002060"/>
          <w:lang w:val="sr-Cyrl-CS"/>
        </w:rPr>
        <w:t>. Симулација нивоа укупног дуга у основном сценарију до 2035. године, % БДП</w:t>
      </w:r>
    </w:p>
    <w:tbl>
      <w:tblPr>
        <w:tblStyle w:val="TableGrid1"/>
        <w:tblW w:w="5092"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5"/>
        <w:gridCol w:w="608"/>
        <w:gridCol w:w="607"/>
        <w:gridCol w:w="607"/>
        <w:gridCol w:w="607"/>
        <w:gridCol w:w="609"/>
        <w:gridCol w:w="609"/>
        <w:gridCol w:w="609"/>
        <w:gridCol w:w="609"/>
        <w:gridCol w:w="609"/>
        <w:gridCol w:w="609"/>
        <w:gridCol w:w="609"/>
        <w:gridCol w:w="602"/>
      </w:tblGrid>
      <w:tr w:rsidR="00683785" w:rsidRPr="00F5596D" w14:paraId="010F9817" w14:textId="77777777" w:rsidTr="00E12850">
        <w:trPr>
          <w:trHeight w:hRule="exact" w:val="254"/>
        </w:trPr>
        <w:tc>
          <w:tcPr>
            <w:tcW w:w="1192" w:type="pct"/>
            <w:tcBorders>
              <w:top w:val="single" w:sz="4" w:space="0" w:color="auto"/>
              <w:bottom w:val="single" w:sz="4" w:space="0" w:color="auto"/>
            </w:tcBorders>
            <w:hideMark/>
          </w:tcPr>
          <w:p w14:paraId="212FC6A1" w14:textId="77777777" w:rsidR="00683785" w:rsidRPr="00F5596D" w:rsidRDefault="00683785" w:rsidP="008D31CC">
            <w:pPr>
              <w:ind w:right="-427"/>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Основни сценарио</w:t>
            </w:r>
          </w:p>
        </w:tc>
        <w:tc>
          <w:tcPr>
            <w:tcW w:w="317" w:type="pct"/>
            <w:tcBorders>
              <w:top w:val="single" w:sz="4" w:space="0" w:color="auto"/>
              <w:bottom w:val="single" w:sz="4" w:space="0" w:color="auto"/>
            </w:tcBorders>
            <w:noWrap/>
            <w:hideMark/>
          </w:tcPr>
          <w:p w14:paraId="40E3D692"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2024</w:t>
            </w:r>
          </w:p>
        </w:tc>
        <w:tc>
          <w:tcPr>
            <w:tcW w:w="317" w:type="pct"/>
            <w:tcBorders>
              <w:top w:val="single" w:sz="4" w:space="0" w:color="auto"/>
              <w:bottom w:val="single" w:sz="4" w:space="0" w:color="auto"/>
            </w:tcBorders>
            <w:noWrap/>
            <w:hideMark/>
          </w:tcPr>
          <w:p w14:paraId="7FAB6ED6"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2025</w:t>
            </w:r>
          </w:p>
        </w:tc>
        <w:tc>
          <w:tcPr>
            <w:tcW w:w="317" w:type="pct"/>
            <w:tcBorders>
              <w:top w:val="single" w:sz="4" w:space="0" w:color="auto"/>
              <w:bottom w:val="single" w:sz="4" w:space="0" w:color="auto"/>
            </w:tcBorders>
            <w:noWrap/>
            <w:hideMark/>
          </w:tcPr>
          <w:p w14:paraId="6EC7F2BD"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2026</w:t>
            </w:r>
          </w:p>
        </w:tc>
        <w:tc>
          <w:tcPr>
            <w:tcW w:w="317" w:type="pct"/>
            <w:tcBorders>
              <w:top w:val="single" w:sz="4" w:space="0" w:color="auto"/>
              <w:bottom w:val="single" w:sz="4" w:space="0" w:color="auto"/>
            </w:tcBorders>
            <w:noWrap/>
            <w:hideMark/>
          </w:tcPr>
          <w:p w14:paraId="07B82530"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2027</w:t>
            </w:r>
          </w:p>
        </w:tc>
        <w:tc>
          <w:tcPr>
            <w:tcW w:w="318" w:type="pct"/>
            <w:tcBorders>
              <w:top w:val="single" w:sz="4" w:space="0" w:color="auto"/>
              <w:bottom w:val="single" w:sz="4" w:space="0" w:color="auto"/>
            </w:tcBorders>
            <w:noWrap/>
            <w:hideMark/>
          </w:tcPr>
          <w:p w14:paraId="3E7764E6"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2028</w:t>
            </w:r>
          </w:p>
        </w:tc>
        <w:tc>
          <w:tcPr>
            <w:tcW w:w="318" w:type="pct"/>
            <w:tcBorders>
              <w:top w:val="single" w:sz="4" w:space="0" w:color="auto"/>
              <w:bottom w:val="single" w:sz="4" w:space="0" w:color="auto"/>
            </w:tcBorders>
            <w:noWrap/>
            <w:hideMark/>
          </w:tcPr>
          <w:p w14:paraId="0566A9D2"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2029</w:t>
            </w:r>
          </w:p>
        </w:tc>
        <w:tc>
          <w:tcPr>
            <w:tcW w:w="318" w:type="pct"/>
            <w:tcBorders>
              <w:top w:val="single" w:sz="4" w:space="0" w:color="auto"/>
              <w:bottom w:val="single" w:sz="4" w:space="0" w:color="auto"/>
            </w:tcBorders>
            <w:noWrap/>
            <w:hideMark/>
          </w:tcPr>
          <w:p w14:paraId="4E8D7DBC"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2030</w:t>
            </w:r>
          </w:p>
        </w:tc>
        <w:tc>
          <w:tcPr>
            <w:tcW w:w="318" w:type="pct"/>
            <w:tcBorders>
              <w:top w:val="single" w:sz="4" w:space="0" w:color="auto"/>
              <w:bottom w:val="single" w:sz="4" w:space="0" w:color="auto"/>
            </w:tcBorders>
            <w:noWrap/>
            <w:hideMark/>
          </w:tcPr>
          <w:p w14:paraId="251D61BA"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2031</w:t>
            </w:r>
          </w:p>
        </w:tc>
        <w:tc>
          <w:tcPr>
            <w:tcW w:w="318" w:type="pct"/>
            <w:tcBorders>
              <w:top w:val="single" w:sz="4" w:space="0" w:color="auto"/>
              <w:bottom w:val="single" w:sz="4" w:space="0" w:color="auto"/>
            </w:tcBorders>
          </w:tcPr>
          <w:p w14:paraId="733ADA89"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2032</w:t>
            </w:r>
          </w:p>
        </w:tc>
        <w:tc>
          <w:tcPr>
            <w:tcW w:w="318" w:type="pct"/>
            <w:tcBorders>
              <w:top w:val="single" w:sz="4" w:space="0" w:color="auto"/>
              <w:bottom w:val="single" w:sz="4" w:space="0" w:color="auto"/>
            </w:tcBorders>
          </w:tcPr>
          <w:p w14:paraId="33DE9BED"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2033</w:t>
            </w:r>
          </w:p>
        </w:tc>
        <w:tc>
          <w:tcPr>
            <w:tcW w:w="318" w:type="pct"/>
            <w:tcBorders>
              <w:top w:val="single" w:sz="4" w:space="0" w:color="auto"/>
              <w:bottom w:val="single" w:sz="4" w:space="0" w:color="auto"/>
            </w:tcBorders>
          </w:tcPr>
          <w:p w14:paraId="7E10AB23"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2034</w:t>
            </w:r>
          </w:p>
        </w:tc>
        <w:tc>
          <w:tcPr>
            <w:tcW w:w="315" w:type="pct"/>
            <w:tcBorders>
              <w:top w:val="single" w:sz="4" w:space="0" w:color="auto"/>
              <w:bottom w:val="single" w:sz="4" w:space="0" w:color="auto"/>
            </w:tcBorders>
          </w:tcPr>
          <w:p w14:paraId="608247F6" w14:textId="77777777" w:rsidR="00683785" w:rsidRPr="00F5596D" w:rsidRDefault="00683785" w:rsidP="008D31CC">
            <w:pPr>
              <w:jc w:val="right"/>
              <w:rPr>
                <w:rFonts w:cstheme="minorHAnsi"/>
                <w:color w:val="002060"/>
                <w:sz w:val="18"/>
                <w:szCs w:val="18"/>
                <w:lang w:val="sr-Cyrl-CS"/>
              </w:rPr>
            </w:pPr>
            <w:r w:rsidRPr="00F5596D">
              <w:rPr>
                <w:rFonts w:cstheme="minorHAnsi"/>
                <w:color w:val="002060"/>
                <w:sz w:val="18"/>
                <w:szCs w:val="18"/>
                <w:lang w:val="sr-Cyrl-CS"/>
              </w:rPr>
              <w:t>2035</w:t>
            </w:r>
          </w:p>
        </w:tc>
      </w:tr>
      <w:tr w:rsidR="00683785" w:rsidRPr="00F5596D" w14:paraId="24BBF58E" w14:textId="77777777" w:rsidTr="00E12850">
        <w:trPr>
          <w:trHeight w:hRule="exact" w:val="254"/>
        </w:trPr>
        <w:tc>
          <w:tcPr>
            <w:tcW w:w="1192" w:type="pct"/>
            <w:tcBorders>
              <w:top w:val="single" w:sz="4" w:space="0" w:color="auto"/>
            </w:tcBorders>
            <w:noWrap/>
            <w:hideMark/>
          </w:tcPr>
          <w:p w14:paraId="4E4A5729"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Приходи</w:t>
            </w:r>
          </w:p>
        </w:tc>
        <w:tc>
          <w:tcPr>
            <w:tcW w:w="317" w:type="pct"/>
            <w:tcBorders>
              <w:top w:val="single" w:sz="4" w:space="0" w:color="auto"/>
            </w:tcBorders>
            <w:noWrap/>
            <w:hideMark/>
          </w:tcPr>
          <w:p w14:paraId="14FEB191"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40,9</w:t>
            </w:r>
          </w:p>
        </w:tc>
        <w:tc>
          <w:tcPr>
            <w:tcW w:w="317" w:type="pct"/>
            <w:tcBorders>
              <w:top w:val="single" w:sz="4" w:space="0" w:color="auto"/>
            </w:tcBorders>
            <w:noWrap/>
            <w:hideMark/>
          </w:tcPr>
          <w:p w14:paraId="09EEB550"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40,9</w:t>
            </w:r>
          </w:p>
        </w:tc>
        <w:tc>
          <w:tcPr>
            <w:tcW w:w="317" w:type="pct"/>
            <w:tcBorders>
              <w:top w:val="single" w:sz="4" w:space="0" w:color="auto"/>
            </w:tcBorders>
            <w:noWrap/>
            <w:hideMark/>
          </w:tcPr>
          <w:p w14:paraId="25AE62EE"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40,4</w:t>
            </w:r>
          </w:p>
        </w:tc>
        <w:tc>
          <w:tcPr>
            <w:tcW w:w="317" w:type="pct"/>
            <w:tcBorders>
              <w:top w:val="single" w:sz="4" w:space="0" w:color="auto"/>
            </w:tcBorders>
            <w:noWrap/>
            <w:hideMark/>
          </w:tcPr>
          <w:p w14:paraId="2E160606"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40,1</w:t>
            </w:r>
          </w:p>
        </w:tc>
        <w:tc>
          <w:tcPr>
            <w:tcW w:w="318" w:type="pct"/>
            <w:tcBorders>
              <w:top w:val="single" w:sz="4" w:space="0" w:color="auto"/>
            </w:tcBorders>
            <w:noWrap/>
            <w:hideMark/>
          </w:tcPr>
          <w:p w14:paraId="1DF1EB8C"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39,9</w:t>
            </w:r>
          </w:p>
        </w:tc>
        <w:tc>
          <w:tcPr>
            <w:tcW w:w="318" w:type="pct"/>
            <w:tcBorders>
              <w:top w:val="single" w:sz="4" w:space="0" w:color="auto"/>
            </w:tcBorders>
            <w:noWrap/>
            <w:hideMark/>
          </w:tcPr>
          <w:p w14:paraId="64E62BC1"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39,7</w:t>
            </w:r>
          </w:p>
        </w:tc>
        <w:tc>
          <w:tcPr>
            <w:tcW w:w="318" w:type="pct"/>
            <w:tcBorders>
              <w:top w:val="single" w:sz="4" w:space="0" w:color="auto"/>
            </w:tcBorders>
            <w:noWrap/>
            <w:hideMark/>
          </w:tcPr>
          <w:p w14:paraId="6D29796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39,5</w:t>
            </w:r>
          </w:p>
        </w:tc>
        <w:tc>
          <w:tcPr>
            <w:tcW w:w="318" w:type="pct"/>
            <w:tcBorders>
              <w:top w:val="single" w:sz="4" w:space="0" w:color="auto"/>
            </w:tcBorders>
            <w:noWrap/>
            <w:hideMark/>
          </w:tcPr>
          <w:p w14:paraId="6B237301"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39,3</w:t>
            </w:r>
          </w:p>
        </w:tc>
        <w:tc>
          <w:tcPr>
            <w:tcW w:w="318" w:type="pct"/>
            <w:tcBorders>
              <w:top w:val="single" w:sz="4" w:space="0" w:color="auto"/>
            </w:tcBorders>
          </w:tcPr>
          <w:p w14:paraId="49FFE0AD"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39,1</w:t>
            </w:r>
          </w:p>
        </w:tc>
        <w:tc>
          <w:tcPr>
            <w:tcW w:w="318" w:type="pct"/>
            <w:tcBorders>
              <w:top w:val="single" w:sz="4" w:space="0" w:color="auto"/>
            </w:tcBorders>
          </w:tcPr>
          <w:p w14:paraId="785B3BAA"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38,9</w:t>
            </w:r>
          </w:p>
        </w:tc>
        <w:tc>
          <w:tcPr>
            <w:tcW w:w="318" w:type="pct"/>
            <w:tcBorders>
              <w:top w:val="single" w:sz="4" w:space="0" w:color="auto"/>
            </w:tcBorders>
          </w:tcPr>
          <w:p w14:paraId="5F0CDB66"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38,7</w:t>
            </w:r>
          </w:p>
        </w:tc>
        <w:tc>
          <w:tcPr>
            <w:tcW w:w="315" w:type="pct"/>
            <w:tcBorders>
              <w:top w:val="single" w:sz="4" w:space="0" w:color="auto"/>
            </w:tcBorders>
          </w:tcPr>
          <w:p w14:paraId="0B49AE9A"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38,5</w:t>
            </w:r>
          </w:p>
        </w:tc>
      </w:tr>
      <w:tr w:rsidR="00683785" w:rsidRPr="00F5596D" w14:paraId="7CA07282" w14:textId="77777777" w:rsidTr="00E12850">
        <w:trPr>
          <w:trHeight w:hRule="exact" w:val="254"/>
        </w:trPr>
        <w:tc>
          <w:tcPr>
            <w:tcW w:w="1192" w:type="pct"/>
            <w:noWrap/>
            <w:hideMark/>
          </w:tcPr>
          <w:p w14:paraId="59C8177C"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Расходи</w:t>
            </w:r>
          </w:p>
        </w:tc>
        <w:tc>
          <w:tcPr>
            <w:tcW w:w="317" w:type="pct"/>
            <w:noWrap/>
            <w:hideMark/>
          </w:tcPr>
          <w:p w14:paraId="6C39D426"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42,9</w:t>
            </w:r>
          </w:p>
        </w:tc>
        <w:tc>
          <w:tcPr>
            <w:tcW w:w="317" w:type="pct"/>
            <w:noWrap/>
            <w:hideMark/>
          </w:tcPr>
          <w:p w14:paraId="018CA96C"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43,9</w:t>
            </w:r>
          </w:p>
        </w:tc>
        <w:tc>
          <w:tcPr>
            <w:tcW w:w="317" w:type="pct"/>
            <w:noWrap/>
            <w:hideMark/>
          </w:tcPr>
          <w:p w14:paraId="0C4C5234"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43,4</w:t>
            </w:r>
          </w:p>
        </w:tc>
        <w:tc>
          <w:tcPr>
            <w:tcW w:w="317" w:type="pct"/>
            <w:noWrap/>
            <w:hideMark/>
          </w:tcPr>
          <w:p w14:paraId="66FA50AF"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43,1</w:t>
            </w:r>
          </w:p>
        </w:tc>
        <w:tc>
          <w:tcPr>
            <w:tcW w:w="318" w:type="pct"/>
            <w:noWrap/>
            <w:hideMark/>
          </w:tcPr>
          <w:p w14:paraId="2BF62CF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42,4</w:t>
            </w:r>
          </w:p>
        </w:tc>
        <w:tc>
          <w:tcPr>
            <w:tcW w:w="318" w:type="pct"/>
            <w:noWrap/>
            <w:hideMark/>
          </w:tcPr>
          <w:p w14:paraId="1E27EABB"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41,7</w:t>
            </w:r>
          </w:p>
        </w:tc>
        <w:tc>
          <w:tcPr>
            <w:tcW w:w="318" w:type="pct"/>
            <w:noWrap/>
            <w:hideMark/>
          </w:tcPr>
          <w:p w14:paraId="7C64CA1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41,5</w:t>
            </w:r>
          </w:p>
        </w:tc>
        <w:tc>
          <w:tcPr>
            <w:tcW w:w="318" w:type="pct"/>
            <w:noWrap/>
            <w:hideMark/>
          </w:tcPr>
          <w:p w14:paraId="41A9E37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41,3</w:t>
            </w:r>
          </w:p>
        </w:tc>
        <w:tc>
          <w:tcPr>
            <w:tcW w:w="318" w:type="pct"/>
          </w:tcPr>
          <w:p w14:paraId="2D884A09"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41,1</w:t>
            </w:r>
          </w:p>
        </w:tc>
        <w:tc>
          <w:tcPr>
            <w:tcW w:w="318" w:type="pct"/>
          </w:tcPr>
          <w:p w14:paraId="608D1422"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40,9</w:t>
            </w:r>
          </w:p>
        </w:tc>
        <w:tc>
          <w:tcPr>
            <w:tcW w:w="318" w:type="pct"/>
          </w:tcPr>
          <w:p w14:paraId="1F4A4687"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40,7</w:t>
            </w:r>
          </w:p>
        </w:tc>
        <w:tc>
          <w:tcPr>
            <w:tcW w:w="315" w:type="pct"/>
          </w:tcPr>
          <w:p w14:paraId="7F806B47"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40,5</w:t>
            </w:r>
          </w:p>
        </w:tc>
      </w:tr>
      <w:tr w:rsidR="00683785" w:rsidRPr="00F5596D" w14:paraId="00C39C21" w14:textId="77777777" w:rsidTr="00E12850">
        <w:trPr>
          <w:trHeight w:hRule="exact" w:val="254"/>
        </w:trPr>
        <w:tc>
          <w:tcPr>
            <w:tcW w:w="1192" w:type="pct"/>
            <w:noWrap/>
            <w:hideMark/>
          </w:tcPr>
          <w:p w14:paraId="3255DED6" w14:textId="77777777" w:rsidR="00683785" w:rsidRPr="00F5596D" w:rsidRDefault="00683785" w:rsidP="008D31CC">
            <w:pPr>
              <w:jc w:val="left"/>
              <w:rPr>
                <w:rFonts w:eastAsia="Times New Roman" w:cstheme="minorHAnsi"/>
                <w:i/>
                <w:iCs/>
                <w:color w:val="002060"/>
                <w:sz w:val="18"/>
                <w:szCs w:val="18"/>
                <w:lang w:val="sr-Cyrl-CS"/>
              </w:rPr>
            </w:pPr>
            <w:r w:rsidRPr="00F5596D">
              <w:rPr>
                <w:rFonts w:eastAsia="Times New Roman" w:cstheme="minorHAnsi"/>
                <w:i/>
                <w:color w:val="002060"/>
                <w:sz w:val="18"/>
                <w:szCs w:val="18"/>
                <w:lang w:val="sr-Cyrl-CS"/>
              </w:rPr>
              <w:t>Пад учешћа расхода</w:t>
            </w:r>
          </w:p>
        </w:tc>
        <w:tc>
          <w:tcPr>
            <w:tcW w:w="317" w:type="pct"/>
            <w:noWrap/>
            <w:hideMark/>
          </w:tcPr>
          <w:p w14:paraId="23528A17" w14:textId="77777777" w:rsidR="00683785" w:rsidRPr="00F5596D" w:rsidRDefault="00683785" w:rsidP="008D31CC">
            <w:pPr>
              <w:jc w:val="right"/>
              <w:rPr>
                <w:rFonts w:eastAsia="Times New Roman" w:cstheme="minorHAnsi"/>
                <w:bCs/>
                <w:color w:val="002060"/>
                <w:sz w:val="18"/>
                <w:szCs w:val="18"/>
                <w:lang w:val="sr-Cyrl-CS"/>
              </w:rPr>
            </w:pPr>
          </w:p>
        </w:tc>
        <w:tc>
          <w:tcPr>
            <w:tcW w:w="317" w:type="pct"/>
            <w:noWrap/>
            <w:hideMark/>
          </w:tcPr>
          <w:p w14:paraId="30885FBC"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1,0</w:t>
            </w:r>
          </w:p>
        </w:tc>
        <w:tc>
          <w:tcPr>
            <w:tcW w:w="317" w:type="pct"/>
            <w:noWrap/>
            <w:hideMark/>
          </w:tcPr>
          <w:p w14:paraId="7ACD7ECB"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-0,5</w:t>
            </w:r>
          </w:p>
        </w:tc>
        <w:tc>
          <w:tcPr>
            <w:tcW w:w="317" w:type="pct"/>
            <w:noWrap/>
            <w:hideMark/>
          </w:tcPr>
          <w:p w14:paraId="3886273C"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-0,3</w:t>
            </w:r>
          </w:p>
        </w:tc>
        <w:tc>
          <w:tcPr>
            <w:tcW w:w="318" w:type="pct"/>
            <w:noWrap/>
            <w:hideMark/>
          </w:tcPr>
          <w:p w14:paraId="0D9BFB72"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-0,7</w:t>
            </w:r>
          </w:p>
        </w:tc>
        <w:tc>
          <w:tcPr>
            <w:tcW w:w="318" w:type="pct"/>
            <w:noWrap/>
            <w:hideMark/>
          </w:tcPr>
          <w:p w14:paraId="340A054E"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-0,7</w:t>
            </w:r>
          </w:p>
        </w:tc>
        <w:tc>
          <w:tcPr>
            <w:tcW w:w="318" w:type="pct"/>
            <w:noWrap/>
            <w:hideMark/>
          </w:tcPr>
          <w:p w14:paraId="7F7A4059"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-0,2</w:t>
            </w:r>
          </w:p>
        </w:tc>
        <w:tc>
          <w:tcPr>
            <w:tcW w:w="318" w:type="pct"/>
            <w:noWrap/>
            <w:hideMark/>
          </w:tcPr>
          <w:p w14:paraId="10038D52" w14:textId="77777777" w:rsidR="00683785" w:rsidRPr="00F5596D" w:rsidRDefault="00683785" w:rsidP="008D31CC">
            <w:pPr>
              <w:jc w:val="right"/>
              <w:rPr>
                <w:rFonts w:eastAsia="Times New Roman" w:cstheme="minorHAnsi"/>
                <w:bCs/>
                <w:i/>
                <w:color w:val="002060"/>
                <w:sz w:val="18"/>
                <w:szCs w:val="18"/>
                <w:lang w:val="sr-Cyrl-CS"/>
              </w:rPr>
            </w:pPr>
            <w:r w:rsidRPr="00F5596D">
              <w:rPr>
                <w:sz w:val="18"/>
                <w:szCs w:val="18"/>
                <w:lang w:val="sr-Cyrl-CS"/>
              </w:rPr>
              <w:t>-0,2</w:t>
            </w:r>
          </w:p>
        </w:tc>
        <w:tc>
          <w:tcPr>
            <w:tcW w:w="318" w:type="pct"/>
          </w:tcPr>
          <w:p w14:paraId="73514758" w14:textId="77777777" w:rsidR="00683785" w:rsidRPr="00F5596D" w:rsidRDefault="00683785" w:rsidP="008D31CC">
            <w:pPr>
              <w:jc w:val="right"/>
              <w:rPr>
                <w:rFonts w:eastAsia="Times New Roman" w:cstheme="minorHAnsi"/>
                <w:i/>
                <w:color w:val="002060"/>
                <w:sz w:val="18"/>
                <w:szCs w:val="18"/>
                <w:lang w:val="sr-Cyrl-CS"/>
              </w:rPr>
            </w:pPr>
            <w:r w:rsidRPr="00F5596D">
              <w:rPr>
                <w:sz w:val="18"/>
                <w:szCs w:val="18"/>
                <w:lang w:val="sr-Cyrl-CS"/>
              </w:rPr>
              <w:t>-0,2</w:t>
            </w:r>
          </w:p>
        </w:tc>
        <w:tc>
          <w:tcPr>
            <w:tcW w:w="318" w:type="pct"/>
          </w:tcPr>
          <w:p w14:paraId="102B02E4" w14:textId="77777777" w:rsidR="00683785" w:rsidRPr="00F5596D" w:rsidRDefault="00683785" w:rsidP="008D31CC">
            <w:pPr>
              <w:jc w:val="right"/>
              <w:rPr>
                <w:rFonts w:eastAsia="Times New Roman" w:cstheme="minorHAnsi"/>
                <w:i/>
                <w:color w:val="002060"/>
                <w:sz w:val="18"/>
                <w:szCs w:val="18"/>
                <w:lang w:val="sr-Cyrl-CS"/>
              </w:rPr>
            </w:pPr>
            <w:r w:rsidRPr="00F5596D">
              <w:rPr>
                <w:sz w:val="18"/>
                <w:szCs w:val="18"/>
                <w:lang w:val="sr-Cyrl-CS"/>
              </w:rPr>
              <w:t>-0,2</w:t>
            </w:r>
          </w:p>
        </w:tc>
        <w:tc>
          <w:tcPr>
            <w:tcW w:w="318" w:type="pct"/>
          </w:tcPr>
          <w:p w14:paraId="5D1AAB7C" w14:textId="77777777" w:rsidR="00683785" w:rsidRPr="00F5596D" w:rsidRDefault="00683785" w:rsidP="008D31CC">
            <w:pPr>
              <w:jc w:val="right"/>
              <w:rPr>
                <w:rFonts w:eastAsia="Times New Roman" w:cstheme="minorHAnsi"/>
                <w:i/>
                <w:color w:val="002060"/>
                <w:sz w:val="18"/>
                <w:szCs w:val="18"/>
                <w:lang w:val="sr-Cyrl-CS"/>
              </w:rPr>
            </w:pPr>
            <w:r w:rsidRPr="00F5596D">
              <w:rPr>
                <w:sz w:val="18"/>
                <w:szCs w:val="18"/>
                <w:lang w:val="sr-Cyrl-CS"/>
              </w:rPr>
              <w:t>-0,2</w:t>
            </w:r>
          </w:p>
        </w:tc>
        <w:tc>
          <w:tcPr>
            <w:tcW w:w="315" w:type="pct"/>
          </w:tcPr>
          <w:p w14:paraId="633198E6" w14:textId="77777777" w:rsidR="00683785" w:rsidRPr="00F5596D" w:rsidRDefault="00683785" w:rsidP="008D31CC">
            <w:pPr>
              <w:jc w:val="right"/>
              <w:rPr>
                <w:rFonts w:eastAsia="Times New Roman" w:cstheme="minorHAnsi"/>
                <w:i/>
                <w:color w:val="002060"/>
                <w:sz w:val="18"/>
                <w:szCs w:val="18"/>
                <w:lang w:val="sr-Cyrl-CS"/>
              </w:rPr>
            </w:pPr>
            <w:r w:rsidRPr="00F5596D">
              <w:rPr>
                <w:sz w:val="18"/>
                <w:szCs w:val="18"/>
                <w:lang w:val="sr-Cyrl-CS"/>
              </w:rPr>
              <w:t>-0,2</w:t>
            </w:r>
          </w:p>
        </w:tc>
      </w:tr>
      <w:tr w:rsidR="00683785" w:rsidRPr="00F5596D" w14:paraId="723E2CF1" w14:textId="77777777" w:rsidTr="00E12850">
        <w:trPr>
          <w:trHeight w:hRule="exact" w:val="254"/>
        </w:trPr>
        <w:tc>
          <w:tcPr>
            <w:tcW w:w="1192" w:type="pct"/>
            <w:noWrap/>
            <w:hideMark/>
          </w:tcPr>
          <w:p w14:paraId="6B495908"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 xml:space="preserve">Фискални резултат </w:t>
            </w:r>
          </w:p>
        </w:tc>
        <w:tc>
          <w:tcPr>
            <w:tcW w:w="317" w:type="pct"/>
            <w:noWrap/>
            <w:hideMark/>
          </w:tcPr>
          <w:p w14:paraId="77E966D7"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-2,0</w:t>
            </w:r>
          </w:p>
        </w:tc>
        <w:tc>
          <w:tcPr>
            <w:tcW w:w="317" w:type="pct"/>
            <w:noWrap/>
            <w:hideMark/>
          </w:tcPr>
          <w:p w14:paraId="501B30E1"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-3,0</w:t>
            </w:r>
          </w:p>
        </w:tc>
        <w:tc>
          <w:tcPr>
            <w:tcW w:w="317" w:type="pct"/>
            <w:noWrap/>
            <w:hideMark/>
          </w:tcPr>
          <w:p w14:paraId="3E2EFB6F"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-3,0</w:t>
            </w:r>
          </w:p>
        </w:tc>
        <w:tc>
          <w:tcPr>
            <w:tcW w:w="317" w:type="pct"/>
            <w:noWrap/>
            <w:hideMark/>
          </w:tcPr>
          <w:p w14:paraId="2B70A70B"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-3,0</w:t>
            </w:r>
          </w:p>
        </w:tc>
        <w:tc>
          <w:tcPr>
            <w:tcW w:w="318" w:type="pct"/>
            <w:noWrap/>
            <w:hideMark/>
          </w:tcPr>
          <w:p w14:paraId="1BC5230C"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-2,5</w:t>
            </w:r>
          </w:p>
        </w:tc>
        <w:tc>
          <w:tcPr>
            <w:tcW w:w="318" w:type="pct"/>
            <w:noWrap/>
            <w:hideMark/>
          </w:tcPr>
          <w:p w14:paraId="74DE32DC"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-2,0</w:t>
            </w:r>
          </w:p>
        </w:tc>
        <w:tc>
          <w:tcPr>
            <w:tcW w:w="318" w:type="pct"/>
            <w:noWrap/>
            <w:hideMark/>
          </w:tcPr>
          <w:p w14:paraId="0B522846"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-2,0</w:t>
            </w:r>
          </w:p>
        </w:tc>
        <w:tc>
          <w:tcPr>
            <w:tcW w:w="318" w:type="pct"/>
            <w:noWrap/>
            <w:hideMark/>
          </w:tcPr>
          <w:p w14:paraId="69DFACC4"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-2,0</w:t>
            </w:r>
          </w:p>
        </w:tc>
        <w:tc>
          <w:tcPr>
            <w:tcW w:w="318" w:type="pct"/>
          </w:tcPr>
          <w:p w14:paraId="44F3C2E7"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-2,0</w:t>
            </w:r>
          </w:p>
        </w:tc>
        <w:tc>
          <w:tcPr>
            <w:tcW w:w="318" w:type="pct"/>
          </w:tcPr>
          <w:p w14:paraId="568900BE"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-2,0</w:t>
            </w:r>
          </w:p>
        </w:tc>
        <w:tc>
          <w:tcPr>
            <w:tcW w:w="318" w:type="pct"/>
          </w:tcPr>
          <w:p w14:paraId="60EE5748"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-2,0</w:t>
            </w:r>
          </w:p>
        </w:tc>
        <w:tc>
          <w:tcPr>
            <w:tcW w:w="315" w:type="pct"/>
          </w:tcPr>
          <w:p w14:paraId="32975254"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-2,0</w:t>
            </w:r>
          </w:p>
        </w:tc>
      </w:tr>
      <w:tr w:rsidR="00683785" w:rsidRPr="00F5596D" w14:paraId="45D3CEE3" w14:textId="77777777" w:rsidTr="00E12850">
        <w:trPr>
          <w:trHeight w:hRule="exact" w:val="254"/>
        </w:trPr>
        <w:tc>
          <w:tcPr>
            <w:tcW w:w="1192" w:type="pct"/>
            <w:noWrap/>
            <w:hideMark/>
          </w:tcPr>
          <w:p w14:paraId="564EFDE1"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Примарни фиск. резултат</w:t>
            </w:r>
          </w:p>
        </w:tc>
        <w:tc>
          <w:tcPr>
            <w:tcW w:w="317" w:type="pct"/>
            <w:noWrap/>
            <w:hideMark/>
          </w:tcPr>
          <w:p w14:paraId="2F6E82F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-0,3</w:t>
            </w:r>
          </w:p>
        </w:tc>
        <w:tc>
          <w:tcPr>
            <w:tcW w:w="317" w:type="pct"/>
            <w:noWrap/>
            <w:hideMark/>
          </w:tcPr>
          <w:p w14:paraId="3DA342F4"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-1,0</w:t>
            </w:r>
          </w:p>
        </w:tc>
        <w:tc>
          <w:tcPr>
            <w:tcW w:w="317" w:type="pct"/>
            <w:noWrap/>
            <w:hideMark/>
          </w:tcPr>
          <w:p w14:paraId="3B4C62D5"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-1,0</w:t>
            </w:r>
          </w:p>
        </w:tc>
        <w:tc>
          <w:tcPr>
            <w:tcW w:w="317" w:type="pct"/>
            <w:noWrap/>
            <w:hideMark/>
          </w:tcPr>
          <w:p w14:paraId="7C785732"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-1,1</w:t>
            </w:r>
          </w:p>
        </w:tc>
        <w:tc>
          <w:tcPr>
            <w:tcW w:w="318" w:type="pct"/>
            <w:noWrap/>
            <w:hideMark/>
          </w:tcPr>
          <w:p w14:paraId="2FB626DB"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-0,7</w:t>
            </w:r>
          </w:p>
        </w:tc>
        <w:tc>
          <w:tcPr>
            <w:tcW w:w="318" w:type="pct"/>
            <w:noWrap/>
            <w:hideMark/>
          </w:tcPr>
          <w:p w14:paraId="79FD659D"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-0,1</w:t>
            </w:r>
          </w:p>
        </w:tc>
        <w:tc>
          <w:tcPr>
            <w:tcW w:w="318" w:type="pct"/>
            <w:noWrap/>
            <w:hideMark/>
          </w:tcPr>
          <w:p w14:paraId="093031DF"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-0,1</w:t>
            </w:r>
          </w:p>
        </w:tc>
        <w:tc>
          <w:tcPr>
            <w:tcW w:w="318" w:type="pct"/>
            <w:noWrap/>
            <w:hideMark/>
          </w:tcPr>
          <w:p w14:paraId="18F5F8FA"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-0,1</w:t>
            </w:r>
          </w:p>
        </w:tc>
        <w:tc>
          <w:tcPr>
            <w:tcW w:w="318" w:type="pct"/>
          </w:tcPr>
          <w:p w14:paraId="2F5D54CE"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-0,1</w:t>
            </w:r>
          </w:p>
        </w:tc>
        <w:tc>
          <w:tcPr>
            <w:tcW w:w="318" w:type="pct"/>
          </w:tcPr>
          <w:p w14:paraId="2A8B2F57"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-0,1</w:t>
            </w:r>
          </w:p>
        </w:tc>
        <w:tc>
          <w:tcPr>
            <w:tcW w:w="318" w:type="pct"/>
          </w:tcPr>
          <w:p w14:paraId="38A3E18A"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-0,1</w:t>
            </w:r>
          </w:p>
        </w:tc>
        <w:tc>
          <w:tcPr>
            <w:tcW w:w="315" w:type="pct"/>
          </w:tcPr>
          <w:p w14:paraId="0210492C"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-0,1</w:t>
            </w:r>
          </w:p>
        </w:tc>
      </w:tr>
      <w:tr w:rsidR="00683785" w:rsidRPr="00F5596D" w14:paraId="5CBC2F8D" w14:textId="77777777" w:rsidTr="00E12850">
        <w:trPr>
          <w:trHeight w:hRule="exact" w:val="254"/>
        </w:trPr>
        <w:tc>
          <w:tcPr>
            <w:tcW w:w="1192" w:type="pct"/>
            <w:noWrap/>
            <w:hideMark/>
          </w:tcPr>
          <w:p w14:paraId="69B4B341"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Јавни дуг у БДП</w:t>
            </w:r>
          </w:p>
        </w:tc>
        <w:tc>
          <w:tcPr>
            <w:tcW w:w="317" w:type="pct"/>
            <w:noWrap/>
            <w:hideMark/>
          </w:tcPr>
          <w:p w14:paraId="544DBED2"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47,5</w:t>
            </w:r>
          </w:p>
        </w:tc>
        <w:tc>
          <w:tcPr>
            <w:tcW w:w="317" w:type="pct"/>
            <w:noWrap/>
            <w:hideMark/>
          </w:tcPr>
          <w:p w14:paraId="459E61F2"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46,8</w:t>
            </w:r>
          </w:p>
        </w:tc>
        <w:tc>
          <w:tcPr>
            <w:tcW w:w="317" w:type="pct"/>
            <w:noWrap/>
            <w:hideMark/>
          </w:tcPr>
          <w:p w14:paraId="68204AB7"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46,5</w:t>
            </w:r>
          </w:p>
        </w:tc>
        <w:tc>
          <w:tcPr>
            <w:tcW w:w="317" w:type="pct"/>
            <w:noWrap/>
            <w:hideMark/>
          </w:tcPr>
          <w:p w14:paraId="39DF4B76"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46,3</w:t>
            </w:r>
          </w:p>
        </w:tc>
        <w:tc>
          <w:tcPr>
            <w:tcW w:w="318" w:type="pct"/>
            <w:noWrap/>
            <w:hideMark/>
          </w:tcPr>
          <w:p w14:paraId="465EC6CF"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46,2</w:t>
            </w:r>
          </w:p>
        </w:tc>
        <w:tc>
          <w:tcPr>
            <w:tcW w:w="318" w:type="pct"/>
            <w:noWrap/>
            <w:hideMark/>
          </w:tcPr>
          <w:p w14:paraId="3CFDBDFA"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45,5</w:t>
            </w:r>
          </w:p>
        </w:tc>
        <w:tc>
          <w:tcPr>
            <w:tcW w:w="318" w:type="pct"/>
            <w:noWrap/>
            <w:hideMark/>
          </w:tcPr>
          <w:p w14:paraId="6D6E044C"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44,8</w:t>
            </w:r>
          </w:p>
        </w:tc>
        <w:tc>
          <w:tcPr>
            <w:tcW w:w="318" w:type="pct"/>
            <w:noWrap/>
            <w:hideMark/>
          </w:tcPr>
          <w:p w14:paraId="30A7C7B4"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44,2</w:t>
            </w:r>
          </w:p>
        </w:tc>
        <w:tc>
          <w:tcPr>
            <w:tcW w:w="318" w:type="pct"/>
          </w:tcPr>
          <w:p w14:paraId="2FA5140A"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43,7</w:t>
            </w:r>
          </w:p>
        </w:tc>
        <w:tc>
          <w:tcPr>
            <w:tcW w:w="318" w:type="pct"/>
          </w:tcPr>
          <w:p w14:paraId="6AFEA0B1"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43,4</w:t>
            </w:r>
          </w:p>
        </w:tc>
        <w:tc>
          <w:tcPr>
            <w:tcW w:w="318" w:type="pct"/>
          </w:tcPr>
          <w:p w14:paraId="45679711"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43,0</w:t>
            </w:r>
          </w:p>
        </w:tc>
        <w:tc>
          <w:tcPr>
            <w:tcW w:w="315" w:type="pct"/>
          </w:tcPr>
          <w:p w14:paraId="321B4F41"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42,6</w:t>
            </w:r>
          </w:p>
        </w:tc>
      </w:tr>
      <w:tr w:rsidR="00683785" w:rsidRPr="00F5596D" w14:paraId="2C6BAB79" w14:textId="77777777" w:rsidTr="00E12850">
        <w:trPr>
          <w:trHeight w:hRule="exact" w:val="254"/>
        </w:trPr>
        <w:tc>
          <w:tcPr>
            <w:tcW w:w="1192" w:type="pct"/>
            <w:tcBorders>
              <w:bottom w:val="single" w:sz="4" w:space="0" w:color="auto"/>
            </w:tcBorders>
            <w:noWrap/>
            <w:hideMark/>
          </w:tcPr>
          <w:p w14:paraId="3A79243E" w14:textId="77777777" w:rsidR="00683785" w:rsidRPr="00F5596D" w:rsidRDefault="00683785" w:rsidP="008D31CC">
            <w:pPr>
              <w:jc w:val="left"/>
              <w:rPr>
                <w:rFonts w:eastAsia="Times New Roman" w:cstheme="minorHAnsi"/>
                <w:color w:val="002060"/>
                <w:sz w:val="18"/>
                <w:szCs w:val="18"/>
                <w:lang w:val="sr-Cyrl-CS"/>
              </w:rPr>
            </w:pPr>
            <w:r w:rsidRPr="00F5596D">
              <w:rPr>
                <w:rFonts w:eastAsia="Times New Roman" w:cstheme="minorHAnsi"/>
                <w:color w:val="002060"/>
                <w:sz w:val="18"/>
                <w:szCs w:val="18"/>
                <w:lang w:val="sr-Cyrl-CS"/>
              </w:rPr>
              <w:t>БДП реални раст, %</w:t>
            </w:r>
          </w:p>
        </w:tc>
        <w:tc>
          <w:tcPr>
            <w:tcW w:w="317" w:type="pct"/>
            <w:tcBorders>
              <w:bottom w:val="single" w:sz="4" w:space="0" w:color="auto"/>
            </w:tcBorders>
            <w:noWrap/>
            <w:hideMark/>
          </w:tcPr>
          <w:p w14:paraId="54702734"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3,9</w:t>
            </w:r>
          </w:p>
        </w:tc>
        <w:tc>
          <w:tcPr>
            <w:tcW w:w="317" w:type="pct"/>
            <w:tcBorders>
              <w:bottom w:val="single" w:sz="4" w:space="0" w:color="auto"/>
            </w:tcBorders>
            <w:noWrap/>
            <w:hideMark/>
          </w:tcPr>
          <w:p w14:paraId="6D9CD712"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3,2</w:t>
            </w:r>
          </w:p>
        </w:tc>
        <w:tc>
          <w:tcPr>
            <w:tcW w:w="317" w:type="pct"/>
            <w:tcBorders>
              <w:bottom w:val="single" w:sz="4" w:space="0" w:color="auto"/>
            </w:tcBorders>
            <w:noWrap/>
            <w:hideMark/>
          </w:tcPr>
          <w:p w14:paraId="34F3BDEF"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4,2</w:t>
            </w:r>
          </w:p>
        </w:tc>
        <w:tc>
          <w:tcPr>
            <w:tcW w:w="317" w:type="pct"/>
            <w:tcBorders>
              <w:bottom w:val="single" w:sz="4" w:space="0" w:color="auto"/>
            </w:tcBorders>
            <w:noWrap/>
            <w:hideMark/>
          </w:tcPr>
          <w:p w14:paraId="05CA3EFD"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5,0</w:t>
            </w:r>
          </w:p>
        </w:tc>
        <w:tc>
          <w:tcPr>
            <w:tcW w:w="318" w:type="pct"/>
            <w:tcBorders>
              <w:bottom w:val="single" w:sz="4" w:space="0" w:color="auto"/>
            </w:tcBorders>
            <w:noWrap/>
            <w:hideMark/>
          </w:tcPr>
          <w:p w14:paraId="3ADF1620"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3,5</w:t>
            </w:r>
          </w:p>
        </w:tc>
        <w:tc>
          <w:tcPr>
            <w:tcW w:w="318" w:type="pct"/>
            <w:tcBorders>
              <w:bottom w:val="single" w:sz="4" w:space="0" w:color="auto"/>
            </w:tcBorders>
            <w:noWrap/>
            <w:hideMark/>
          </w:tcPr>
          <w:p w14:paraId="1B609588"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w:t>
            </w:r>
          </w:p>
        </w:tc>
        <w:tc>
          <w:tcPr>
            <w:tcW w:w="318" w:type="pct"/>
            <w:tcBorders>
              <w:bottom w:val="single" w:sz="4" w:space="0" w:color="auto"/>
            </w:tcBorders>
            <w:noWrap/>
            <w:hideMark/>
          </w:tcPr>
          <w:p w14:paraId="635535F5"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4,0</w:t>
            </w:r>
          </w:p>
        </w:tc>
        <w:tc>
          <w:tcPr>
            <w:tcW w:w="318" w:type="pct"/>
            <w:tcBorders>
              <w:bottom w:val="single" w:sz="4" w:space="0" w:color="auto"/>
            </w:tcBorders>
            <w:noWrap/>
            <w:hideMark/>
          </w:tcPr>
          <w:p w14:paraId="5703D0A5" w14:textId="77777777" w:rsidR="00683785" w:rsidRPr="00F5596D" w:rsidRDefault="00683785" w:rsidP="008D31CC">
            <w:pPr>
              <w:jc w:val="right"/>
              <w:rPr>
                <w:rFonts w:eastAsia="Times New Roman" w:cstheme="minorHAnsi"/>
                <w:bCs/>
                <w:color w:val="002060"/>
                <w:sz w:val="18"/>
                <w:szCs w:val="18"/>
                <w:lang w:val="sr-Cyrl-CS"/>
              </w:rPr>
            </w:pPr>
            <w:r w:rsidRPr="00F5596D">
              <w:rPr>
                <w:sz w:val="18"/>
                <w:szCs w:val="18"/>
                <w:lang w:val="sr-Cyrl-CS"/>
              </w:rPr>
              <w:t>3,7</w:t>
            </w:r>
          </w:p>
        </w:tc>
        <w:tc>
          <w:tcPr>
            <w:tcW w:w="318" w:type="pct"/>
            <w:tcBorders>
              <w:bottom w:val="single" w:sz="4" w:space="0" w:color="auto"/>
            </w:tcBorders>
          </w:tcPr>
          <w:p w14:paraId="48681F36"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3,7</w:t>
            </w:r>
          </w:p>
        </w:tc>
        <w:tc>
          <w:tcPr>
            <w:tcW w:w="318" w:type="pct"/>
            <w:tcBorders>
              <w:bottom w:val="single" w:sz="4" w:space="0" w:color="auto"/>
            </w:tcBorders>
          </w:tcPr>
          <w:p w14:paraId="5D822937"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3,5</w:t>
            </w:r>
          </w:p>
        </w:tc>
        <w:tc>
          <w:tcPr>
            <w:tcW w:w="318" w:type="pct"/>
            <w:tcBorders>
              <w:bottom w:val="single" w:sz="4" w:space="0" w:color="auto"/>
            </w:tcBorders>
          </w:tcPr>
          <w:p w14:paraId="65741193"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3,5</w:t>
            </w:r>
          </w:p>
        </w:tc>
        <w:tc>
          <w:tcPr>
            <w:tcW w:w="315" w:type="pct"/>
            <w:tcBorders>
              <w:bottom w:val="single" w:sz="4" w:space="0" w:color="auto"/>
            </w:tcBorders>
          </w:tcPr>
          <w:p w14:paraId="30D31224" w14:textId="77777777" w:rsidR="00683785" w:rsidRPr="00F5596D" w:rsidRDefault="00683785" w:rsidP="008D31CC">
            <w:pPr>
              <w:jc w:val="right"/>
              <w:rPr>
                <w:rFonts w:eastAsia="Times New Roman" w:cstheme="minorHAnsi"/>
                <w:color w:val="002060"/>
                <w:sz w:val="18"/>
                <w:szCs w:val="18"/>
                <w:lang w:val="sr-Cyrl-CS"/>
              </w:rPr>
            </w:pPr>
            <w:r w:rsidRPr="00F5596D">
              <w:rPr>
                <w:sz w:val="18"/>
                <w:szCs w:val="18"/>
                <w:lang w:val="sr-Cyrl-CS"/>
              </w:rPr>
              <w:t>3,5</w:t>
            </w:r>
          </w:p>
        </w:tc>
      </w:tr>
    </w:tbl>
    <w:p w14:paraId="399E03DE" w14:textId="77777777" w:rsidR="00683785" w:rsidRPr="00F5596D" w:rsidRDefault="00683785" w:rsidP="00683785">
      <w:pPr>
        <w:spacing w:after="0" w:line="240" w:lineRule="auto"/>
        <w:jc w:val="left"/>
        <w:rPr>
          <w:rFonts w:ascii="Calibri" w:eastAsia="MS PGothic" w:hAnsi="Calibri" w:cs="Calibri"/>
          <w:sz w:val="16"/>
          <w:szCs w:val="16"/>
          <w:lang w:val="sr-Cyrl-CS" w:eastAsia="ja-JP"/>
        </w:rPr>
        <w:sectPr w:rsidR="00683785" w:rsidRPr="00F5596D" w:rsidSect="008D31CC">
          <w:type w:val="continuous"/>
          <w:pgSz w:w="12240" w:h="15840" w:code="1"/>
          <w:pgMar w:top="1417" w:right="1417" w:bottom="1417" w:left="1417" w:header="720" w:footer="720" w:gutter="0"/>
          <w:cols w:space="720"/>
        </w:sectPr>
      </w:pPr>
    </w:p>
    <w:p w14:paraId="7E073D5A" w14:textId="037BFD57" w:rsidR="00683785" w:rsidRPr="00F5596D" w:rsidRDefault="00683785" w:rsidP="00683785">
      <w:pPr>
        <w:spacing w:after="0" w:line="240" w:lineRule="auto"/>
        <w:jc w:val="left"/>
        <w:rPr>
          <w:rFonts w:ascii="Calibri" w:eastAsia="Calibri" w:hAnsi="Calibri" w:cs="Calibri"/>
          <w:sz w:val="16"/>
          <w:szCs w:val="20"/>
          <w:lang w:val="sr-Cyrl-CS"/>
        </w:rPr>
      </w:pPr>
      <w:r w:rsidRPr="00F5596D">
        <w:rPr>
          <w:rFonts w:ascii="Calibri" w:eastAsia="MS PGothic" w:hAnsi="Calibri" w:cs="Calibri"/>
          <w:sz w:val="16"/>
          <w:szCs w:val="16"/>
          <w:lang w:val="sr-Cyrl-CS" w:eastAsia="ja-JP"/>
        </w:rPr>
        <w:t xml:space="preserve">Извор: </w:t>
      </w:r>
      <w:r w:rsidRPr="00F5596D">
        <w:rPr>
          <w:rFonts w:ascii="Calibri" w:eastAsia="Calibri" w:hAnsi="Calibri" w:cs="Calibri"/>
          <w:sz w:val="16"/>
          <w:szCs w:val="20"/>
          <w:lang w:val="sr-Cyrl-CS"/>
        </w:rPr>
        <w:t>Министарство финансија</w:t>
      </w:r>
    </w:p>
    <w:p w14:paraId="46B29692" w14:textId="30DA7A3F" w:rsidR="00263D62" w:rsidRPr="00F5596D" w:rsidRDefault="00263D62" w:rsidP="00683785">
      <w:pPr>
        <w:spacing w:after="0" w:line="240" w:lineRule="auto"/>
        <w:jc w:val="left"/>
        <w:rPr>
          <w:rFonts w:ascii="Calibri" w:eastAsia="Calibri" w:hAnsi="Calibri" w:cs="Calibri"/>
          <w:sz w:val="16"/>
          <w:szCs w:val="20"/>
          <w:lang w:val="sr-Cyrl-CS"/>
        </w:rPr>
      </w:pPr>
    </w:p>
    <w:p w14:paraId="489088CB" w14:textId="32C689FA" w:rsidR="00263D62" w:rsidRPr="00F5596D" w:rsidRDefault="00263D62" w:rsidP="00683785">
      <w:pPr>
        <w:spacing w:after="0" w:line="240" w:lineRule="auto"/>
        <w:jc w:val="left"/>
        <w:rPr>
          <w:rFonts w:ascii="Calibri" w:eastAsia="Calibri" w:hAnsi="Calibri" w:cs="Calibri"/>
          <w:sz w:val="16"/>
          <w:szCs w:val="20"/>
          <w:lang w:val="sr-Cyrl-CS"/>
        </w:rPr>
      </w:pPr>
    </w:p>
    <w:p w14:paraId="05A81D88" w14:textId="5E59E810" w:rsidR="00263D62" w:rsidRPr="00F5596D" w:rsidRDefault="00263D62" w:rsidP="00683785">
      <w:pPr>
        <w:spacing w:after="0" w:line="240" w:lineRule="auto"/>
        <w:jc w:val="left"/>
        <w:rPr>
          <w:rFonts w:ascii="Calibri" w:eastAsia="Calibri" w:hAnsi="Calibri" w:cs="Calibri"/>
          <w:sz w:val="16"/>
          <w:szCs w:val="20"/>
          <w:lang w:val="sr-Cyrl-CS"/>
        </w:rPr>
      </w:pPr>
    </w:p>
    <w:p w14:paraId="3A28A65F" w14:textId="09F4B7BC" w:rsidR="00263D62" w:rsidRPr="00F5596D" w:rsidRDefault="00263D62" w:rsidP="00683785">
      <w:pPr>
        <w:spacing w:after="0" w:line="240" w:lineRule="auto"/>
        <w:jc w:val="left"/>
        <w:rPr>
          <w:rFonts w:ascii="Calibri" w:eastAsia="Calibri" w:hAnsi="Calibri" w:cs="Calibri"/>
          <w:sz w:val="16"/>
          <w:szCs w:val="20"/>
          <w:lang w:val="sr-Cyrl-CS"/>
        </w:rPr>
      </w:pPr>
    </w:p>
    <w:p w14:paraId="0C3951C9" w14:textId="659514C4" w:rsidR="00263D62" w:rsidRPr="00F5596D" w:rsidRDefault="00263D62" w:rsidP="00683785">
      <w:pPr>
        <w:spacing w:after="0" w:line="240" w:lineRule="auto"/>
        <w:jc w:val="left"/>
        <w:rPr>
          <w:rFonts w:ascii="Calibri" w:eastAsia="Calibri" w:hAnsi="Calibri" w:cs="Calibri"/>
          <w:sz w:val="16"/>
          <w:szCs w:val="20"/>
          <w:lang w:val="sr-Cyrl-CS"/>
        </w:rPr>
      </w:pPr>
    </w:p>
    <w:p w14:paraId="234A836A" w14:textId="7D98ED82" w:rsidR="00263D62" w:rsidRPr="00F5596D" w:rsidRDefault="00263D62" w:rsidP="00683785">
      <w:pPr>
        <w:spacing w:after="0" w:line="240" w:lineRule="auto"/>
        <w:jc w:val="left"/>
        <w:rPr>
          <w:rFonts w:ascii="Calibri" w:eastAsia="Calibri" w:hAnsi="Calibri" w:cs="Calibri"/>
          <w:sz w:val="16"/>
          <w:szCs w:val="20"/>
          <w:lang w:val="sr-Cyrl-CS"/>
        </w:rPr>
      </w:pPr>
    </w:p>
    <w:p w14:paraId="6EDC82F8" w14:textId="4621ACA3" w:rsidR="00263D62" w:rsidRPr="00F5596D" w:rsidRDefault="00263D62" w:rsidP="00683785">
      <w:pPr>
        <w:spacing w:after="0" w:line="240" w:lineRule="auto"/>
        <w:jc w:val="left"/>
        <w:rPr>
          <w:rFonts w:ascii="Calibri" w:eastAsia="Calibri" w:hAnsi="Calibri" w:cs="Calibri"/>
          <w:sz w:val="16"/>
          <w:szCs w:val="20"/>
          <w:lang w:val="sr-Cyrl-CS"/>
        </w:rPr>
      </w:pPr>
    </w:p>
    <w:p w14:paraId="14E8C096" w14:textId="6C06480D" w:rsidR="00263D62" w:rsidRPr="00F5596D" w:rsidRDefault="00263D62" w:rsidP="00683785">
      <w:pPr>
        <w:spacing w:after="0" w:line="240" w:lineRule="auto"/>
        <w:jc w:val="left"/>
        <w:rPr>
          <w:rFonts w:ascii="Calibri" w:eastAsia="Calibri" w:hAnsi="Calibri" w:cs="Calibri"/>
          <w:sz w:val="16"/>
          <w:szCs w:val="20"/>
          <w:lang w:val="sr-Cyrl-CS"/>
        </w:rPr>
      </w:pPr>
    </w:p>
    <w:p w14:paraId="4807008D" w14:textId="37D0C6B8" w:rsidR="00263D62" w:rsidRPr="00F5596D" w:rsidRDefault="00263D62" w:rsidP="00683785">
      <w:pPr>
        <w:spacing w:after="0" w:line="240" w:lineRule="auto"/>
        <w:jc w:val="left"/>
        <w:rPr>
          <w:rFonts w:ascii="Calibri" w:eastAsia="Calibri" w:hAnsi="Calibri" w:cs="Calibri"/>
          <w:sz w:val="16"/>
          <w:szCs w:val="20"/>
          <w:lang w:val="sr-Cyrl-CS"/>
        </w:rPr>
      </w:pPr>
    </w:p>
    <w:p w14:paraId="5F6445ED" w14:textId="283E56D8" w:rsidR="00263D62" w:rsidRPr="00F5596D" w:rsidRDefault="00263D62" w:rsidP="00683785">
      <w:pPr>
        <w:spacing w:after="0" w:line="240" w:lineRule="auto"/>
        <w:jc w:val="left"/>
        <w:rPr>
          <w:rFonts w:ascii="Calibri" w:eastAsia="Calibri" w:hAnsi="Calibri" w:cs="Calibri"/>
          <w:sz w:val="16"/>
          <w:szCs w:val="20"/>
          <w:lang w:val="sr-Cyrl-CS"/>
        </w:rPr>
      </w:pPr>
    </w:p>
    <w:p w14:paraId="7A966EE3" w14:textId="3873544F" w:rsidR="00263D62" w:rsidRPr="00F5596D" w:rsidRDefault="00263D62" w:rsidP="00683785">
      <w:pPr>
        <w:spacing w:after="0" w:line="240" w:lineRule="auto"/>
        <w:jc w:val="left"/>
        <w:rPr>
          <w:rFonts w:ascii="Calibri" w:eastAsia="Calibri" w:hAnsi="Calibri" w:cs="Calibri"/>
          <w:sz w:val="16"/>
          <w:szCs w:val="20"/>
          <w:lang w:val="sr-Cyrl-CS"/>
        </w:rPr>
      </w:pPr>
    </w:p>
    <w:p w14:paraId="3B763CDB" w14:textId="5C85D33F" w:rsidR="00263D62" w:rsidRPr="00F5596D" w:rsidRDefault="00263D62" w:rsidP="00683785">
      <w:pPr>
        <w:spacing w:after="0" w:line="240" w:lineRule="auto"/>
        <w:jc w:val="left"/>
        <w:rPr>
          <w:rFonts w:ascii="Calibri" w:eastAsia="Calibri" w:hAnsi="Calibri" w:cs="Calibri"/>
          <w:sz w:val="16"/>
          <w:szCs w:val="20"/>
          <w:lang w:val="sr-Cyrl-CS"/>
        </w:rPr>
      </w:pPr>
    </w:p>
    <w:p w14:paraId="150604C3" w14:textId="0992FA23" w:rsidR="00263D62" w:rsidRPr="00F5596D" w:rsidRDefault="00263D62" w:rsidP="00683785">
      <w:pPr>
        <w:spacing w:after="0" w:line="240" w:lineRule="auto"/>
        <w:jc w:val="left"/>
        <w:rPr>
          <w:rFonts w:ascii="Calibri" w:eastAsia="Calibri" w:hAnsi="Calibri" w:cs="Calibri"/>
          <w:sz w:val="16"/>
          <w:szCs w:val="20"/>
          <w:lang w:val="sr-Cyrl-CS"/>
        </w:rPr>
      </w:pPr>
    </w:p>
    <w:p w14:paraId="6692BB32" w14:textId="4DD48DF9" w:rsidR="00263D62" w:rsidRPr="00F5596D" w:rsidRDefault="00263D62" w:rsidP="00683785">
      <w:pPr>
        <w:spacing w:after="0" w:line="240" w:lineRule="auto"/>
        <w:jc w:val="left"/>
        <w:rPr>
          <w:rFonts w:ascii="Calibri" w:eastAsia="Calibri" w:hAnsi="Calibri" w:cs="Calibri"/>
          <w:sz w:val="16"/>
          <w:szCs w:val="20"/>
          <w:lang w:val="sr-Cyrl-CS"/>
        </w:rPr>
      </w:pPr>
    </w:p>
    <w:p w14:paraId="6E5777AD" w14:textId="7FA33681" w:rsidR="00263D62" w:rsidRPr="00F5596D" w:rsidRDefault="00263D62" w:rsidP="00683785">
      <w:pPr>
        <w:spacing w:after="0" w:line="240" w:lineRule="auto"/>
        <w:jc w:val="left"/>
        <w:rPr>
          <w:rFonts w:ascii="Calibri" w:eastAsia="Calibri" w:hAnsi="Calibri" w:cs="Calibri"/>
          <w:sz w:val="16"/>
          <w:szCs w:val="20"/>
          <w:lang w:val="sr-Cyrl-CS"/>
        </w:rPr>
      </w:pPr>
    </w:p>
    <w:p w14:paraId="37521DA9" w14:textId="44CCEAE9" w:rsidR="003A643C" w:rsidRPr="00F5596D" w:rsidRDefault="003A643C" w:rsidP="008F6D54">
      <w:pPr>
        <w:spacing w:after="120"/>
        <w:rPr>
          <w:rFonts w:cstheme="minorHAnsi"/>
          <w:b/>
          <w:color w:val="002060"/>
          <w:lang w:val="sr-Cyrl-CS"/>
        </w:rPr>
        <w:sectPr w:rsidR="003A643C" w:rsidRPr="00F5596D" w:rsidSect="008D31CC">
          <w:type w:val="continuous"/>
          <w:pgSz w:w="12240" w:h="15840" w:code="1"/>
          <w:pgMar w:top="1440" w:right="1440" w:bottom="1440" w:left="1440" w:header="720" w:footer="720" w:gutter="0"/>
          <w:cols w:space="720"/>
          <w:docGrid w:linePitch="360"/>
        </w:sectPr>
      </w:pPr>
    </w:p>
    <w:p w14:paraId="524AC713" w14:textId="54139298" w:rsidR="003A643C" w:rsidRPr="00F5596D" w:rsidRDefault="00683785" w:rsidP="003A643C">
      <w:pPr>
        <w:spacing w:after="120"/>
        <w:jc w:val="center"/>
        <w:rPr>
          <w:rFonts w:cstheme="minorHAnsi"/>
          <w:b/>
          <w:color w:val="002060"/>
          <w:lang w:val="sr-Cyrl-CS"/>
        </w:rPr>
        <w:sectPr w:rsidR="003A643C" w:rsidRPr="00F5596D" w:rsidSect="003A643C">
          <w:type w:val="continuous"/>
          <w:pgSz w:w="12240" w:h="15840" w:code="1"/>
          <w:pgMar w:top="1440" w:right="1440" w:bottom="1440" w:left="1440" w:header="720" w:footer="720" w:gutter="0"/>
          <w:cols w:num="2" w:space="720"/>
          <w:docGrid w:linePitch="360"/>
        </w:sectPr>
      </w:pPr>
      <w:r w:rsidRPr="00F5596D">
        <w:rPr>
          <w:rFonts w:cstheme="minorHAnsi"/>
          <w:b/>
          <w:color w:val="002060"/>
          <w:lang w:val="sr-Cyrl-CS"/>
        </w:rPr>
        <w:lastRenderedPageBreak/>
        <w:t>Поређење различитих сценарија и утиц</w:t>
      </w:r>
      <w:r w:rsidR="003A643C" w:rsidRPr="00F5596D">
        <w:rPr>
          <w:rFonts w:cstheme="minorHAnsi"/>
          <w:b/>
          <w:color w:val="002060"/>
          <w:lang w:val="sr-Cyrl-CS"/>
        </w:rPr>
        <w:t>ај на висину јавног дуга, % БДП</w:t>
      </w:r>
    </w:p>
    <w:p w14:paraId="3053E267" w14:textId="4A86E2E8" w:rsidR="007262BE" w:rsidRPr="00F5596D" w:rsidRDefault="003A643C" w:rsidP="003A643C">
      <w:pPr>
        <w:widowControl w:val="0"/>
        <w:tabs>
          <w:tab w:val="left" w:pos="699"/>
        </w:tabs>
        <w:spacing w:after="120"/>
        <w:rPr>
          <w:rFonts w:ascii="Calibri" w:eastAsia="Calibri" w:hAnsi="Calibri" w:cs="Calibri"/>
          <w:szCs w:val="20"/>
          <w:lang w:val="sr-Cyrl-CS"/>
        </w:rPr>
        <w:sectPr w:rsidR="007262BE" w:rsidRPr="00F5596D" w:rsidSect="003A643C">
          <w:type w:val="continuous"/>
          <w:pgSz w:w="12240" w:h="15840" w:code="1"/>
          <w:pgMar w:top="2700" w:right="1440" w:bottom="1440" w:left="1440" w:header="720" w:footer="720" w:gutter="0"/>
          <w:cols w:space="720"/>
          <w:docGrid w:linePitch="360"/>
        </w:sectPr>
      </w:pPr>
      <w:r w:rsidRPr="00F5596D">
        <w:rPr>
          <w:noProof/>
        </w:rPr>
        <w:drawing>
          <wp:anchor distT="0" distB="0" distL="114300" distR="114300" simplePos="0" relativeHeight="251708928" behindDoc="1" locked="0" layoutInCell="1" allowOverlap="1" wp14:anchorId="5339330A" wp14:editId="387D5CF2">
            <wp:simplePos x="0" y="0"/>
            <wp:positionH relativeFrom="margin">
              <wp:align>left</wp:align>
            </wp:positionH>
            <wp:positionV relativeFrom="paragraph">
              <wp:posOffset>5074</wp:posOffset>
            </wp:positionV>
            <wp:extent cx="2743200" cy="2286000"/>
            <wp:effectExtent l="0" t="0" r="0" b="0"/>
            <wp:wrapTight wrapText="bothSides">
              <wp:wrapPolygon edited="0">
                <wp:start x="0" y="0"/>
                <wp:lineTo x="0" y="21420"/>
                <wp:lineTo x="21450" y="21420"/>
                <wp:lineTo x="21450" y="0"/>
                <wp:lineTo x="0" y="0"/>
              </wp:wrapPolygon>
            </wp:wrapTight>
            <wp:docPr id="117" name="Chart 117">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anchor>
        </w:drawing>
      </w:r>
    </w:p>
    <w:p w14:paraId="371DE441" w14:textId="74610EEF" w:rsidR="00683785" w:rsidRPr="00F5596D" w:rsidRDefault="00683785" w:rsidP="00683785">
      <w:pPr>
        <w:widowControl w:val="0"/>
        <w:spacing w:after="120"/>
        <w:rPr>
          <w:rFonts w:ascii="Calibri" w:eastAsia="Calibri" w:hAnsi="Calibri" w:cs="Calibri"/>
          <w:color w:val="2F5496" w:themeColor="accent1" w:themeShade="BF"/>
          <w:sz w:val="22"/>
          <w:szCs w:val="20"/>
          <w:lang w:val="sr-Cyrl-CS"/>
        </w:rPr>
      </w:pPr>
      <w:r w:rsidRPr="00F5596D">
        <w:rPr>
          <w:rFonts w:ascii="Calibri" w:eastAsia="Calibri" w:hAnsi="Calibri" w:cs="Calibri"/>
          <w:b/>
          <w:bCs/>
          <w:color w:val="2F5496" w:themeColor="accent1" w:themeShade="BF"/>
          <w:sz w:val="22"/>
          <w:szCs w:val="20"/>
          <w:lang w:val="sr-Cyrl-CS"/>
        </w:rPr>
        <w:t>Алтернативни сценарији: „Успорени раст након 2028. године” и „Фискални шок након 2028. године”</w:t>
      </w:r>
    </w:p>
    <w:p w14:paraId="10CA7100" w14:textId="2225E79A"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szCs w:val="20"/>
          <w:lang w:val="sr-Cyrl-CS"/>
        </w:rPr>
        <w:t>Поред основног сценарија, анализирана су два алтернативна сценарија кретања јавног дуга у периоду након 2028. године, са циљем да се сагледају потенцијалне фискалне импликације различитих макроекономских и фискалних околности.</w:t>
      </w:r>
    </w:p>
    <w:p w14:paraId="415DC93E" w14:textId="6903D931"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b/>
          <w:bCs/>
          <w:color w:val="2F5496" w:themeColor="accent1" w:themeShade="BF"/>
          <w:sz w:val="22"/>
          <w:szCs w:val="20"/>
          <w:lang w:val="sr-Cyrl-CS"/>
        </w:rPr>
        <w:t>Сценарио „успорени раст након 2028. године”</w:t>
      </w:r>
      <w:r w:rsidRPr="00F5596D">
        <w:rPr>
          <w:rFonts w:ascii="Calibri" w:eastAsia="Calibri" w:hAnsi="Calibri" w:cs="Calibri"/>
          <w:color w:val="002060"/>
          <w:szCs w:val="20"/>
          <w:lang w:val="sr-Cyrl-CS"/>
        </w:rPr>
        <w:t xml:space="preserve"> </w:t>
      </w:r>
      <w:r w:rsidRPr="00F5596D">
        <w:rPr>
          <w:rFonts w:ascii="Calibri" w:eastAsia="Calibri" w:hAnsi="Calibri" w:cs="Calibri"/>
          <w:szCs w:val="20"/>
          <w:lang w:val="sr-Cyrl-CS"/>
        </w:rPr>
        <w:t>полази од претпоставке о просечној стопи реалног раста БДП од 0,8% у посматраном периоду, уз задржавање истог нивоа фискалног дефицита као у основном сценарију. Према овом сценарију, јавни дуг би бележио умерени и континуирани раст, достигавши 49,9% БДП до краја 2035. године. Иако предложена путања фискалног дефицита спречава прекомерну акумулацију дуга, спорији раст захтева већу акомодацију на расходној страни буџета. Ово имплицира потребу за прилагођавањем приоритета и структуре јавне потрошње како би се очувала стабилност фискалне позиције.</w:t>
      </w:r>
    </w:p>
    <w:p w14:paraId="35739F28" w14:textId="77777777" w:rsidR="008F6D54"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szCs w:val="20"/>
          <w:lang w:val="sr-Cyrl-CS"/>
        </w:rPr>
        <w:t>Иако овај сценарио не подразумева реализацију снажног једнократног шока, он указује на дугорочну неодрживост ниских стопа економског раста за укупан привредни и социјални развој земље. Упркос томе што ниво јавног дуга остаје под контролом, слаб привредни раст ограничава простор з</w:t>
      </w:r>
      <w:r w:rsidR="008F6D54" w:rsidRPr="00F5596D">
        <w:rPr>
          <w:rFonts w:ascii="Calibri" w:eastAsia="Calibri" w:hAnsi="Calibri" w:cs="Calibri"/>
          <w:szCs w:val="20"/>
          <w:lang w:val="sr-Cyrl-CS"/>
        </w:rPr>
        <w:t>а структурне реформе и улагања.</w:t>
      </w:r>
    </w:p>
    <w:p w14:paraId="42BF23DF" w14:textId="3479886D"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b/>
          <w:bCs/>
          <w:color w:val="2F5496" w:themeColor="accent1" w:themeShade="BF"/>
          <w:sz w:val="22"/>
          <w:szCs w:val="20"/>
          <w:lang w:val="sr-Cyrl-CS"/>
        </w:rPr>
        <w:t>Сценарио „фискални шок након 2028. године”</w:t>
      </w:r>
      <w:r w:rsidRPr="00F5596D">
        <w:rPr>
          <w:rFonts w:ascii="Calibri" w:eastAsia="Calibri" w:hAnsi="Calibri" w:cs="Calibri"/>
          <w:color w:val="2F5496" w:themeColor="accent1" w:themeShade="BF"/>
          <w:sz w:val="22"/>
          <w:szCs w:val="20"/>
          <w:lang w:val="sr-Cyrl-CS"/>
        </w:rPr>
        <w:t xml:space="preserve"> </w:t>
      </w:r>
      <w:r w:rsidRPr="00F5596D">
        <w:rPr>
          <w:rFonts w:ascii="Calibri" w:eastAsia="Calibri" w:hAnsi="Calibri" w:cs="Calibri"/>
          <w:szCs w:val="20"/>
          <w:lang w:val="sr-Cyrl-CS"/>
        </w:rPr>
        <w:t>разматра ситуацију у којој долази до реализације значајне ванредне околности – било природне, здравствене или економске – која оставља истовремени негативан утицај на реални сектор и фискалне показатеље. Као реакција на насталу кризу, држава је принуђена да интервенише повећаним издвајањима или привременим фискалним олакшицама, што доводи до погоршања буџетске позиције.</w:t>
      </w:r>
    </w:p>
    <w:p w14:paraId="39CFF5B5" w14:textId="77777777"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szCs w:val="20"/>
          <w:lang w:val="sr-Cyrl-CS"/>
        </w:rPr>
        <w:t>Истовремено, негативан утицај на реални сектор доводи до смањења БДП или његовог успореног раста, уз пратећи пад буџетских прихода. Комбиновано дејство ових фактора доводи до наглог повећања фискалног дефицита и јавног дуга. У конкретној симулацији, дефицит достиже 9% БДП, уз реални пад БДП од 3,5%, што резултира скоком јавног дуга на 55,9% БДП.</w:t>
      </w:r>
    </w:p>
    <w:p w14:paraId="7A11F678" w14:textId="77777777"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szCs w:val="20"/>
          <w:lang w:val="sr-Cyrl-CS"/>
        </w:rPr>
        <w:t>Иако би било технички могуће извршити нагло фискално прилагођавање ради брзе стабилизације, такав приступ би произвео негативне социјалне и економске последице. Због тога се као одговарајућа мера препоручује постепено прилагођавање током наредне две године. У 2030. години планира се дефицит од 3% БДП, при симулираном одсуству реалног раста, што доводи до благог даљег раста дуга. Већ у 2031. години, уз планирани минимални дефицит од 0,5% БДП, долази до стабилизације и преокрета путање јавног дуга. У наредним годинама, са очекиваним опоравком привреде и реалним растом од 3% БДП, учешће дуга се постепено смањује испод 55% БДП, што омогућава поновну релаксацију фискалне политике.</w:t>
      </w:r>
    </w:p>
    <w:p w14:paraId="1E295202" w14:textId="77777777" w:rsidR="00683785" w:rsidRPr="00F5596D" w:rsidRDefault="00683785" w:rsidP="00683785">
      <w:pPr>
        <w:widowControl w:val="0"/>
        <w:spacing w:after="120"/>
        <w:rPr>
          <w:rFonts w:ascii="Calibri" w:eastAsia="Calibri" w:hAnsi="Calibri" w:cs="Calibri"/>
          <w:szCs w:val="20"/>
          <w:lang w:val="sr-Cyrl-CS"/>
        </w:rPr>
      </w:pPr>
      <w:r w:rsidRPr="00F5596D">
        <w:rPr>
          <w:rFonts w:ascii="Calibri" w:eastAsia="Calibri" w:hAnsi="Calibri" w:cs="Calibri"/>
          <w:szCs w:val="20"/>
          <w:lang w:val="sr-Cyrl-CS"/>
        </w:rPr>
        <w:t>Представљене симулације указују на потенцијалне правце деловања фискалне политике у различитим макроекономским условима. Истовремено, оне потврђују да је основни сценарио, дефинисан овим фискалним оквиром, реалан и спроводљив, те да обезбеђује дугорочну стабилност јавних финансија и отпорност на шокове.</w:t>
      </w:r>
    </w:p>
    <w:p w14:paraId="323BC64F" w14:textId="77777777" w:rsidR="00683785" w:rsidRPr="00F5596D" w:rsidRDefault="00683785" w:rsidP="00683785">
      <w:pPr>
        <w:rPr>
          <w:lang w:val="sr-Cyrl-CS"/>
        </w:rPr>
      </w:pPr>
      <w:r w:rsidRPr="00F5596D">
        <w:rPr>
          <w:rFonts w:ascii="Calibri" w:eastAsia="Calibri" w:hAnsi="Calibri" w:cs="Calibri"/>
          <w:szCs w:val="20"/>
          <w:lang w:val="sr-Cyrl-CS"/>
        </w:rPr>
        <w:lastRenderedPageBreak/>
        <w:t xml:space="preserve">Ове симулације поред осталог показују могуће правце деловања фискалне политике у различитим сценаријима. Истовремено оне дају и потврду о томе да је основни сценарио дат овим </w:t>
      </w:r>
      <w:r w:rsidRPr="00F5596D">
        <w:rPr>
          <w:rFonts w:ascii="Calibri" w:eastAsia="Calibri" w:hAnsi="Calibri" w:cs="Calibri"/>
          <w:szCs w:val="20"/>
          <w:lang w:val="sr-Cyrl-CS"/>
        </w:rPr>
        <w:t>фискалним оквиром операбилан и спроводљив и да испуњава своју сврху, а то је дугорочна одрживост фискалне позиције земље</w:t>
      </w:r>
      <w:r w:rsidRPr="00F5596D">
        <w:rPr>
          <w:lang w:val="sr-Cyrl-CS"/>
        </w:rPr>
        <w:t>.</w:t>
      </w:r>
    </w:p>
    <w:p w14:paraId="2318019A" w14:textId="77777777" w:rsidR="007262BE" w:rsidRPr="00F5596D" w:rsidRDefault="007262BE" w:rsidP="00E61F75">
      <w:pPr>
        <w:keepNext/>
        <w:keepLines/>
        <w:spacing w:after="120"/>
        <w:outlineLvl w:val="0"/>
        <w:rPr>
          <w:sz w:val="16"/>
          <w:szCs w:val="16"/>
          <w:lang w:val="sr-Cyrl-CS"/>
        </w:rPr>
        <w:sectPr w:rsidR="007262BE" w:rsidRPr="00F5596D" w:rsidSect="003A643C">
          <w:type w:val="continuous"/>
          <w:pgSz w:w="12240" w:h="15840" w:code="1"/>
          <w:pgMar w:top="2070" w:right="1440" w:bottom="1440" w:left="1440" w:header="720" w:footer="720" w:gutter="0"/>
          <w:cols w:num="2" w:space="720"/>
          <w:docGrid w:linePitch="360"/>
        </w:sectPr>
      </w:pPr>
    </w:p>
    <w:p w14:paraId="37BF579F" w14:textId="77777777" w:rsidR="008F6D54" w:rsidRPr="00F5596D" w:rsidRDefault="008F6D54">
      <w:pPr>
        <w:jc w:val="left"/>
        <w:rPr>
          <w:rFonts w:eastAsiaTheme="majorEastAsia" w:cstheme="minorHAnsi"/>
          <w:b/>
          <w:color w:val="2F5496" w:themeColor="accent1" w:themeShade="BF"/>
          <w:sz w:val="26"/>
          <w:szCs w:val="26"/>
          <w:lang w:val="sr-Cyrl-CS"/>
        </w:rPr>
      </w:pPr>
      <w:bookmarkStart w:id="62" w:name="_Toc170722311"/>
      <w:bookmarkStart w:id="63" w:name="_Toc181190973"/>
      <w:bookmarkStart w:id="64" w:name="_Toc181271508"/>
      <w:r w:rsidRPr="00F5596D">
        <w:rPr>
          <w:rFonts w:cstheme="minorHAnsi"/>
          <w:b/>
          <w:sz w:val="26"/>
          <w:szCs w:val="26"/>
          <w:lang w:val="sr-Cyrl-CS"/>
        </w:rPr>
        <w:br w:type="page"/>
      </w:r>
    </w:p>
    <w:p w14:paraId="53A7868C" w14:textId="77777777" w:rsidR="008F6D54" w:rsidRPr="00F5596D" w:rsidRDefault="008F6D54" w:rsidP="008D31CC">
      <w:pPr>
        <w:pStyle w:val="Heading1"/>
        <w:spacing w:before="0" w:after="240"/>
        <w:contextualSpacing/>
        <w:jc w:val="center"/>
        <w:rPr>
          <w:rFonts w:asciiTheme="minorHAnsi" w:hAnsiTheme="minorHAnsi" w:cstheme="minorHAnsi"/>
          <w:b/>
          <w:sz w:val="26"/>
          <w:szCs w:val="26"/>
          <w:lang w:val="sr-Cyrl-CS"/>
        </w:rPr>
      </w:pPr>
    </w:p>
    <w:p w14:paraId="308A79DD" w14:textId="24866A44" w:rsidR="008D31CC" w:rsidRPr="00F5596D" w:rsidRDefault="008D31CC" w:rsidP="008D31CC">
      <w:pPr>
        <w:pStyle w:val="Heading1"/>
        <w:spacing w:before="0" w:after="240"/>
        <w:contextualSpacing/>
        <w:jc w:val="center"/>
        <w:rPr>
          <w:rFonts w:ascii="Calibri" w:eastAsia="Calibri" w:hAnsi="Calibri" w:cs="Calibri"/>
          <w:bCs/>
          <w:szCs w:val="72"/>
          <w:lang w:val="sr-Cyrl-CS"/>
        </w:rPr>
        <w:sectPr w:rsidR="008D31CC" w:rsidRPr="00F5596D" w:rsidSect="00886C36">
          <w:type w:val="continuous"/>
          <w:pgSz w:w="12240" w:h="15840" w:code="1"/>
          <w:pgMar w:top="0" w:right="1440" w:bottom="0" w:left="1440" w:header="720" w:footer="720" w:gutter="0"/>
          <w:cols w:space="720"/>
          <w:docGrid w:linePitch="360"/>
        </w:sectPr>
      </w:pPr>
      <w:bookmarkStart w:id="65" w:name="_Toc200118001"/>
      <w:r w:rsidRPr="00F5596D">
        <w:rPr>
          <w:rFonts w:asciiTheme="minorHAnsi" w:hAnsiTheme="minorHAnsi" w:cstheme="minorHAnsi"/>
          <w:b/>
          <w:sz w:val="26"/>
          <w:szCs w:val="26"/>
          <w:lang w:val="sr-Cyrl-CS"/>
        </w:rPr>
        <w:t>III. СТРАТЕГИЈА УПРАВЉАЊА ЈАВНИМ ДУГОМ ОД 2026. ДО 2028. ГОДИН</w:t>
      </w:r>
      <w:bookmarkEnd w:id="62"/>
      <w:bookmarkEnd w:id="63"/>
      <w:bookmarkEnd w:id="64"/>
      <w:r w:rsidR="004F7BB3" w:rsidRPr="00F5596D">
        <w:rPr>
          <w:rFonts w:asciiTheme="minorHAnsi" w:hAnsiTheme="minorHAnsi" w:cstheme="minorHAnsi"/>
          <w:b/>
          <w:sz w:val="26"/>
          <w:szCs w:val="26"/>
          <w:lang w:val="sr-Cyrl-CS"/>
        </w:rPr>
        <w:t>Е</w:t>
      </w:r>
      <w:bookmarkEnd w:id="65"/>
    </w:p>
    <w:p w14:paraId="4B71D67F" w14:textId="77777777" w:rsidR="008D31CC" w:rsidRPr="00F5596D" w:rsidRDefault="008D31CC" w:rsidP="008D31CC">
      <w:pPr>
        <w:contextualSpacing/>
        <w:rPr>
          <w:rFonts w:ascii="Calibri" w:eastAsia="Calibri" w:hAnsi="Calibri" w:cs="Calibri"/>
          <w:bCs/>
          <w:szCs w:val="72"/>
          <w:lang w:val="sr-Cyrl-CS"/>
        </w:rPr>
        <w:sectPr w:rsidR="008D31CC" w:rsidRPr="00F5596D" w:rsidSect="008D31CC">
          <w:type w:val="continuous"/>
          <w:pgSz w:w="12240" w:h="15840" w:code="1"/>
          <w:pgMar w:top="1440" w:right="1440" w:bottom="1440" w:left="1440" w:header="720" w:footer="720" w:gutter="0"/>
          <w:cols w:num="2" w:space="720"/>
          <w:docGrid w:linePitch="360"/>
        </w:sectPr>
      </w:pPr>
    </w:p>
    <w:p w14:paraId="693E9D5A" w14:textId="77777777" w:rsidR="008D31CC" w:rsidRPr="00F5596D" w:rsidRDefault="008D31CC" w:rsidP="008D31CC">
      <w:pPr>
        <w:contextualSpacing/>
        <w:rPr>
          <w:rFonts w:ascii="Calibri" w:eastAsia="Calibri" w:hAnsi="Calibri" w:cs="Calibri"/>
          <w:bCs/>
          <w:szCs w:val="72"/>
          <w:lang w:val="sr-Cyrl-CS"/>
        </w:rPr>
      </w:pPr>
      <w:r w:rsidRPr="00F5596D">
        <w:rPr>
          <w:rFonts w:ascii="Calibri" w:eastAsia="Calibri" w:hAnsi="Calibri" w:cs="Calibri"/>
          <w:bCs/>
          <w:szCs w:val="72"/>
          <w:lang w:val="sr-Cyrl-C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F5596D">
        <w:rPr>
          <w:rFonts w:ascii="Calibri" w:eastAsia="Calibri" w:hAnsi="Calibri" w:cs="Calibri"/>
          <w:bCs/>
          <w:spacing w:val="-2"/>
          <w:szCs w:val="72"/>
          <w:lang w:val="sr-Cyrl-C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F5596D">
        <w:rPr>
          <w:rFonts w:ascii="Calibri" w:eastAsia="Calibri" w:hAnsi="Calibri" w:cs="Calibri"/>
          <w:bCs/>
          <w:szCs w:val="72"/>
          <w:lang w:val="sr-Cyrl-C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22277005"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5E013FFD"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периоду од 2012. до 2021. године и смањивања ризико премије за српске државне хартије од вредности. Међутим, почетком 2022. године долази до значајног раста каматних стопа изазваног екстерним утицајем, који је настављен и у 2023. години, да би се тренд преокренуо током 2024. и 2025. године када долази до њиховог постепеног пада.</w:t>
      </w:r>
    </w:p>
    <w:p w14:paraId="7100B462"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Фискална стратегија предвиђа смањење јавног дуга сектора државе до краја 2028. године на ниво од 46,2% БДП, при чему се у складу са смерницама управљања јавним дугом дефинисаним од стране Светске банке и ММФ, у 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43150DE2"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последњих десет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пондерисана купонска стопа на динарске државне хартије од вредности смањена са 13,68%, колико је износила на крају 2012. године, на 5,09% на крају априла 2025. године.</w:t>
      </w:r>
    </w:p>
    <w:p w14:paraId="19C281BA"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даљег раста унутрашњег дуга и повећања његовог учешћа у укупном дугу, као и смањења изложености јавног дуга према девизном ризику, што ће позитивно утицати на повећање кредитног рејтинга Републике Србије.</w:t>
      </w:r>
    </w:p>
    <w:p w14:paraId="55F78241"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Након успешно спроведених мера фискалне консолидације у 2016. години је преокренута растућа путања кретања јавног дуга и учешће јавног дуга у БДП, те долази до пада учешћа са 67,2% БДП колико је износило на централном нивоу власти на крају 2015. године на 65,2% на крају 2016. године. Током 2017. године дошло је до значајног пада на 55,5% БДП. Тренд је настављен и током 2018. године када удео јавног дуга у БДП пада на 51,4%, као и током 2019. године када је учешће јавног дуга у БДП смањено на ниво од 49,7% БДП. Како би се смањио утицај кризе изазване пандемијом вируса COVID-19, јавила се потреба за финансирањем мера подршке привреди и грађанима, што је резултирало растом учешћа дуга у БДП на 54,4% на крају 2020. године. </w:t>
      </w:r>
      <w:r w:rsidRPr="00F5596D">
        <w:rPr>
          <w:rFonts w:ascii="Calibri" w:eastAsia="Calibri" w:hAnsi="Calibri" w:cs="Calibri"/>
          <w:bCs/>
          <w:szCs w:val="72"/>
          <w:lang w:val="sr-Cyrl-CS"/>
        </w:rPr>
        <w:lastRenderedPageBreak/>
        <w:t>Током 2021. године долази до благог пада наведеног показатеља, тако да је учешће јавног дуга у БДП на крају 2021. године износило 53,9%. Позитивни тренд је настављен и у наредним годинама, тако да је на крају 2022. године учешће износило 52,4%, на крају 2023. године 48,0%, а на крају 2024. године 47,2%. На крају априла 2025. године учешће јавног дуга у БДП је износило 43,9%.</w:t>
      </w:r>
    </w:p>
    <w:p w14:paraId="134CCE9C"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Услед појачане контроле издавања гаранција у последњих десет година гарантовани јавни дуг је значајно смањен и бележи пад са 2,8 милијарде EUR колико је износио на крају 2013. године на 1,8 милијарди EUR на крају априла 2025. године, док је његово учешће у БДП у истом периоду пало са 7,6% на само 2,0%.</w:t>
      </w:r>
    </w:p>
    <w:p w14:paraId="049EE5BB"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Позитивни фискални резултати које остварује Република Србија потврђени су и преко кретања кредитног рејтинга Србије последњих неколико година. Захваљујући одговорној макроекономској политици коју Република Србија континуирано спроводи годинама уназад по први пут је добијен инвестициони рејтинг. Рејтинг агенција Standard and Poor’s је 4. октобра 2024. године повећала је кредитни рејтинг Републике Србије на инвестициони, на нивоу БББ- са стабилним изгледима за његово даље побољшање. Fitch Ratings је у најновијем извештају од 31. јануара 2025. године потврдио кредитни рејтинг Републике Србије на нивоу ББ+ са позитивним изгледима за његово даље побољшање. Рејтинг агенција Moody’s је у последњем извештају 30. августа 2024. године потврдила кредитни рејтинг Републике Србије на нивоу Ба2 и повећала изгледе за његово даље повећање са стабилних на позитивне. Добијање инвестиционог рејтинга ће значајно утицати на даље смањивање трошкова финансирања Републике Србије. Очекује се проширивање базе инвеститора, с обзиром да одређени инвеститори нису до сада улагали у државне обвезнице Републике Србије услед пословне политике да се не улаже у земље које немају инвестициони рејтинг, односно због лимита које имају за улагање у обвезнице ових земаља. Ово ће довести до нижих трошкова задуживања и на домаћем и на међународном тржишту, услед мање ризичности које носе инструменти које ће издавати Република Србија. </w:t>
      </w:r>
      <w:r w:rsidRPr="00F5596D">
        <w:rPr>
          <w:rFonts w:ascii="Calibri" w:eastAsia="Calibri" w:hAnsi="Calibri" w:cs="Calibri"/>
          <w:bCs/>
          <w:szCs w:val="72"/>
          <w:lang w:val="sr-Cyrl-CS"/>
        </w:rPr>
        <w:t xml:space="preserve">Нижи трошкови задуживања ће довести до уштеда у буџету, уз истовремено смањивање ризичности портофолија јавног дуга. </w:t>
      </w:r>
    </w:p>
    <w:p w14:paraId="5EDFED1B"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Република Србија је током 2020. године у два наврата емитовала еврообвезнице како би финансирала пакет мера помоћи привреди и грађанима у циљу минимизирања утицаја кризе изазване пандемијом вируса COVID-19 и превремено отплатиле раније емитоване скупе еврообвезнице. Прва емисија еврообвезница је била 15. маја 2020. године, у еврима, у најделикатнијем тренутку у првом таласу пандемије, у укупном износу од 2,0 милијарде EUR. Купонска стопа је износила 3,125%, доспева 2027. године.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Повратак на доларско тржиште хартија и нова емисија деноминована у доларима, омогућиле су Србији да остане присутна у индексу обвезница тржишта у развоју – EMBI Index, чиме је осигурана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Превремено су откупљене обвезнице које су биле емитоване по купонској стопи од чак 7,25%.</w:t>
      </w:r>
    </w:p>
    <w:p w14:paraId="4F980B29" w14:textId="77777777" w:rsidR="008D31CC" w:rsidRPr="00F5596D" w:rsidRDefault="008D31CC" w:rsidP="008D31CC">
      <w:pPr>
        <w:rPr>
          <w:lang w:val="sr-Cyrl-CS"/>
        </w:rPr>
      </w:pPr>
      <w:r w:rsidRPr="00F5596D">
        <w:rPr>
          <w:rFonts w:ascii="Calibri" w:eastAsia="Calibri" w:hAnsi="Calibri" w:cs="Calibri"/>
          <w:bCs/>
          <w:spacing w:val="-2"/>
          <w:szCs w:val="72"/>
          <w:lang w:val="sr-Cyrl-CS"/>
        </w:rPr>
        <w:t xml:space="preserve">Како би снизила трошкове финансирања и продужила рочност дуга Република Србија је 3. марта 2021. године успешно искористила још увек повољне услове на међународном финансијском тржишту и по први пут емитовала дванаестогодишње еврообвезнице деноминоване у еврима у износу од једне милијарде евра </w:t>
      </w:r>
      <w:r w:rsidRPr="00F5596D">
        <w:rPr>
          <w:rFonts w:ascii="Calibri" w:eastAsia="Calibri" w:hAnsi="Calibri" w:cs="Times New Roman"/>
          <w:spacing w:val="-2"/>
          <w:lang w:val="sr-Cyrl-CS"/>
        </w:rPr>
        <w:t xml:space="preserve">по купонској стопи од 1,65%. Република </w:t>
      </w:r>
      <w:r w:rsidRPr="00F5596D">
        <w:rPr>
          <w:rFonts w:ascii="Calibri" w:hAnsi="Calibri"/>
          <w:spacing w:val="-2"/>
          <w:lang w:val="sr-Cyrl-CS"/>
        </w:rPr>
        <w:t xml:space="preserve">Србија је </w:t>
      </w:r>
      <w:r w:rsidRPr="00F5596D">
        <w:rPr>
          <w:rFonts w:ascii="Calibri" w:eastAsia="Calibri" w:hAnsi="Calibri" w:cs="Times New Roman"/>
          <w:spacing w:val="-2"/>
          <w:lang w:val="sr-Cyrl-CS"/>
        </w:rPr>
        <w:t xml:space="preserve">23. септембра 2021. године </w:t>
      </w:r>
      <w:r w:rsidRPr="00F5596D">
        <w:rPr>
          <w:rFonts w:ascii="Calibri" w:hAnsi="Calibri"/>
          <w:spacing w:val="-2"/>
          <w:lang w:val="sr-Cyrl-CS"/>
        </w:rPr>
        <w:t>поново померила границе у избору финансирања својих инвестиција изласком на међународно тржиште зелених обвезница. Зелена</w:t>
      </w:r>
      <w:r w:rsidRPr="00F5596D">
        <w:rPr>
          <w:lang w:val="sr-Cyrl-CS"/>
        </w:rPr>
        <w:t xml:space="preserve"> еврообвезница емитована је у износу од 1,0 милијарде евра са роком доспећа од седам година и купонском стопом од 1,00%, најнижом до сада постигнутом на међународном </w:t>
      </w:r>
      <w:r w:rsidRPr="00F5596D">
        <w:rPr>
          <w:lang w:val="sr-Cyrl-CS"/>
        </w:rPr>
        <w:lastRenderedPageBreak/>
        <w:t>тржишту. Република Србија се сврстала у ред ретких европских земаља које су на међународном финансијском тржишту емитовале зелене еврообвезнице намењене искључиво за финансирање еколошки прихватљивих пројеката. Истовремено, са емисијом зелене еврообвезнице, емитована је и петнаестогодишња еврообвезница најдуже рочности до сада у износу од 750 милиона евра, са годишњом купонском стопом од 2,05%, чијом емисијом је додатно повећана рочност јавног дуга.</w:t>
      </w:r>
    </w:p>
    <w:p w14:paraId="16F10262" w14:textId="77777777" w:rsidR="008D31CC" w:rsidRPr="00F5596D" w:rsidRDefault="008D31CC" w:rsidP="008D31CC">
      <w:pPr>
        <w:rPr>
          <w:lang w:val="sr-Cyrl-CS"/>
        </w:rPr>
      </w:pPr>
      <w:r w:rsidRPr="00F5596D">
        <w:rPr>
          <w:lang w:val="sr-Cyrl-CS"/>
        </w:rPr>
        <w:t>У јануару 2023. године су издате еврообвезнице рочности пет и десет година у укупном износу од 1,75 милијарди долара (750 милиона долара на пет година и 1 милијарда долара на десет година). Еврообвезница рочности пет година емитована је уз купонску стопу од 6,25%, док је еврообвезница рочности десет година емитована уз купонску стопу од 6,50%. 12. јуна 2024. године Република Србија је успешно реализовала емисију одрживих (ESG - Environmental, Social and Governance) еврообвезница деноминованих у америчким доларима на међународном финансијском тржишту рочности десет година у укупном износу од 1,5 милијарди долара уз купонску стопу од 6,00%.</w:t>
      </w:r>
    </w:p>
    <w:p w14:paraId="36F51EF4"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Водећи се најбољом међународном праксом активног управљања јавним дугом, Република Србија је у децембру 2020. године по први пут реализовала хеџинг трансакцију, тј. коришћење финансијских деривата у сврху заштите од девизног и каматног ризика, у складу са међународним ISDA стандардима (</w:t>
      </w:r>
      <w:r w:rsidRPr="00F5596D">
        <w:rPr>
          <w:rFonts w:ascii="Calibri" w:eastAsia="Calibri" w:hAnsi="Calibri" w:cs="Calibri"/>
          <w:bCs/>
          <w:i/>
          <w:szCs w:val="72"/>
          <w:lang w:val="sr-Cyrl-CS"/>
        </w:rPr>
        <w:t>International Swaps and Derivatives Association</w:t>
      </w:r>
      <w:r w:rsidRPr="00F5596D">
        <w:rPr>
          <w:rFonts w:ascii="Calibri" w:eastAsia="Calibri" w:hAnsi="Calibri" w:cs="Calibri"/>
          <w:bCs/>
          <w:szCs w:val="72"/>
          <w:lang w:val="sr-Cyrl-CS"/>
        </w:rPr>
        <w:t xml:space="preserve">),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 USD, Република Србија ће исплаћивати у еврима по купонској стопи од 1,066% и 1,236% на номиналну вредност емисије након конверзије од 1,016 милијарди евра. Искоришћен је повољан однос курса евра и америчког долара у датом тренутку, као и дивергенције између доларских и еварских каматних стопа на међународном тржишту капитала и постигнута је најповољнија цена </w:t>
      </w:r>
      <w:r w:rsidRPr="00F5596D">
        <w:rPr>
          <w:rFonts w:ascii="Calibri" w:eastAsia="Calibri" w:hAnsi="Calibri" w:cs="Calibri"/>
          <w:bCs/>
          <w:szCs w:val="72"/>
          <w:lang w:val="sr-Cyrl-CS"/>
        </w:rPr>
        <w:t xml:space="preserve">задуживања, уз оптимизацију валутне структуре јавног дуга, а све у циљу заштите од ризика промене девизног курса. Током јануара 2021. године реализована је друга своп трансакција, којом је обавеза по основу Споразума о репрограму дуга између Републике 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и 0,520%. У марту 2021. године је закључена нова своп трансакција којом је кредит код Export - Import Bank of China за пројекат изградње обилазнице око Београда на аутопуту Е70/Е75, који је 2018. године иницијално уговорен у кинеским јуанима конвертован у евре. Наведени зајам, на који је плаћана фиксна каматна стопа од 2,50% годишње у кинеским јуанима, конвертован је у евре по фиксној каматној стопи од </w:t>
      </w:r>
      <w:r w:rsidRPr="00F5596D">
        <w:rPr>
          <w:rFonts w:ascii="Calibri" w:eastAsia="Calibri" w:hAnsi="Calibri" w:cs="Calibri"/>
          <w:bCs/>
          <w:szCs w:val="72"/>
          <w:lang w:val="sr-Cyrl-CS"/>
        </w:rPr>
        <w:br w:type="textWrapping" w:clear="all"/>
        <w:t>0,09%. 24. новембра 2021. године</w:t>
      </w:r>
      <w:r w:rsidRPr="00F5596D">
        <w:rPr>
          <w:lang w:val="sr-Cyrl-CS"/>
        </w:rPr>
        <w:t xml:space="preserve"> реализована је</w:t>
      </w:r>
      <w:r w:rsidRPr="00F5596D">
        <w:rPr>
          <w:rFonts w:ascii="Calibri" w:eastAsia="Calibri" w:hAnsi="Calibri" w:cs="Calibri"/>
          <w:bCs/>
          <w:szCs w:val="72"/>
          <w:lang w:val="sr-Cyrl-CS"/>
        </w:rPr>
        <w:t xml:space="preserve"> </w:t>
      </w:r>
      <w:r w:rsidRPr="00F5596D">
        <w:rPr>
          <w:lang w:val="sr-Cyrl-CS"/>
        </w:rPr>
        <w:t>још једна, четврта по реду, своп трансакција којом су обавезе по основу зајма узетог од Фонда за развој Абу Дабија, 2016. године, иницијално уговорене у дирхамима, са плаћањем у америчким доларима, конвертоване у евре. Дуг и обавезе по основу наведеног зајма на који је плаћана фиксна каматна стопа од 2,25% годишње, замењени су у евре по годишњој каматној стопи од 0,96%. У 2023. години су одмах након емитовања еврообвезница закључене хеџинг трансакције, тј. обавезе по основу емисије доларских еврообвезница су конвертоване у обавезе у еврима, тако да након извршеног cross currency swap-а, варијабилна каматна стопа за петогодишњу обвезницу износи шестомесечни еuribor + 2,908%, а за десетогодишњу обвезницу шестомесечни еuribor + 3,073%, шестомесечни еuribor + 3,286% и шестомесечни еuribor + 3,323%. У јуну 2024. године, истовремено са емитовањем десетогодишње доларске одрживе еврообвезнице уз купонску стопу од 6% (ESG - Environmental, Social, and Governance), закључена је своп трансакција, чиме су обавезе у доларима конвертоване у обавезе у еврима уз фиксну каматну стопу од 4,754%.</w:t>
      </w:r>
    </w:p>
    <w:p w14:paraId="74B136B4"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lastRenderedPageBreak/>
        <w:t>Током 2020. године настављено је са емитовањем „бенчмарк” обвезница на домаћем тржишту. Емитоване су обвезнице рочности 5,5 и 12,5 година у RSD номиналнe вредности од по 100 милијарди динара, чији обими су повећани на по 150 милијарди динара током 2021. године. 30. јуна 2021. године динарске бенчмарк обвезнице Републике Србије рочности 7, 10 и 12,5 година укључене су у J.P. Morgan GBI-EM Index. Укључивањем у наведени индекс начињен је значајан напредак у јачању ликвидности секундарног тржишта државних обвезница и обезбеђен долазак нових међународних инвестиционих фондова, што ће резултирати већом конкуренцијом и даљим падом трошкова задуживања. У марту 2024. године, у J.P. Morgan GBI-EM Index укључена је и бенчмарк обвезница Републике Србије рочности 8 година номиналне вредности 150 милијарди динара емитована 2023. године. 31. марта 2025. године у J.P. Morgan индекс државних обвезница земаља у развоју (GBI-EM Global Diversified Index), укључена је нова динарска бенчмарк обвезница са датумом доспећа 27. јул 2035. године (RSMFRSD34101).</w:t>
      </w:r>
    </w:p>
    <w:p w14:paraId="4D8C7CD8"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октобру 2021. године, Clearstream, међународни централни регистар хартија од вредности, који обавља послове клиринга и салдирања (ICSD), отворио је рачун хартија од вредности у домаћем регистру и путем посредника – овлашћеног учесника на локалном тржишту, омогућио страним инвеститорима салдирање српских обвезница у динарима.</w:t>
      </w:r>
    </w:p>
    <w:p w14:paraId="219E4236"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Валутни ризик је смањен током претходних година, иако је током последње три године дошло до извесног погоршања овог показатеља услед специфичних околности на тржишту, те неопходности интензивнијег коришћења међународног финансијског тржишта, како би се минимизирали трошкови задуживања. Удео јавног дуга у домаћој валути у укупном јавном дугу централног нивоа власти је на крају 2008. године износио само 2,6%, а до краја 2020. године је </w:t>
      </w:r>
      <w:r w:rsidRPr="00F5596D">
        <w:rPr>
          <w:rFonts w:ascii="Calibri" w:eastAsia="Calibri" w:hAnsi="Calibri" w:cs="Calibri"/>
          <w:bCs/>
          <w:szCs w:val="72"/>
          <w:lang w:val="sr-Cyrl-CS"/>
        </w:rPr>
        <w:t>порастао на 30,5%, али је након тога услед задуживања у већој мери на иностраном тржишту због повољнијих услова, дошло до пада учешћа на 21,7% на крају 2023. године, да би дошло до малог побољшања током 2024. године – 21,8% и током прва четири месеца 2025. годинре, те је на крају априла учешће износило 22,8%. Расту динарског дуга претходних година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еврообвезница емитованих у 2011. и 2013. години у америчким доларима, а током фебруара 2020. године редовна отплата доларске обвезнице емитоване у 2013. години. У децембру 2020. године је закључена и прва хеџинг трансакција којом је емитована еврообвезница у америчким доларима, одмах конвертована у евре. У јануару 2021. године је закључена још једна хеџинг трансакција којом су обавезе у америчким доларима конвертоване у евре. У јануару 2023. и јуну 2024. године су закључене нове хеџинг трансакције којим су емитоване еврообвезнице у америчким доларима, одмах конвертоване у евре. Захваљујући свим овим трансакцијама, дошло је до пада његовог учешћа у укупном јавном дугу са 33,9% колико је износило на крају 2016. године на 12,8% на крају априла 2025. године.</w:t>
      </w:r>
    </w:p>
    <w:p w14:paraId="4F5EDFFE"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Трошкови задуживања су такође значајно снижени током претходних година. Учешће трошкова камата у БДП је пало са 2,8% (централни ниво власти) колико је износило 2015. године на 1,8% у 2024. години.</w:t>
      </w:r>
    </w:p>
    <w:p w14:paraId="7DF20057" w14:textId="77777777" w:rsidR="0058692E" w:rsidRPr="00F5596D" w:rsidRDefault="008D31CC" w:rsidP="008D31CC">
      <w:pPr>
        <w:spacing w:after="240"/>
        <w:rPr>
          <w:rFonts w:ascii="Calibri" w:eastAsia="Calibri" w:hAnsi="Calibri" w:cs="Calibri"/>
          <w:bCs/>
          <w:szCs w:val="72"/>
          <w:lang w:val="sr-Cyrl-CS"/>
        </w:rPr>
      </w:pPr>
      <w:r w:rsidRPr="00F5596D">
        <w:rPr>
          <w:rFonts w:ascii="Calibri" w:eastAsia="Calibri" w:hAnsi="Calibri" w:cs="Calibri"/>
          <w:bCs/>
          <w:szCs w:val="72"/>
          <w:lang w:val="sr-Cyrl-CS"/>
        </w:rPr>
        <w:t xml:space="preserve">На крају априла 2025. године укупно стање јавног дуга сектора државе износило је 4.561,9 млрд динара, односно 44,2% БДП. Од тога се на директне обавезе односило 4.327,0 млрд динара, </w:t>
      </w:r>
    </w:p>
    <w:p w14:paraId="05C3ECF7" w14:textId="6B24CDA4" w:rsidR="008D31CC" w:rsidRPr="00F5596D" w:rsidRDefault="008D31CC" w:rsidP="008D31CC">
      <w:pPr>
        <w:spacing w:after="240"/>
        <w:rPr>
          <w:rFonts w:ascii="Calibri" w:eastAsia="Calibri" w:hAnsi="Calibri" w:cs="Calibri"/>
          <w:bCs/>
          <w:szCs w:val="72"/>
          <w:lang w:val="sr-Cyrl-CS"/>
        </w:rPr>
        <w:sectPr w:rsidR="008D31CC" w:rsidRPr="00F5596D" w:rsidSect="008D31CC">
          <w:type w:val="continuous"/>
          <w:pgSz w:w="12240" w:h="15840"/>
          <w:pgMar w:top="1440" w:right="1440" w:bottom="1440" w:left="1440" w:header="720" w:footer="720" w:gutter="0"/>
          <w:cols w:num="2" w:space="720"/>
        </w:sectPr>
      </w:pPr>
      <w:r w:rsidRPr="00F5596D">
        <w:rPr>
          <w:rFonts w:ascii="Calibri" w:eastAsia="Calibri" w:hAnsi="Calibri" w:cs="Calibri"/>
          <w:bCs/>
          <w:szCs w:val="72"/>
          <w:lang w:val="sr-Cyrl-CS"/>
        </w:rPr>
        <w:t>на индиректне обавезе 208,7 млрд динара, док се 26,1 млрд динара односи на негарантовани дуг јединица локалне самоуправе.</w:t>
      </w:r>
    </w:p>
    <w:p w14:paraId="33E28167" w14:textId="77777777" w:rsidR="008F6D54" w:rsidRPr="00F5596D" w:rsidRDefault="008F6D54" w:rsidP="008D31CC">
      <w:pPr>
        <w:spacing w:after="0" w:line="257" w:lineRule="auto"/>
        <w:jc w:val="center"/>
        <w:rPr>
          <w:rFonts w:ascii="Calibri" w:eastAsia="Calibri" w:hAnsi="Calibri" w:cs="Times New Roman"/>
          <w:b/>
          <w:color w:val="002060"/>
          <w:lang w:val="sr-Cyrl-CS"/>
        </w:rPr>
      </w:pPr>
    </w:p>
    <w:p w14:paraId="725A3A5C" w14:textId="77777777" w:rsidR="008F6D54" w:rsidRPr="00F5596D" w:rsidRDefault="008F6D54" w:rsidP="008D31CC">
      <w:pPr>
        <w:spacing w:after="0" w:line="257" w:lineRule="auto"/>
        <w:jc w:val="center"/>
        <w:rPr>
          <w:rFonts w:ascii="Calibri" w:eastAsia="Calibri" w:hAnsi="Calibri" w:cs="Times New Roman"/>
          <w:b/>
          <w:color w:val="002060"/>
          <w:lang w:val="sr-Cyrl-CS"/>
        </w:rPr>
      </w:pPr>
    </w:p>
    <w:p w14:paraId="7EB35B8F" w14:textId="77777777" w:rsidR="008F6D54" w:rsidRPr="00F5596D" w:rsidRDefault="008F6D54" w:rsidP="008D31CC">
      <w:pPr>
        <w:spacing w:after="0" w:line="257" w:lineRule="auto"/>
        <w:jc w:val="center"/>
        <w:rPr>
          <w:rFonts w:ascii="Calibri" w:eastAsia="Calibri" w:hAnsi="Calibri" w:cs="Times New Roman"/>
          <w:b/>
          <w:color w:val="002060"/>
          <w:lang w:val="sr-Cyrl-CS"/>
        </w:rPr>
      </w:pPr>
    </w:p>
    <w:p w14:paraId="29DBFCE7" w14:textId="77777777" w:rsidR="008F6D54" w:rsidRPr="00F5596D" w:rsidRDefault="008F6D54" w:rsidP="008D31CC">
      <w:pPr>
        <w:spacing w:after="0" w:line="257" w:lineRule="auto"/>
        <w:jc w:val="center"/>
        <w:rPr>
          <w:rFonts w:ascii="Calibri" w:eastAsia="Calibri" w:hAnsi="Calibri" w:cs="Times New Roman"/>
          <w:b/>
          <w:color w:val="002060"/>
          <w:lang w:val="sr-Cyrl-CS"/>
        </w:rPr>
      </w:pPr>
    </w:p>
    <w:p w14:paraId="30781FCD" w14:textId="77777777" w:rsidR="008F6D54" w:rsidRPr="00F5596D" w:rsidRDefault="008F6D54" w:rsidP="008D31CC">
      <w:pPr>
        <w:spacing w:after="0" w:line="257" w:lineRule="auto"/>
        <w:jc w:val="center"/>
        <w:rPr>
          <w:rFonts w:ascii="Calibri" w:eastAsia="Calibri" w:hAnsi="Calibri" w:cs="Times New Roman"/>
          <w:b/>
          <w:color w:val="002060"/>
          <w:lang w:val="sr-Cyrl-CS"/>
        </w:rPr>
      </w:pPr>
    </w:p>
    <w:p w14:paraId="068DDFA4" w14:textId="27EC54A6" w:rsidR="008D31CC" w:rsidRPr="00F5596D" w:rsidRDefault="008D31CC" w:rsidP="008D31CC">
      <w:pPr>
        <w:spacing w:after="0" w:line="257"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lastRenderedPageBreak/>
        <w:t>Учешће јавног дуга сектора државе у БДП,%</w:t>
      </w:r>
    </w:p>
    <w:p w14:paraId="0BC93F0B" w14:textId="77777777" w:rsidR="008D31CC" w:rsidRPr="00F5596D" w:rsidRDefault="008D31CC" w:rsidP="008D31CC">
      <w:pPr>
        <w:spacing w:line="256" w:lineRule="auto"/>
        <w:jc w:val="center"/>
        <w:rPr>
          <w:lang w:val="sr-Cyrl-CS"/>
        </w:rPr>
      </w:pPr>
      <w:r w:rsidRPr="00F5596D">
        <w:rPr>
          <w:rFonts w:ascii="Calibri" w:eastAsia="Calibri" w:hAnsi="Calibri" w:cs="Times New Roman"/>
          <w:noProof/>
        </w:rPr>
        <w:drawing>
          <wp:inline distT="0" distB="0" distL="0" distR="0" wp14:anchorId="0D20AEFE" wp14:editId="44AE11CE">
            <wp:extent cx="4472305" cy="1532890"/>
            <wp:effectExtent l="0" t="0" r="4445" b="0"/>
            <wp:docPr id="11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42843FC5" w14:textId="733C9FA2" w:rsidR="008D31CC" w:rsidRPr="00F5596D" w:rsidRDefault="00F14A11" w:rsidP="008D31CC">
      <w:pPr>
        <w:spacing w:line="256" w:lineRule="auto"/>
        <w:jc w:val="center"/>
        <w:rPr>
          <w:lang w:val="sr-Cyrl-CS"/>
        </w:rPr>
      </w:pPr>
      <w:r w:rsidRPr="00F5596D">
        <w:rPr>
          <w:rFonts w:ascii="Calibri" w:eastAsia="Calibri" w:hAnsi="Calibri" w:cs="Times New Roman"/>
          <w:b/>
          <w:color w:val="002060"/>
          <w:lang w:val="sr-Cyrl-CS"/>
        </w:rPr>
        <w:t>Табела 28</w:t>
      </w:r>
      <w:r w:rsidR="008D31CC" w:rsidRPr="00F5596D">
        <w:rPr>
          <w:rFonts w:ascii="Calibri" w:eastAsia="Calibri" w:hAnsi="Calibri" w:cs="Times New Roman"/>
          <w:b/>
          <w:color w:val="002060"/>
          <w:lang w:val="sr-Cyrl-CS"/>
        </w:rPr>
        <w:t xml:space="preserve">. </w:t>
      </w:r>
      <w:r w:rsidR="008D31CC" w:rsidRPr="00F5596D">
        <w:rPr>
          <w:rFonts w:ascii="Calibri" w:eastAsia="Calibri" w:hAnsi="Calibri" w:cs="Times New Roman"/>
          <w:b/>
          <w:bCs/>
          <w:color w:val="002060"/>
          <w:lang w:val="sr-Cyrl-CS"/>
        </w:rPr>
        <w:t xml:space="preserve">Јавни дуг сектора државе Републике Србије у периоду </w:t>
      </w:r>
      <w:r w:rsidR="008D31CC" w:rsidRPr="00F5596D">
        <w:rPr>
          <w:rFonts w:ascii="Calibri" w:eastAsia="Calibri" w:hAnsi="Calibri" w:cs="Times New Roman"/>
          <w:b/>
          <w:bCs/>
          <w:color w:val="002060"/>
          <w:lang w:val="sr-Cyrl-CS"/>
        </w:rPr>
        <w:br w:type="textWrapping" w:clear="all"/>
        <w:t>крај 2022–30. април 2025.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8D31CC" w:rsidRPr="00F5596D" w14:paraId="1A4D46DC" w14:textId="77777777" w:rsidTr="008D31CC">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bottom w:val="single" w:sz="4" w:space="0" w:color="FFFFFF" w:themeColor="background1"/>
            </w:tcBorders>
            <w:noWrap/>
            <w:hideMark/>
          </w:tcPr>
          <w:p w14:paraId="668F39F0"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 </w:t>
            </w:r>
          </w:p>
        </w:tc>
        <w:tc>
          <w:tcPr>
            <w:tcW w:w="709" w:type="pct"/>
            <w:tcBorders>
              <w:top w:val="single" w:sz="4" w:space="0" w:color="002060"/>
              <w:bottom w:val="single" w:sz="4" w:space="0" w:color="002060"/>
            </w:tcBorders>
            <w:vAlign w:val="center"/>
            <w:hideMark/>
          </w:tcPr>
          <w:p w14:paraId="1FAE9012"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2022</w:t>
            </w:r>
          </w:p>
        </w:tc>
        <w:tc>
          <w:tcPr>
            <w:tcW w:w="710" w:type="pct"/>
            <w:tcBorders>
              <w:top w:val="single" w:sz="4" w:space="0" w:color="002060"/>
              <w:bottom w:val="single" w:sz="4" w:space="0" w:color="002060"/>
            </w:tcBorders>
            <w:vAlign w:val="center"/>
            <w:hideMark/>
          </w:tcPr>
          <w:p w14:paraId="06D9BAE4"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2023</w:t>
            </w:r>
          </w:p>
        </w:tc>
        <w:tc>
          <w:tcPr>
            <w:tcW w:w="709" w:type="pct"/>
            <w:tcBorders>
              <w:top w:val="single" w:sz="4" w:space="0" w:color="002060"/>
              <w:bottom w:val="single" w:sz="4" w:space="0" w:color="002060"/>
            </w:tcBorders>
            <w:noWrap/>
            <w:vAlign w:val="center"/>
            <w:hideMark/>
          </w:tcPr>
          <w:p w14:paraId="69E360B7"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2024</w:t>
            </w:r>
          </w:p>
        </w:tc>
        <w:tc>
          <w:tcPr>
            <w:tcW w:w="710" w:type="pct"/>
            <w:tcBorders>
              <w:top w:val="single" w:sz="4" w:space="0" w:color="002060"/>
              <w:bottom w:val="single" w:sz="4" w:space="0" w:color="002060"/>
            </w:tcBorders>
            <w:noWrap/>
            <w:vAlign w:val="center"/>
            <w:hideMark/>
          </w:tcPr>
          <w:p w14:paraId="53024CE8"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2025/IV</w:t>
            </w:r>
          </w:p>
        </w:tc>
      </w:tr>
      <w:tr w:rsidR="008D31CC" w:rsidRPr="00F5596D" w14:paraId="1E797F88" w14:textId="77777777" w:rsidTr="008D31C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bottom w:val="nil"/>
            </w:tcBorders>
            <w:shd w:val="clear" w:color="auto" w:fill="E7E6E6" w:themeFill="background2"/>
            <w:noWrap/>
            <w:vAlign w:val="center"/>
            <w:hideMark/>
          </w:tcPr>
          <w:p w14:paraId="21A432F3"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Јавни дуг сектора државе (у млрд динара)</w:t>
            </w:r>
          </w:p>
        </w:tc>
        <w:tc>
          <w:tcPr>
            <w:tcW w:w="709" w:type="pct"/>
            <w:tcBorders>
              <w:top w:val="single" w:sz="4" w:space="0" w:color="002060"/>
              <w:bottom w:val="nil"/>
            </w:tcBorders>
            <w:shd w:val="clear" w:color="auto" w:fill="E7E6E6" w:themeFill="background2"/>
            <w:vAlign w:val="center"/>
            <w:hideMark/>
          </w:tcPr>
          <w:p w14:paraId="334363A1"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3.945,8</w:t>
            </w:r>
          </w:p>
        </w:tc>
        <w:tc>
          <w:tcPr>
            <w:tcW w:w="710" w:type="pct"/>
            <w:tcBorders>
              <w:top w:val="single" w:sz="4" w:space="0" w:color="002060"/>
              <w:bottom w:val="nil"/>
            </w:tcBorders>
            <w:shd w:val="clear" w:color="auto" w:fill="E7E6E6" w:themeFill="background2"/>
            <w:vAlign w:val="center"/>
            <w:hideMark/>
          </w:tcPr>
          <w:p w14:paraId="3B51D8A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4.266,6</w:t>
            </w:r>
          </w:p>
        </w:tc>
        <w:tc>
          <w:tcPr>
            <w:tcW w:w="709" w:type="pct"/>
            <w:tcBorders>
              <w:top w:val="single" w:sz="4" w:space="0" w:color="002060"/>
              <w:bottom w:val="nil"/>
            </w:tcBorders>
            <w:shd w:val="clear" w:color="auto" w:fill="E7E6E6" w:themeFill="background2"/>
            <w:noWrap/>
            <w:vAlign w:val="center"/>
            <w:hideMark/>
          </w:tcPr>
          <w:p w14:paraId="4DF23FB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4.576,5</w:t>
            </w:r>
          </w:p>
        </w:tc>
        <w:tc>
          <w:tcPr>
            <w:tcW w:w="710" w:type="pct"/>
            <w:tcBorders>
              <w:top w:val="single" w:sz="4" w:space="0" w:color="002060"/>
              <w:bottom w:val="nil"/>
            </w:tcBorders>
            <w:shd w:val="clear" w:color="auto" w:fill="E7E6E6" w:themeFill="background2"/>
            <w:noWrap/>
            <w:vAlign w:val="center"/>
            <w:hideMark/>
          </w:tcPr>
          <w:p w14:paraId="6183F5C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4.561,9</w:t>
            </w:r>
          </w:p>
        </w:tc>
      </w:tr>
      <w:tr w:rsidR="008D31CC" w:rsidRPr="00F5596D" w14:paraId="488D4248" w14:textId="77777777" w:rsidTr="008D31CC">
        <w:trPr>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361E57E1"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Јавни дуг сектора државе (у мил. евра)</w:t>
            </w:r>
          </w:p>
        </w:tc>
        <w:tc>
          <w:tcPr>
            <w:tcW w:w="709" w:type="pct"/>
            <w:tcBorders>
              <w:top w:val="nil"/>
              <w:left w:val="nil"/>
              <w:bottom w:val="nil"/>
              <w:right w:val="nil"/>
            </w:tcBorders>
            <w:vAlign w:val="center"/>
            <w:hideMark/>
          </w:tcPr>
          <w:p w14:paraId="451E138D"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33.632,2</w:t>
            </w:r>
          </w:p>
        </w:tc>
        <w:tc>
          <w:tcPr>
            <w:tcW w:w="710" w:type="pct"/>
            <w:tcBorders>
              <w:top w:val="nil"/>
              <w:left w:val="nil"/>
              <w:bottom w:val="nil"/>
              <w:right w:val="nil"/>
            </w:tcBorders>
            <w:vAlign w:val="center"/>
            <w:hideMark/>
          </w:tcPr>
          <w:p w14:paraId="2DE0E6A2"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36.412,3</w:t>
            </w:r>
          </w:p>
        </w:tc>
        <w:tc>
          <w:tcPr>
            <w:tcW w:w="709" w:type="pct"/>
            <w:tcBorders>
              <w:top w:val="nil"/>
              <w:left w:val="nil"/>
              <w:bottom w:val="nil"/>
              <w:right w:val="nil"/>
            </w:tcBorders>
            <w:noWrap/>
            <w:vAlign w:val="center"/>
            <w:hideMark/>
          </w:tcPr>
          <w:p w14:paraId="27FCA999"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39.110,7</w:t>
            </w:r>
          </w:p>
        </w:tc>
        <w:tc>
          <w:tcPr>
            <w:tcW w:w="710" w:type="pct"/>
            <w:tcBorders>
              <w:top w:val="nil"/>
              <w:left w:val="nil"/>
              <w:bottom w:val="nil"/>
              <w:right w:val="nil"/>
            </w:tcBorders>
            <w:noWrap/>
            <w:vAlign w:val="center"/>
            <w:hideMark/>
          </w:tcPr>
          <w:p w14:paraId="230316C5"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38.926,2</w:t>
            </w:r>
          </w:p>
        </w:tc>
      </w:tr>
      <w:tr w:rsidR="008D31CC" w:rsidRPr="00F5596D" w14:paraId="6AC8A9BB" w14:textId="77777777" w:rsidTr="008D31CC">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2161" w:type="pct"/>
            <w:tcBorders>
              <w:top w:val="nil"/>
              <w:bottom w:val="single" w:sz="4" w:space="0" w:color="002060"/>
            </w:tcBorders>
            <w:shd w:val="clear" w:color="auto" w:fill="E7E6E6" w:themeFill="background2"/>
            <w:noWrap/>
            <w:vAlign w:val="center"/>
            <w:hideMark/>
          </w:tcPr>
          <w:p w14:paraId="6E349F44"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Јавни дуг сектора државе (у мил. долара)</w:t>
            </w:r>
          </w:p>
        </w:tc>
        <w:tc>
          <w:tcPr>
            <w:tcW w:w="709" w:type="pct"/>
            <w:tcBorders>
              <w:top w:val="nil"/>
              <w:bottom w:val="single" w:sz="4" w:space="0" w:color="002060"/>
            </w:tcBorders>
            <w:shd w:val="clear" w:color="auto" w:fill="E7E6E6" w:themeFill="background2"/>
            <w:vAlign w:val="center"/>
            <w:hideMark/>
          </w:tcPr>
          <w:p w14:paraId="73CEEF1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35.821,6</w:t>
            </w:r>
          </w:p>
        </w:tc>
        <w:tc>
          <w:tcPr>
            <w:tcW w:w="710" w:type="pct"/>
            <w:tcBorders>
              <w:top w:val="nil"/>
              <w:bottom w:val="single" w:sz="4" w:space="0" w:color="002060"/>
            </w:tcBorders>
            <w:shd w:val="clear" w:color="auto" w:fill="E7E6E6" w:themeFill="background2"/>
            <w:vAlign w:val="center"/>
            <w:hideMark/>
          </w:tcPr>
          <w:p w14:paraId="64B7E54E"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40.301,1</w:t>
            </w:r>
          </w:p>
        </w:tc>
        <w:tc>
          <w:tcPr>
            <w:tcW w:w="709" w:type="pct"/>
            <w:tcBorders>
              <w:top w:val="nil"/>
              <w:bottom w:val="single" w:sz="4" w:space="0" w:color="002060"/>
            </w:tcBorders>
            <w:shd w:val="clear" w:color="auto" w:fill="E7E6E6" w:themeFill="background2"/>
            <w:noWrap/>
            <w:vAlign w:val="center"/>
            <w:hideMark/>
          </w:tcPr>
          <w:p w14:paraId="7DE4BCF8"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40.702,5</w:t>
            </w:r>
          </w:p>
        </w:tc>
        <w:tc>
          <w:tcPr>
            <w:tcW w:w="710" w:type="pct"/>
            <w:tcBorders>
              <w:top w:val="nil"/>
              <w:bottom w:val="single" w:sz="4" w:space="0" w:color="002060"/>
            </w:tcBorders>
            <w:shd w:val="clear" w:color="auto" w:fill="E7E6E6" w:themeFill="background2"/>
            <w:noWrap/>
            <w:vAlign w:val="center"/>
            <w:hideMark/>
          </w:tcPr>
          <w:p w14:paraId="4B327BE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44.274,7</w:t>
            </w:r>
          </w:p>
        </w:tc>
      </w:tr>
    </w:tbl>
    <w:p w14:paraId="2F245017" w14:textId="77777777" w:rsidR="008D31CC" w:rsidRPr="00F5596D" w:rsidRDefault="008D31CC" w:rsidP="008D31CC">
      <w:pPr>
        <w:spacing w:after="280"/>
        <w:rPr>
          <w:rFonts w:ascii="Calibri" w:eastAsia="Calibri" w:hAnsi="Calibri" w:cs="Calibri"/>
          <w:bCs/>
          <w:szCs w:val="72"/>
          <w:lang w:val="sr-Cyrl-CS"/>
        </w:rPr>
        <w:sectPr w:rsidR="008D31CC" w:rsidRPr="00F5596D" w:rsidSect="008D31CC">
          <w:type w:val="continuous"/>
          <w:pgSz w:w="12240" w:h="15840"/>
          <w:pgMar w:top="1440" w:right="1440" w:bottom="1440" w:left="1440" w:header="720" w:footer="720" w:gutter="0"/>
          <w:cols w:space="720"/>
        </w:sectPr>
      </w:pPr>
    </w:p>
    <w:p w14:paraId="7AAC076B" w14:textId="77777777" w:rsidR="0058692E" w:rsidRPr="00F5596D" w:rsidRDefault="008D31CC" w:rsidP="008D31CC">
      <w:pPr>
        <w:spacing w:after="280"/>
        <w:rPr>
          <w:rFonts w:ascii="Calibri" w:eastAsia="Calibri" w:hAnsi="Calibri" w:cs="Calibri"/>
          <w:bCs/>
          <w:szCs w:val="72"/>
          <w:lang w:val="sr-Cyrl-CS"/>
        </w:rPr>
      </w:pPr>
      <w:r w:rsidRPr="00F5596D">
        <w:rPr>
          <w:rFonts w:ascii="Calibri" w:eastAsia="Calibri" w:hAnsi="Calibri" w:cs="Calibri"/>
          <w:bCs/>
          <w:szCs w:val="72"/>
          <w:lang w:val="sr-Cyrl-CS"/>
        </w:rPr>
        <w:t xml:space="preserve">У последње четири године приметан је интензиван раст јавног дуга централног нивоа власти у еврима. Услед повољнијих услова за задуживање на иностраном тржишту, емитоване су у више наврата еврообвезнице у еврима и америчким доларима које су одмах након трансакције конвертоване у евре. Поред тога део дуга у америчким доларима, кинеским јуанима и УАЕ дирхамима је конвертован у евре, услед далеко мање осцилације курса евра према динару, у односу на наведене валуте, како би се смањио валутни ризик. Током 2022. и 2023. године дошло је до раста дуга у специјалним правима вучења, услед задуживања код ММФ по </w:t>
      </w:r>
    </w:p>
    <w:p w14:paraId="1F213E3A" w14:textId="039CE6E5" w:rsidR="008D31CC" w:rsidRPr="00F5596D" w:rsidRDefault="008D31CC" w:rsidP="008D31CC">
      <w:pPr>
        <w:spacing w:after="280"/>
        <w:rPr>
          <w:rFonts w:ascii="Calibri" w:eastAsia="Calibri" w:hAnsi="Calibri" w:cs="Calibri"/>
          <w:bCs/>
          <w:szCs w:val="72"/>
          <w:lang w:val="sr-Cyrl-CS"/>
        </w:rPr>
      </w:pPr>
      <w:r w:rsidRPr="00F5596D">
        <w:rPr>
          <w:rFonts w:ascii="Calibri" w:eastAsia="Calibri" w:hAnsi="Calibri" w:cs="Calibri"/>
          <w:bCs/>
          <w:szCs w:val="72"/>
          <w:lang w:val="sr-Cyrl-CS"/>
        </w:rPr>
        <w:t>повољним условима. Током 2022. и 2023. године приметан је пад дуга у динарима, због редовне отплате доспелих државних обвезница, док током 2024. године и првих четири месеца 2025. године долази до његовог раста. Честе осцилације курса америчког долара према динару показују пуну оправданост одлуке да се максимално смањи доларски дуг и на тај начин минимизира валутни ризик, као и да је за закључивање своп трансакција изабран прави моменат. Услед закључених своп трансакција, а такође са циљем да се минимизира валутни ризик, значајно је смањен дуг у осталим валутама.</w:t>
      </w:r>
    </w:p>
    <w:p w14:paraId="21327556" w14:textId="043F1149" w:rsidR="0058692E" w:rsidRPr="00F5596D" w:rsidRDefault="0058692E" w:rsidP="0058692E">
      <w:pPr>
        <w:spacing w:line="256" w:lineRule="auto"/>
        <w:rPr>
          <w:rFonts w:ascii="Calibri" w:eastAsia="Calibri" w:hAnsi="Calibri" w:cs="Times New Roman"/>
          <w:b/>
          <w:color w:val="002060"/>
          <w:lang w:val="sr-Cyrl-CS"/>
        </w:rPr>
        <w:sectPr w:rsidR="0058692E" w:rsidRPr="00F5596D" w:rsidSect="008D31CC">
          <w:type w:val="continuous"/>
          <w:pgSz w:w="12240" w:h="15840"/>
          <w:pgMar w:top="1440" w:right="1440" w:bottom="1440" w:left="1440" w:header="720" w:footer="720" w:gutter="0"/>
          <w:cols w:num="2" w:space="720"/>
        </w:sectPr>
      </w:pPr>
    </w:p>
    <w:p w14:paraId="5D5F65DD" w14:textId="47BE8491"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29</w:t>
      </w:r>
      <w:r w:rsidR="008D31CC" w:rsidRPr="00F5596D">
        <w:rPr>
          <w:rFonts w:ascii="Calibri" w:eastAsia="Calibri" w:hAnsi="Calibri" w:cs="Times New Roman"/>
          <w:b/>
          <w:color w:val="002060"/>
          <w:lang w:val="sr-Cyrl-CS"/>
        </w:rPr>
        <w:t xml:space="preserve">. Стање јавног дуга централног нивоа државе по оригиналним валутама у периоду </w:t>
      </w:r>
      <w:r w:rsidR="008D31CC" w:rsidRPr="00F5596D">
        <w:rPr>
          <w:rFonts w:ascii="Calibri" w:eastAsia="Calibri" w:hAnsi="Calibri" w:cs="Times New Roman"/>
          <w:b/>
          <w:color w:val="002060"/>
          <w:lang w:val="sr-Cyrl-CS"/>
        </w:rPr>
        <w:br/>
        <w:t>крај 2022–30. април 2025.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8D31CC" w:rsidRPr="00F5596D" w14:paraId="320DC09C" w14:textId="77777777" w:rsidTr="008D31CC">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bottom w:val="single" w:sz="4" w:space="0" w:color="FFFFFF" w:themeColor="background1"/>
            </w:tcBorders>
            <w:noWrap/>
            <w:hideMark/>
          </w:tcPr>
          <w:p w14:paraId="2FD3C779"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 </w:t>
            </w:r>
          </w:p>
        </w:tc>
        <w:tc>
          <w:tcPr>
            <w:tcW w:w="818" w:type="pct"/>
            <w:tcBorders>
              <w:top w:val="single" w:sz="4" w:space="0" w:color="002060"/>
              <w:bottom w:val="single" w:sz="4" w:space="0" w:color="002060"/>
            </w:tcBorders>
            <w:noWrap/>
            <w:hideMark/>
          </w:tcPr>
          <w:p w14:paraId="6A982DEB"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2022</w:t>
            </w:r>
          </w:p>
        </w:tc>
        <w:tc>
          <w:tcPr>
            <w:tcW w:w="819" w:type="pct"/>
            <w:tcBorders>
              <w:top w:val="single" w:sz="4" w:space="0" w:color="002060"/>
              <w:bottom w:val="single" w:sz="4" w:space="0" w:color="002060"/>
            </w:tcBorders>
            <w:noWrap/>
            <w:hideMark/>
          </w:tcPr>
          <w:p w14:paraId="6B267CB7"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2023</w:t>
            </w:r>
          </w:p>
        </w:tc>
        <w:tc>
          <w:tcPr>
            <w:tcW w:w="818" w:type="pct"/>
            <w:tcBorders>
              <w:top w:val="single" w:sz="4" w:space="0" w:color="002060"/>
              <w:bottom w:val="single" w:sz="4" w:space="0" w:color="002060"/>
            </w:tcBorders>
            <w:noWrap/>
            <w:hideMark/>
          </w:tcPr>
          <w:p w14:paraId="3E8B6B59"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2024</w:t>
            </w:r>
          </w:p>
        </w:tc>
        <w:tc>
          <w:tcPr>
            <w:tcW w:w="819" w:type="pct"/>
            <w:tcBorders>
              <w:top w:val="single" w:sz="4" w:space="0" w:color="002060"/>
              <w:bottom w:val="single" w:sz="4" w:space="0" w:color="002060"/>
            </w:tcBorders>
            <w:noWrap/>
            <w:hideMark/>
          </w:tcPr>
          <w:p w14:paraId="05A1FA58"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2025/IV</w:t>
            </w:r>
          </w:p>
        </w:tc>
      </w:tr>
      <w:tr w:rsidR="008D31CC" w:rsidRPr="00F5596D" w14:paraId="71E43777"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bottom w:val="nil"/>
            </w:tcBorders>
            <w:shd w:val="clear" w:color="auto" w:fill="E7E6E6" w:themeFill="background2"/>
            <w:noWrap/>
            <w:hideMark/>
          </w:tcPr>
          <w:p w14:paraId="54A2F4D1"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EUR</w:t>
            </w:r>
          </w:p>
        </w:tc>
        <w:tc>
          <w:tcPr>
            <w:tcW w:w="818" w:type="pct"/>
            <w:tcBorders>
              <w:top w:val="single" w:sz="4" w:space="0" w:color="002060"/>
              <w:bottom w:val="nil"/>
            </w:tcBorders>
            <w:shd w:val="clear" w:color="auto" w:fill="E7E6E6" w:themeFill="background2"/>
            <w:noWrap/>
            <w:hideMark/>
          </w:tcPr>
          <w:p w14:paraId="0A96CF18"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18.585,2</w:t>
            </w:r>
          </w:p>
        </w:tc>
        <w:tc>
          <w:tcPr>
            <w:tcW w:w="819" w:type="pct"/>
            <w:tcBorders>
              <w:top w:val="single" w:sz="4" w:space="0" w:color="002060"/>
              <w:bottom w:val="nil"/>
            </w:tcBorders>
            <w:shd w:val="clear" w:color="auto" w:fill="E7E6E6" w:themeFill="background2"/>
            <w:noWrap/>
            <w:hideMark/>
          </w:tcPr>
          <w:p w14:paraId="5693850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20.857,5</w:t>
            </w:r>
          </w:p>
        </w:tc>
        <w:tc>
          <w:tcPr>
            <w:tcW w:w="818" w:type="pct"/>
            <w:tcBorders>
              <w:top w:val="single" w:sz="4" w:space="0" w:color="002060"/>
              <w:bottom w:val="nil"/>
            </w:tcBorders>
            <w:shd w:val="clear" w:color="auto" w:fill="E7E6E6" w:themeFill="background2"/>
            <w:noWrap/>
            <w:hideMark/>
          </w:tcPr>
          <w:p w14:paraId="7463A8B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22.387,8</w:t>
            </w:r>
          </w:p>
        </w:tc>
        <w:tc>
          <w:tcPr>
            <w:tcW w:w="819" w:type="pct"/>
            <w:tcBorders>
              <w:top w:val="single" w:sz="4" w:space="0" w:color="002060"/>
              <w:bottom w:val="nil"/>
            </w:tcBorders>
            <w:shd w:val="clear" w:color="auto" w:fill="E7E6E6" w:themeFill="background2"/>
            <w:noWrap/>
            <w:hideMark/>
          </w:tcPr>
          <w:p w14:paraId="2E4D989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22.429,9</w:t>
            </w:r>
          </w:p>
        </w:tc>
      </w:tr>
      <w:tr w:rsidR="008D31CC" w:rsidRPr="00F5596D" w14:paraId="582AAFD8"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5B30C32B"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USD</w:t>
            </w:r>
          </w:p>
        </w:tc>
        <w:tc>
          <w:tcPr>
            <w:tcW w:w="818" w:type="pct"/>
            <w:tcBorders>
              <w:top w:val="nil"/>
              <w:left w:val="nil"/>
              <w:bottom w:val="nil"/>
              <w:right w:val="nil"/>
            </w:tcBorders>
            <w:noWrap/>
            <w:hideMark/>
          </w:tcPr>
          <w:p w14:paraId="78BC3B09"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5.076,7</w:t>
            </w:r>
          </w:p>
        </w:tc>
        <w:tc>
          <w:tcPr>
            <w:tcW w:w="819" w:type="pct"/>
            <w:tcBorders>
              <w:top w:val="nil"/>
              <w:left w:val="nil"/>
              <w:bottom w:val="nil"/>
              <w:right w:val="nil"/>
            </w:tcBorders>
            <w:noWrap/>
            <w:hideMark/>
          </w:tcPr>
          <w:p w14:paraId="6831B01E"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5.364,6</w:t>
            </w:r>
          </w:p>
        </w:tc>
        <w:tc>
          <w:tcPr>
            <w:tcW w:w="818" w:type="pct"/>
            <w:tcBorders>
              <w:top w:val="nil"/>
              <w:left w:val="nil"/>
              <w:bottom w:val="nil"/>
              <w:right w:val="nil"/>
            </w:tcBorders>
            <w:noWrap/>
            <w:hideMark/>
          </w:tcPr>
          <w:p w14:paraId="553E65CF"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5.607,1</w:t>
            </w:r>
          </w:p>
        </w:tc>
        <w:tc>
          <w:tcPr>
            <w:tcW w:w="819" w:type="pct"/>
            <w:tcBorders>
              <w:top w:val="nil"/>
              <w:left w:val="nil"/>
              <w:bottom w:val="nil"/>
              <w:right w:val="nil"/>
            </w:tcBorders>
            <w:noWrap/>
            <w:hideMark/>
          </w:tcPr>
          <w:p w14:paraId="55D49A27"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5.637,9</w:t>
            </w:r>
          </w:p>
        </w:tc>
      </w:tr>
      <w:tr w:rsidR="008D31CC" w:rsidRPr="00F5596D" w14:paraId="361CD133"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78A8DDF6"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RSD</w:t>
            </w:r>
          </w:p>
        </w:tc>
        <w:tc>
          <w:tcPr>
            <w:tcW w:w="818" w:type="pct"/>
            <w:tcBorders>
              <w:top w:val="nil"/>
              <w:bottom w:val="nil"/>
            </w:tcBorders>
            <w:shd w:val="clear" w:color="auto" w:fill="E7E6E6" w:themeFill="background2"/>
            <w:noWrap/>
            <w:hideMark/>
          </w:tcPr>
          <w:p w14:paraId="0158272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983.500,7</w:t>
            </w:r>
          </w:p>
        </w:tc>
        <w:tc>
          <w:tcPr>
            <w:tcW w:w="819" w:type="pct"/>
            <w:tcBorders>
              <w:top w:val="nil"/>
              <w:bottom w:val="nil"/>
            </w:tcBorders>
            <w:shd w:val="clear" w:color="auto" w:fill="E7E6E6" w:themeFill="background2"/>
            <w:noWrap/>
            <w:hideMark/>
          </w:tcPr>
          <w:p w14:paraId="2DE37FC1"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917.800,7</w:t>
            </w:r>
          </w:p>
        </w:tc>
        <w:tc>
          <w:tcPr>
            <w:tcW w:w="818" w:type="pct"/>
            <w:tcBorders>
              <w:top w:val="nil"/>
              <w:bottom w:val="nil"/>
            </w:tcBorders>
            <w:shd w:val="clear" w:color="auto" w:fill="E7E6E6" w:themeFill="background2"/>
            <w:noWrap/>
            <w:hideMark/>
          </w:tcPr>
          <w:p w14:paraId="0BA8CE82"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991.640,9</w:t>
            </w:r>
          </w:p>
        </w:tc>
        <w:tc>
          <w:tcPr>
            <w:tcW w:w="819" w:type="pct"/>
            <w:tcBorders>
              <w:top w:val="nil"/>
              <w:bottom w:val="nil"/>
            </w:tcBorders>
            <w:shd w:val="clear" w:color="auto" w:fill="E7E6E6" w:themeFill="background2"/>
            <w:noWrap/>
            <w:hideMark/>
          </w:tcPr>
          <w:p w14:paraId="66070377"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1.034.200,7</w:t>
            </w:r>
          </w:p>
        </w:tc>
      </w:tr>
      <w:tr w:rsidR="008D31CC" w:rsidRPr="00F5596D" w14:paraId="5644356E"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0A924EF9"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CHF</w:t>
            </w:r>
          </w:p>
        </w:tc>
        <w:tc>
          <w:tcPr>
            <w:tcW w:w="818" w:type="pct"/>
            <w:tcBorders>
              <w:top w:val="nil"/>
              <w:left w:val="nil"/>
              <w:bottom w:val="nil"/>
              <w:right w:val="nil"/>
            </w:tcBorders>
            <w:noWrap/>
            <w:hideMark/>
          </w:tcPr>
          <w:p w14:paraId="29EC57D6"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27,2</w:t>
            </w:r>
          </w:p>
        </w:tc>
        <w:tc>
          <w:tcPr>
            <w:tcW w:w="819" w:type="pct"/>
            <w:tcBorders>
              <w:top w:val="nil"/>
              <w:left w:val="nil"/>
              <w:bottom w:val="nil"/>
              <w:right w:val="nil"/>
            </w:tcBorders>
            <w:noWrap/>
            <w:hideMark/>
          </w:tcPr>
          <w:p w14:paraId="6AF27B1D"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9,7</w:t>
            </w:r>
          </w:p>
        </w:tc>
        <w:tc>
          <w:tcPr>
            <w:tcW w:w="818" w:type="pct"/>
            <w:tcBorders>
              <w:top w:val="nil"/>
              <w:left w:val="nil"/>
              <w:bottom w:val="nil"/>
              <w:right w:val="nil"/>
            </w:tcBorders>
            <w:noWrap/>
            <w:hideMark/>
          </w:tcPr>
          <w:p w14:paraId="736A0796"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0,0</w:t>
            </w:r>
          </w:p>
        </w:tc>
        <w:tc>
          <w:tcPr>
            <w:tcW w:w="819" w:type="pct"/>
            <w:tcBorders>
              <w:top w:val="nil"/>
              <w:left w:val="nil"/>
              <w:bottom w:val="nil"/>
              <w:right w:val="nil"/>
            </w:tcBorders>
            <w:noWrap/>
            <w:hideMark/>
          </w:tcPr>
          <w:p w14:paraId="45B1EFAA"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0,0</w:t>
            </w:r>
          </w:p>
        </w:tc>
      </w:tr>
      <w:tr w:rsidR="008D31CC" w:rsidRPr="00F5596D" w14:paraId="7FED8F8C"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11C2B3A7"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Специјална права вучења</w:t>
            </w:r>
          </w:p>
        </w:tc>
        <w:tc>
          <w:tcPr>
            <w:tcW w:w="818" w:type="pct"/>
            <w:tcBorders>
              <w:top w:val="nil"/>
              <w:bottom w:val="nil"/>
            </w:tcBorders>
            <w:shd w:val="clear" w:color="auto" w:fill="E7E6E6" w:themeFill="background2"/>
            <w:noWrap/>
            <w:hideMark/>
          </w:tcPr>
          <w:p w14:paraId="7572B65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1.064,9</w:t>
            </w:r>
          </w:p>
        </w:tc>
        <w:tc>
          <w:tcPr>
            <w:tcW w:w="819" w:type="pct"/>
            <w:tcBorders>
              <w:top w:val="nil"/>
              <w:bottom w:val="nil"/>
            </w:tcBorders>
            <w:shd w:val="clear" w:color="auto" w:fill="E7E6E6" w:themeFill="background2"/>
            <w:noWrap/>
            <w:hideMark/>
          </w:tcPr>
          <w:p w14:paraId="4CCA8CB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1.988,6</w:t>
            </w:r>
          </w:p>
        </w:tc>
        <w:tc>
          <w:tcPr>
            <w:tcW w:w="818" w:type="pct"/>
            <w:tcBorders>
              <w:top w:val="nil"/>
              <w:bottom w:val="nil"/>
            </w:tcBorders>
            <w:shd w:val="clear" w:color="auto" w:fill="E7E6E6" w:themeFill="background2"/>
            <w:noWrap/>
            <w:hideMark/>
          </w:tcPr>
          <w:p w14:paraId="1185F3D2"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1.973,1</w:t>
            </w:r>
          </w:p>
        </w:tc>
        <w:tc>
          <w:tcPr>
            <w:tcW w:w="819" w:type="pct"/>
            <w:tcBorders>
              <w:top w:val="nil"/>
              <w:bottom w:val="nil"/>
            </w:tcBorders>
            <w:shd w:val="clear" w:color="auto" w:fill="E7E6E6" w:themeFill="background2"/>
            <w:noWrap/>
            <w:hideMark/>
          </w:tcPr>
          <w:p w14:paraId="5AE78BD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1.968,6</w:t>
            </w:r>
          </w:p>
        </w:tc>
      </w:tr>
      <w:tr w:rsidR="008D31CC" w:rsidRPr="00F5596D" w14:paraId="3ADA5CBA"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57A8EE23"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Друге валуте (у RSD)</w:t>
            </w:r>
          </w:p>
        </w:tc>
        <w:tc>
          <w:tcPr>
            <w:tcW w:w="818" w:type="pct"/>
            <w:tcBorders>
              <w:top w:val="nil"/>
              <w:left w:val="nil"/>
              <w:bottom w:val="single" w:sz="4" w:space="0" w:color="002060"/>
              <w:right w:val="nil"/>
            </w:tcBorders>
            <w:noWrap/>
            <w:hideMark/>
          </w:tcPr>
          <w:p w14:paraId="06C48D5C"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27.375,6</w:t>
            </w:r>
          </w:p>
        </w:tc>
        <w:tc>
          <w:tcPr>
            <w:tcW w:w="819" w:type="pct"/>
            <w:tcBorders>
              <w:top w:val="nil"/>
              <w:left w:val="nil"/>
              <w:bottom w:val="single" w:sz="4" w:space="0" w:color="002060"/>
              <w:right w:val="nil"/>
            </w:tcBorders>
            <w:noWrap/>
            <w:hideMark/>
          </w:tcPr>
          <w:p w14:paraId="3D6FB154"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22.793,5</w:t>
            </w:r>
          </w:p>
        </w:tc>
        <w:tc>
          <w:tcPr>
            <w:tcW w:w="818" w:type="pct"/>
            <w:tcBorders>
              <w:top w:val="nil"/>
              <w:left w:val="nil"/>
              <w:bottom w:val="single" w:sz="4" w:space="0" w:color="002060"/>
              <w:right w:val="nil"/>
            </w:tcBorders>
            <w:noWrap/>
            <w:hideMark/>
          </w:tcPr>
          <w:p w14:paraId="00F2B21F"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17.784,7</w:t>
            </w:r>
          </w:p>
        </w:tc>
        <w:tc>
          <w:tcPr>
            <w:tcW w:w="819" w:type="pct"/>
            <w:tcBorders>
              <w:top w:val="nil"/>
              <w:left w:val="nil"/>
              <w:bottom w:val="single" w:sz="4" w:space="0" w:color="002060"/>
              <w:right w:val="nil"/>
            </w:tcBorders>
            <w:noWrap/>
            <w:hideMark/>
          </w:tcPr>
          <w:p w14:paraId="79A7F12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16.732,3</w:t>
            </w:r>
          </w:p>
        </w:tc>
      </w:tr>
    </w:tbl>
    <w:p w14:paraId="66241393" w14:textId="77777777" w:rsidR="008D31CC" w:rsidRPr="00F5596D" w:rsidRDefault="008D31CC" w:rsidP="008D31CC">
      <w:pPr>
        <w:spacing w:line="257" w:lineRule="auto"/>
        <w:rPr>
          <w:rFonts w:ascii="Calibri" w:eastAsia="Calibri" w:hAnsi="Calibri" w:cs="Calibri"/>
          <w:bCs/>
          <w:szCs w:val="72"/>
          <w:lang w:val="sr-Cyrl-CS"/>
        </w:rPr>
        <w:sectPr w:rsidR="008D31CC" w:rsidRPr="00F5596D" w:rsidSect="008D31CC">
          <w:type w:val="continuous"/>
          <w:pgSz w:w="12240" w:h="15840"/>
          <w:pgMar w:top="1440" w:right="1440" w:bottom="1440" w:left="1440" w:header="720" w:footer="720" w:gutter="0"/>
          <w:cols w:space="720"/>
        </w:sectPr>
      </w:pPr>
    </w:p>
    <w:p w14:paraId="110FDD99" w14:textId="77777777" w:rsidR="008D31CC" w:rsidRPr="00F5596D" w:rsidRDefault="008D31CC" w:rsidP="008D31CC">
      <w:pPr>
        <w:spacing w:line="257" w:lineRule="auto"/>
        <w:rPr>
          <w:rFonts w:ascii="Calibri" w:eastAsia="Calibri" w:hAnsi="Calibri" w:cs="Calibri"/>
          <w:bCs/>
          <w:szCs w:val="72"/>
          <w:lang w:val="sr-Cyrl-CS"/>
        </w:rPr>
      </w:pPr>
      <w:r w:rsidRPr="00F5596D">
        <w:rPr>
          <w:rFonts w:ascii="Calibri" w:eastAsia="Calibri" w:hAnsi="Calibri" w:cs="Calibri"/>
          <w:bCs/>
          <w:szCs w:val="72"/>
          <w:lang w:val="sr-Cyrl-CS"/>
        </w:rPr>
        <w:t xml:space="preserve">Према подацима од 30. априла 2025. године, највећи део јавног дуга сектора државе Републике Србије је деноминован у еврима и износи 58,1%. </w:t>
      </w:r>
      <w:r w:rsidRPr="00F5596D">
        <w:rPr>
          <w:rFonts w:ascii="Calibri" w:eastAsia="Calibri" w:hAnsi="Calibri" w:cs="Calibri"/>
          <w:bCs/>
          <w:szCs w:val="72"/>
          <w:lang w:val="sr-Cyrl-CS"/>
        </w:rPr>
        <w:t xml:space="preserve">Затим су највише заступљени динар са 22,8% и амерички долар са 12,7%. Остатак дуга је деноминован у специјалним правима вучења 6,0% </w:t>
      </w:r>
      <w:r w:rsidRPr="00F5596D">
        <w:rPr>
          <w:rFonts w:ascii="Calibri" w:eastAsia="Calibri" w:hAnsi="Calibri" w:cs="Calibri"/>
          <w:bCs/>
          <w:szCs w:val="72"/>
          <w:lang w:val="sr-Cyrl-CS"/>
        </w:rPr>
        <w:lastRenderedPageBreak/>
        <w:t>и осталим валутама 0,4%. Захваљујући континуираном развоју домаћег тржишта хартија од вредности и постепеном повећању обима емисија у домаћој валути, дошло је до раста учешћа дуга у домаћој валути у претходним годинама, са 16,4%, на крају 2011. године на 30,4% у 2020, али након тога долази до његовог пада услед нешто већих потреба за финансирањем и промењених тржишних околности.</w:t>
      </w:r>
    </w:p>
    <w:p w14:paraId="28B4FF57" w14:textId="77777777" w:rsidR="008D31CC" w:rsidRPr="00F5596D" w:rsidRDefault="008D31CC" w:rsidP="008D31CC">
      <w:pPr>
        <w:spacing w:line="257"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Валутна структура дуга сектора државе у периоду од 2022. до 30. априла 2025. године</w:t>
      </w:r>
    </w:p>
    <w:p w14:paraId="42B46E65" w14:textId="77777777" w:rsidR="008D31CC" w:rsidRPr="00F5596D" w:rsidRDefault="008D31CC" w:rsidP="008D31CC">
      <w:pPr>
        <w:spacing w:line="256" w:lineRule="auto"/>
        <w:rPr>
          <w:rFonts w:ascii="Calibri" w:eastAsia="Calibri" w:hAnsi="Calibri" w:cs="Times New Roman"/>
          <w:b/>
          <w:lang w:val="sr-Cyrl-CS"/>
        </w:rPr>
      </w:pPr>
      <w:r w:rsidRPr="00F5596D">
        <w:rPr>
          <w:rFonts w:ascii="Calibri" w:eastAsia="Calibri" w:hAnsi="Calibri" w:cs="Times New Roman"/>
          <w:noProof/>
        </w:rPr>
        <w:drawing>
          <wp:inline distT="0" distB="0" distL="0" distR="0" wp14:anchorId="479F616E" wp14:editId="48698D54">
            <wp:extent cx="2797810" cy="1323833"/>
            <wp:effectExtent l="0" t="0" r="2540" b="0"/>
            <wp:docPr id="71"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1EFBDE9A"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На дан 30. април 2025. године, највећи део јавног дуга сектора државе Републике Србије је са фиксном каматном стопом – 71,3%, док се на јавни дуг са варијабилном каматном стопом односи 28,7% укупног јавног дуга. Међу варијабилним каматним стопама највише је заступљен EURIBOR са учешћем од 68,8%, затим варијабилна каматна стопа за специјална права вучења 21,0% и Belibor 10,1%, док је учешће обавеза са осталим каматним стопама 0,1%.</w:t>
      </w:r>
    </w:p>
    <w:p w14:paraId="3F977F7B" w14:textId="77777777" w:rsidR="008D31CC" w:rsidRPr="00F5596D" w:rsidRDefault="008D31CC" w:rsidP="008D31CC">
      <w:pPr>
        <w:spacing w:line="256" w:lineRule="auto"/>
        <w:jc w:val="center"/>
        <w:rPr>
          <w:rFonts w:ascii="Calibri" w:eastAsia="Calibri" w:hAnsi="Calibri" w:cs="Calibri"/>
          <w:bCs/>
          <w:color w:val="002060"/>
          <w:szCs w:val="72"/>
          <w:lang w:val="sr-Cyrl-CS"/>
        </w:rPr>
      </w:pPr>
      <w:r w:rsidRPr="00F5596D">
        <w:rPr>
          <w:rFonts w:ascii="Calibri" w:eastAsia="Calibri" w:hAnsi="Calibri" w:cs="Times New Roman"/>
          <w:b/>
          <w:color w:val="002060"/>
          <w:lang w:val="sr-Cyrl-CS"/>
        </w:rPr>
        <w:t>Структура каматних стопа дуга сектора државе у периоду од 2021. до 30. априла 2025. године, %</w:t>
      </w:r>
    </w:p>
    <w:p w14:paraId="32025ABD" w14:textId="77777777" w:rsidR="008D31CC" w:rsidRPr="00F5596D" w:rsidRDefault="008D31CC" w:rsidP="008D31CC">
      <w:pPr>
        <w:spacing w:line="256" w:lineRule="auto"/>
        <w:rPr>
          <w:rFonts w:ascii="Calibri" w:eastAsia="Calibri" w:hAnsi="Calibri" w:cs="Calibri"/>
          <w:bCs/>
          <w:szCs w:val="72"/>
          <w:lang w:val="sr-Cyrl-CS"/>
        </w:rPr>
      </w:pPr>
      <w:r w:rsidRPr="00F5596D">
        <w:rPr>
          <w:rFonts w:ascii="Calibri" w:eastAsia="Calibri" w:hAnsi="Calibri" w:cs="Times New Roman"/>
          <w:noProof/>
        </w:rPr>
        <w:drawing>
          <wp:inline distT="0" distB="0" distL="0" distR="0" wp14:anchorId="145FBD97" wp14:editId="37F8F6D0">
            <wp:extent cx="2743200" cy="1562668"/>
            <wp:effectExtent l="0" t="0" r="0" b="0"/>
            <wp:docPr id="119"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1F5FE253"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У периоду од 2014. до 2021. године дошло је до значајног пада трошкова задуживања, који је најизраженији код државних хартија од вредности емитованих на домаћем тржишту. До пада је дошло захваљујући развоју тржишта капитала </w:t>
      </w:r>
      <w:r w:rsidRPr="00F5596D">
        <w:rPr>
          <w:rFonts w:ascii="Calibri" w:eastAsia="Calibri" w:hAnsi="Calibri" w:cs="Calibri"/>
          <w:bCs/>
          <w:szCs w:val="72"/>
          <w:lang w:val="sr-Cyrl-CS"/>
        </w:rPr>
        <w:t xml:space="preserve">државних обвезница, расту кредитног рејтинга земље, односно смањењу премије ризика, ниској стопи инфлације и смањењу референтне каматне стопе НБС. Просечно пондерисана каматна стопа на јавни дуг је пала са 5,70% колико је износила на крају 2014. године на 2,53% колико је износила на крају 2021. године. Приметан је још израженији пад код динарских државних хартија од вредности, код којих је просечна пондерисана купонска стопа смањена са 10,68% на крају 2014. године на 5,09 % на крају априла 2025. године. Током 2022. и 2023. године, услед високе инфлације, дошло је до најинтензивнијег раста каматних стопа на међународном финансијском тржишту у овом веку. Ово се у извесној мери одразило и на раст трошкова задуживања Републике Србије. Тако је на крају априла 2025. године просечна пондерисана стопа на укупни јавни дуг износила 3,56%. У 2024. години долази до стабилизације тржишних околности, те пада каматних стопа, а тренд је настављен и у првим месецима 2025. године. </w:t>
      </w:r>
    </w:p>
    <w:p w14:paraId="3C7A3F94" w14:textId="77777777" w:rsidR="008D31CC" w:rsidRPr="00F5596D" w:rsidRDefault="008D31CC" w:rsidP="008D31CC">
      <w:pPr>
        <w:spacing w:line="256" w:lineRule="auto"/>
        <w:jc w:val="center"/>
        <w:rPr>
          <w:rFonts w:ascii="Calibri" w:eastAsia="Calibri" w:hAnsi="Calibri" w:cs="Times New Roman"/>
          <w:b/>
          <w:color w:val="002060"/>
          <w:spacing w:val="-2"/>
          <w:lang w:val="sr-Cyrl-CS"/>
        </w:rPr>
      </w:pPr>
      <w:r w:rsidRPr="00F5596D">
        <w:rPr>
          <w:rFonts w:ascii="Calibri" w:eastAsia="Calibri" w:hAnsi="Calibri" w:cs="Times New Roman"/>
          <w:b/>
          <w:color w:val="002060"/>
          <w:spacing w:val="-2"/>
          <w:lang w:val="sr-Cyrl-CS"/>
        </w:rPr>
        <w:t>Преглед кретања просечних извршних каматних стопа на динарске државне хартије од вредности у периоду 2011–30. април 2025. године</w:t>
      </w:r>
    </w:p>
    <w:p w14:paraId="64948E70" w14:textId="1E5C5C07" w:rsidR="008D31CC" w:rsidRPr="00F5596D" w:rsidRDefault="008D31CC" w:rsidP="008F6D54">
      <w:pPr>
        <w:spacing w:line="256" w:lineRule="auto"/>
        <w:jc w:val="center"/>
        <w:rPr>
          <w:lang w:val="sr-Cyrl-CS"/>
        </w:rPr>
      </w:pPr>
      <w:r w:rsidRPr="00F5596D">
        <w:rPr>
          <w:noProof/>
        </w:rPr>
        <w:drawing>
          <wp:inline distT="0" distB="0" distL="0" distR="0" wp14:anchorId="3AC62B90" wp14:editId="3D4FF178">
            <wp:extent cx="2681605" cy="1635125"/>
            <wp:effectExtent l="0" t="0" r="4445" b="0"/>
            <wp:docPr id="551732423" name="Picture 55173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681605" cy="1635125"/>
                    </a:xfrm>
                    <a:prstGeom prst="rect">
                      <a:avLst/>
                    </a:prstGeom>
                    <a:noFill/>
                    <a:ln>
                      <a:noFill/>
                    </a:ln>
                  </pic:spPr>
                </pic:pic>
              </a:graphicData>
            </a:graphic>
          </wp:inline>
        </w:drawing>
      </w:r>
      <w:r w:rsidRPr="00F5596D">
        <w:rPr>
          <w:rFonts w:ascii="Calibri" w:eastAsia="Calibri" w:hAnsi="Calibri" w:cs="Times New Roman"/>
          <w:b/>
          <w:color w:val="002060"/>
          <w:spacing w:val="-2"/>
          <w:lang w:val="sr-Cyrl-CS"/>
        </w:rPr>
        <w:t>Преглед кретања просечних извршних каматних стопа на евро деноминоване државне хартије од вредности у периоду 2011–30. април 2025. године</w:t>
      </w:r>
    </w:p>
    <w:p w14:paraId="32295D05" w14:textId="1FCE11B1" w:rsidR="008D31CC" w:rsidRPr="00F5596D" w:rsidRDefault="008D31CC" w:rsidP="008D31CC">
      <w:pPr>
        <w:jc w:val="center"/>
        <w:rPr>
          <w:lang w:val="sr-Cyrl-CS"/>
        </w:rPr>
        <w:sectPr w:rsidR="008D31CC" w:rsidRPr="00F5596D" w:rsidSect="008D31CC">
          <w:type w:val="continuous"/>
          <w:pgSz w:w="12240" w:h="15840"/>
          <w:pgMar w:top="1440" w:right="1440" w:bottom="1440" w:left="1440" w:header="720" w:footer="720" w:gutter="0"/>
          <w:cols w:num="2" w:space="720"/>
        </w:sectPr>
      </w:pPr>
      <w:r w:rsidRPr="00F5596D">
        <w:rPr>
          <w:noProof/>
        </w:rPr>
        <w:drawing>
          <wp:inline distT="0" distB="0" distL="0" distR="0" wp14:anchorId="5F82098E" wp14:editId="42AA6D00">
            <wp:extent cx="2513890" cy="1342571"/>
            <wp:effectExtent l="0" t="0" r="0" b="0"/>
            <wp:docPr id="551732422" name="Picture 55173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523087" cy="1347483"/>
                    </a:xfrm>
                    <a:prstGeom prst="rect">
                      <a:avLst/>
                    </a:prstGeom>
                    <a:noFill/>
                    <a:ln>
                      <a:noFill/>
                    </a:ln>
                  </pic:spPr>
                </pic:pic>
              </a:graphicData>
            </a:graphic>
          </wp:inline>
        </w:drawing>
      </w:r>
    </w:p>
    <w:p w14:paraId="77E245BB" w14:textId="77777777" w:rsidR="008D31CC" w:rsidRPr="00F5596D" w:rsidRDefault="008D31CC" w:rsidP="008D31CC">
      <w:pPr>
        <w:jc w:val="center"/>
        <w:rPr>
          <w:lang w:val="sr-Cyrl-CS"/>
        </w:rPr>
      </w:pPr>
      <w:r w:rsidRPr="00F5596D">
        <w:rPr>
          <w:rFonts w:ascii="Calibri" w:eastAsia="Calibri" w:hAnsi="Calibri" w:cs="Times New Roman"/>
          <w:b/>
          <w:bCs/>
          <w:color w:val="002060"/>
          <w:spacing w:val="-4"/>
          <w:sz w:val="18"/>
          <w:szCs w:val="18"/>
          <w:lang w:val="sr-Cyrl-CS"/>
        </w:rPr>
        <w:lastRenderedPageBreak/>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2027 / 3,125%)</w:t>
      </w:r>
    </w:p>
    <w:p w14:paraId="3E9A0AA0" w14:textId="5E11B4D9" w:rsidR="008D31CC" w:rsidRPr="00F5596D" w:rsidRDefault="008D31CC" w:rsidP="008D31CC">
      <w:pPr>
        <w:spacing w:line="256" w:lineRule="auto"/>
        <w:jc w:val="center"/>
        <w:rPr>
          <w:noProof/>
          <w:lang w:val="sr-Cyrl-CS"/>
        </w:rPr>
      </w:pPr>
      <w:r w:rsidRPr="00F5596D">
        <w:rPr>
          <w:noProof/>
        </w:rPr>
        <w:drawing>
          <wp:inline distT="0" distB="0" distL="0" distR="0" wp14:anchorId="1AB5690D" wp14:editId="4731D6FE">
            <wp:extent cx="2523490" cy="2162810"/>
            <wp:effectExtent l="0" t="0" r="0" b="8890"/>
            <wp:docPr id="551732421" name="Picture 55173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523490" cy="2162810"/>
                    </a:xfrm>
                    <a:prstGeom prst="rect">
                      <a:avLst/>
                    </a:prstGeom>
                    <a:noFill/>
                    <a:ln>
                      <a:noFill/>
                    </a:ln>
                  </pic:spPr>
                </pic:pic>
              </a:graphicData>
            </a:graphic>
          </wp:inline>
        </w:drawing>
      </w:r>
    </w:p>
    <w:p w14:paraId="369660FC"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2029 / 1,500%)</w:t>
      </w:r>
    </w:p>
    <w:p w14:paraId="42137A9D" w14:textId="374FAF90" w:rsidR="008D31CC" w:rsidRPr="00F5596D" w:rsidRDefault="008D31CC" w:rsidP="008D31CC">
      <w:pPr>
        <w:jc w:val="center"/>
        <w:rPr>
          <w:rFonts w:ascii="Calibri" w:eastAsia="Calibri" w:hAnsi="Calibri" w:cs="Times New Roman"/>
          <w:b/>
          <w:bCs/>
          <w:color w:val="002060"/>
          <w:spacing w:val="-4"/>
          <w:lang w:val="sr-Cyrl-CS"/>
        </w:rPr>
      </w:pPr>
      <w:r w:rsidRPr="00F5596D">
        <w:rPr>
          <w:rFonts w:ascii="Calibri" w:eastAsia="Calibri" w:hAnsi="Calibri" w:cs="Times New Roman"/>
          <w:b/>
          <w:bCs/>
          <w:noProof/>
          <w:color w:val="002060"/>
          <w:spacing w:val="-4"/>
          <w:sz w:val="18"/>
          <w:szCs w:val="18"/>
        </w:rPr>
        <w:drawing>
          <wp:inline distT="0" distB="0" distL="0" distR="0" wp14:anchorId="3C8BD0BE" wp14:editId="02F620A9">
            <wp:extent cx="2523490" cy="2162810"/>
            <wp:effectExtent l="0" t="0" r="0" b="8890"/>
            <wp:docPr id="551732420" name="Picture 55173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23490" cy="2162810"/>
                    </a:xfrm>
                    <a:prstGeom prst="rect">
                      <a:avLst/>
                    </a:prstGeom>
                    <a:noFill/>
                    <a:ln>
                      <a:noFill/>
                    </a:ln>
                  </pic:spPr>
                </pic:pic>
              </a:graphicData>
            </a:graphic>
          </wp:inline>
        </w:drawing>
      </w:r>
    </w:p>
    <w:p w14:paraId="0053B56D"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2036 / 2,050%)</w:t>
      </w:r>
    </w:p>
    <w:p w14:paraId="2663C8A7" w14:textId="395E24CF" w:rsidR="008D31CC" w:rsidRPr="00F5596D" w:rsidRDefault="008D31CC" w:rsidP="008D31CC">
      <w:pPr>
        <w:jc w:val="center"/>
        <w:rPr>
          <w:rFonts w:ascii="Calibri" w:eastAsia="Calibri" w:hAnsi="Calibri" w:cs="Times New Roman"/>
          <w:b/>
          <w:bCs/>
          <w:color w:val="002060"/>
          <w:spacing w:val="-4"/>
          <w:lang w:val="sr-Cyrl-CS"/>
        </w:rPr>
      </w:pPr>
      <w:r w:rsidRPr="00F5596D">
        <w:rPr>
          <w:rFonts w:ascii="Calibri" w:eastAsia="Calibri" w:hAnsi="Calibri" w:cs="Times New Roman"/>
          <w:b/>
          <w:bCs/>
          <w:noProof/>
          <w:color w:val="002060"/>
          <w:spacing w:val="-4"/>
          <w:sz w:val="18"/>
          <w:szCs w:val="18"/>
        </w:rPr>
        <w:drawing>
          <wp:inline distT="0" distB="0" distL="0" distR="0" wp14:anchorId="5AD3EBA1" wp14:editId="74FD6D7C">
            <wp:extent cx="2523490" cy="2338705"/>
            <wp:effectExtent l="0" t="0" r="0" b="4445"/>
            <wp:docPr id="551732418" name="Picture 55173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23490" cy="2338705"/>
                    </a:xfrm>
                    <a:prstGeom prst="rect">
                      <a:avLst/>
                    </a:prstGeom>
                    <a:noFill/>
                    <a:ln>
                      <a:noFill/>
                    </a:ln>
                  </pic:spPr>
                </pic:pic>
              </a:graphicData>
            </a:graphic>
          </wp:inline>
        </w:drawing>
      </w:r>
    </w:p>
    <w:p w14:paraId="5D156F08" w14:textId="79B0FFC7" w:rsidR="008D31CC" w:rsidRPr="00F5596D" w:rsidRDefault="008D31CC" w:rsidP="008D31CC">
      <w:pPr>
        <w:spacing w:line="256" w:lineRule="auto"/>
        <w:jc w:val="center"/>
        <w:rPr>
          <w:rFonts w:ascii="Calibri" w:eastAsia="Calibri" w:hAnsi="Calibri" w:cs="Times New Roman"/>
          <w:b/>
          <w:bCs/>
          <w:color w:val="002060"/>
          <w:spacing w:val="-4"/>
          <w:lang w:val="sr-Cyrl-CS"/>
        </w:rPr>
      </w:pPr>
    </w:p>
    <w:p w14:paraId="1A516F42"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2028 / 1,000%)</w:t>
      </w:r>
    </w:p>
    <w:p w14:paraId="4125F94A" w14:textId="5F18B085" w:rsidR="008D31CC" w:rsidRPr="00F5596D" w:rsidRDefault="008D31CC" w:rsidP="008D31CC">
      <w:pPr>
        <w:spacing w:line="256" w:lineRule="auto"/>
        <w:jc w:val="center"/>
        <w:rPr>
          <w:rFonts w:ascii="Calibri" w:eastAsia="Calibri" w:hAnsi="Calibri" w:cs="Times New Roman"/>
          <w:b/>
          <w:bCs/>
          <w:color w:val="002060"/>
          <w:spacing w:val="-4"/>
          <w:lang w:val="sr-Cyrl-CS"/>
        </w:rPr>
      </w:pPr>
      <w:r w:rsidRPr="00F5596D">
        <w:rPr>
          <w:rFonts w:ascii="Calibri" w:eastAsia="Calibri" w:hAnsi="Calibri" w:cs="Times New Roman"/>
          <w:b/>
          <w:bCs/>
          <w:noProof/>
          <w:color w:val="002060"/>
          <w:spacing w:val="-4"/>
          <w:sz w:val="18"/>
          <w:szCs w:val="18"/>
        </w:rPr>
        <w:drawing>
          <wp:inline distT="0" distB="0" distL="0" distR="0" wp14:anchorId="0F035AD4" wp14:editId="3DE0408A">
            <wp:extent cx="2523490" cy="2233295"/>
            <wp:effectExtent l="0" t="0" r="0" b="0"/>
            <wp:docPr id="551732417" name="Picture 55173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523490" cy="2233295"/>
                    </a:xfrm>
                    <a:prstGeom prst="rect">
                      <a:avLst/>
                    </a:prstGeom>
                    <a:noFill/>
                    <a:ln>
                      <a:noFill/>
                    </a:ln>
                  </pic:spPr>
                </pic:pic>
              </a:graphicData>
            </a:graphic>
          </wp:inline>
        </w:drawing>
      </w:r>
    </w:p>
    <w:p w14:paraId="68D95C34"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2033 / 1,650%)</w:t>
      </w:r>
    </w:p>
    <w:p w14:paraId="75B32C4D" w14:textId="5B927CDA" w:rsidR="008D31CC" w:rsidRPr="00F5596D" w:rsidRDefault="008D31CC" w:rsidP="008D31CC">
      <w:pPr>
        <w:spacing w:line="256" w:lineRule="auto"/>
        <w:jc w:val="center"/>
        <w:rPr>
          <w:rFonts w:ascii="Calibri" w:eastAsia="Calibri" w:hAnsi="Calibri" w:cs="Times New Roman"/>
          <w:b/>
          <w:bCs/>
          <w:color w:val="002060"/>
          <w:spacing w:val="-4"/>
          <w:lang w:val="sr-Cyrl-CS"/>
        </w:rPr>
      </w:pPr>
      <w:r w:rsidRPr="00F5596D">
        <w:rPr>
          <w:rFonts w:ascii="Calibri" w:eastAsia="Calibri" w:hAnsi="Calibri" w:cs="Times New Roman"/>
          <w:b/>
          <w:bCs/>
          <w:noProof/>
          <w:color w:val="002060"/>
          <w:spacing w:val="-4"/>
          <w:sz w:val="18"/>
          <w:szCs w:val="18"/>
        </w:rPr>
        <w:drawing>
          <wp:inline distT="0" distB="0" distL="0" distR="0" wp14:anchorId="0EC03A9B" wp14:editId="1B2AFF57">
            <wp:extent cx="2514600" cy="2294890"/>
            <wp:effectExtent l="0" t="0" r="0" b="0"/>
            <wp:docPr id="551732416" name="Picture 55173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514600" cy="2294890"/>
                    </a:xfrm>
                    <a:prstGeom prst="rect">
                      <a:avLst/>
                    </a:prstGeom>
                    <a:noFill/>
                    <a:ln>
                      <a:noFill/>
                    </a:ln>
                  </pic:spPr>
                </pic:pic>
              </a:graphicData>
            </a:graphic>
          </wp:inline>
        </w:drawing>
      </w:r>
    </w:p>
    <w:p w14:paraId="75B77803"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2028 / 6,250%)</w:t>
      </w:r>
    </w:p>
    <w:p w14:paraId="1A83F69D" w14:textId="4F8491EE"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noProof/>
          <w:color w:val="002060"/>
          <w:spacing w:val="-4"/>
          <w:sz w:val="18"/>
          <w:szCs w:val="18"/>
        </w:rPr>
        <w:drawing>
          <wp:inline distT="0" distB="0" distL="0" distR="0" wp14:anchorId="7F94F9A3" wp14:editId="28F1638B">
            <wp:extent cx="2523490" cy="2162810"/>
            <wp:effectExtent l="0" t="0" r="0" b="889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523490" cy="2162810"/>
                    </a:xfrm>
                    <a:prstGeom prst="rect">
                      <a:avLst/>
                    </a:prstGeom>
                    <a:noFill/>
                    <a:ln>
                      <a:noFill/>
                    </a:ln>
                  </pic:spPr>
                </pic:pic>
              </a:graphicData>
            </a:graphic>
          </wp:inline>
        </w:drawing>
      </w:r>
    </w:p>
    <w:p w14:paraId="5398B1B0"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p>
    <w:p w14:paraId="23E57FCF"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p>
    <w:p w14:paraId="3664FDFE"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p>
    <w:p w14:paraId="124032A2"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lastRenderedPageBreak/>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2030 / 2,125%)</w:t>
      </w:r>
    </w:p>
    <w:p w14:paraId="3A38008D" w14:textId="02CA1F02" w:rsidR="00085C93" w:rsidRPr="00F5596D" w:rsidRDefault="008D31CC" w:rsidP="00085C93">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noProof/>
          <w:color w:val="002060"/>
          <w:spacing w:val="-4"/>
          <w:sz w:val="18"/>
          <w:szCs w:val="18"/>
        </w:rPr>
        <w:drawing>
          <wp:inline distT="0" distB="0" distL="0" distR="0" wp14:anchorId="1139DE4D" wp14:editId="0296A18A">
            <wp:extent cx="2514600" cy="2162810"/>
            <wp:effectExtent l="0" t="0" r="0" b="889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514600" cy="2162810"/>
                    </a:xfrm>
                    <a:prstGeom prst="rect">
                      <a:avLst/>
                    </a:prstGeom>
                    <a:noFill/>
                    <a:ln>
                      <a:noFill/>
                    </a:ln>
                  </pic:spPr>
                </pic:pic>
              </a:graphicData>
            </a:graphic>
          </wp:inline>
        </w:drawing>
      </w:r>
    </w:p>
    <w:p w14:paraId="4D217704" w14:textId="6CAE45BB" w:rsidR="00085C93" w:rsidRPr="00F5596D" w:rsidRDefault="00085C93" w:rsidP="008D31CC">
      <w:pPr>
        <w:spacing w:after="0" w:line="240" w:lineRule="auto"/>
        <w:jc w:val="center"/>
        <w:rPr>
          <w:rFonts w:ascii="Calibri" w:eastAsia="Calibri" w:hAnsi="Calibri" w:cs="Times New Roman"/>
          <w:b/>
          <w:bCs/>
          <w:color w:val="002060"/>
          <w:spacing w:val="-4"/>
          <w:sz w:val="18"/>
          <w:szCs w:val="18"/>
          <w:lang w:val="sr-Cyrl-CS"/>
        </w:rPr>
      </w:pPr>
    </w:p>
    <w:p w14:paraId="7CEF90EF" w14:textId="77777777" w:rsidR="008D31CC" w:rsidRPr="00F5596D" w:rsidRDefault="008D31CC" w:rsidP="008D31CC">
      <w:pPr>
        <w:spacing w:line="256"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2033 / 6,500%)</w:t>
      </w:r>
    </w:p>
    <w:p w14:paraId="0D981351" w14:textId="6021ECAE" w:rsidR="008D31CC" w:rsidRPr="00F5596D" w:rsidRDefault="008D31CC" w:rsidP="008D31CC">
      <w:pPr>
        <w:spacing w:line="256"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noProof/>
          <w:color w:val="002060"/>
          <w:spacing w:val="-4"/>
          <w:sz w:val="18"/>
          <w:szCs w:val="18"/>
        </w:rPr>
        <w:drawing>
          <wp:inline distT="0" distB="0" distL="0" distR="0" wp14:anchorId="7411DBA7" wp14:editId="5C84724D">
            <wp:extent cx="2514600" cy="2162810"/>
            <wp:effectExtent l="0" t="0" r="0" b="889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514600" cy="2162810"/>
                    </a:xfrm>
                    <a:prstGeom prst="rect">
                      <a:avLst/>
                    </a:prstGeom>
                    <a:noFill/>
                    <a:ln>
                      <a:noFill/>
                    </a:ln>
                  </pic:spPr>
                </pic:pic>
              </a:graphicData>
            </a:graphic>
          </wp:inline>
        </w:drawing>
      </w:r>
    </w:p>
    <w:p w14:paraId="1E29D2E2" w14:textId="77777777" w:rsidR="008D31CC" w:rsidRPr="00F5596D" w:rsidRDefault="008D31CC" w:rsidP="008D31CC">
      <w:pPr>
        <w:spacing w:after="0" w:line="240" w:lineRule="auto"/>
        <w:jc w:val="center"/>
        <w:rPr>
          <w:rFonts w:ascii="Calibri" w:eastAsia="Calibri" w:hAnsi="Calibri" w:cs="Times New Roman"/>
          <w:b/>
          <w:bCs/>
          <w:color w:val="002060"/>
          <w:spacing w:val="-4"/>
          <w:sz w:val="18"/>
          <w:szCs w:val="18"/>
          <w:lang w:val="sr-Cyrl-CS"/>
        </w:rPr>
      </w:pPr>
      <w:r w:rsidRPr="00F5596D">
        <w:rPr>
          <w:rFonts w:ascii="Calibri" w:eastAsia="Calibri" w:hAnsi="Calibri" w:cs="Times New Roman"/>
          <w:b/>
          <w:bCs/>
          <w:color w:val="002060"/>
          <w:spacing w:val="-4"/>
          <w:sz w:val="18"/>
          <w:szCs w:val="18"/>
          <w:lang w:val="sr-Cyrl-CS"/>
        </w:rPr>
        <w:t xml:space="preserve">Преглед кретања цене и приноса на </w:t>
      </w:r>
      <w:r w:rsidRPr="00F5596D">
        <w:rPr>
          <w:rFonts w:ascii="Calibri" w:eastAsia="Calibri" w:hAnsi="Calibri" w:cs="Times New Roman"/>
          <w:b/>
          <w:bCs/>
          <w:color w:val="002060"/>
          <w:spacing w:val="-4"/>
          <w:sz w:val="18"/>
          <w:szCs w:val="18"/>
          <w:lang w:val="sr-Cyrl-CS"/>
        </w:rPr>
        <w:br w:type="textWrapping" w:clear="all"/>
        <w:t>еврообвезницу Србија (EB 2034 / 6,000%)</w:t>
      </w:r>
    </w:p>
    <w:p w14:paraId="458BF461" w14:textId="69500C81" w:rsidR="008D31CC" w:rsidRPr="00F5596D" w:rsidRDefault="008D31CC" w:rsidP="008D31CC">
      <w:pPr>
        <w:spacing w:after="0" w:line="240" w:lineRule="auto"/>
        <w:jc w:val="center"/>
        <w:rPr>
          <w:rFonts w:ascii="Calibri" w:eastAsia="Calibri" w:hAnsi="Calibri" w:cs="Times New Roman"/>
          <w:b/>
          <w:bCs/>
          <w:color w:val="002060"/>
          <w:spacing w:val="-4"/>
          <w:lang w:val="sr-Cyrl-CS"/>
        </w:rPr>
      </w:pPr>
      <w:r w:rsidRPr="00F5596D">
        <w:rPr>
          <w:rFonts w:ascii="Calibri" w:eastAsia="Calibri" w:hAnsi="Calibri" w:cs="Times New Roman"/>
          <w:b/>
          <w:bCs/>
          <w:noProof/>
          <w:color w:val="002060"/>
          <w:spacing w:val="-4"/>
          <w:sz w:val="18"/>
          <w:szCs w:val="18"/>
        </w:rPr>
        <w:drawing>
          <wp:inline distT="0" distB="0" distL="0" distR="0" wp14:anchorId="6C2491E6" wp14:editId="182449C5">
            <wp:extent cx="2514600" cy="2303780"/>
            <wp:effectExtent l="0" t="0" r="0" b="127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514600" cy="2303780"/>
                    </a:xfrm>
                    <a:prstGeom prst="rect">
                      <a:avLst/>
                    </a:prstGeom>
                    <a:noFill/>
                    <a:ln>
                      <a:noFill/>
                    </a:ln>
                  </pic:spPr>
                </pic:pic>
              </a:graphicData>
            </a:graphic>
          </wp:inline>
        </w:drawing>
      </w:r>
    </w:p>
    <w:p w14:paraId="5DAD1B33" w14:textId="3B089414" w:rsidR="00085C93" w:rsidRPr="00F5596D" w:rsidRDefault="00085C93" w:rsidP="008D31CC">
      <w:pPr>
        <w:spacing w:after="0" w:line="240" w:lineRule="auto"/>
        <w:jc w:val="center"/>
        <w:rPr>
          <w:rFonts w:ascii="Calibri" w:eastAsia="Calibri" w:hAnsi="Calibri" w:cs="Times New Roman"/>
          <w:b/>
          <w:bCs/>
          <w:color w:val="002060"/>
          <w:spacing w:val="-4"/>
          <w:lang w:val="sr-Cyrl-CS"/>
        </w:rPr>
      </w:pPr>
    </w:p>
    <w:p w14:paraId="241BD89C" w14:textId="6DA7B095" w:rsidR="008D31CC" w:rsidRPr="00F5596D" w:rsidRDefault="008D31CC" w:rsidP="00882A69">
      <w:pPr>
        <w:spacing w:line="256" w:lineRule="auto"/>
        <w:rPr>
          <w:rFonts w:ascii="Calibri" w:eastAsia="Calibri" w:hAnsi="Calibri" w:cs="Times New Roman"/>
          <w:b/>
          <w:bCs/>
          <w:color w:val="002060"/>
          <w:spacing w:val="-4"/>
          <w:lang w:val="sr-Cyrl-CS"/>
        </w:rPr>
      </w:pPr>
    </w:p>
    <w:p w14:paraId="2EE296B7" w14:textId="77777777" w:rsidR="008D31CC" w:rsidRPr="00F5596D" w:rsidRDefault="008D31CC" w:rsidP="008D31CC">
      <w:pPr>
        <w:spacing w:line="256" w:lineRule="auto"/>
        <w:jc w:val="center"/>
        <w:rPr>
          <w:rFonts w:ascii="Calibri" w:eastAsia="Calibri" w:hAnsi="Calibri" w:cs="Times New Roman"/>
          <w:b/>
          <w:bCs/>
          <w:color w:val="002060"/>
          <w:spacing w:val="-4"/>
          <w:lang w:val="sr-Cyrl-CS"/>
        </w:rPr>
        <w:sectPr w:rsidR="008D31CC" w:rsidRPr="00F5596D" w:rsidSect="008D31CC">
          <w:type w:val="continuous"/>
          <w:pgSz w:w="12240" w:h="15840"/>
          <w:pgMar w:top="1440" w:right="1440" w:bottom="1440" w:left="1440" w:header="720" w:footer="720" w:gutter="0"/>
          <w:cols w:num="2" w:space="720"/>
        </w:sectPr>
      </w:pPr>
    </w:p>
    <w:p w14:paraId="45BCC24C" w14:textId="1DA94229"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30</w:t>
      </w:r>
      <w:r w:rsidR="008D31CC" w:rsidRPr="00F5596D">
        <w:rPr>
          <w:rFonts w:ascii="Calibri" w:eastAsia="Calibri" w:hAnsi="Calibri" w:cs="Times New Roman"/>
          <w:b/>
          <w:color w:val="002060"/>
          <w:lang w:val="sr-Cyrl-CS"/>
        </w:rPr>
        <w:t>. Пројекције отплате камата и главница до 2028. године</w:t>
      </w:r>
      <w:r w:rsidR="008D31CC" w:rsidRPr="00F5596D">
        <w:rPr>
          <w:rFonts w:ascii="Calibri" w:eastAsia="Calibri" w:hAnsi="Calibri" w:cs="Times New Roman"/>
          <w:color w:val="002060"/>
          <w:lang w:val="sr-Cyrl-CS"/>
        </w:rPr>
        <w:t xml:space="preserve"> </w:t>
      </w:r>
      <w:r w:rsidR="008D31CC" w:rsidRPr="00F5596D">
        <w:rPr>
          <w:rFonts w:ascii="Calibri" w:eastAsia="Calibri" w:hAnsi="Calibri" w:cs="Times New Roman"/>
          <w:b/>
          <w:color w:val="002060"/>
          <w:lang w:val="sr-Cyrl-C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8D31CC" w:rsidRPr="00F5596D" w14:paraId="3CCCF03B" w14:textId="77777777" w:rsidTr="008D31CC">
        <w:trPr>
          <w:cnfStyle w:val="100000000000" w:firstRow="1" w:lastRow="0" w:firstColumn="0" w:lastColumn="0" w:oddVBand="0" w:evenVBand="0" w:oddHBand="0" w:evenHBand="0" w:firstRowFirstColumn="0" w:firstRowLastColumn="0" w:lastRowFirstColumn="0" w:lastRowLastColumn="0"/>
          <w:trHeight w:val="226"/>
        </w:trPr>
        <w:tc>
          <w:tcPr>
            <w:tcW w:w="2637" w:type="pct"/>
            <w:tcBorders>
              <w:top w:val="single" w:sz="4" w:space="0" w:color="002060"/>
              <w:bottom w:val="single" w:sz="4" w:space="0" w:color="FFFFFF" w:themeColor="background1"/>
            </w:tcBorders>
            <w:noWrap/>
            <w:hideMark/>
          </w:tcPr>
          <w:p w14:paraId="7576B2F3" w14:textId="77777777" w:rsidR="008D31CC" w:rsidRPr="00F5596D" w:rsidRDefault="008D31CC" w:rsidP="008D31CC">
            <w:pPr>
              <w:rPr>
                <w:rFonts w:ascii="Calibri" w:eastAsia="Times New Roman" w:hAnsi="Calibri" w:cs="Calibri"/>
                <w:color w:val="002060"/>
                <w:sz w:val="18"/>
                <w:szCs w:val="18"/>
                <w:lang w:val="sr-Cyrl-CS" w:eastAsia="ja-JP"/>
              </w:rPr>
            </w:pPr>
            <w:r w:rsidRPr="00F5596D">
              <w:rPr>
                <w:rFonts w:ascii="Calibri" w:eastAsia="Times New Roman" w:hAnsi="Calibri" w:cs="Calibri"/>
                <w:color w:val="002060"/>
                <w:sz w:val="18"/>
                <w:szCs w:val="18"/>
                <w:lang w:val="sr-Cyrl-CS" w:eastAsia="ja-JP"/>
              </w:rPr>
              <w:t> </w:t>
            </w:r>
          </w:p>
        </w:tc>
        <w:tc>
          <w:tcPr>
            <w:tcW w:w="590" w:type="pct"/>
            <w:tcBorders>
              <w:top w:val="single" w:sz="4" w:space="0" w:color="002060"/>
              <w:bottom w:val="single" w:sz="4" w:space="0" w:color="002060"/>
            </w:tcBorders>
            <w:noWrap/>
            <w:hideMark/>
          </w:tcPr>
          <w:p w14:paraId="65BC1035"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2025 п</w:t>
            </w:r>
          </w:p>
        </w:tc>
        <w:tc>
          <w:tcPr>
            <w:tcW w:w="591" w:type="pct"/>
            <w:tcBorders>
              <w:top w:val="single" w:sz="4" w:space="0" w:color="002060"/>
              <w:bottom w:val="single" w:sz="4" w:space="0" w:color="002060"/>
            </w:tcBorders>
            <w:noWrap/>
            <w:hideMark/>
          </w:tcPr>
          <w:p w14:paraId="7AC6ABE0"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2026 п</w:t>
            </w:r>
          </w:p>
        </w:tc>
        <w:tc>
          <w:tcPr>
            <w:tcW w:w="591" w:type="pct"/>
            <w:tcBorders>
              <w:top w:val="single" w:sz="4" w:space="0" w:color="002060"/>
              <w:bottom w:val="single" w:sz="4" w:space="0" w:color="002060"/>
            </w:tcBorders>
            <w:noWrap/>
            <w:hideMark/>
          </w:tcPr>
          <w:p w14:paraId="32BC9C6C"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2027 п</w:t>
            </w:r>
          </w:p>
        </w:tc>
        <w:tc>
          <w:tcPr>
            <w:tcW w:w="591" w:type="pct"/>
            <w:tcBorders>
              <w:top w:val="single" w:sz="4" w:space="0" w:color="002060"/>
              <w:bottom w:val="single" w:sz="4" w:space="0" w:color="002060"/>
            </w:tcBorders>
            <w:noWrap/>
            <w:hideMark/>
          </w:tcPr>
          <w:p w14:paraId="08C9B261"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2028 п</w:t>
            </w:r>
          </w:p>
        </w:tc>
      </w:tr>
      <w:tr w:rsidR="008D31CC" w:rsidRPr="00F5596D" w14:paraId="57AE5379" w14:textId="77777777" w:rsidTr="008D31CC">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single" w:sz="4" w:space="0" w:color="FFFFFF" w:themeColor="background1"/>
              <w:bottom w:val="nil"/>
            </w:tcBorders>
            <w:shd w:val="clear" w:color="auto" w:fill="E7E6E6" w:themeFill="background2"/>
            <w:noWrap/>
            <w:hideMark/>
          </w:tcPr>
          <w:p w14:paraId="1D28DBBB"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bCs/>
                <w:color w:val="002060"/>
                <w:sz w:val="18"/>
                <w:szCs w:val="18"/>
                <w:lang w:val="sr-Cyrl-CS"/>
              </w:rPr>
              <w:t>Главница*</w:t>
            </w:r>
          </w:p>
        </w:tc>
        <w:tc>
          <w:tcPr>
            <w:tcW w:w="590" w:type="pct"/>
            <w:tcBorders>
              <w:top w:val="single" w:sz="4" w:space="0" w:color="002060"/>
              <w:bottom w:val="nil"/>
            </w:tcBorders>
            <w:shd w:val="clear" w:color="auto" w:fill="E7E6E6" w:themeFill="background2"/>
            <w:noWrap/>
            <w:hideMark/>
          </w:tcPr>
          <w:p w14:paraId="438255AC"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523,1</w:t>
            </w:r>
          </w:p>
        </w:tc>
        <w:tc>
          <w:tcPr>
            <w:tcW w:w="591" w:type="pct"/>
            <w:tcBorders>
              <w:top w:val="single" w:sz="4" w:space="0" w:color="002060"/>
              <w:bottom w:val="nil"/>
            </w:tcBorders>
            <w:shd w:val="clear" w:color="auto" w:fill="E7E6E6" w:themeFill="background2"/>
            <w:noWrap/>
            <w:hideMark/>
          </w:tcPr>
          <w:p w14:paraId="7A1D7EEC"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808,0</w:t>
            </w:r>
          </w:p>
        </w:tc>
        <w:tc>
          <w:tcPr>
            <w:tcW w:w="591" w:type="pct"/>
            <w:tcBorders>
              <w:top w:val="single" w:sz="4" w:space="0" w:color="002060"/>
              <w:bottom w:val="nil"/>
            </w:tcBorders>
            <w:shd w:val="clear" w:color="auto" w:fill="E7E6E6" w:themeFill="background2"/>
            <w:noWrap/>
            <w:hideMark/>
          </w:tcPr>
          <w:p w14:paraId="589B22F6"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742,0</w:t>
            </w:r>
          </w:p>
        </w:tc>
        <w:tc>
          <w:tcPr>
            <w:tcW w:w="591" w:type="pct"/>
            <w:tcBorders>
              <w:top w:val="single" w:sz="4" w:space="0" w:color="002060"/>
              <w:bottom w:val="nil"/>
            </w:tcBorders>
            <w:shd w:val="clear" w:color="auto" w:fill="E7E6E6" w:themeFill="background2"/>
            <w:noWrap/>
            <w:hideMark/>
          </w:tcPr>
          <w:p w14:paraId="529921B1"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770,0</w:t>
            </w:r>
          </w:p>
        </w:tc>
      </w:tr>
      <w:tr w:rsidR="008D31CC" w:rsidRPr="00F5596D" w14:paraId="75C68CD5" w14:textId="77777777" w:rsidTr="008D31CC">
        <w:trPr>
          <w:trHeight w:val="226"/>
        </w:trPr>
        <w:tc>
          <w:tcPr>
            <w:tcW w:w="2637" w:type="pct"/>
            <w:tcBorders>
              <w:top w:val="nil"/>
              <w:left w:val="nil"/>
              <w:bottom w:val="nil"/>
              <w:right w:val="nil"/>
            </w:tcBorders>
            <w:noWrap/>
            <w:hideMark/>
          </w:tcPr>
          <w:p w14:paraId="55C5306F"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Камата</w:t>
            </w:r>
          </w:p>
        </w:tc>
        <w:tc>
          <w:tcPr>
            <w:tcW w:w="590" w:type="pct"/>
            <w:tcBorders>
              <w:top w:val="nil"/>
              <w:left w:val="nil"/>
              <w:bottom w:val="nil"/>
              <w:right w:val="nil"/>
            </w:tcBorders>
            <w:noWrap/>
            <w:hideMark/>
          </w:tcPr>
          <w:p w14:paraId="08DFE63F"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220,1</w:t>
            </w:r>
          </w:p>
        </w:tc>
        <w:tc>
          <w:tcPr>
            <w:tcW w:w="591" w:type="pct"/>
            <w:tcBorders>
              <w:top w:val="nil"/>
              <w:left w:val="nil"/>
              <w:bottom w:val="nil"/>
              <w:right w:val="nil"/>
            </w:tcBorders>
            <w:noWrap/>
            <w:hideMark/>
          </w:tcPr>
          <w:p w14:paraId="1090C326"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229,9</w:t>
            </w:r>
          </w:p>
        </w:tc>
        <w:tc>
          <w:tcPr>
            <w:tcW w:w="591" w:type="pct"/>
            <w:tcBorders>
              <w:top w:val="nil"/>
              <w:left w:val="nil"/>
              <w:bottom w:val="nil"/>
              <w:right w:val="nil"/>
            </w:tcBorders>
            <w:noWrap/>
            <w:hideMark/>
          </w:tcPr>
          <w:p w14:paraId="1C9B4E7E"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234,8</w:t>
            </w:r>
          </w:p>
        </w:tc>
        <w:tc>
          <w:tcPr>
            <w:tcW w:w="591" w:type="pct"/>
            <w:tcBorders>
              <w:top w:val="nil"/>
              <w:left w:val="nil"/>
              <w:bottom w:val="nil"/>
              <w:right w:val="nil"/>
            </w:tcBorders>
            <w:noWrap/>
            <w:hideMark/>
          </w:tcPr>
          <w:p w14:paraId="0D1EE868"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242,1</w:t>
            </w:r>
          </w:p>
        </w:tc>
      </w:tr>
      <w:tr w:rsidR="008D31CC" w:rsidRPr="00F5596D" w14:paraId="3A5F65F3" w14:textId="77777777" w:rsidTr="008D31CC">
        <w:trPr>
          <w:cnfStyle w:val="000000100000" w:firstRow="0" w:lastRow="0" w:firstColumn="0" w:lastColumn="0" w:oddVBand="0" w:evenVBand="0" w:oddHBand="1" w:evenHBand="0" w:firstRowFirstColumn="0" w:firstRowLastColumn="0" w:lastRowFirstColumn="0" w:lastRowLastColumn="0"/>
          <w:trHeight w:val="226"/>
        </w:trPr>
        <w:tc>
          <w:tcPr>
            <w:tcW w:w="2637" w:type="pct"/>
            <w:tcBorders>
              <w:top w:val="nil"/>
              <w:bottom w:val="nil"/>
            </w:tcBorders>
            <w:shd w:val="clear" w:color="auto" w:fill="E7E6E6" w:themeFill="background2"/>
            <w:noWrap/>
            <w:hideMark/>
          </w:tcPr>
          <w:p w14:paraId="5D15CA47"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bCs/>
                <w:color w:val="002060"/>
                <w:sz w:val="18"/>
                <w:szCs w:val="18"/>
                <w:lang w:val="sr-Cyrl-CS"/>
              </w:rPr>
              <w:t>Укупно</w:t>
            </w:r>
          </w:p>
        </w:tc>
        <w:tc>
          <w:tcPr>
            <w:tcW w:w="590" w:type="pct"/>
            <w:tcBorders>
              <w:top w:val="nil"/>
              <w:bottom w:val="nil"/>
            </w:tcBorders>
            <w:shd w:val="clear" w:color="auto" w:fill="E7E6E6" w:themeFill="background2"/>
            <w:noWrap/>
            <w:hideMark/>
          </w:tcPr>
          <w:p w14:paraId="27FDEC3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743,2</w:t>
            </w:r>
          </w:p>
        </w:tc>
        <w:tc>
          <w:tcPr>
            <w:tcW w:w="591" w:type="pct"/>
            <w:tcBorders>
              <w:top w:val="nil"/>
              <w:bottom w:val="nil"/>
            </w:tcBorders>
            <w:shd w:val="clear" w:color="auto" w:fill="E7E6E6" w:themeFill="background2"/>
            <w:noWrap/>
            <w:hideMark/>
          </w:tcPr>
          <w:p w14:paraId="535C05CC"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1.037,9</w:t>
            </w:r>
          </w:p>
        </w:tc>
        <w:tc>
          <w:tcPr>
            <w:tcW w:w="591" w:type="pct"/>
            <w:tcBorders>
              <w:top w:val="nil"/>
              <w:bottom w:val="nil"/>
            </w:tcBorders>
            <w:shd w:val="clear" w:color="auto" w:fill="E7E6E6" w:themeFill="background2"/>
            <w:noWrap/>
            <w:hideMark/>
          </w:tcPr>
          <w:p w14:paraId="0C573AB4"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976,8</w:t>
            </w:r>
          </w:p>
        </w:tc>
        <w:tc>
          <w:tcPr>
            <w:tcW w:w="591" w:type="pct"/>
            <w:tcBorders>
              <w:top w:val="nil"/>
              <w:bottom w:val="nil"/>
            </w:tcBorders>
            <w:shd w:val="clear" w:color="auto" w:fill="E7E6E6" w:themeFill="background2"/>
            <w:noWrap/>
            <w:hideMark/>
          </w:tcPr>
          <w:p w14:paraId="0973CBD5"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1.012,1</w:t>
            </w:r>
          </w:p>
        </w:tc>
      </w:tr>
      <w:tr w:rsidR="008D31CC" w:rsidRPr="00F5596D" w14:paraId="12398385" w14:textId="77777777" w:rsidTr="008D31CC">
        <w:trPr>
          <w:trHeight w:val="226"/>
        </w:trPr>
        <w:tc>
          <w:tcPr>
            <w:tcW w:w="2637" w:type="pct"/>
            <w:tcBorders>
              <w:top w:val="nil"/>
              <w:left w:val="nil"/>
              <w:bottom w:val="single" w:sz="4" w:space="0" w:color="002060"/>
              <w:right w:val="nil"/>
            </w:tcBorders>
            <w:noWrap/>
            <w:hideMark/>
          </w:tcPr>
          <w:p w14:paraId="78D6DE43"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 xml:space="preserve"> У односу на јавни дуг на дан 30.4.2025. године</w:t>
            </w:r>
          </w:p>
        </w:tc>
        <w:tc>
          <w:tcPr>
            <w:tcW w:w="590" w:type="pct"/>
            <w:tcBorders>
              <w:top w:val="nil"/>
              <w:left w:val="nil"/>
              <w:bottom w:val="single" w:sz="4" w:space="0" w:color="002060"/>
              <w:right w:val="nil"/>
            </w:tcBorders>
            <w:noWrap/>
            <w:hideMark/>
          </w:tcPr>
          <w:p w14:paraId="66199903"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17,2%</w:t>
            </w:r>
          </w:p>
        </w:tc>
        <w:tc>
          <w:tcPr>
            <w:tcW w:w="591" w:type="pct"/>
            <w:tcBorders>
              <w:top w:val="nil"/>
              <w:left w:val="nil"/>
              <w:bottom w:val="single" w:sz="4" w:space="0" w:color="002060"/>
              <w:right w:val="nil"/>
            </w:tcBorders>
            <w:noWrap/>
            <w:hideMark/>
          </w:tcPr>
          <w:p w14:paraId="7F0FFED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24,0%</w:t>
            </w:r>
          </w:p>
        </w:tc>
        <w:tc>
          <w:tcPr>
            <w:tcW w:w="591" w:type="pct"/>
            <w:tcBorders>
              <w:top w:val="nil"/>
              <w:left w:val="nil"/>
              <w:bottom w:val="single" w:sz="4" w:space="0" w:color="002060"/>
              <w:right w:val="nil"/>
            </w:tcBorders>
            <w:noWrap/>
            <w:hideMark/>
          </w:tcPr>
          <w:p w14:paraId="23B0C737"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22,6%</w:t>
            </w:r>
          </w:p>
        </w:tc>
        <w:tc>
          <w:tcPr>
            <w:tcW w:w="591" w:type="pct"/>
            <w:tcBorders>
              <w:top w:val="nil"/>
              <w:left w:val="nil"/>
              <w:bottom w:val="single" w:sz="4" w:space="0" w:color="002060"/>
              <w:right w:val="nil"/>
            </w:tcBorders>
            <w:noWrap/>
            <w:hideMark/>
          </w:tcPr>
          <w:p w14:paraId="4FD7508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23,4%</w:t>
            </w:r>
          </w:p>
        </w:tc>
      </w:tr>
    </w:tbl>
    <w:p w14:paraId="4377406F" w14:textId="77777777" w:rsidR="008D31CC" w:rsidRPr="00F5596D" w:rsidRDefault="008D31CC" w:rsidP="008D31CC">
      <w:pPr>
        <w:spacing w:line="240" w:lineRule="auto"/>
        <w:rPr>
          <w:rFonts w:ascii="Calibri" w:eastAsia="Calibri" w:hAnsi="Calibri" w:cs="Calibri"/>
          <w:bCs/>
          <w:sz w:val="18"/>
          <w:szCs w:val="18"/>
          <w:lang w:val="sr-Cyrl-CS"/>
        </w:rPr>
      </w:pPr>
      <w:r w:rsidRPr="00F5596D">
        <w:rPr>
          <w:rFonts w:ascii="Calibri" w:eastAsia="Calibri" w:hAnsi="Calibri" w:cs="Calibri"/>
          <w:bCs/>
          <w:sz w:val="18"/>
          <w:szCs w:val="18"/>
          <w:lang w:val="sr-Cyrl-CS"/>
        </w:rPr>
        <w:t>*</w:t>
      </w:r>
      <w:r w:rsidRPr="00F5596D">
        <w:rPr>
          <w:lang w:val="sr-Cyrl-CS"/>
        </w:rPr>
        <w:t xml:space="preserve"> </w:t>
      </w:r>
      <w:r w:rsidRPr="00F5596D">
        <w:rPr>
          <w:rFonts w:ascii="Calibri" w:eastAsia="Calibri" w:hAnsi="Calibri" w:cs="Calibri"/>
          <w:bCs/>
          <w:sz w:val="18"/>
          <w:szCs w:val="18"/>
          <w:lang w:val="sr-Cyrl-CS"/>
        </w:rPr>
        <w:t xml:space="preserve">укључена и средства за </w:t>
      </w:r>
      <w:r w:rsidRPr="00F5596D">
        <w:rPr>
          <w:rFonts w:ascii="Calibri" w:eastAsia="Calibri" w:hAnsi="Calibri" w:cs="Calibri"/>
          <w:bCs/>
          <w:i/>
          <w:sz w:val="18"/>
          <w:szCs w:val="18"/>
          <w:lang w:val="sr-Cyrl-CS"/>
        </w:rPr>
        <w:t>buy-back</w:t>
      </w:r>
      <w:r w:rsidRPr="00F5596D">
        <w:rPr>
          <w:rFonts w:ascii="Calibri" w:eastAsia="Calibri" w:hAnsi="Calibri" w:cs="Calibri"/>
          <w:bCs/>
          <w:sz w:val="18"/>
          <w:szCs w:val="18"/>
          <w:lang w:val="sr-Cyrl-CS"/>
        </w:rPr>
        <w:t xml:space="preserve"> операције</w:t>
      </w:r>
    </w:p>
    <w:p w14:paraId="50EFC83A" w14:textId="1F178B99"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31</w:t>
      </w:r>
      <w:r w:rsidR="008D31CC" w:rsidRPr="00F5596D">
        <w:rPr>
          <w:rFonts w:ascii="Calibri" w:eastAsia="Calibri" w:hAnsi="Calibri" w:cs="Times New Roman"/>
          <w:b/>
          <w:color w:val="002060"/>
          <w:lang w:val="sr-Cyrl-CS"/>
        </w:rPr>
        <w:t>. Пројекције отплате камата и главница до 2028. године (% 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8D31CC" w:rsidRPr="00F5596D" w14:paraId="6C43CB1A" w14:textId="77777777" w:rsidTr="008D31CC">
        <w:trPr>
          <w:cnfStyle w:val="100000000000" w:firstRow="1" w:lastRow="0" w:firstColumn="0" w:lastColumn="0" w:oddVBand="0" w:evenVBand="0" w:oddHBand="0" w:evenHBand="0" w:firstRowFirstColumn="0" w:firstRowLastColumn="0" w:lastRowFirstColumn="0" w:lastRowLastColumn="0"/>
          <w:trHeight w:val="220"/>
        </w:trPr>
        <w:tc>
          <w:tcPr>
            <w:tcW w:w="2644" w:type="pct"/>
            <w:tcBorders>
              <w:top w:val="single" w:sz="4" w:space="0" w:color="002060"/>
              <w:bottom w:val="single" w:sz="4" w:space="0" w:color="FFFFFF" w:themeColor="background1"/>
            </w:tcBorders>
            <w:noWrap/>
            <w:hideMark/>
          </w:tcPr>
          <w:p w14:paraId="19E1341C"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 </w:t>
            </w:r>
          </w:p>
        </w:tc>
        <w:tc>
          <w:tcPr>
            <w:tcW w:w="589" w:type="pct"/>
            <w:tcBorders>
              <w:top w:val="single" w:sz="4" w:space="0" w:color="002060"/>
              <w:bottom w:val="single" w:sz="4" w:space="0" w:color="002060"/>
            </w:tcBorders>
            <w:noWrap/>
            <w:hideMark/>
          </w:tcPr>
          <w:p w14:paraId="6F98E43F"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2025 п</w:t>
            </w:r>
          </w:p>
        </w:tc>
        <w:tc>
          <w:tcPr>
            <w:tcW w:w="589" w:type="pct"/>
            <w:tcBorders>
              <w:top w:val="single" w:sz="4" w:space="0" w:color="002060"/>
              <w:bottom w:val="single" w:sz="4" w:space="0" w:color="002060"/>
            </w:tcBorders>
            <w:noWrap/>
            <w:hideMark/>
          </w:tcPr>
          <w:p w14:paraId="57792911"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2026 п</w:t>
            </w:r>
          </w:p>
        </w:tc>
        <w:tc>
          <w:tcPr>
            <w:tcW w:w="589" w:type="pct"/>
            <w:tcBorders>
              <w:top w:val="single" w:sz="4" w:space="0" w:color="002060"/>
              <w:bottom w:val="single" w:sz="4" w:space="0" w:color="002060"/>
            </w:tcBorders>
            <w:noWrap/>
            <w:hideMark/>
          </w:tcPr>
          <w:p w14:paraId="5E294578"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2027 п</w:t>
            </w:r>
          </w:p>
        </w:tc>
        <w:tc>
          <w:tcPr>
            <w:tcW w:w="589" w:type="pct"/>
            <w:tcBorders>
              <w:top w:val="single" w:sz="4" w:space="0" w:color="002060"/>
              <w:bottom w:val="single" w:sz="4" w:space="0" w:color="002060"/>
            </w:tcBorders>
            <w:noWrap/>
            <w:hideMark/>
          </w:tcPr>
          <w:p w14:paraId="705AF3B1"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2028 п</w:t>
            </w:r>
          </w:p>
        </w:tc>
      </w:tr>
      <w:tr w:rsidR="008D31CC" w:rsidRPr="00F5596D" w14:paraId="4371B96B" w14:textId="77777777" w:rsidTr="008D31CC">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nil"/>
            </w:tcBorders>
            <w:shd w:val="clear" w:color="auto" w:fill="E7E6E6" w:themeFill="background2"/>
            <w:noWrap/>
            <w:hideMark/>
          </w:tcPr>
          <w:p w14:paraId="7FD3A3BF"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Главница</w:t>
            </w:r>
          </w:p>
        </w:tc>
        <w:tc>
          <w:tcPr>
            <w:tcW w:w="589" w:type="pct"/>
            <w:tcBorders>
              <w:top w:val="nil"/>
              <w:bottom w:val="nil"/>
            </w:tcBorders>
            <w:shd w:val="clear" w:color="auto" w:fill="E7E6E6" w:themeFill="background2"/>
            <w:noWrap/>
            <w:hideMark/>
          </w:tcPr>
          <w:p w14:paraId="753DC79A"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5,1%</w:t>
            </w:r>
          </w:p>
        </w:tc>
        <w:tc>
          <w:tcPr>
            <w:tcW w:w="589" w:type="pct"/>
            <w:tcBorders>
              <w:top w:val="nil"/>
              <w:bottom w:val="nil"/>
            </w:tcBorders>
            <w:shd w:val="clear" w:color="auto" w:fill="E7E6E6" w:themeFill="background2"/>
            <w:noWrap/>
            <w:hideMark/>
          </w:tcPr>
          <w:p w14:paraId="5E1F4A77"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7,3%</w:t>
            </w:r>
          </w:p>
        </w:tc>
        <w:tc>
          <w:tcPr>
            <w:tcW w:w="589" w:type="pct"/>
            <w:tcBorders>
              <w:top w:val="nil"/>
              <w:bottom w:val="nil"/>
            </w:tcBorders>
            <w:shd w:val="clear" w:color="auto" w:fill="E7E6E6" w:themeFill="background2"/>
            <w:noWrap/>
            <w:hideMark/>
          </w:tcPr>
          <w:p w14:paraId="7178AA3E"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6,2%</w:t>
            </w:r>
          </w:p>
        </w:tc>
        <w:tc>
          <w:tcPr>
            <w:tcW w:w="589" w:type="pct"/>
            <w:tcBorders>
              <w:top w:val="nil"/>
              <w:bottom w:val="nil"/>
            </w:tcBorders>
            <w:shd w:val="clear" w:color="auto" w:fill="E7E6E6" w:themeFill="background2"/>
            <w:noWrap/>
            <w:hideMark/>
          </w:tcPr>
          <w:p w14:paraId="3D2805C2"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6,0%</w:t>
            </w:r>
          </w:p>
        </w:tc>
      </w:tr>
      <w:tr w:rsidR="008D31CC" w:rsidRPr="00F5596D" w14:paraId="15EA9D54" w14:textId="77777777" w:rsidTr="008D31CC">
        <w:trPr>
          <w:trHeight w:val="220"/>
        </w:trPr>
        <w:tc>
          <w:tcPr>
            <w:tcW w:w="2644" w:type="pct"/>
            <w:tcBorders>
              <w:top w:val="nil"/>
              <w:left w:val="nil"/>
              <w:bottom w:val="nil"/>
              <w:right w:val="nil"/>
            </w:tcBorders>
            <w:noWrap/>
            <w:hideMark/>
          </w:tcPr>
          <w:p w14:paraId="7CE324D2"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bCs/>
                <w:color w:val="002060"/>
                <w:sz w:val="18"/>
                <w:szCs w:val="18"/>
                <w:lang w:val="sr-Cyrl-CS"/>
              </w:rPr>
              <w:t>Камата</w:t>
            </w:r>
          </w:p>
        </w:tc>
        <w:tc>
          <w:tcPr>
            <w:tcW w:w="589" w:type="pct"/>
            <w:tcBorders>
              <w:top w:val="nil"/>
              <w:left w:val="nil"/>
              <w:bottom w:val="nil"/>
              <w:right w:val="nil"/>
            </w:tcBorders>
            <w:noWrap/>
            <w:hideMark/>
          </w:tcPr>
          <w:p w14:paraId="31087C2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2,1%</w:t>
            </w:r>
          </w:p>
        </w:tc>
        <w:tc>
          <w:tcPr>
            <w:tcW w:w="589" w:type="pct"/>
            <w:tcBorders>
              <w:top w:val="nil"/>
              <w:left w:val="nil"/>
              <w:bottom w:val="nil"/>
              <w:right w:val="nil"/>
            </w:tcBorders>
            <w:noWrap/>
            <w:hideMark/>
          </w:tcPr>
          <w:p w14:paraId="2D8FEBB7"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2,1%</w:t>
            </w:r>
          </w:p>
        </w:tc>
        <w:tc>
          <w:tcPr>
            <w:tcW w:w="589" w:type="pct"/>
            <w:tcBorders>
              <w:top w:val="nil"/>
              <w:left w:val="nil"/>
              <w:bottom w:val="nil"/>
              <w:right w:val="nil"/>
            </w:tcBorders>
            <w:noWrap/>
            <w:hideMark/>
          </w:tcPr>
          <w:p w14:paraId="05529583"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2,0%</w:t>
            </w:r>
          </w:p>
        </w:tc>
        <w:tc>
          <w:tcPr>
            <w:tcW w:w="589" w:type="pct"/>
            <w:tcBorders>
              <w:top w:val="nil"/>
              <w:left w:val="nil"/>
              <w:bottom w:val="nil"/>
              <w:right w:val="nil"/>
            </w:tcBorders>
            <w:noWrap/>
            <w:hideMark/>
          </w:tcPr>
          <w:p w14:paraId="4C3E87C0"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1,9%</w:t>
            </w:r>
          </w:p>
        </w:tc>
      </w:tr>
      <w:tr w:rsidR="008D31CC" w:rsidRPr="00F5596D" w14:paraId="55784565" w14:textId="77777777" w:rsidTr="008D31CC">
        <w:trPr>
          <w:cnfStyle w:val="000000100000" w:firstRow="0" w:lastRow="0" w:firstColumn="0" w:lastColumn="0" w:oddVBand="0" w:evenVBand="0" w:oddHBand="1" w:evenHBand="0" w:firstRowFirstColumn="0" w:firstRowLastColumn="0" w:lastRowFirstColumn="0" w:lastRowLastColumn="0"/>
          <w:trHeight w:val="220"/>
        </w:trPr>
        <w:tc>
          <w:tcPr>
            <w:tcW w:w="2644" w:type="pct"/>
            <w:tcBorders>
              <w:top w:val="nil"/>
              <w:bottom w:val="single" w:sz="4" w:space="0" w:color="002060"/>
            </w:tcBorders>
            <w:shd w:val="clear" w:color="auto" w:fill="E7E6E6" w:themeFill="background2"/>
            <w:noWrap/>
            <w:hideMark/>
          </w:tcPr>
          <w:p w14:paraId="64A26B6B"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Укупно</w:t>
            </w:r>
          </w:p>
        </w:tc>
        <w:tc>
          <w:tcPr>
            <w:tcW w:w="589" w:type="pct"/>
            <w:tcBorders>
              <w:top w:val="nil"/>
              <w:bottom w:val="single" w:sz="4" w:space="0" w:color="002060"/>
            </w:tcBorders>
            <w:shd w:val="clear" w:color="auto" w:fill="E7E6E6" w:themeFill="background2"/>
            <w:noWrap/>
            <w:hideMark/>
          </w:tcPr>
          <w:p w14:paraId="45FFC1C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7,2%</w:t>
            </w:r>
          </w:p>
        </w:tc>
        <w:tc>
          <w:tcPr>
            <w:tcW w:w="589" w:type="pct"/>
            <w:tcBorders>
              <w:top w:val="nil"/>
              <w:bottom w:val="single" w:sz="4" w:space="0" w:color="002060"/>
            </w:tcBorders>
            <w:shd w:val="clear" w:color="auto" w:fill="E7E6E6" w:themeFill="background2"/>
            <w:noWrap/>
            <w:hideMark/>
          </w:tcPr>
          <w:p w14:paraId="7FBA14A8"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9,4%</w:t>
            </w:r>
          </w:p>
        </w:tc>
        <w:tc>
          <w:tcPr>
            <w:tcW w:w="589" w:type="pct"/>
            <w:tcBorders>
              <w:top w:val="nil"/>
              <w:bottom w:val="single" w:sz="4" w:space="0" w:color="002060"/>
            </w:tcBorders>
            <w:shd w:val="clear" w:color="auto" w:fill="E7E6E6" w:themeFill="background2"/>
            <w:noWrap/>
            <w:hideMark/>
          </w:tcPr>
          <w:p w14:paraId="20B76CAA"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8,1%</w:t>
            </w:r>
          </w:p>
        </w:tc>
        <w:tc>
          <w:tcPr>
            <w:tcW w:w="589" w:type="pct"/>
            <w:tcBorders>
              <w:top w:val="nil"/>
              <w:bottom w:val="single" w:sz="4" w:space="0" w:color="002060"/>
            </w:tcBorders>
            <w:shd w:val="clear" w:color="auto" w:fill="E7E6E6" w:themeFill="background2"/>
            <w:noWrap/>
            <w:hideMark/>
          </w:tcPr>
          <w:p w14:paraId="37D08482"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7,9%</w:t>
            </w:r>
          </w:p>
        </w:tc>
      </w:tr>
    </w:tbl>
    <w:p w14:paraId="020B0930" w14:textId="77777777" w:rsidR="008D31CC" w:rsidRPr="00F5596D" w:rsidRDefault="008D31CC" w:rsidP="008D31CC">
      <w:pPr>
        <w:rPr>
          <w:rFonts w:ascii="Calibri" w:eastAsia="Calibri" w:hAnsi="Calibri" w:cs="Calibri"/>
          <w:bCs/>
          <w:szCs w:val="72"/>
          <w:lang w:val="sr-Cyrl-CS"/>
        </w:rPr>
        <w:sectPr w:rsidR="008D31CC" w:rsidRPr="00F5596D" w:rsidSect="008D31CC">
          <w:headerReference w:type="even" r:id="rId223"/>
          <w:footerReference w:type="even" r:id="rId224"/>
          <w:footerReference w:type="default" r:id="rId225"/>
          <w:footerReference w:type="first" r:id="rId226"/>
          <w:type w:val="continuous"/>
          <w:pgSz w:w="12240" w:h="15840" w:code="1"/>
          <w:pgMar w:top="1440" w:right="1440" w:bottom="1440" w:left="1440" w:header="720" w:footer="720" w:gutter="0"/>
          <w:cols w:space="720"/>
          <w:titlePg/>
          <w:docGrid w:linePitch="360"/>
        </w:sectPr>
      </w:pPr>
    </w:p>
    <w:p w14:paraId="7C6C3393" w14:textId="5696AF66"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Планирани износи за отплату камата и главница, на централном нивоу државе, укључују и средства за </w:t>
      </w:r>
      <w:r w:rsidRPr="00F5596D">
        <w:rPr>
          <w:rFonts w:ascii="Calibri" w:eastAsia="Calibri" w:hAnsi="Calibri" w:cs="Calibri"/>
          <w:bCs/>
          <w:i/>
          <w:szCs w:val="72"/>
          <w:lang w:val="sr-Cyrl-CS"/>
        </w:rPr>
        <w:t>buy-back</w:t>
      </w:r>
      <w:r w:rsidRPr="00F5596D">
        <w:rPr>
          <w:rFonts w:ascii="Calibri" w:eastAsia="Calibri" w:hAnsi="Calibri" w:cs="Calibri"/>
          <w:bCs/>
          <w:szCs w:val="72"/>
          <w:lang w:val="sr-Cyrl-CS"/>
        </w:rPr>
        <w:t xml:space="preserve"> операције, тј. превремену отплату </w:t>
      </w:r>
      <w:r w:rsidRPr="00F5596D">
        <w:rPr>
          <w:rFonts w:ascii="Calibri" w:eastAsia="Calibri" w:hAnsi="Calibri" w:cs="Calibri"/>
          <w:bCs/>
          <w:szCs w:val="72"/>
          <w:lang w:val="sr-Cyrl-CS"/>
        </w:rPr>
        <w:t xml:space="preserve">дуга, како би се скупљи дуг заменио јефтинијим, као и премије осигурања на </w:t>
      </w:r>
      <w:r w:rsidR="00DF4358">
        <w:rPr>
          <w:rFonts w:ascii="Calibri" w:eastAsia="Calibri" w:hAnsi="Calibri" w:cs="Calibri"/>
          <w:bCs/>
          <w:szCs w:val="72"/>
          <w:lang w:val="sr-Cyrl-CS"/>
        </w:rPr>
        <w:t>експо</w:t>
      </w:r>
      <w:r w:rsidRPr="00F5596D">
        <w:rPr>
          <w:rFonts w:ascii="Calibri" w:eastAsia="Calibri" w:hAnsi="Calibri" w:cs="Calibri"/>
          <w:bCs/>
          <w:szCs w:val="72"/>
          <w:lang w:val="sr-Cyrl-CS"/>
        </w:rPr>
        <w:t>ртне кредите.</w:t>
      </w:r>
    </w:p>
    <w:p w14:paraId="4AC4AA80"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lastRenderedPageBreak/>
        <w:t>Пројекција стања јавног дуга сектора државе у периоду 2025–2028. године</w:t>
      </w:r>
    </w:p>
    <w:p w14:paraId="75CDBF9F" w14:textId="77777777" w:rsidR="008D31CC" w:rsidRPr="00F5596D" w:rsidRDefault="008D31CC" w:rsidP="008D31CC">
      <w:pPr>
        <w:spacing w:after="0"/>
        <w:rPr>
          <w:rFonts w:ascii="Calibri" w:eastAsia="Calibri" w:hAnsi="Calibri" w:cs="Calibri"/>
          <w:bCs/>
          <w:szCs w:val="72"/>
          <w:lang w:val="sr-Cyrl-CS"/>
        </w:rPr>
      </w:pPr>
      <w:r w:rsidRPr="00F5596D">
        <w:rPr>
          <w:rFonts w:ascii="Calibri" w:eastAsia="Calibri" w:hAnsi="Calibri" w:cs="Calibri"/>
          <w:bCs/>
          <w:szCs w:val="72"/>
          <w:lang w:val="sr-Cyrl-CS"/>
        </w:rPr>
        <w:t xml:space="preserve">Имајући у виду пројектовани примарни резултат буџета Републике Србије за период 2025–2028. године, укључујући и обим повлачења кредитних средстава за пројектно финансирање од буџетских </w:t>
      </w:r>
      <w:r w:rsidRPr="00F5596D">
        <w:rPr>
          <w:rFonts w:ascii="Calibri" w:eastAsia="Calibri" w:hAnsi="Calibri" w:cs="Calibri"/>
          <w:bCs/>
          <w:szCs w:val="72"/>
          <w:lang w:val="sr-Cyrl-CS"/>
        </w:rPr>
        <w:t>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45,7% БДП на крају 2028. године.</w:t>
      </w:r>
    </w:p>
    <w:p w14:paraId="535E7FE4" w14:textId="06A8E491" w:rsidR="008D31CC" w:rsidRPr="00F5596D" w:rsidRDefault="008D31CC" w:rsidP="009058F6">
      <w:pPr>
        <w:spacing w:line="256" w:lineRule="auto"/>
        <w:rPr>
          <w:rFonts w:ascii="Calibri" w:eastAsia="Calibri" w:hAnsi="Calibri" w:cs="Calibri"/>
          <w:bCs/>
          <w:szCs w:val="72"/>
          <w:lang w:val="sr-Cyrl-CS"/>
        </w:rPr>
      </w:pPr>
    </w:p>
    <w:p w14:paraId="185546CD" w14:textId="77777777" w:rsidR="009058F6" w:rsidRPr="00F5596D" w:rsidRDefault="009058F6" w:rsidP="009058F6">
      <w:pPr>
        <w:spacing w:line="256" w:lineRule="auto"/>
        <w:rPr>
          <w:rFonts w:ascii="Calibri" w:eastAsia="Calibri" w:hAnsi="Calibri" w:cs="Times New Roman"/>
          <w:b/>
          <w:color w:val="002060"/>
          <w:lang w:val="sr-Cyrl-CS"/>
        </w:rPr>
        <w:sectPr w:rsidR="009058F6" w:rsidRPr="00F5596D" w:rsidSect="008D31CC">
          <w:type w:val="continuous"/>
          <w:pgSz w:w="12240" w:h="15840" w:code="1"/>
          <w:pgMar w:top="1440" w:right="1440" w:bottom="1440" w:left="1440" w:header="720" w:footer="720" w:gutter="0"/>
          <w:cols w:num="2" w:space="720"/>
          <w:titlePg/>
          <w:docGrid w:linePitch="360"/>
        </w:sectPr>
      </w:pPr>
    </w:p>
    <w:p w14:paraId="6B5D3A3F" w14:textId="21AC0BB3"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32</w:t>
      </w:r>
      <w:r w:rsidR="008D31CC" w:rsidRPr="00F5596D">
        <w:rPr>
          <w:rFonts w:ascii="Calibri" w:eastAsia="Calibri" w:hAnsi="Calibri" w:cs="Times New Roman"/>
          <w:b/>
          <w:color w:val="002060"/>
          <w:lang w:val="sr-Cyrl-CS"/>
        </w:rPr>
        <w:t>. Основна пројекција стања јавног дуга сектора државе до 2028.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8D31CC" w:rsidRPr="00F5596D" w14:paraId="04A5FD32" w14:textId="77777777" w:rsidTr="008D31CC">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bottom w:val="single" w:sz="8" w:space="0" w:color="FFFFFF" w:themeColor="background1"/>
            </w:tcBorders>
            <w:noWrap/>
            <w:hideMark/>
          </w:tcPr>
          <w:p w14:paraId="72907CB8" w14:textId="77777777" w:rsidR="008D31CC" w:rsidRPr="00F5596D" w:rsidRDefault="008D31CC" w:rsidP="008D31CC">
            <w:pPr>
              <w:spacing w:line="256" w:lineRule="auto"/>
              <w:rPr>
                <w:rFonts w:ascii="Calibri" w:hAnsi="Calibri"/>
                <w:color w:val="002060"/>
                <w:lang w:val="sr-Cyrl-CS"/>
              </w:rPr>
            </w:pPr>
          </w:p>
        </w:tc>
        <w:tc>
          <w:tcPr>
            <w:tcW w:w="569" w:type="pct"/>
            <w:tcBorders>
              <w:top w:val="single" w:sz="4" w:space="0" w:color="002060"/>
              <w:bottom w:val="single" w:sz="4" w:space="0" w:color="002060"/>
            </w:tcBorders>
            <w:noWrap/>
            <w:hideMark/>
          </w:tcPr>
          <w:p w14:paraId="2C0D862C"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2025 п</w:t>
            </w:r>
          </w:p>
        </w:tc>
        <w:tc>
          <w:tcPr>
            <w:tcW w:w="569" w:type="pct"/>
            <w:tcBorders>
              <w:top w:val="single" w:sz="4" w:space="0" w:color="002060"/>
              <w:bottom w:val="single" w:sz="4" w:space="0" w:color="002060"/>
            </w:tcBorders>
            <w:noWrap/>
            <w:hideMark/>
          </w:tcPr>
          <w:p w14:paraId="1DE10C0B"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2026 п</w:t>
            </w:r>
          </w:p>
        </w:tc>
        <w:tc>
          <w:tcPr>
            <w:tcW w:w="569" w:type="pct"/>
            <w:tcBorders>
              <w:top w:val="single" w:sz="4" w:space="0" w:color="002060"/>
              <w:bottom w:val="single" w:sz="4" w:space="0" w:color="002060"/>
            </w:tcBorders>
            <w:noWrap/>
            <w:hideMark/>
          </w:tcPr>
          <w:p w14:paraId="5D97D577"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2027 п</w:t>
            </w:r>
          </w:p>
        </w:tc>
        <w:tc>
          <w:tcPr>
            <w:tcW w:w="569" w:type="pct"/>
            <w:tcBorders>
              <w:top w:val="single" w:sz="4" w:space="0" w:color="002060"/>
              <w:bottom w:val="single" w:sz="4" w:space="0" w:color="002060"/>
            </w:tcBorders>
            <w:noWrap/>
            <w:hideMark/>
          </w:tcPr>
          <w:p w14:paraId="24E51D69" w14:textId="77777777" w:rsidR="008D31CC" w:rsidRPr="00F5596D" w:rsidRDefault="008D31CC" w:rsidP="008D31CC">
            <w:pPr>
              <w:jc w:val="right"/>
              <w:rPr>
                <w:rFonts w:ascii="Calibri" w:hAnsi="Calibri" w:cs="Calibri"/>
                <w:color w:val="002060"/>
                <w:sz w:val="18"/>
                <w:szCs w:val="18"/>
                <w:lang w:val="sr-Cyrl-CS"/>
              </w:rPr>
            </w:pPr>
            <w:r w:rsidRPr="00F5596D">
              <w:rPr>
                <w:rFonts w:ascii="Calibri" w:hAnsi="Calibri" w:cs="Calibri"/>
                <w:color w:val="002060"/>
                <w:sz w:val="18"/>
                <w:szCs w:val="18"/>
                <w:lang w:val="sr-Cyrl-CS"/>
              </w:rPr>
              <w:t>2028 п</w:t>
            </w:r>
          </w:p>
        </w:tc>
      </w:tr>
      <w:tr w:rsidR="008D31CC" w:rsidRPr="00F5596D" w14:paraId="332EE99A" w14:textId="77777777" w:rsidTr="008D31CC">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noWrap/>
            <w:hideMark/>
          </w:tcPr>
          <w:p w14:paraId="6EEF158B" w14:textId="77777777" w:rsidR="008D31CC" w:rsidRPr="00F5596D" w:rsidRDefault="008D31CC" w:rsidP="008D31CC">
            <w:pPr>
              <w:spacing w:line="240" w:lineRule="auto"/>
              <w:rPr>
                <w:rFonts w:ascii="Calibri" w:hAnsi="Calibri" w:cs="Calibri"/>
                <w:bCs/>
                <w:color w:val="44546A"/>
                <w:sz w:val="18"/>
                <w:szCs w:val="18"/>
                <w:lang w:val="sr-Cyrl-CS"/>
              </w:rPr>
            </w:pPr>
            <w:r w:rsidRPr="00F5596D">
              <w:rPr>
                <w:rFonts w:ascii="Calibri" w:hAnsi="Calibri" w:cs="Calibri"/>
                <w:bCs/>
                <w:color w:val="002060"/>
                <w:sz w:val="18"/>
                <w:szCs w:val="18"/>
                <w:lang w:val="sr-Cyrl-CS"/>
              </w:rPr>
              <w:t>Јавни дуг (централни ниво власти), млрд РСД</w:t>
            </w:r>
          </w:p>
        </w:tc>
        <w:tc>
          <w:tcPr>
            <w:tcW w:w="569" w:type="pct"/>
            <w:tcBorders>
              <w:top w:val="single" w:sz="4" w:space="0" w:color="002060"/>
              <w:bottom w:val="nil"/>
            </w:tcBorders>
            <w:shd w:val="clear" w:color="auto" w:fill="E7E6E6" w:themeFill="background2"/>
            <w:noWrap/>
            <w:hideMark/>
          </w:tcPr>
          <w:p w14:paraId="651A600B"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4.779,9</w:t>
            </w:r>
          </w:p>
        </w:tc>
        <w:tc>
          <w:tcPr>
            <w:tcW w:w="569" w:type="pct"/>
            <w:tcBorders>
              <w:top w:val="single" w:sz="4" w:space="0" w:color="002060"/>
              <w:bottom w:val="nil"/>
            </w:tcBorders>
            <w:shd w:val="clear" w:color="auto" w:fill="E7E6E6" w:themeFill="background2"/>
            <w:noWrap/>
            <w:hideMark/>
          </w:tcPr>
          <w:p w14:paraId="3FE36B39"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5.108,9</w:t>
            </w:r>
          </w:p>
        </w:tc>
        <w:tc>
          <w:tcPr>
            <w:tcW w:w="569" w:type="pct"/>
            <w:tcBorders>
              <w:top w:val="single" w:sz="4" w:space="0" w:color="002060"/>
              <w:bottom w:val="nil"/>
            </w:tcBorders>
            <w:shd w:val="clear" w:color="auto" w:fill="E7E6E6" w:themeFill="background2"/>
            <w:noWrap/>
            <w:hideMark/>
          </w:tcPr>
          <w:p w14:paraId="129552C2"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5.496,9</w:t>
            </w:r>
          </w:p>
        </w:tc>
        <w:tc>
          <w:tcPr>
            <w:tcW w:w="569" w:type="pct"/>
            <w:tcBorders>
              <w:top w:val="single" w:sz="4" w:space="0" w:color="002060"/>
              <w:bottom w:val="nil"/>
            </w:tcBorders>
            <w:shd w:val="clear" w:color="auto" w:fill="E7E6E6" w:themeFill="background2"/>
            <w:noWrap/>
            <w:hideMark/>
          </w:tcPr>
          <w:p w14:paraId="0594A948"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5.829,9</w:t>
            </w:r>
          </w:p>
        </w:tc>
      </w:tr>
      <w:tr w:rsidR="008D31CC" w:rsidRPr="00F5596D" w14:paraId="3E850252" w14:textId="77777777" w:rsidTr="008D31CC">
        <w:trPr>
          <w:trHeight w:val="20"/>
        </w:trPr>
        <w:tc>
          <w:tcPr>
            <w:tcW w:w="2724" w:type="pct"/>
            <w:tcBorders>
              <w:top w:val="nil"/>
              <w:left w:val="nil"/>
              <w:bottom w:val="nil"/>
              <w:right w:val="nil"/>
            </w:tcBorders>
            <w:hideMark/>
          </w:tcPr>
          <w:p w14:paraId="29C4867F"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Дуг централне државе, у % БДП</w:t>
            </w:r>
          </w:p>
        </w:tc>
        <w:tc>
          <w:tcPr>
            <w:tcW w:w="569" w:type="pct"/>
            <w:tcBorders>
              <w:top w:val="nil"/>
              <w:left w:val="nil"/>
              <w:bottom w:val="nil"/>
              <w:right w:val="nil"/>
            </w:tcBorders>
            <w:noWrap/>
            <w:hideMark/>
          </w:tcPr>
          <w:p w14:paraId="73688FE6"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46,3%</w:t>
            </w:r>
          </w:p>
        </w:tc>
        <w:tc>
          <w:tcPr>
            <w:tcW w:w="569" w:type="pct"/>
            <w:tcBorders>
              <w:top w:val="nil"/>
              <w:left w:val="nil"/>
              <w:bottom w:val="nil"/>
              <w:right w:val="nil"/>
            </w:tcBorders>
            <w:noWrap/>
            <w:hideMark/>
          </w:tcPr>
          <w:p w14:paraId="0D655BA0"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46,0%</w:t>
            </w:r>
          </w:p>
        </w:tc>
        <w:tc>
          <w:tcPr>
            <w:tcW w:w="569" w:type="pct"/>
            <w:tcBorders>
              <w:top w:val="nil"/>
              <w:left w:val="nil"/>
              <w:bottom w:val="nil"/>
              <w:right w:val="nil"/>
            </w:tcBorders>
            <w:noWrap/>
            <w:hideMark/>
          </w:tcPr>
          <w:p w14:paraId="0478C05A"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45,8%</w:t>
            </w:r>
          </w:p>
        </w:tc>
        <w:tc>
          <w:tcPr>
            <w:tcW w:w="569" w:type="pct"/>
            <w:tcBorders>
              <w:top w:val="nil"/>
              <w:left w:val="nil"/>
              <w:bottom w:val="nil"/>
              <w:right w:val="nil"/>
            </w:tcBorders>
            <w:noWrap/>
            <w:hideMark/>
          </w:tcPr>
          <w:p w14:paraId="2777EB27"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45,7%</w:t>
            </w:r>
          </w:p>
        </w:tc>
      </w:tr>
      <w:tr w:rsidR="008D31CC" w:rsidRPr="00F5596D" w14:paraId="16CA3352" w14:textId="77777777" w:rsidTr="008D31CC">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hideMark/>
          </w:tcPr>
          <w:p w14:paraId="0FB6E4C0"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Негарантовани дуг јединица локалне самоуправе*, у % БДП</w:t>
            </w:r>
          </w:p>
        </w:tc>
        <w:tc>
          <w:tcPr>
            <w:tcW w:w="569" w:type="pct"/>
            <w:tcBorders>
              <w:top w:val="nil"/>
              <w:bottom w:val="nil"/>
            </w:tcBorders>
            <w:shd w:val="clear" w:color="auto" w:fill="E7E6E6" w:themeFill="background2"/>
            <w:noWrap/>
            <w:hideMark/>
          </w:tcPr>
          <w:p w14:paraId="76724EDF"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0,5%</w:t>
            </w:r>
          </w:p>
        </w:tc>
        <w:tc>
          <w:tcPr>
            <w:tcW w:w="569" w:type="pct"/>
            <w:tcBorders>
              <w:top w:val="nil"/>
              <w:bottom w:val="nil"/>
            </w:tcBorders>
            <w:shd w:val="clear" w:color="auto" w:fill="E7E6E6" w:themeFill="background2"/>
            <w:noWrap/>
            <w:hideMark/>
          </w:tcPr>
          <w:p w14:paraId="1A48B8E6"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0,5%</w:t>
            </w:r>
          </w:p>
        </w:tc>
        <w:tc>
          <w:tcPr>
            <w:tcW w:w="569" w:type="pct"/>
            <w:tcBorders>
              <w:top w:val="nil"/>
              <w:bottom w:val="nil"/>
            </w:tcBorders>
            <w:shd w:val="clear" w:color="auto" w:fill="E7E6E6" w:themeFill="background2"/>
            <w:noWrap/>
            <w:hideMark/>
          </w:tcPr>
          <w:p w14:paraId="72EA1B01"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0,5%</w:t>
            </w:r>
          </w:p>
        </w:tc>
        <w:tc>
          <w:tcPr>
            <w:tcW w:w="569" w:type="pct"/>
            <w:tcBorders>
              <w:top w:val="nil"/>
              <w:bottom w:val="nil"/>
            </w:tcBorders>
            <w:shd w:val="clear" w:color="auto" w:fill="E7E6E6" w:themeFill="background2"/>
            <w:noWrap/>
            <w:hideMark/>
          </w:tcPr>
          <w:p w14:paraId="1A1AF232"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0,5%</w:t>
            </w:r>
          </w:p>
        </w:tc>
      </w:tr>
      <w:tr w:rsidR="008D31CC" w:rsidRPr="00F5596D" w14:paraId="15D62C13" w14:textId="77777777" w:rsidTr="008D31CC">
        <w:trPr>
          <w:trHeight w:val="20"/>
        </w:trPr>
        <w:tc>
          <w:tcPr>
            <w:tcW w:w="2724" w:type="pct"/>
            <w:tcBorders>
              <w:top w:val="nil"/>
              <w:left w:val="nil"/>
              <w:bottom w:val="single" w:sz="4" w:space="0" w:color="002060"/>
              <w:right w:val="nil"/>
            </w:tcBorders>
            <w:hideMark/>
          </w:tcPr>
          <w:p w14:paraId="661F8B62"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Дуг сектора државе, у % БДП</w:t>
            </w:r>
          </w:p>
        </w:tc>
        <w:tc>
          <w:tcPr>
            <w:tcW w:w="569" w:type="pct"/>
            <w:tcBorders>
              <w:top w:val="nil"/>
              <w:left w:val="nil"/>
              <w:bottom w:val="single" w:sz="4" w:space="0" w:color="002060"/>
              <w:right w:val="nil"/>
            </w:tcBorders>
            <w:noWrap/>
            <w:hideMark/>
          </w:tcPr>
          <w:p w14:paraId="63330A16"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46,8%</w:t>
            </w:r>
          </w:p>
        </w:tc>
        <w:tc>
          <w:tcPr>
            <w:tcW w:w="569" w:type="pct"/>
            <w:tcBorders>
              <w:top w:val="nil"/>
              <w:left w:val="nil"/>
              <w:bottom w:val="single" w:sz="4" w:space="0" w:color="002060"/>
              <w:right w:val="nil"/>
            </w:tcBorders>
            <w:noWrap/>
            <w:hideMark/>
          </w:tcPr>
          <w:p w14:paraId="3816E5E1"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46,5%</w:t>
            </w:r>
          </w:p>
        </w:tc>
        <w:tc>
          <w:tcPr>
            <w:tcW w:w="569" w:type="pct"/>
            <w:tcBorders>
              <w:top w:val="nil"/>
              <w:left w:val="nil"/>
              <w:bottom w:val="single" w:sz="4" w:space="0" w:color="002060"/>
              <w:right w:val="nil"/>
            </w:tcBorders>
            <w:noWrap/>
            <w:hideMark/>
          </w:tcPr>
          <w:p w14:paraId="617DB430"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46,3%</w:t>
            </w:r>
          </w:p>
        </w:tc>
        <w:tc>
          <w:tcPr>
            <w:tcW w:w="569" w:type="pct"/>
            <w:tcBorders>
              <w:top w:val="nil"/>
              <w:left w:val="nil"/>
              <w:bottom w:val="single" w:sz="4" w:space="0" w:color="002060"/>
              <w:right w:val="nil"/>
            </w:tcBorders>
            <w:noWrap/>
            <w:hideMark/>
          </w:tcPr>
          <w:p w14:paraId="2E769245" w14:textId="77777777" w:rsidR="008D31CC" w:rsidRPr="00F5596D" w:rsidRDefault="008D31CC" w:rsidP="008D31CC">
            <w:pPr>
              <w:spacing w:line="240" w:lineRule="auto"/>
              <w:jc w:val="right"/>
              <w:rPr>
                <w:rFonts w:ascii="Calibri" w:hAnsi="Calibri" w:cs="Calibri"/>
                <w:bCs/>
                <w:color w:val="002060"/>
                <w:sz w:val="18"/>
                <w:szCs w:val="18"/>
                <w:lang w:val="sr-Cyrl-CS"/>
              </w:rPr>
            </w:pPr>
            <w:r w:rsidRPr="00F5596D">
              <w:rPr>
                <w:rFonts w:ascii="Calibri" w:hAnsi="Calibri" w:cs="Calibri"/>
                <w:bCs/>
                <w:color w:val="002060"/>
                <w:sz w:val="18"/>
                <w:szCs w:val="18"/>
                <w:lang w:val="sr-Cyrl-CS"/>
              </w:rPr>
              <w:t>46,2%</w:t>
            </w:r>
          </w:p>
        </w:tc>
      </w:tr>
    </w:tbl>
    <w:p w14:paraId="5465818F" w14:textId="77777777" w:rsidR="008D31CC" w:rsidRPr="00F5596D" w:rsidRDefault="008D31CC" w:rsidP="008D31CC">
      <w:pPr>
        <w:spacing w:after="240" w:line="240" w:lineRule="auto"/>
        <w:rPr>
          <w:rFonts w:ascii="Calibri" w:eastAsia="Calibri" w:hAnsi="Calibri" w:cs="Calibri"/>
          <w:bCs/>
          <w:sz w:val="18"/>
          <w:szCs w:val="18"/>
          <w:lang w:val="sr-Cyrl-CS"/>
        </w:rPr>
      </w:pPr>
      <w:r w:rsidRPr="00F5596D">
        <w:rPr>
          <w:rFonts w:ascii="Calibri" w:eastAsia="Calibri" w:hAnsi="Calibri" w:cs="Calibri"/>
          <w:bCs/>
          <w:sz w:val="18"/>
          <w:szCs w:val="18"/>
          <w:lang w:val="sr-Cyrl-CS"/>
        </w:rPr>
        <w:t>*</w:t>
      </w:r>
      <w:r w:rsidRPr="00F5596D">
        <w:rPr>
          <w:lang w:val="sr-Cyrl-CS"/>
        </w:rPr>
        <w:t xml:space="preserve"> </w:t>
      </w:r>
      <w:r w:rsidRPr="00F5596D">
        <w:rPr>
          <w:rFonts w:ascii="Calibri" w:eastAsia="Calibri" w:hAnsi="Calibri" w:cs="Calibri"/>
          <w:bCs/>
          <w:sz w:val="18"/>
          <w:szCs w:val="18"/>
          <w:lang w:val="sr-Cyrl-CS"/>
        </w:rPr>
        <w:t>и осталог сектора државе</w:t>
      </w:r>
    </w:p>
    <w:p w14:paraId="55282EAE" w14:textId="77777777" w:rsidR="008D31CC" w:rsidRPr="00F5596D" w:rsidRDefault="008D31CC" w:rsidP="008D31CC">
      <w:pPr>
        <w:rPr>
          <w:rFonts w:ascii="Calibri" w:eastAsia="Calibri" w:hAnsi="Calibri" w:cs="Calibri"/>
          <w:bCs/>
          <w:spacing w:val="-2"/>
          <w:szCs w:val="72"/>
          <w:lang w:val="sr-Cyrl-CS"/>
        </w:rPr>
        <w:sectPr w:rsidR="008D31CC" w:rsidRPr="00F5596D" w:rsidSect="008D31CC">
          <w:type w:val="continuous"/>
          <w:pgSz w:w="12240" w:h="15840" w:code="1"/>
          <w:pgMar w:top="1440" w:right="1440" w:bottom="1440" w:left="1440" w:header="720" w:footer="720" w:gutter="0"/>
          <w:cols w:space="720"/>
          <w:titlePg/>
          <w:docGrid w:linePitch="360"/>
        </w:sectPr>
      </w:pPr>
    </w:p>
    <w:p w14:paraId="019399FD" w14:textId="77777777" w:rsidR="008D31CC" w:rsidRPr="00F5596D" w:rsidRDefault="008D31CC" w:rsidP="008D31CC">
      <w:pPr>
        <w:rPr>
          <w:rFonts w:ascii="Calibri" w:eastAsia="Calibri" w:hAnsi="Calibri" w:cs="Calibri"/>
          <w:bCs/>
          <w:spacing w:val="-2"/>
          <w:szCs w:val="72"/>
          <w:lang w:val="sr-Cyrl-CS"/>
        </w:rPr>
      </w:pPr>
      <w:r w:rsidRPr="00F5596D">
        <w:rPr>
          <w:rFonts w:ascii="Calibri" w:eastAsia="Calibri" w:hAnsi="Calibri" w:cs="Calibri"/>
          <w:bCs/>
          <w:spacing w:val="-2"/>
          <w:szCs w:val="72"/>
          <w:lang w:val="sr-Cyrl-CS"/>
        </w:rPr>
        <w:t>На крају 2025. године очекује се да учешће јавног дуга сектора државе у БДП износи 46,8%. У наредним годинама се очекује пад рација, који би у основном сценарију требало на крају 2026. године да износи 46,5%, на крају 2027. године 46,3%, а на крају 2028. године 46,2%.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Ово је управо једна од тачака где се може видети јасна координација фискалних и развојних циљева. Води се рачуна о одрживости јавног дуга и постепеном паду његовог учешћа у БДП, уз истовремено коришћење новог задуживања за побољшање инфраструктурних услова који доводе до раста БДП, животног стандарда и нових инвестиција. Предвиђа се да ће негарантовани дуг јединица локалне самоуправе и осталог сектора државе у наредном периоду бити на релативно стабилном нивоу од 0,5% БДП.</w:t>
      </w:r>
    </w:p>
    <w:p w14:paraId="16872B0C"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t>Принципи управљања јавним дугом</w:t>
      </w:r>
    </w:p>
    <w:p w14:paraId="5A8B1E4F"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финансирања уз прихватљив ниво ризика. На основу тога, Стратегија управљања јавним дугом Републике Србије дефинише следеће опште циљеве и принципе:</w:t>
      </w:r>
    </w:p>
    <w:p w14:paraId="2616B5D3"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1) Осигурати финансирање фискалног дефицита и редовно сервисирање обавеза по основу јавног дуга Републике Србије;</w:t>
      </w:r>
    </w:p>
    <w:p w14:paraId="504A17D9"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4581C283"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1E0FFDE6"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4) Омогућити транспарентност и предвидивост процеса задуживања.</w:t>
      </w:r>
    </w:p>
    <w:p w14:paraId="668C2004"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Стратегија управљања јавним дугом конзистентна је са општим средњорочним макроекономским и фискалним оквиром.</w:t>
      </w:r>
    </w:p>
    <w:p w14:paraId="28B533E3" w14:textId="77777777" w:rsidR="008D31CC" w:rsidRPr="00F5596D" w:rsidRDefault="008D31CC" w:rsidP="008D31CC">
      <w:pPr>
        <w:rPr>
          <w:rFonts w:ascii="Calibri" w:eastAsia="Calibri" w:hAnsi="Calibri" w:cs="Calibri"/>
          <w:bCs/>
          <w:spacing w:val="-2"/>
          <w:szCs w:val="72"/>
          <w:lang w:val="sr-Cyrl-CS"/>
        </w:rPr>
      </w:pPr>
      <w:r w:rsidRPr="00F5596D">
        <w:rPr>
          <w:rFonts w:ascii="Calibri" w:eastAsia="Calibri" w:hAnsi="Calibri" w:cs="Calibri"/>
          <w:bCs/>
          <w:spacing w:val="-2"/>
          <w:szCs w:val="72"/>
          <w:lang w:val="sr-Cyrl-CS"/>
        </w:rPr>
        <w:t xml:space="preserve">Стратегија управљања јавним дугом у наредном средњорочном периоду базира се на финансирању дефицита и главнице дуга буџета Републике Србије путем емисија државних хартија од вредности на домаћем и међународном тржишту капитала како би било испуњено редовно сервисирање обавеза. Флексибилност ће се огледати у домену избора тржишта на коме ће се вршити задуживање, валуте задуживања и инструмената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w:t>
      </w:r>
      <w:r w:rsidRPr="00F5596D">
        <w:rPr>
          <w:rFonts w:ascii="Calibri" w:eastAsia="Calibri" w:hAnsi="Calibri" w:cs="Calibri"/>
          <w:bCs/>
          <w:spacing w:val="-2"/>
          <w:szCs w:val="72"/>
          <w:lang w:val="sr-Cyrl-CS"/>
        </w:rPr>
        <w:lastRenderedPageBreak/>
        <w:t>референтних валута) и прихватљив ниво изложености финансијским ризицима.</w:t>
      </w:r>
    </w:p>
    <w:p w14:paraId="4A945DA9"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Циљ је да се у наредном дугорочном периоду финансирање обавља пре свега емитовањем динарских хартија од вредности на домаћем тржишту. Део финансирања може бити обезбеђен и на међународном финансијском тржишту у средњорочном периоду. Успостављање </w:t>
      </w:r>
      <w:r w:rsidRPr="00F5596D">
        <w:rPr>
          <w:rFonts w:ascii="Calibri" w:eastAsia="Calibri" w:hAnsi="Calibri" w:cs="Calibri"/>
          <w:bCs/>
          <w:i/>
          <w:szCs w:val="72"/>
          <w:lang w:val="sr-Cyrl-CS"/>
        </w:rPr>
        <w:t>GMTN</w:t>
      </w:r>
      <w:r w:rsidRPr="00F5596D">
        <w:rPr>
          <w:rFonts w:ascii="Calibri" w:eastAsia="Calibri" w:hAnsi="Calibri" w:cs="Calibri"/>
          <w:bCs/>
          <w:szCs w:val="72"/>
          <w:lang w:val="sr-Cyrl-CS"/>
        </w:rPr>
        <w:t xml:space="preserve"> програма у 2020. години омогућило је флексибилност у избору финансирања и бржи приступ финансирању на међународном тржишту.</w:t>
      </w:r>
    </w:p>
    <w:p w14:paraId="38DA0033"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Позајмљивање у страној валути, као нпр. у америчким доларима, за собом повлачи и девизни ризик услед промене курса евро – амерички долар, те ће се из тог разлога користити могућност хеџинга.</w:t>
      </w:r>
    </w:p>
    <w:p w14:paraId="1E467C45"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111A3172" w14:textId="77777777" w:rsidR="008D31CC" w:rsidRPr="00F5596D" w:rsidRDefault="008D31CC" w:rsidP="008D31CC">
      <w:pPr>
        <w:rPr>
          <w:color w:val="2F5496" w:themeColor="accent1" w:themeShade="BF"/>
          <w:lang w:val="sr-Cyrl-CS"/>
        </w:rPr>
      </w:pPr>
      <w:r w:rsidRPr="00F5596D">
        <w:rPr>
          <w:rFonts w:ascii="Calibri" w:eastAsia="Calibri" w:hAnsi="Calibri" w:cs="Times New Roman"/>
          <w:b/>
          <w:color w:val="2F5496" w:themeColor="accent1" w:themeShade="BF"/>
          <w:sz w:val="22"/>
          <w:lang w:val="sr-Cyrl-CS"/>
        </w:rPr>
        <w:t>Финансијски ризици и мере за управљање финансијским ризицима</w:t>
      </w:r>
    </w:p>
    <w:p w14:paraId="34E795BE"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Утицај финансијских и фискалних ризика може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33685DC2" w14:textId="77777777" w:rsidR="008D31CC" w:rsidRPr="00F5596D" w:rsidRDefault="008D31CC" w:rsidP="008D31CC">
      <w:pPr>
        <w:spacing w:after="120"/>
        <w:rPr>
          <w:rFonts w:ascii="Calibri" w:eastAsia="Calibri" w:hAnsi="Calibri" w:cs="Calibri"/>
          <w:bCs/>
          <w:szCs w:val="72"/>
          <w:lang w:val="sr-Cyrl-CS"/>
        </w:rPr>
      </w:pPr>
      <w:r w:rsidRPr="00F5596D">
        <w:rPr>
          <w:rFonts w:ascii="Calibri" w:eastAsia="Calibri" w:hAnsi="Calibri" w:cs="Calibri"/>
          <w:bCs/>
          <w:szCs w:val="72"/>
          <w:lang w:val="sr-Cyrl-CS"/>
        </w:rPr>
        <w:t>У циљу смањења изложености финансијским ризицима потребно је спроводити следеће мере:</w:t>
      </w:r>
    </w:p>
    <w:p w14:paraId="45E1BD1C" w14:textId="77777777" w:rsidR="008D31CC" w:rsidRPr="00F5596D" w:rsidRDefault="008D31CC" w:rsidP="008D31CC">
      <w:pPr>
        <w:spacing w:after="60"/>
        <w:rPr>
          <w:rFonts w:ascii="Calibri" w:eastAsia="Calibri" w:hAnsi="Calibri" w:cs="Calibri"/>
          <w:bCs/>
          <w:szCs w:val="72"/>
          <w:lang w:val="sr-Cyrl-CS"/>
        </w:rPr>
      </w:pPr>
      <w:r w:rsidRPr="00F5596D">
        <w:rPr>
          <w:rFonts w:ascii="Calibri" w:eastAsia="Calibri" w:hAnsi="Calibri" w:cs="Calibri"/>
          <w:bCs/>
          <w:szCs w:val="72"/>
          <w:lang w:val="sr-Cyrl-CS"/>
        </w:rPr>
        <w:t>1. ризик рефинансирања</w:t>
      </w:r>
    </w:p>
    <w:p w14:paraId="0020A8A7" w14:textId="77777777" w:rsidR="008D31CC" w:rsidRPr="00F5596D" w:rsidRDefault="008D31CC" w:rsidP="008D31CC">
      <w:pPr>
        <w:numPr>
          <w:ilvl w:val="0"/>
          <w:numId w:val="8"/>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повећање учешћа средњорочних и дугорочних финансијских инструмената деноминованих у динарима на домаћем финансијском тржишту;</w:t>
      </w:r>
    </w:p>
    <w:p w14:paraId="7FF2BB19" w14:textId="77777777" w:rsidR="008D31CC" w:rsidRPr="00F5596D" w:rsidRDefault="008D31CC" w:rsidP="008D31CC">
      <w:pPr>
        <w:numPr>
          <w:ilvl w:val="0"/>
          <w:numId w:val="8"/>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равномерна расподела обавеза по основу јавног дуга на годишњем нивоу у наредном дугорочном периоду;</w:t>
      </w:r>
    </w:p>
    <w:p w14:paraId="1E00A346" w14:textId="77777777" w:rsidR="008D31CC" w:rsidRPr="00F5596D" w:rsidRDefault="008D31CC" w:rsidP="008D31CC">
      <w:pPr>
        <w:numPr>
          <w:ilvl w:val="0"/>
          <w:numId w:val="8"/>
        </w:numPr>
        <w:spacing w:after="120"/>
        <w:ind w:left="181" w:hanging="181"/>
        <w:rPr>
          <w:rFonts w:ascii="Calibri" w:eastAsia="Calibri" w:hAnsi="Calibri" w:cs="Calibri"/>
          <w:bCs/>
          <w:szCs w:val="72"/>
          <w:lang w:val="sr-Cyrl-CS"/>
        </w:rPr>
      </w:pPr>
      <w:r w:rsidRPr="00F5596D">
        <w:rPr>
          <w:rFonts w:ascii="Calibri" w:eastAsia="Calibri" w:hAnsi="Calibri" w:cs="Calibri"/>
          <w:bCs/>
          <w:szCs w:val="72"/>
          <w:lang w:val="sr-Cyrl-CS"/>
        </w:rPr>
        <w:t>продужавање просечне рочности дуга који се емитује у хартијама од вредности;</w:t>
      </w:r>
    </w:p>
    <w:p w14:paraId="19847997" w14:textId="77777777" w:rsidR="008D31CC" w:rsidRPr="00F5596D" w:rsidRDefault="008D31CC" w:rsidP="008D31CC">
      <w:pPr>
        <w:spacing w:after="60"/>
        <w:rPr>
          <w:rFonts w:ascii="Calibri" w:eastAsia="Calibri" w:hAnsi="Calibri" w:cs="Calibri"/>
          <w:bCs/>
          <w:szCs w:val="72"/>
          <w:lang w:val="sr-Cyrl-CS"/>
        </w:rPr>
      </w:pPr>
      <w:r w:rsidRPr="00F5596D">
        <w:rPr>
          <w:rFonts w:ascii="Calibri" w:eastAsia="Calibri" w:hAnsi="Calibri" w:cs="Calibri"/>
          <w:bCs/>
          <w:szCs w:val="72"/>
          <w:lang w:val="sr-Cyrl-CS"/>
        </w:rPr>
        <w:t>2. девизни ризик</w:t>
      </w:r>
    </w:p>
    <w:p w14:paraId="0A396270" w14:textId="77777777" w:rsidR="008D31CC" w:rsidRPr="00F5596D" w:rsidRDefault="008D31CC" w:rsidP="008D31CC">
      <w:pPr>
        <w:numPr>
          <w:ilvl w:val="1"/>
          <w:numId w:val="9"/>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настојање да се смањи учешће дуга деноминованог у ино-валути уз уважавање трошкова новог дуга (трошкови динаризације дуга);</w:t>
      </w:r>
    </w:p>
    <w:p w14:paraId="5682083A" w14:textId="77777777" w:rsidR="008D31CC" w:rsidRPr="00F5596D" w:rsidRDefault="008D31CC" w:rsidP="008D31CC">
      <w:pPr>
        <w:numPr>
          <w:ilvl w:val="1"/>
          <w:numId w:val="9"/>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коришћење финансијских деривата у циљу лимитирања ефеката промене курсева референтних валута;</w:t>
      </w:r>
    </w:p>
    <w:p w14:paraId="558272FC" w14:textId="77777777" w:rsidR="008D31CC" w:rsidRPr="00F5596D" w:rsidRDefault="008D31CC" w:rsidP="008D31CC">
      <w:pPr>
        <w:numPr>
          <w:ilvl w:val="1"/>
          <w:numId w:val="9"/>
        </w:numPr>
        <w:spacing w:after="120"/>
        <w:ind w:left="181" w:hanging="181"/>
        <w:rPr>
          <w:rFonts w:ascii="Calibri" w:eastAsia="Calibri" w:hAnsi="Calibri" w:cs="Calibri"/>
          <w:bCs/>
          <w:szCs w:val="72"/>
          <w:lang w:val="sr-Cyrl-CS"/>
        </w:rPr>
      </w:pPr>
      <w:r w:rsidRPr="00F5596D">
        <w:rPr>
          <w:rFonts w:ascii="Calibri" w:eastAsia="Calibri" w:hAnsi="Calibri" w:cs="Calibri"/>
          <w:bCs/>
          <w:szCs w:val="72"/>
          <w:lang w:val="sr-Cyrl-CS"/>
        </w:rPr>
        <w:t>настојање да спољни дуг буде углавном у еврима и да се доларски дуг користи само ако је финансирање на међународном тржишту у доларима јефтиније уз коришћење финансијских деривата за лимитирање ризика;</w:t>
      </w:r>
    </w:p>
    <w:p w14:paraId="08820631" w14:textId="77777777" w:rsidR="008D31CC" w:rsidRPr="00F5596D" w:rsidRDefault="008D31CC" w:rsidP="008D31CC">
      <w:pPr>
        <w:spacing w:after="60"/>
        <w:ind w:left="181" w:hanging="181"/>
        <w:rPr>
          <w:rFonts w:ascii="Calibri" w:eastAsia="Calibri" w:hAnsi="Calibri" w:cs="Calibri"/>
          <w:bCs/>
          <w:szCs w:val="72"/>
          <w:lang w:val="sr-Cyrl-CS"/>
        </w:rPr>
      </w:pPr>
      <w:r w:rsidRPr="00F5596D">
        <w:rPr>
          <w:rFonts w:ascii="Calibri" w:eastAsia="Calibri" w:hAnsi="Calibri" w:cs="Calibri"/>
          <w:bCs/>
          <w:szCs w:val="72"/>
          <w:lang w:val="sr-Cyrl-CS"/>
        </w:rPr>
        <w:t>3. тржишни ризик (ризик каматних стопа, ризик инфлације)</w:t>
      </w:r>
    </w:p>
    <w:p w14:paraId="7F3434B4" w14:textId="77777777" w:rsidR="008D31CC" w:rsidRPr="00F5596D" w:rsidRDefault="008D31CC" w:rsidP="008D31CC">
      <w:pPr>
        <w:numPr>
          <w:ilvl w:val="1"/>
          <w:numId w:val="10"/>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настојање да се продужи просечна рочност домаћег дуга у динарима;</w:t>
      </w:r>
    </w:p>
    <w:p w14:paraId="10D6D25B" w14:textId="77777777" w:rsidR="008D31CC" w:rsidRPr="00F5596D" w:rsidRDefault="008D31CC" w:rsidP="008D31CC">
      <w:pPr>
        <w:numPr>
          <w:ilvl w:val="1"/>
          <w:numId w:val="10"/>
        </w:numPr>
        <w:spacing w:after="120"/>
        <w:ind w:left="181" w:hanging="181"/>
        <w:rPr>
          <w:rFonts w:ascii="Calibri" w:eastAsia="Calibri" w:hAnsi="Calibri" w:cs="Calibri"/>
          <w:bCs/>
          <w:szCs w:val="72"/>
          <w:lang w:val="sr-Cyrl-CS"/>
        </w:rPr>
      </w:pPr>
      <w:r w:rsidRPr="00F5596D">
        <w:rPr>
          <w:rFonts w:ascii="Calibri" w:eastAsia="Calibri" w:hAnsi="Calibri" w:cs="Calibri"/>
          <w:bCs/>
          <w:szCs w:val="72"/>
          <w:lang w:val="sr-Cyrl-CS"/>
        </w:rPr>
        <w:t>настојање да ризик по основу каматних стопа на спољни дуг не угрожава дугорочни циљ минимизације трошкова јавног дуга;</w:t>
      </w:r>
    </w:p>
    <w:p w14:paraId="1C50B55E" w14:textId="77777777" w:rsidR="008D31CC" w:rsidRPr="00F5596D" w:rsidRDefault="008D31CC" w:rsidP="008D31CC">
      <w:pPr>
        <w:spacing w:after="60"/>
        <w:rPr>
          <w:rFonts w:ascii="Calibri" w:eastAsia="Calibri" w:hAnsi="Calibri" w:cs="Calibri"/>
          <w:bCs/>
          <w:szCs w:val="72"/>
          <w:lang w:val="sr-Cyrl-CS"/>
        </w:rPr>
      </w:pPr>
      <w:r w:rsidRPr="00F5596D">
        <w:rPr>
          <w:rFonts w:ascii="Calibri" w:eastAsia="Calibri" w:hAnsi="Calibri" w:cs="Calibri"/>
          <w:bCs/>
          <w:szCs w:val="72"/>
          <w:lang w:val="sr-Cyrl-CS"/>
        </w:rPr>
        <w:t>4. ризик ликвидности</w:t>
      </w:r>
    </w:p>
    <w:p w14:paraId="5F4A957D" w14:textId="77777777" w:rsidR="008D31CC" w:rsidRPr="00F5596D" w:rsidRDefault="008D31CC" w:rsidP="008D31CC">
      <w:pPr>
        <w:numPr>
          <w:ilvl w:val="1"/>
          <w:numId w:val="11"/>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4B55BB0B" w14:textId="77777777" w:rsidR="008D31CC" w:rsidRPr="00F5596D" w:rsidRDefault="008D31CC" w:rsidP="008D31CC">
      <w:pPr>
        <w:numPr>
          <w:ilvl w:val="1"/>
          <w:numId w:val="11"/>
        </w:numPr>
        <w:spacing w:after="120"/>
        <w:ind w:left="181" w:hanging="181"/>
        <w:rPr>
          <w:rFonts w:ascii="Calibri" w:eastAsia="Calibri" w:hAnsi="Calibri" w:cs="Calibri"/>
          <w:bCs/>
          <w:szCs w:val="72"/>
          <w:lang w:val="sr-Cyrl-CS"/>
        </w:rPr>
      </w:pPr>
      <w:r w:rsidRPr="00F5596D">
        <w:rPr>
          <w:rFonts w:ascii="Calibri" w:eastAsia="Calibri" w:hAnsi="Calibri" w:cs="Calibri"/>
          <w:bCs/>
          <w:szCs w:val="72"/>
          <w:lang w:val="sr-Cyrl-C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32F57EA5" w14:textId="77777777" w:rsidR="008D31CC" w:rsidRPr="00F5596D" w:rsidRDefault="008D31CC" w:rsidP="008D31CC">
      <w:pPr>
        <w:spacing w:after="60"/>
        <w:rPr>
          <w:rFonts w:ascii="Calibri" w:eastAsia="Calibri" w:hAnsi="Calibri" w:cs="Calibri"/>
          <w:bCs/>
          <w:szCs w:val="72"/>
          <w:lang w:val="sr-Cyrl-CS"/>
        </w:rPr>
      </w:pPr>
      <w:r w:rsidRPr="00F5596D">
        <w:rPr>
          <w:rFonts w:ascii="Calibri" w:eastAsia="Calibri" w:hAnsi="Calibri" w:cs="Calibri"/>
          <w:bCs/>
          <w:szCs w:val="72"/>
          <w:lang w:val="sr-Cyrl-CS"/>
        </w:rPr>
        <w:t>5. кредитни и оперативни ризици</w:t>
      </w:r>
    </w:p>
    <w:p w14:paraId="0F085E21" w14:textId="77777777" w:rsidR="008D31CC" w:rsidRPr="00F5596D" w:rsidRDefault="008D31CC" w:rsidP="008D31CC">
      <w:pPr>
        <w:numPr>
          <w:ilvl w:val="1"/>
          <w:numId w:val="12"/>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спровођење трансакција са финансијским дериватима само са финансијским институцијама које имају висок кредитни рејтинг;</w:t>
      </w:r>
    </w:p>
    <w:p w14:paraId="4F0FD7D4" w14:textId="77777777" w:rsidR="008D31CC" w:rsidRPr="00F5596D" w:rsidRDefault="008D31CC" w:rsidP="008D31CC">
      <w:pPr>
        <w:numPr>
          <w:ilvl w:val="1"/>
          <w:numId w:val="12"/>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коришћење финансијских инструмената који лимитирају кредитни ризик;</w:t>
      </w:r>
    </w:p>
    <w:p w14:paraId="2DD7B091" w14:textId="77777777" w:rsidR="008D31CC" w:rsidRPr="00F5596D" w:rsidRDefault="008D31CC" w:rsidP="008D31CC">
      <w:pPr>
        <w:numPr>
          <w:ilvl w:val="1"/>
          <w:numId w:val="12"/>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 xml:space="preserve">давање гаранција и одобравање новог дуга јединицама локалне самоуправе само ако </w:t>
      </w:r>
      <w:r w:rsidRPr="00F5596D">
        <w:rPr>
          <w:rFonts w:ascii="Calibri" w:eastAsia="Calibri" w:hAnsi="Calibri" w:cs="Calibri"/>
          <w:bCs/>
          <w:szCs w:val="72"/>
          <w:lang w:val="sr-Cyrl-CS"/>
        </w:rPr>
        <w:lastRenderedPageBreak/>
        <w:t>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469D6844" w14:textId="77777777" w:rsidR="008D31CC" w:rsidRPr="00F5596D" w:rsidRDefault="008D31CC" w:rsidP="008D31CC">
      <w:pPr>
        <w:numPr>
          <w:ilvl w:val="0"/>
          <w:numId w:val="5"/>
        </w:numPr>
        <w:tabs>
          <w:tab w:val="left" w:pos="90"/>
        </w:tabs>
        <w:spacing w:after="120"/>
        <w:ind w:left="181" w:hanging="181"/>
        <w:rPr>
          <w:rFonts w:ascii="Calibri" w:eastAsia="Calibri" w:hAnsi="Calibri" w:cs="Calibri"/>
          <w:bCs/>
          <w:szCs w:val="72"/>
          <w:lang w:val="sr-Cyrl-CS"/>
        </w:rPr>
      </w:pPr>
      <w:r w:rsidRPr="00F5596D">
        <w:rPr>
          <w:rFonts w:ascii="Calibri" w:eastAsia="Calibri" w:hAnsi="Calibri" w:cs="Calibri"/>
          <w:bCs/>
          <w:szCs w:val="72"/>
          <w:lang w:val="sr-Cyrl-CS"/>
        </w:rPr>
        <w:t>увођење адекватне контроле у свим пословним активностима у Управи за јавни дуг и унапређење знања запослених;</w:t>
      </w:r>
    </w:p>
    <w:p w14:paraId="1FB5DE62" w14:textId="77777777" w:rsidR="008D31CC" w:rsidRPr="00F5596D" w:rsidRDefault="008D31CC" w:rsidP="008D31CC">
      <w:pPr>
        <w:tabs>
          <w:tab w:val="left" w:pos="90"/>
        </w:tabs>
        <w:spacing w:after="60"/>
        <w:ind w:left="181" w:hanging="181"/>
        <w:rPr>
          <w:rFonts w:ascii="Calibri" w:eastAsia="Calibri" w:hAnsi="Calibri" w:cs="Calibri"/>
          <w:bCs/>
          <w:szCs w:val="72"/>
          <w:lang w:val="sr-Cyrl-CS"/>
        </w:rPr>
      </w:pPr>
      <w:r w:rsidRPr="00F5596D">
        <w:rPr>
          <w:rFonts w:ascii="Calibri" w:eastAsia="Calibri" w:hAnsi="Calibri" w:cs="Calibri"/>
          <w:bCs/>
          <w:szCs w:val="72"/>
          <w:lang w:val="sr-Cyrl-CS"/>
        </w:rPr>
        <w:t>6. ризици везани за дистрибуцију трошкова сервисирања</w:t>
      </w:r>
    </w:p>
    <w:p w14:paraId="1F211BBD" w14:textId="77777777" w:rsidR="008D31CC" w:rsidRPr="00F5596D" w:rsidRDefault="008D31CC" w:rsidP="008D31CC">
      <w:pPr>
        <w:numPr>
          <w:ilvl w:val="0"/>
          <w:numId w:val="5"/>
        </w:numPr>
        <w:tabs>
          <w:tab w:val="left" w:pos="90"/>
        </w:tabs>
        <w:ind w:left="181" w:hanging="181"/>
        <w:contextualSpacing/>
        <w:rPr>
          <w:rFonts w:ascii="Calibri" w:eastAsia="Calibri" w:hAnsi="Calibri" w:cs="Calibri"/>
          <w:bCs/>
          <w:szCs w:val="72"/>
          <w:lang w:val="sr-Cyrl-CS"/>
        </w:rPr>
      </w:pPr>
      <w:r w:rsidRPr="00F5596D">
        <w:rPr>
          <w:rFonts w:ascii="Calibri" w:eastAsia="Calibri" w:hAnsi="Calibri" w:cs="Calibri"/>
          <w:bCs/>
          <w:szCs w:val="72"/>
          <w:lang w:val="sr-Cyrl-C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5431D5BC" w14:textId="77777777" w:rsidR="008D31CC" w:rsidRPr="00F5596D" w:rsidRDefault="008D31CC" w:rsidP="008D31CC">
      <w:pPr>
        <w:numPr>
          <w:ilvl w:val="0"/>
          <w:numId w:val="5"/>
        </w:numPr>
        <w:tabs>
          <w:tab w:val="left" w:pos="90"/>
        </w:tabs>
        <w:ind w:left="181" w:hanging="181"/>
        <w:rPr>
          <w:rFonts w:ascii="Calibri" w:eastAsia="Calibri" w:hAnsi="Calibri" w:cs="Calibri"/>
          <w:bCs/>
          <w:szCs w:val="72"/>
          <w:lang w:val="sr-Cyrl-CS"/>
        </w:rPr>
      </w:pPr>
      <w:r w:rsidRPr="00F5596D">
        <w:rPr>
          <w:rFonts w:ascii="Calibri" w:eastAsia="Calibri" w:hAnsi="Calibri" w:cs="Calibri"/>
          <w:bCs/>
          <w:szCs w:val="72"/>
          <w:lang w:val="sr-Cyrl-CS"/>
        </w:rPr>
        <w:t>избегавање концентрације обавеза по основу јавног дуга на месечном нивоу, који не би могао бити амортизован слободним новчаним средствима на рачунима Републике Србије.</w:t>
      </w:r>
    </w:p>
    <w:p w14:paraId="16E1705B"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t>Анализе коришћене приликом израде Стратегије за управљање јавним дугом</w:t>
      </w:r>
    </w:p>
    <w:p w14:paraId="61A00B7A"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За формулисање Стратегије за управљање јавним дугом коришћен је квантитативни приступ у анализи трошкова и ризика који утичу на управљање јавним дугом.</w:t>
      </w:r>
    </w:p>
    <w:p w14:paraId="53E53EE8"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Имајући у виду макроекономско окружење и тржишне услове, упоредно се разматрају алтернативни извори финансирања.</w:t>
      </w:r>
    </w:p>
    <w:p w14:paraId="1CAB203A"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сврху анализе коришћени су инструменти доступни на домаћем и међународном финансијском тржишту.</w:t>
      </w:r>
    </w:p>
    <w:p w14:paraId="6C0011A8" w14:textId="77777777" w:rsidR="008D31CC" w:rsidRPr="00F5596D" w:rsidRDefault="008D31CC" w:rsidP="008D31CC">
      <w:pPr>
        <w:spacing w:after="120"/>
        <w:rPr>
          <w:rFonts w:ascii="Calibri" w:eastAsia="Calibri" w:hAnsi="Calibri" w:cs="Calibri"/>
          <w:bCs/>
          <w:szCs w:val="72"/>
          <w:lang w:val="sr-Cyrl-CS"/>
        </w:rPr>
      </w:pPr>
      <w:r w:rsidRPr="00F5596D">
        <w:rPr>
          <w:rFonts w:ascii="Calibri" w:eastAsia="Calibri" w:hAnsi="Calibri" w:cs="Calibri"/>
          <w:bCs/>
          <w:szCs w:val="72"/>
          <w:lang w:val="sr-Cyrl-CS"/>
        </w:rPr>
        <w:t>Извори финансирања деноминовани у страној валути:</w:t>
      </w:r>
    </w:p>
    <w:p w14:paraId="59B249E6" w14:textId="77777777" w:rsidR="008D31CC" w:rsidRPr="00F5596D" w:rsidRDefault="008D31CC" w:rsidP="00BF1F34">
      <w:pPr>
        <w:numPr>
          <w:ilvl w:val="0"/>
          <w:numId w:val="6"/>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Зајмови страних влада, међународних финансијских институција, пословних банака и других поверилаца – приказани као концесионални инструменти деноминовани у еврима или америчким доларима, са фиксном или варијабилном каматном стопом;</w:t>
      </w:r>
    </w:p>
    <w:p w14:paraId="27C9DDBD" w14:textId="77777777" w:rsidR="008D31CC" w:rsidRPr="00F5596D" w:rsidRDefault="008D31CC" w:rsidP="00BF1F34">
      <w:pPr>
        <w:numPr>
          <w:ilvl w:val="0"/>
          <w:numId w:val="6"/>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Државни записи и државне обвезнице емитоване на домаћем или иностраном финансијском тржишту, деноминовани у еврима;</w:t>
      </w:r>
    </w:p>
    <w:p w14:paraId="064C65B1" w14:textId="77777777" w:rsidR="008D31CC" w:rsidRPr="00F5596D" w:rsidRDefault="008D31CC" w:rsidP="00BF1F34">
      <w:pPr>
        <w:numPr>
          <w:ilvl w:val="0"/>
          <w:numId w:val="6"/>
        </w:numPr>
        <w:ind w:left="180" w:hanging="180"/>
        <w:contextualSpacing/>
        <w:rPr>
          <w:rFonts w:ascii="Calibri" w:eastAsia="Calibri" w:hAnsi="Calibri" w:cs="Calibri"/>
          <w:bCs/>
          <w:szCs w:val="72"/>
          <w:lang w:val="sr-Cyrl-CS"/>
        </w:rPr>
      </w:pPr>
      <w:r w:rsidRPr="00F5596D">
        <w:rPr>
          <w:rFonts w:ascii="Calibri" w:eastAsia="Calibri" w:hAnsi="Calibri" w:cs="Calibri"/>
          <w:bCs/>
          <w:szCs w:val="72"/>
          <w:lang w:val="sr-Cyrl-CS"/>
        </w:rPr>
        <w:t>Еврообвезницe – емитованe у еврима или америчким доларима на међународном финансијском тржишту.</w:t>
      </w:r>
    </w:p>
    <w:p w14:paraId="3BE5FC76" w14:textId="77777777" w:rsidR="008D31CC" w:rsidRPr="00F5596D" w:rsidRDefault="008D31CC" w:rsidP="008D31CC">
      <w:pPr>
        <w:ind w:left="180"/>
        <w:contextualSpacing/>
        <w:rPr>
          <w:rFonts w:ascii="Calibri" w:eastAsia="Calibri" w:hAnsi="Calibri" w:cs="Calibri"/>
          <w:bCs/>
          <w:szCs w:val="72"/>
          <w:lang w:val="sr-Cyrl-CS"/>
        </w:rPr>
      </w:pPr>
    </w:p>
    <w:p w14:paraId="01130773" w14:textId="77777777" w:rsidR="008D31CC" w:rsidRPr="00F5596D" w:rsidRDefault="008D31CC" w:rsidP="008D31CC">
      <w:pPr>
        <w:spacing w:after="120"/>
        <w:rPr>
          <w:rFonts w:ascii="Calibri" w:eastAsia="Calibri" w:hAnsi="Calibri" w:cs="Calibri"/>
          <w:bCs/>
          <w:szCs w:val="72"/>
          <w:lang w:val="sr-Cyrl-CS"/>
        </w:rPr>
      </w:pPr>
      <w:r w:rsidRPr="00F5596D">
        <w:rPr>
          <w:rFonts w:ascii="Calibri" w:eastAsia="Calibri" w:hAnsi="Calibri" w:cs="Calibri"/>
          <w:bCs/>
          <w:szCs w:val="72"/>
          <w:lang w:val="sr-Cyrl-CS"/>
        </w:rPr>
        <w:t>Извори финансирања у домаћој валути:</w:t>
      </w:r>
    </w:p>
    <w:p w14:paraId="52116C51" w14:textId="77777777" w:rsidR="008D31CC" w:rsidRPr="00F5596D" w:rsidRDefault="008D31CC" w:rsidP="008D31CC">
      <w:pPr>
        <w:numPr>
          <w:ilvl w:val="1"/>
          <w:numId w:val="7"/>
        </w:numPr>
        <w:spacing w:line="256" w:lineRule="auto"/>
        <w:ind w:left="181" w:hanging="181"/>
        <w:rPr>
          <w:lang w:val="sr-Cyrl-CS"/>
        </w:rPr>
      </w:pPr>
      <w:r w:rsidRPr="00F5596D">
        <w:rPr>
          <w:rFonts w:ascii="Calibri" w:eastAsia="Calibri" w:hAnsi="Calibri" w:cs="Calibri"/>
          <w:bCs/>
          <w:szCs w:val="72"/>
          <w:lang w:val="sr-Cyrl-CS"/>
        </w:rPr>
        <w:t>Државни записи и државне обвезнице емитоване на домаћем финансијском тржишту, деноминовани у динарима;</w:t>
      </w:r>
    </w:p>
    <w:p w14:paraId="01753958" w14:textId="77777777" w:rsidR="008D31CC" w:rsidRPr="00F5596D" w:rsidRDefault="008D31CC" w:rsidP="008D31CC">
      <w:pPr>
        <w:numPr>
          <w:ilvl w:val="1"/>
          <w:numId w:val="7"/>
        </w:numPr>
        <w:spacing w:line="256" w:lineRule="auto"/>
        <w:ind w:left="181" w:hanging="181"/>
        <w:rPr>
          <w:lang w:val="sr-Cyrl-CS"/>
        </w:rPr>
      </w:pPr>
      <w:r w:rsidRPr="00F5596D">
        <w:rPr>
          <w:rFonts w:ascii="Calibri" w:eastAsia="Calibri" w:hAnsi="Calibri" w:cs="Calibri"/>
          <w:bCs/>
          <w:szCs w:val="72"/>
          <w:lang w:val="sr-Cyrl-CS"/>
        </w:rPr>
        <w:t>Кредитни аранжмани деноминовани у динарима, за финансирање значајних пројеката у земљи.</w:t>
      </w:r>
    </w:p>
    <w:p w14:paraId="0925A2B7"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t>Будуће тржишне каматне стопе и сценарио анализа</w:t>
      </w:r>
    </w:p>
    <w:p w14:paraId="03DFED60"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Након избора одговарајуће композиције извора финансирања (изабране и компаративних стратегија финансирања), приступа се анализи трошкова и ризика полазећи од основног (највероватнијег) сценарија, након чега се врши стрес тестирање за додатне врсте сценарија –шокова, како би се добио преглед ефеката коштања разматраних стратегија.</w:t>
      </w:r>
    </w:p>
    <w:p w14:paraId="40A21EE7"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Основни сценарио се базира на највише вероватним тржишним условима за три групе тржишних варијабли: девизни курс, каматне стопе на међународном тржишту и каматне стопе на домаћем тржишту. </w:t>
      </w:r>
    </w:p>
    <w:p w14:paraId="26886DC2"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Након дефинисања основног сценарија, у циљу стрес тестирања одабране су додатне врсте сценарија – шокова:</w:t>
      </w:r>
    </w:p>
    <w:p w14:paraId="5AE76193" w14:textId="77777777" w:rsidR="008D31CC" w:rsidRPr="00F5596D" w:rsidRDefault="008D31CC" w:rsidP="008D31CC">
      <w:pPr>
        <w:pStyle w:val="ListParagraph"/>
        <w:numPr>
          <w:ilvl w:val="2"/>
          <w:numId w:val="6"/>
        </w:numPr>
        <w:spacing w:after="60"/>
        <w:ind w:left="227" w:hanging="227"/>
        <w:contextualSpacing w:val="0"/>
        <w:rPr>
          <w:rFonts w:ascii="Calibri" w:eastAsia="Calibri" w:hAnsi="Calibri" w:cs="Calibri"/>
          <w:bCs/>
          <w:szCs w:val="72"/>
          <w:lang w:val="sr-Cyrl-CS"/>
        </w:rPr>
      </w:pPr>
      <w:r w:rsidRPr="00F5596D">
        <w:rPr>
          <w:rFonts w:ascii="Calibri" w:eastAsia="Calibri" w:hAnsi="Calibri" w:cs="Calibri"/>
          <w:bCs/>
          <w:szCs w:val="72"/>
          <w:lang w:val="sr-Cyrl-CS"/>
        </w:rPr>
        <w:t>Депрецијација динара у односу на све валуте од 15% у 2027.</w:t>
      </w:r>
      <w:r w:rsidRPr="00F5596D">
        <w:rPr>
          <w:rFonts w:ascii="Calibri" w:eastAsia="Calibri" w:hAnsi="Calibri" w:cs="Calibri"/>
          <w:bCs/>
          <w:color w:val="FF0000"/>
          <w:szCs w:val="72"/>
          <w:lang w:val="sr-Cyrl-CS"/>
        </w:rPr>
        <w:t xml:space="preserve"> </w:t>
      </w:r>
      <w:r w:rsidRPr="00F5596D">
        <w:rPr>
          <w:rFonts w:ascii="Calibri" w:eastAsia="Calibri" w:hAnsi="Calibri" w:cs="Calibri"/>
          <w:bCs/>
          <w:szCs w:val="72"/>
          <w:lang w:val="sr-Cyrl-CS"/>
        </w:rPr>
        <w:t>години. У овом сценарију однос евра и америчког долара би остао стабилан, док би само динар депрецирао у односу на обе валуте;</w:t>
      </w:r>
    </w:p>
    <w:p w14:paraId="799723C8" w14:textId="77777777" w:rsidR="008D31CC" w:rsidRPr="00F5596D" w:rsidRDefault="008D31CC" w:rsidP="008D31CC">
      <w:pPr>
        <w:pStyle w:val="ListParagraph"/>
        <w:numPr>
          <w:ilvl w:val="2"/>
          <w:numId w:val="6"/>
        </w:numPr>
        <w:spacing w:after="60"/>
        <w:ind w:left="227" w:hanging="227"/>
        <w:contextualSpacing w:val="0"/>
        <w:rPr>
          <w:rFonts w:ascii="Calibri" w:eastAsia="Calibri" w:hAnsi="Calibri" w:cs="Calibri"/>
          <w:bCs/>
          <w:szCs w:val="72"/>
          <w:lang w:val="sr-Cyrl-CS"/>
        </w:rPr>
      </w:pPr>
      <w:r w:rsidRPr="00F5596D">
        <w:rPr>
          <w:rFonts w:ascii="Calibri" w:eastAsia="Calibri" w:hAnsi="Calibri" w:cs="Calibri"/>
          <w:bCs/>
          <w:szCs w:val="72"/>
          <w:lang w:val="sr-Cyrl-CS"/>
        </w:rPr>
        <w:t>Повећање каматних стопа на домаћем и међународном тржишту за 2 п.п.;</w:t>
      </w:r>
    </w:p>
    <w:p w14:paraId="3644B8A0" w14:textId="77777777" w:rsidR="008D31CC" w:rsidRPr="00F5596D" w:rsidRDefault="008D31CC" w:rsidP="008D31CC">
      <w:pPr>
        <w:pStyle w:val="ListParagraph"/>
        <w:numPr>
          <w:ilvl w:val="2"/>
          <w:numId w:val="6"/>
        </w:numPr>
        <w:spacing w:after="60"/>
        <w:ind w:left="227" w:hanging="227"/>
        <w:contextualSpacing w:val="0"/>
        <w:rPr>
          <w:rFonts w:ascii="Calibri" w:eastAsia="Calibri" w:hAnsi="Calibri" w:cs="Calibri"/>
          <w:bCs/>
          <w:spacing w:val="-4"/>
          <w:szCs w:val="72"/>
          <w:lang w:val="sr-Cyrl-CS"/>
        </w:rPr>
      </w:pPr>
      <w:r w:rsidRPr="00F5596D">
        <w:rPr>
          <w:rFonts w:ascii="Calibri" w:eastAsia="Calibri" w:hAnsi="Calibri" w:cs="Calibri"/>
          <w:bCs/>
          <w:spacing w:val="-4"/>
          <w:szCs w:val="72"/>
          <w:lang w:val="sr-Cyrl-CS"/>
        </w:rPr>
        <w:t>Повећање каматних стопа на међународном тржишту до 3 п.п., а на домаћем тржишту до 4 п.п.;</w:t>
      </w:r>
    </w:p>
    <w:p w14:paraId="0EEA71D2" w14:textId="685BA739" w:rsidR="008D31CC" w:rsidRPr="00F5596D" w:rsidRDefault="008D31CC" w:rsidP="004B0F36">
      <w:pPr>
        <w:pStyle w:val="ListParagraph"/>
        <w:numPr>
          <w:ilvl w:val="2"/>
          <w:numId w:val="6"/>
        </w:numPr>
        <w:ind w:left="227" w:hanging="227"/>
        <w:rPr>
          <w:rFonts w:ascii="Calibri" w:eastAsia="Calibri" w:hAnsi="Calibri" w:cs="Calibri"/>
          <w:bCs/>
          <w:szCs w:val="72"/>
          <w:lang w:val="sr-Cyrl-CS"/>
        </w:rPr>
      </w:pPr>
      <w:r w:rsidRPr="00F5596D">
        <w:rPr>
          <w:rFonts w:ascii="Calibri" w:eastAsia="Calibri" w:hAnsi="Calibri" w:cs="Calibri"/>
          <w:bCs/>
          <w:szCs w:val="72"/>
          <w:lang w:val="sr-Cyrl-CS"/>
        </w:rPr>
        <w:t>Комбиновани шок који се односи на депрецијацију динара у односу на долар 15% у 2027. години и раст каматних стопа за 2 п.п.</w:t>
      </w:r>
    </w:p>
    <w:p w14:paraId="48C18993" w14:textId="77777777" w:rsidR="008F6D54" w:rsidRPr="00F5596D" w:rsidRDefault="008F6D54" w:rsidP="008D31CC">
      <w:pPr>
        <w:spacing w:line="256" w:lineRule="auto"/>
        <w:rPr>
          <w:rFonts w:ascii="Calibri" w:eastAsia="Calibri" w:hAnsi="Calibri" w:cs="Times New Roman"/>
          <w:b/>
          <w:color w:val="2F5496" w:themeColor="accent1" w:themeShade="BF"/>
          <w:sz w:val="22"/>
          <w:lang w:val="sr-Cyrl-CS"/>
        </w:rPr>
      </w:pPr>
    </w:p>
    <w:p w14:paraId="531D329F" w14:textId="000E899A"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lastRenderedPageBreak/>
        <w:t>Алтернативне стратегије задуживања за период 2026–2028. године</w:t>
      </w:r>
    </w:p>
    <w:p w14:paraId="222BD37B"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На бази модела Светске банке </w:t>
      </w:r>
      <w:r w:rsidRPr="00F5596D">
        <w:rPr>
          <w:rFonts w:ascii="Calibri" w:eastAsia="Calibri" w:hAnsi="Calibri" w:cs="Calibri"/>
          <w:bCs/>
          <w:i/>
          <w:szCs w:val="72"/>
          <w:lang w:val="sr-Cyrl-CS"/>
        </w:rPr>
        <w:t>Medium Term Debt Strategy Model</w:t>
      </w:r>
      <w:r w:rsidRPr="00F5596D">
        <w:rPr>
          <w:rFonts w:ascii="Calibri" w:eastAsia="Calibri" w:hAnsi="Calibri" w:cs="Calibri"/>
          <w:bCs/>
          <w:szCs w:val="72"/>
          <w:lang w:val="sr-Cyrl-CS"/>
        </w:rPr>
        <w:t xml:space="preserve"> – MTDS, анализиране алтернативне стратегије задуживања су:</w:t>
      </w:r>
    </w:p>
    <w:p w14:paraId="065CE7BC" w14:textId="63FE2A92"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Основна стратегија (С1): представља стратегију која укупне потребе за буџетским финансирањем покрива приближно уједначеном комбинацијом извора финансирања у страној</w:t>
      </w:r>
      <w:r w:rsidR="00846B62" w:rsidRPr="00F5596D">
        <w:rPr>
          <w:rFonts w:ascii="Calibri" w:eastAsia="Calibri" w:hAnsi="Calibri" w:cs="Calibri"/>
          <w:bCs/>
          <w:szCs w:val="72"/>
          <w:lang w:val="sr-Cyrl-CS"/>
        </w:rPr>
        <w:t xml:space="preserve"> </w:t>
      </w:r>
      <w:r w:rsidRPr="00F5596D">
        <w:rPr>
          <w:rFonts w:ascii="Calibri" w:eastAsia="Calibri" w:hAnsi="Calibri" w:cs="Calibri"/>
          <w:bCs/>
          <w:szCs w:val="72"/>
          <w:lang w:val="sr-Cyrl-CS"/>
        </w:rPr>
        <w:t>и домаћој валути. Изворе буџетског финансирања у страној валути највећим делом чине примања од продаје еврообвезница на иностраном финансијском тржишту рочности дванаест, петнаест и двадесет година), као и узети програмски зајмови од различитих поверилаца. Изворе буџетског финансирања у домаћој валути чине примања од емисије државних обвезница на домаћем финансијском тржишту (са највећим учешћем државних обвезница рочности од десет година, затим од дванаест година, и на крају седам, пет и четири године). Пројектно финансирање, као и у претходним годинама, обезбеђује се највећим делом из кредитних аранжмана деноминованих у страној валути од иностраних поверилаца, али постаје видљив и раст удела кредитних аранжмана у домаћој валути, од домаћих поверилаца. Стратегија (С2): у односу на стратегију С1, целокупне потребе за финансирањем задовољава емисијом еврообвезница у доларима, рочности дван</w:t>
      </w:r>
      <w:r w:rsidR="00F5596D">
        <w:rPr>
          <w:rFonts w:ascii="Calibri" w:eastAsia="Calibri" w:hAnsi="Calibri" w:cs="Calibri"/>
          <w:bCs/>
          <w:szCs w:val="72"/>
          <w:lang w:val="sr-Cyrl-CS"/>
        </w:rPr>
        <w:t>а</w:t>
      </w:r>
      <w:r w:rsidRPr="00F5596D">
        <w:rPr>
          <w:rFonts w:ascii="Calibri" w:eastAsia="Calibri" w:hAnsi="Calibri" w:cs="Calibri"/>
          <w:bCs/>
          <w:szCs w:val="72"/>
          <w:lang w:val="sr-Cyrl-CS"/>
        </w:rPr>
        <w:t>ест и петнаест година. Стратегија (С3): у односу на стратегију С1, целокупне потребе за финансирањем задовољава емисијом еврообвезница у еврима, рочности дван</w:t>
      </w:r>
      <w:r w:rsidR="00F5596D">
        <w:rPr>
          <w:rFonts w:ascii="Calibri" w:eastAsia="Calibri" w:hAnsi="Calibri" w:cs="Calibri"/>
          <w:bCs/>
          <w:szCs w:val="72"/>
          <w:lang w:val="sr-Cyrl-CS"/>
        </w:rPr>
        <w:t>а</w:t>
      </w:r>
      <w:r w:rsidRPr="00F5596D">
        <w:rPr>
          <w:rFonts w:ascii="Calibri" w:eastAsia="Calibri" w:hAnsi="Calibri" w:cs="Calibri"/>
          <w:bCs/>
          <w:szCs w:val="72"/>
          <w:lang w:val="sr-Cyrl-CS"/>
        </w:rPr>
        <w:t>ест и петнаест година. Стратегија додатне динаризације (С4): представља стратегију која целокупно финансирање заснива на емисијама динарских хартија од вредности рочности од десет година.</w:t>
      </w:r>
    </w:p>
    <w:p w14:paraId="3532C6CD" w14:textId="77777777" w:rsidR="008D31CC" w:rsidRPr="00F5596D" w:rsidRDefault="008D31CC" w:rsidP="008D31CC">
      <w:pPr>
        <w:spacing w:line="256" w:lineRule="auto"/>
        <w:rPr>
          <w:rFonts w:ascii="Calibri" w:eastAsia="Calibri" w:hAnsi="Calibri" w:cs="Calibri"/>
          <w:bCs/>
          <w:color w:val="2F5496" w:themeColor="accent1" w:themeShade="BF"/>
          <w:szCs w:val="72"/>
          <w:lang w:val="sr-Cyrl-CS"/>
        </w:rPr>
      </w:pPr>
      <w:r w:rsidRPr="00F5596D">
        <w:rPr>
          <w:rFonts w:ascii="Calibri" w:eastAsia="Calibri" w:hAnsi="Calibri" w:cs="Times New Roman"/>
          <w:b/>
          <w:color w:val="2F5496" w:themeColor="accent1" w:themeShade="BF"/>
          <w:sz w:val="22"/>
          <w:lang w:val="sr-Cyrl-CS"/>
        </w:rPr>
        <w:t>Поређење алтернативних стратегија</w:t>
      </w:r>
    </w:p>
    <w:p w14:paraId="78018674" w14:textId="77777777" w:rsidR="008D31CC" w:rsidRPr="00F5596D" w:rsidRDefault="008D31CC" w:rsidP="008D31CC">
      <w:pPr>
        <w:rPr>
          <w:rFonts w:ascii="Calibri" w:eastAsia="Calibri" w:hAnsi="Calibri" w:cs="Calibri"/>
          <w:bCs/>
          <w:szCs w:val="72"/>
          <w:highlight w:val="green"/>
          <w:lang w:val="sr-Cyrl-CS"/>
        </w:rPr>
      </w:pPr>
      <w:r w:rsidRPr="00F5596D">
        <w:rPr>
          <w:rFonts w:ascii="Calibri" w:eastAsia="Calibri" w:hAnsi="Calibri" w:cs="Calibri"/>
          <w:bCs/>
          <w:szCs w:val="72"/>
          <w:lang w:val="sr-Cyrl-CS"/>
        </w:rPr>
        <w:t>За поређење алтернативних стратегија задуживања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2028. године.</w:t>
      </w:r>
    </w:p>
    <w:p w14:paraId="6D900421"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pacing w:val="-2"/>
          <w:szCs w:val="72"/>
          <w:lang w:val="sr-Cyrl-CS"/>
        </w:rPr>
        <w:t xml:space="preserve">На основу графикона јасно се уочавају трошкови које свака од разматраних стратегија носи са собом. </w:t>
      </w:r>
      <w:r w:rsidRPr="00F5596D">
        <w:rPr>
          <w:rFonts w:ascii="Calibri" w:eastAsia="Calibri" w:hAnsi="Calibri" w:cs="Calibri"/>
          <w:bCs/>
          <w:szCs w:val="72"/>
          <w:lang w:val="sr-Cyrl-CS"/>
        </w:rPr>
        <w:t>Трошак алтернативних стратегија при основном макроекономском сценарију приказан је на вертикалној оси графикона трошкова, док се на хоризонталној оси налази потенцијални трошак одређене стратегије задуживања (резултат стрес теста).</w:t>
      </w:r>
    </w:p>
    <w:p w14:paraId="48FB46B8"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При основном макроекономском сценарију на крају 2028. године, мерено учешћем дуга у БДП, највише трошкове имају стратегије С2 и С4, док су стратегије С1 и С3 на нешто нижем трошковном нивоу. Са друге стране највећи ризик на однос дуга и БДП, ако се одступи од основног макроекономског сценарија, има промена девизног курса. Посматрано са аспекта утицаја шокова девизног курса на рацио дуга и БДП, најбољи положај има стратегија С4, јер је целокупно финансирање у динарима, док стратегије С2 и С3 имају већу изложеност ризику промене девизног курса, јер је финансирање засновано у потпуности на изворима у страној валути. Стратегија С1 у погледу ризика промене девизног курса има повољнији положај у односу на стратегије С2 и С3, из разлога што комбинује финансирање у домаћој и страној валути.</w:t>
      </w:r>
    </w:p>
    <w:p w14:paraId="6AD4EDDD" w14:textId="77777777" w:rsidR="008D31CC" w:rsidRPr="00F5596D" w:rsidRDefault="008D31CC" w:rsidP="008D31CC">
      <w:pPr>
        <w:spacing w:line="256" w:lineRule="auto"/>
        <w:rPr>
          <w:rFonts w:ascii="Calibri" w:eastAsia="Calibri" w:hAnsi="Calibri" w:cs="Calibri"/>
          <w:bCs/>
          <w:szCs w:val="72"/>
          <w:highlight w:val="yellow"/>
          <w:lang w:val="sr-Cyrl-CS"/>
        </w:rPr>
      </w:pPr>
      <w:r w:rsidRPr="00F5596D">
        <w:rPr>
          <w:rFonts w:ascii="Calibri" w:eastAsia="Calibri" w:hAnsi="Calibri" w:cs="Calibri"/>
          <w:bCs/>
          <w:szCs w:val="72"/>
          <w:lang w:val="sr-Cyrl-CS"/>
        </w:rPr>
        <w:t>Са аспекта учешћа камата у БДП, динарска стратегија С4 је најскупља, затим следе стратегија С2 (базирана на доларским обвезницама које такође имају високе каматне стопе) и стратегија С1 (која се углавом заснива на инструментима деноминованим у еврима али комбинује фиксне и варијабилне стопе), док је стратегија С3 најповољнија (јер се базира на еврообвезницама деноминованим у еврима са фискним стопама). Резултати стрес анализе показали су да највећи ризик за промену односа камате и БДП, ако се промени основни сценарио, долази од шока промене каматних стопа који је већи на домаћем него на међународном тржишту због чега стратегија С4 има највећи ризик промене рација камате и БДП. Следе стратегије С2 и С3 које се састоје од тржишних инструмената који су такође подложни шоковима промене каматних стопа на међународном тржишту, док је код С1 овај ризик ублажен услед присуства концесионалних инструмената са фиксним стопама.</w:t>
      </w:r>
    </w:p>
    <w:p w14:paraId="05B61C24" w14:textId="77777777" w:rsidR="008D31CC" w:rsidRPr="00F5596D" w:rsidRDefault="008D31CC"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lastRenderedPageBreak/>
        <w:t>Однос дуга и БДП на крају 2028. године</w:t>
      </w:r>
    </w:p>
    <w:p w14:paraId="36625770" w14:textId="77777777" w:rsidR="008D31CC" w:rsidRPr="00F5596D" w:rsidRDefault="008D31CC" w:rsidP="008D31CC">
      <w:pPr>
        <w:spacing w:line="256" w:lineRule="auto"/>
        <w:jc w:val="center"/>
        <w:rPr>
          <w:rFonts w:ascii="Calibri" w:eastAsia="Calibri" w:hAnsi="Calibri" w:cs="Times New Roman"/>
          <w:b/>
          <w:color w:val="002060"/>
          <w:highlight w:val="yellow"/>
          <w:lang w:val="sr-Cyrl-CS"/>
        </w:rPr>
      </w:pPr>
      <w:r w:rsidRPr="00F5596D">
        <w:rPr>
          <w:noProof/>
        </w:rPr>
        <w:drawing>
          <wp:inline distT="0" distB="0" distL="0" distR="0" wp14:anchorId="652162CD" wp14:editId="4CD83920">
            <wp:extent cx="2685600" cy="1620001"/>
            <wp:effectExtent l="0" t="0" r="635" b="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14:paraId="75C12CAA" w14:textId="77777777" w:rsidR="008D31CC" w:rsidRPr="00F5596D" w:rsidRDefault="008D31CC"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Однос камата и БДП на крају 2028. године</w:t>
      </w:r>
    </w:p>
    <w:p w14:paraId="0EDB72D1" w14:textId="77777777" w:rsidR="008D31CC" w:rsidRPr="00F5596D" w:rsidRDefault="008D31CC" w:rsidP="008D31CC">
      <w:pPr>
        <w:spacing w:line="256" w:lineRule="auto"/>
        <w:rPr>
          <w:rFonts w:ascii="Calibri" w:eastAsia="Calibri" w:hAnsi="Calibri" w:cs="Times New Roman"/>
          <w:b/>
          <w:highlight w:val="yellow"/>
          <w:lang w:val="sr-Cyrl-CS"/>
        </w:rPr>
      </w:pPr>
      <w:r w:rsidRPr="00F5596D">
        <w:rPr>
          <w:noProof/>
        </w:rPr>
        <w:drawing>
          <wp:inline distT="0" distB="0" distL="0" distR="0" wp14:anchorId="1E14549F" wp14:editId="0CFF22FE">
            <wp:extent cx="2685600" cy="1672647"/>
            <wp:effectExtent l="0" t="0" r="635" b="3810"/>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p w14:paraId="13D0758C" w14:textId="77777777" w:rsidR="008D31CC" w:rsidRPr="00F5596D" w:rsidRDefault="008D31CC" w:rsidP="008D31CC">
      <w:pPr>
        <w:spacing w:line="256" w:lineRule="auto"/>
        <w:jc w:val="center"/>
        <w:rPr>
          <w:rFonts w:ascii="Calibri" w:eastAsia="Calibri" w:hAnsi="Calibri" w:cs="Times New Roman"/>
          <w:b/>
          <w:color w:val="002060"/>
          <w:highlight w:val="yellow"/>
          <w:lang w:val="sr-Cyrl-CS"/>
        </w:rPr>
        <w:sectPr w:rsidR="008D31CC" w:rsidRPr="00F5596D" w:rsidSect="008D31CC">
          <w:type w:val="continuous"/>
          <w:pgSz w:w="12240" w:h="15840" w:code="1"/>
          <w:pgMar w:top="1440" w:right="1440" w:bottom="1440" w:left="1440" w:header="720" w:footer="720" w:gutter="0"/>
          <w:cols w:num="2" w:space="720"/>
          <w:titlePg/>
          <w:docGrid w:linePitch="360"/>
        </w:sectPr>
      </w:pPr>
    </w:p>
    <w:p w14:paraId="3F3A497C" w14:textId="489BBEBC" w:rsidR="008D31CC" w:rsidRPr="00F5596D" w:rsidRDefault="00F14A11" w:rsidP="008D31CC">
      <w:pPr>
        <w:jc w:val="center"/>
        <w:rPr>
          <w:lang w:val="sr-Cyrl-CS"/>
        </w:rPr>
      </w:pPr>
      <w:r w:rsidRPr="00F5596D">
        <w:rPr>
          <w:rFonts w:ascii="Calibri" w:eastAsia="Calibri" w:hAnsi="Calibri" w:cs="Times New Roman"/>
          <w:b/>
          <w:color w:val="002060"/>
          <w:lang w:val="sr-Cyrl-CS"/>
        </w:rPr>
        <w:t>Табела 33</w:t>
      </w:r>
      <w:r w:rsidR="008D31CC" w:rsidRPr="00F5596D">
        <w:rPr>
          <w:rFonts w:ascii="Calibri" w:eastAsia="Calibri" w:hAnsi="Calibri" w:cs="Times New Roman"/>
          <w:b/>
          <w:color w:val="002060"/>
          <w:lang w:val="sr-Cyrl-CS"/>
        </w:rPr>
        <w:t>. Однос јавног дуга и БДП на крају 2028.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8D31CC" w:rsidRPr="00F5596D" w14:paraId="09EF7D8E" w14:textId="77777777" w:rsidTr="008D31CC">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3A21FAC8" w14:textId="77777777" w:rsidR="008D31CC" w:rsidRPr="00F5596D" w:rsidRDefault="008D31CC" w:rsidP="008D31CC">
            <w:pPr>
              <w:rPr>
                <w:rFonts w:ascii="Calibri" w:hAnsi="Calibri" w:cs="Calibri"/>
                <w:color w:val="002060"/>
                <w:sz w:val="18"/>
                <w:szCs w:val="18"/>
                <w:lang w:val="sr-Cyrl-CS"/>
              </w:rPr>
            </w:pPr>
            <w:r w:rsidRPr="00F5596D">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449E913D"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1236AF0C"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56E629B0"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56DA25F8"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C4</w:t>
            </w:r>
          </w:p>
        </w:tc>
      </w:tr>
      <w:tr w:rsidR="008D31CC" w:rsidRPr="00F5596D" w14:paraId="31B4F559"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43B057A0"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5F1E60F3"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45,7</w:t>
            </w:r>
          </w:p>
        </w:tc>
        <w:tc>
          <w:tcPr>
            <w:tcW w:w="578" w:type="pct"/>
            <w:tcBorders>
              <w:top w:val="nil"/>
              <w:bottom w:val="nil"/>
            </w:tcBorders>
            <w:shd w:val="clear" w:color="auto" w:fill="E7E6E6" w:themeFill="background2"/>
            <w:noWrap/>
            <w:hideMark/>
          </w:tcPr>
          <w:p w14:paraId="2B7A4396"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45,8</w:t>
            </w:r>
          </w:p>
        </w:tc>
        <w:tc>
          <w:tcPr>
            <w:tcW w:w="578" w:type="pct"/>
            <w:tcBorders>
              <w:top w:val="nil"/>
              <w:bottom w:val="nil"/>
            </w:tcBorders>
            <w:shd w:val="clear" w:color="auto" w:fill="E7E6E6" w:themeFill="background2"/>
            <w:noWrap/>
            <w:hideMark/>
          </w:tcPr>
          <w:p w14:paraId="0C7FAE42"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45,6</w:t>
            </w:r>
          </w:p>
        </w:tc>
        <w:tc>
          <w:tcPr>
            <w:tcW w:w="578" w:type="pct"/>
            <w:tcBorders>
              <w:top w:val="nil"/>
              <w:bottom w:val="nil"/>
            </w:tcBorders>
            <w:shd w:val="clear" w:color="auto" w:fill="E7E6E6" w:themeFill="background2"/>
            <w:noWrap/>
            <w:hideMark/>
          </w:tcPr>
          <w:p w14:paraId="194CC882"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45,8</w:t>
            </w:r>
          </w:p>
        </w:tc>
      </w:tr>
      <w:tr w:rsidR="008D31CC" w:rsidRPr="00F5596D" w14:paraId="14993F00"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0635342C"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auto"/>
            <w:noWrap/>
            <w:hideMark/>
          </w:tcPr>
          <w:p w14:paraId="421F317C"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50,7</w:t>
            </w:r>
          </w:p>
        </w:tc>
        <w:tc>
          <w:tcPr>
            <w:tcW w:w="578" w:type="pct"/>
            <w:tcBorders>
              <w:top w:val="nil"/>
              <w:left w:val="nil"/>
              <w:bottom w:val="nil"/>
              <w:right w:val="nil"/>
            </w:tcBorders>
            <w:shd w:val="clear" w:color="auto" w:fill="auto"/>
            <w:noWrap/>
            <w:hideMark/>
          </w:tcPr>
          <w:p w14:paraId="41BA300C"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51,2</w:t>
            </w:r>
          </w:p>
        </w:tc>
        <w:tc>
          <w:tcPr>
            <w:tcW w:w="578" w:type="pct"/>
            <w:tcBorders>
              <w:top w:val="nil"/>
              <w:left w:val="nil"/>
              <w:bottom w:val="nil"/>
              <w:right w:val="nil"/>
            </w:tcBorders>
            <w:shd w:val="clear" w:color="auto" w:fill="auto"/>
            <w:noWrap/>
            <w:hideMark/>
          </w:tcPr>
          <w:p w14:paraId="1ED21993"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51,0</w:t>
            </w:r>
          </w:p>
        </w:tc>
        <w:tc>
          <w:tcPr>
            <w:tcW w:w="578" w:type="pct"/>
            <w:tcBorders>
              <w:top w:val="nil"/>
              <w:left w:val="nil"/>
              <w:bottom w:val="nil"/>
              <w:right w:val="nil"/>
            </w:tcBorders>
            <w:shd w:val="clear" w:color="auto" w:fill="auto"/>
            <w:noWrap/>
            <w:hideMark/>
          </w:tcPr>
          <w:p w14:paraId="7D2BCE6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50,0</w:t>
            </w:r>
          </w:p>
        </w:tc>
      </w:tr>
      <w:tr w:rsidR="008D31CC" w:rsidRPr="00F5596D" w14:paraId="50C1AD37"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56129BDF"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22F28EA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46,5</w:t>
            </w:r>
          </w:p>
        </w:tc>
        <w:tc>
          <w:tcPr>
            <w:tcW w:w="578" w:type="pct"/>
            <w:tcBorders>
              <w:top w:val="nil"/>
              <w:bottom w:val="nil"/>
            </w:tcBorders>
            <w:shd w:val="clear" w:color="auto" w:fill="E7E6E6" w:themeFill="background2"/>
            <w:noWrap/>
            <w:hideMark/>
          </w:tcPr>
          <w:p w14:paraId="4E588CC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46,6</w:t>
            </w:r>
          </w:p>
        </w:tc>
        <w:tc>
          <w:tcPr>
            <w:tcW w:w="578" w:type="pct"/>
            <w:tcBorders>
              <w:top w:val="nil"/>
              <w:bottom w:val="nil"/>
            </w:tcBorders>
            <w:shd w:val="clear" w:color="auto" w:fill="E7E6E6" w:themeFill="background2"/>
            <w:noWrap/>
            <w:hideMark/>
          </w:tcPr>
          <w:p w14:paraId="361E0A95"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46,5</w:t>
            </w:r>
          </w:p>
        </w:tc>
        <w:tc>
          <w:tcPr>
            <w:tcW w:w="578" w:type="pct"/>
            <w:tcBorders>
              <w:top w:val="nil"/>
              <w:bottom w:val="nil"/>
            </w:tcBorders>
            <w:shd w:val="clear" w:color="auto" w:fill="E7E6E6" w:themeFill="background2"/>
            <w:noWrap/>
            <w:hideMark/>
          </w:tcPr>
          <w:p w14:paraId="3988D0DE"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46,7</w:t>
            </w:r>
          </w:p>
        </w:tc>
      </w:tr>
      <w:tr w:rsidR="008D31CC" w:rsidRPr="00F5596D" w14:paraId="0312DFD5"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11EE548"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auto"/>
            <w:noWrap/>
            <w:hideMark/>
          </w:tcPr>
          <w:p w14:paraId="094ECDE1"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46,9</w:t>
            </w:r>
          </w:p>
        </w:tc>
        <w:tc>
          <w:tcPr>
            <w:tcW w:w="578" w:type="pct"/>
            <w:tcBorders>
              <w:top w:val="nil"/>
              <w:left w:val="nil"/>
              <w:bottom w:val="nil"/>
              <w:right w:val="nil"/>
            </w:tcBorders>
            <w:shd w:val="clear" w:color="auto" w:fill="auto"/>
            <w:noWrap/>
            <w:hideMark/>
          </w:tcPr>
          <w:p w14:paraId="2F3CF899"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47,0</w:t>
            </w:r>
          </w:p>
        </w:tc>
        <w:tc>
          <w:tcPr>
            <w:tcW w:w="578" w:type="pct"/>
            <w:tcBorders>
              <w:top w:val="nil"/>
              <w:left w:val="nil"/>
              <w:bottom w:val="nil"/>
              <w:right w:val="nil"/>
            </w:tcBorders>
            <w:shd w:val="clear" w:color="auto" w:fill="auto"/>
            <w:noWrap/>
            <w:hideMark/>
          </w:tcPr>
          <w:p w14:paraId="5119C07A"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46,9</w:t>
            </w:r>
          </w:p>
        </w:tc>
        <w:tc>
          <w:tcPr>
            <w:tcW w:w="578" w:type="pct"/>
            <w:tcBorders>
              <w:top w:val="nil"/>
              <w:left w:val="nil"/>
              <w:bottom w:val="nil"/>
              <w:right w:val="nil"/>
            </w:tcBorders>
            <w:shd w:val="clear" w:color="auto" w:fill="auto"/>
            <w:noWrap/>
            <w:hideMark/>
          </w:tcPr>
          <w:p w14:paraId="63F9D951"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47,3</w:t>
            </w:r>
          </w:p>
        </w:tc>
      </w:tr>
      <w:tr w:rsidR="008D31CC" w:rsidRPr="00F5596D" w14:paraId="3143C93B"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062194F9"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Комбиновани шок (15% USD и каматни шок1) </w:t>
            </w:r>
          </w:p>
        </w:tc>
        <w:tc>
          <w:tcPr>
            <w:tcW w:w="578" w:type="pct"/>
            <w:tcBorders>
              <w:top w:val="nil"/>
              <w:bottom w:val="single" w:sz="4" w:space="0" w:color="002060"/>
            </w:tcBorders>
            <w:shd w:val="clear" w:color="auto" w:fill="E7E6E6" w:themeFill="background2"/>
            <w:noWrap/>
            <w:hideMark/>
          </w:tcPr>
          <w:p w14:paraId="515CB67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47,2</w:t>
            </w:r>
          </w:p>
        </w:tc>
        <w:tc>
          <w:tcPr>
            <w:tcW w:w="578" w:type="pct"/>
            <w:tcBorders>
              <w:top w:val="nil"/>
              <w:bottom w:val="single" w:sz="4" w:space="0" w:color="002060"/>
            </w:tcBorders>
            <w:shd w:val="clear" w:color="auto" w:fill="E7E6E6" w:themeFill="background2"/>
            <w:noWrap/>
            <w:hideMark/>
          </w:tcPr>
          <w:p w14:paraId="6CD1429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48,7</w:t>
            </w:r>
          </w:p>
        </w:tc>
        <w:tc>
          <w:tcPr>
            <w:tcW w:w="578" w:type="pct"/>
            <w:tcBorders>
              <w:top w:val="nil"/>
              <w:bottom w:val="single" w:sz="4" w:space="0" w:color="002060"/>
            </w:tcBorders>
            <w:shd w:val="clear" w:color="auto" w:fill="E7E6E6" w:themeFill="background2"/>
            <w:noWrap/>
            <w:hideMark/>
          </w:tcPr>
          <w:p w14:paraId="32F5B64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47,2</w:t>
            </w:r>
          </w:p>
        </w:tc>
        <w:tc>
          <w:tcPr>
            <w:tcW w:w="578" w:type="pct"/>
            <w:tcBorders>
              <w:top w:val="nil"/>
              <w:bottom w:val="single" w:sz="4" w:space="0" w:color="002060"/>
            </w:tcBorders>
            <w:shd w:val="clear" w:color="auto" w:fill="E7E6E6" w:themeFill="background2"/>
            <w:noWrap/>
            <w:hideMark/>
          </w:tcPr>
          <w:p w14:paraId="175EF759"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47,4</w:t>
            </w:r>
          </w:p>
        </w:tc>
      </w:tr>
      <w:tr w:rsidR="008D31CC" w:rsidRPr="00F5596D" w14:paraId="1CB27951"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108BA33E"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shd w:val="clear" w:color="auto" w:fill="auto"/>
            <w:noWrap/>
            <w:hideMark/>
          </w:tcPr>
          <w:p w14:paraId="58024DF3"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4,99</w:t>
            </w:r>
          </w:p>
        </w:tc>
        <w:tc>
          <w:tcPr>
            <w:tcW w:w="578" w:type="pct"/>
            <w:tcBorders>
              <w:top w:val="single" w:sz="4" w:space="0" w:color="002060"/>
              <w:left w:val="nil"/>
              <w:bottom w:val="single" w:sz="4" w:space="0" w:color="002060"/>
              <w:right w:val="nil"/>
            </w:tcBorders>
            <w:shd w:val="clear" w:color="auto" w:fill="auto"/>
            <w:noWrap/>
            <w:hideMark/>
          </w:tcPr>
          <w:p w14:paraId="6B75479B"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5,41</w:t>
            </w:r>
          </w:p>
        </w:tc>
        <w:tc>
          <w:tcPr>
            <w:tcW w:w="578" w:type="pct"/>
            <w:tcBorders>
              <w:top w:val="single" w:sz="4" w:space="0" w:color="002060"/>
              <w:left w:val="nil"/>
              <w:bottom w:val="single" w:sz="4" w:space="0" w:color="002060"/>
              <w:right w:val="nil"/>
            </w:tcBorders>
            <w:shd w:val="clear" w:color="auto" w:fill="auto"/>
            <w:noWrap/>
            <w:hideMark/>
          </w:tcPr>
          <w:p w14:paraId="0D48E778"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5,39</w:t>
            </w:r>
          </w:p>
        </w:tc>
        <w:tc>
          <w:tcPr>
            <w:tcW w:w="578" w:type="pct"/>
            <w:tcBorders>
              <w:top w:val="single" w:sz="4" w:space="0" w:color="002060"/>
              <w:left w:val="nil"/>
              <w:bottom w:val="single" w:sz="4" w:space="0" w:color="002060"/>
              <w:right w:val="nil"/>
            </w:tcBorders>
            <w:shd w:val="clear" w:color="auto" w:fill="auto"/>
            <w:noWrap/>
            <w:hideMark/>
          </w:tcPr>
          <w:p w14:paraId="40E49845"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4,14</w:t>
            </w:r>
          </w:p>
        </w:tc>
      </w:tr>
    </w:tbl>
    <w:p w14:paraId="05E4E1A2" w14:textId="77777777" w:rsidR="008D31CC" w:rsidRPr="00F5596D" w:rsidRDefault="008D31CC" w:rsidP="008D31CC">
      <w:pPr>
        <w:rPr>
          <w:lang w:val="sr-Cyrl-CS"/>
        </w:rPr>
      </w:pPr>
    </w:p>
    <w:p w14:paraId="38B0C916" w14:textId="341BB99E"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34</w:t>
      </w:r>
      <w:r w:rsidR="008D31CC" w:rsidRPr="00F5596D">
        <w:rPr>
          <w:rFonts w:ascii="Calibri" w:eastAsia="Calibri" w:hAnsi="Calibri" w:cs="Times New Roman"/>
          <w:b/>
          <w:color w:val="002060"/>
          <w:lang w:val="sr-Cyrl-CS"/>
        </w:rPr>
        <w:t>. Однос плаћања по основу камата и БДП на крају 2028.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8D31CC" w:rsidRPr="00F5596D" w14:paraId="717BB475" w14:textId="77777777" w:rsidTr="008D31CC">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711F2489" w14:textId="77777777" w:rsidR="008D31CC" w:rsidRPr="00F5596D" w:rsidRDefault="008D31CC" w:rsidP="008D31CC">
            <w:pPr>
              <w:rPr>
                <w:rFonts w:ascii="Calibri" w:hAnsi="Calibri" w:cs="Calibri"/>
                <w:color w:val="002060"/>
                <w:sz w:val="18"/>
                <w:szCs w:val="18"/>
                <w:lang w:val="sr-Cyrl-CS"/>
              </w:rPr>
            </w:pPr>
            <w:r w:rsidRPr="00F5596D">
              <w:rPr>
                <w:rFonts w:ascii="Calibri" w:hAnsi="Calibri" w:cs="Calibri"/>
                <w:color w:val="002060"/>
                <w:sz w:val="18"/>
                <w:szCs w:val="18"/>
                <w:lang w:val="sr-Cyrl-CS"/>
              </w:rPr>
              <w:t>Сценарији</w:t>
            </w:r>
          </w:p>
        </w:tc>
        <w:tc>
          <w:tcPr>
            <w:tcW w:w="578" w:type="pct"/>
            <w:tcBorders>
              <w:top w:val="single" w:sz="4" w:space="0" w:color="002060"/>
              <w:bottom w:val="single" w:sz="4" w:space="0" w:color="002060"/>
            </w:tcBorders>
            <w:noWrap/>
            <w:hideMark/>
          </w:tcPr>
          <w:p w14:paraId="52C989EA"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C1</w:t>
            </w:r>
          </w:p>
        </w:tc>
        <w:tc>
          <w:tcPr>
            <w:tcW w:w="578" w:type="pct"/>
            <w:tcBorders>
              <w:top w:val="single" w:sz="4" w:space="0" w:color="002060"/>
              <w:bottom w:val="single" w:sz="4" w:space="0" w:color="002060"/>
            </w:tcBorders>
            <w:noWrap/>
            <w:hideMark/>
          </w:tcPr>
          <w:p w14:paraId="18BCB073"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C2</w:t>
            </w:r>
          </w:p>
        </w:tc>
        <w:tc>
          <w:tcPr>
            <w:tcW w:w="578" w:type="pct"/>
            <w:tcBorders>
              <w:top w:val="single" w:sz="4" w:space="0" w:color="002060"/>
              <w:bottom w:val="single" w:sz="4" w:space="0" w:color="002060"/>
            </w:tcBorders>
            <w:noWrap/>
            <w:hideMark/>
          </w:tcPr>
          <w:p w14:paraId="19C9E879"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C3</w:t>
            </w:r>
          </w:p>
        </w:tc>
        <w:tc>
          <w:tcPr>
            <w:tcW w:w="578" w:type="pct"/>
            <w:tcBorders>
              <w:top w:val="single" w:sz="4" w:space="0" w:color="002060"/>
              <w:bottom w:val="single" w:sz="4" w:space="0" w:color="002060"/>
            </w:tcBorders>
            <w:noWrap/>
            <w:hideMark/>
          </w:tcPr>
          <w:p w14:paraId="71E82260"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C4</w:t>
            </w:r>
          </w:p>
        </w:tc>
      </w:tr>
      <w:tr w:rsidR="008D31CC" w:rsidRPr="00F5596D" w14:paraId="323B44CE"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31C6E8D0"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Основни сценарио</w:t>
            </w:r>
          </w:p>
        </w:tc>
        <w:tc>
          <w:tcPr>
            <w:tcW w:w="578" w:type="pct"/>
            <w:tcBorders>
              <w:top w:val="nil"/>
              <w:bottom w:val="nil"/>
            </w:tcBorders>
            <w:shd w:val="clear" w:color="auto" w:fill="E7E6E6" w:themeFill="background2"/>
            <w:noWrap/>
            <w:hideMark/>
          </w:tcPr>
          <w:p w14:paraId="36DE343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1,9</w:t>
            </w:r>
          </w:p>
        </w:tc>
        <w:tc>
          <w:tcPr>
            <w:tcW w:w="578" w:type="pct"/>
            <w:tcBorders>
              <w:top w:val="nil"/>
              <w:bottom w:val="nil"/>
            </w:tcBorders>
            <w:shd w:val="clear" w:color="auto" w:fill="E7E6E6" w:themeFill="background2"/>
            <w:noWrap/>
            <w:hideMark/>
          </w:tcPr>
          <w:p w14:paraId="0586658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2,0</w:t>
            </w:r>
          </w:p>
        </w:tc>
        <w:tc>
          <w:tcPr>
            <w:tcW w:w="578" w:type="pct"/>
            <w:tcBorders>
              <w:top w:val="nil"/>
              <w:bottom w:val="nil"/>
            </w:tcBorders>
            <w:shd w:val="clear" w:color="auto" w:fill="E7E6E6" w:themeFill="background2"/>
            <w:noWrap/>
            <w:hideMark/>
          </w:tcPr>
          <w:p w14:paraId="0FF2627C"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1,9</w:t>
            </w:r>
          </w:p>
        </w:tc>
        <w:tc>
          <w:tcPr>
            <w:tcW w:w="578" w:type="pct"/>
            <w:tcBorders>
              <w:top w:val="nil"/>
              <w:bottom w:val="nil"/>
            </w:tcBorders>
            <w:shd w:val="clear" w:color="auto" w:fill="E7E6E6" w:themeFill="background2"/>
            <w:noWrap/>
            <w:hideMark/>
          </w:tcPr>
          <w:p w14:paraId="60B8F27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2,0</w:t>
            </w:r>
          </w:p>
        </w:tc>
      </w:tr>
      <w:tr w:rsidR="008D31CC" w:rsidRPr="00F5596D" w14:paraId="040CFD06"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26CB70CC"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Шок девизног курса (15% све валуте) </w:t>
            </w:r>
          </w:p>
        </w:tc>
        <w:tc>
          <w:tcPr>
            <w:tcW w:w="578" w:type="pct"/>
            <w:tcBorders>
              <w:top w:val="nil"/>
              <w:left w:val="nil"/>
              <w:bottom w:val="nil"/>
              <w:right w:val="nil"/>
            </w:tcBorders>
            <w:shd w:val="clear" w:color="auto" w:fill="auto"/>
            <w:noWrap/>
            <w:hideMark/>
          </w:tcPr>
          <w:p w14:paraId="65B31368"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2,1</w:t>
            </w:r>
          </w:p>
        </w:tc>
        <w:tc>
          <w:tcPr>
            <w:tcW w:w="578" w:type="pct"/>
            <w:tcBorders>
              <w:top w:val="nil"/>
              <w:left w:val="nil"/>
              <w:bottom w:val="nil"/>
              <w:right w:val="nil"/>
            </w:tcBorders>
            <w:shd w:val="clear" w:color="auto" w:fill="auto"/>
            <w:noWrap/>
            <w:hideMark/>
          </w:tcPr>
          <w:p w14:paraId="21FC59B2"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2,2</w:t>
            </w:r>
          </w:p>
        </w:tc>
        <w:tc>
          <w:tcPr>
            <w:tcW w:w="578" w:type="pct"/>
            <w:tcBorders>
              <w:top w:val="nil"/>
              <w:left w:val="nil"/>
              <w:bottom w:val="nil"/>
              <w:right w:val="nil"/>
            </w:tcBorders>
            <w:shd w:val="clear" w:color="auto" w:fill="auto"/>
            <w:noWrap/>
            <w:hideMark/>
          </w:tcPr>
          <w:p w14:paraId="6909BE21"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2,1</w:t>
            </w:r>
          </w:p>
        </w:tc>
        <w:tc>
          <w:tcPr>
            <w:tcW w:w="578" w:type="pct"/>
            <w:tcBorders>
              <w:top w:val="nil"/>
              <w:left w:val="nil"/>
              <w:bottom w:val="nil"/>
              <w:right w:val="nil"/>
            </w:tcBorders>
            <w:shd w:val="clear" w:color="auto" w:fill="auto"/>
            <w:noWrap/>
            <w:hideMark/>
          </w:tcPr>
          <w:p w14:paraId="35CFE83B"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2,2</w:t>
            </w:r>
          </w:p>
        </w:tc>
      </w:tr>
      <w:tr w:rsidR="008D31CC" w:rsidRPr="00F5596D" w14:paraId="456A5AD6"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01537DA4"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Каматни шок (сценарио 1) </w:t>
            </w:r>
          </w:p>
        </w:tc>
        <w:tc>
          <w:tcPr>
            <w:tcW w:w="578" w:type="pct"/>
            <w:tcBorders>
              <w:top w:val="nil"/>
              <w:bottom w:val="nil"/>
            </w:tcBorders>
            <w:shd w:val="clear" w:color="auto" w:fill="E7E6E6" w:themeFill="background2"/>
            <w:noWrap/>
            <w:hideMark/>
          </w:tcPr>
          <w:p w14:paraId="7B07A15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2,3</w:t>
            </w:r>
          </w:p>
        </w:tc>
        <w:tc>
          <w:tcPr>
            <w:tcW w:w="578" w:type="pct"/>
            <w:tcBorders>
              <w:top w:val="nil"/>
              <w:bottom w:val="nil"/>
            </w:tcBorders>
            <w:shd w:val="clear" w:color="auto" w:fill="E7E6E6" w:themeFill="background2"/>
            <w:noWrap/>
            <w:hideMark/>
          </w:tcPr>
          <w:p w14:paraId="6EC6741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2,5</w:t>
            </w:r>
          </w:p>
        </w:tc>
        <w:tc>
          <w:tcPr>
            <w:tcW w:w="578" w:type="pct"/>
            <w:tcBorders>
              <w:top w:val="nil"/>
              <w:bottom w:val="nil"/>
            </w:tcBorders>
            <w:shd w:val="clear" w:color="auto" w:fill="E7E6E6" w:themeFill="background2"/>
            <w:noWrap/>
            <w:hideMark/>
          </w:tcPr>
          <w:p w14:paraId="4E6116D6"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2,4</w:t>
            </w:r>
          </w:p>
        </w:tc>
        <w:tc>
          <w:tcPr>
            <w:tcW w:w="578" w:type="pct"/>
            <w:tcBorders>
              <w:top w:val="nil"/>
              <w:bottom w:val="nil"/>
            </w:tcBorders>
            <w:shd w:val="clear" w:color="auto" w:fill="E7E6E6" w:themeFill="background2"/>
            <w:noWrap/>
            <w:hideMark/>
          </w:tcPr>
          <w:p w14:paraId="7DB5E049"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2,5</w:t>
            </w:r>
          </w:p>
        </w:tc>
      </w:tr>
      <w:tr w:rsidR="008D31CC" w:rsidRPr="00F5596D" w14:paraId="29A614FA"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1C2BA992"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Каматни шок (сценарио 2)</w:t>
            </w:r>
          </w:p>
        </w:tc>
        <w:tc>
          <w:tcPr>
            <w:tcW w:w="578" w:type="pct"/>
            <w:tcBorders>
              <w:top w:val="nil"/>
              <w:left w:val="nil"/>
              <w:bottom w:val="nil"/>
              <w:right w:val="nil"/>
            </w:tcBorders>
            <w:shd w:val="clear" w:color="auto" w:fill="auto"/>
            <w:noWrap/>
            <w:hideMark/>
          </w:tcPr>
          <w:p w14:paraId="52151A1C"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2,6</w:t>
            </w:r>
          </w:p>
        </w:tc>
        <w:tc>
          <w:tcPr>
            <w:tcW w:w="578" w:type="pct"/>
            <w:tcBorders>
              <w:top w:val="nil"/>
              <w:left w:val="nil"/>
              <w:bottom w:val="nil"/>
              <w:right w:val="nil"/>
            </w:tcBorders>
            <w:shd w:val="clear" w:color="auto" w:fill="auto"/>
            <w:noWrap/>
            <w:hideMark/>
          </w:tcPr>
          <w:p w14:paraId="0E97765F"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2,7</w:t>
            </w:r>
          </w:p>
        </w:tc>
        <w:tc>
          <w:tcPr>
            <w:tcW w:w="578" w:type="pct"/>
            <w:tcBorders>
              <w:top w:val="nil"/>
              <w:left w:val="nil"/>
              <w:bottom w:val="nil"/>
              <w:right w:val="nil"/>
            </w:tcBorders>
            <w:shd w:val="clear" w:color="auto" w:fill="auto"/>
            <w:noWrap/>
            <w:hideMark/>
          </w:tcPr>
          <w:p w14:paraId="63A4D7F3"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2,6</w:t>
            </w:r>
          </w:p>
        </w:tc>
        <w:tc>
          <w:tcPr>
            <w:tcW w:w="578" w:type="pct"/>
            <w:tcBorders>
              <w:top w:val="nil"/>
              <w:left w:val="nil"/>
              <w:bottom w:val="nil"/>
              <w:right w:val="nil"/>
            </w:tcBorders>
            <w:shd w:val="clear" w:color="auto" w:fill="auto"/>
            <w:noWrap/>
            <w:hideMark/>
          </w:tcPr>
          <w:p w14:paraId="45FD8362"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2,9</w:t>
            </w:r>
          </w:p>
        </w:tc>
      </w:tr>
      <w:tr w:rsidR="008D31CC" w:rsidRPr="00F5596D" w14:paraId="0EB63A0A" w14:textId="77777777" w:rsidTr="008D31C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637F9482"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Комбиновани шок (15% USD и каматни шок1) </w:t>
            </w:r>
          </w:p>
        </w:tc>
        <w:tc>
          <w:tcPr>
            <w:tcW w:w="578" w:type="pct"/>
            <w:tcBorders>
              <w:top w:val="nil"/>
              <w:bottom w:val="single" w:sz="4" w:space="0" w:color="002060"/>
            </w:tcBorders>
            <w:shd w:val="clear" w:color="auto" w:fill="E7E6E6" w:themeFill="background2"/>
            <w:noWrap/>
            <w:hideMark/>
          </w:tcPr>
          <w:p w14:paraId="30712954"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2,4</w:t>
            </w:r>
          </w:p>
        </w:tc>
        <w:tc>
          <w:tcPr>
            <w:tcW w:w="578" w:type="pct"/>
            <w:tcBorders>
              <w:top w:val="nil"/>
              <w:bottom w:val="single" w:sz="4" w:space="0" w:color="002060"/>
            </w:tcBorders>
            <w:shd w:val="clear" w:color="auto" w:fill="E7E6E6" w:themeFill="background2"/>
            <w:noWrap/>
            <w:hideMark/>
          </w:tcPr>
          <w:p w14:paraId="004B36C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2,6</w:t>
            </w:r>
          </w:p>
        </w:tc>
        <w:tc>
          <w:tcPr>
            <w:tcW w:w="578" w:type="pct"/>
            <w:tcBorders>
              <w:top w:val="nil"/>
              <w:bottom w:val="single" w:sz="4" w:space="0" w:color="002060"/>
            </w:tcBorders>
            <w:shd w:val="clear" w:color="auto" w:fill="E7E6E6" w:themeFill="background2"/>
            <w:noWrap/>
            <w:hideMark/>
          </w:tcPr>
          <w:p w14:paraId="60818A7E"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2,4</w:t>
            </w:r>
          </w:p>
        </w:tc>
        <w:tc>
          <w:tcPr>
            <w:tcW w:w="578" w:type="pct"/>
            <w:tcBorders>
              <w:top w:val="nil"/>
              <w:bottom w:val="single" w:sz="4" w:space="0" w:color="002060"/>
            </w:tcBorders>
            <w:shd w:val="clear" w:color="auto" w:fill="E7E6E6" w:themeFill="background2"/>
            <w:noWrap/>
            <w:hideMark/>
          </w:tcPr>
          <w:p w14:paraId="64AAFCE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2,5</w:t>
            </w:r>
          </w:p>
        </w:tc>
      </w:tr>
      <w:tr w:rsidR="008D31CC" w:rsidRPr="00F5596D" w14:paraId="2F98E634" w14:textId="77777777" w:rsidTr="008D31CC">
        <w:trPr>
          <w:trHeight w:val="249"/>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7FDD439B"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 Максимални ризик </w:t>
            </w:r>
          </w:p>
        </w:tc>
        <w:tc>
          <w:tcPr>
            <w:tcW w:w="578" w:type="pct"/>
            <w:tcBorders>
              <w:top w:val="single" w:sz="4" w:space="0" w:color="002060"/>
              <w:left w:val="nil"/>
              <w:bottom w:val="single" w:sz="4" w:space="0" w:color="002060"/>
              <w:right w:val="nil"/>
            </w:tcBorders>
            <w:shd w:val="clear" w:color="auto" w:fill="auto"/>
            <w:noWrap/>
            <w:hideMark/>
          </w:tcPr>
          <w:p w14:paraId="6677976E"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0,71</w:t>
            </w:r>
          </w:p>
        </w:tc>
        <w:tc>
          <w:tcPr>
            <w:tcW w:w="578" w:type="pct"/>
            <w:tcBorders>
              <w:top w:val="single" w:sz="4" w:space="0" w:color="002060"/>
              <w:left w:val="nil"/>
              <w:bottom w:val="single" w:sz="4" w:space="0" w:color="002060"/>
              <w:right w:val="nil"/>
            </w:tcBorders>
            <w:shd w:val="clear" w:color="auto" w:fill="auto"/>
            <w:noWrap/>
            <w:hideMark/>
          </w:tcPr>
          <w:p w14:paraId="14F93633"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0,75</w:t>
            </w:r>
          </w:p>
        </w:tc>
        <w:tc>
          <w:tcPr>
            <w:tcW w:w="578" w:type="pct"/>
            <w:tcBorders>
              <w:top w:val="single" w:sz="4" w:space="0" w:color="002060"/>
              <w:left w:val="nil"/>
              <w:bottom w:val="single" w:sz="4" w:space="0" w:color="002060"/>
              <w:right w:val="nil"/>
            </w:tcBorders>
            <w:shd w:val="clear" w:color="auto" w:fill="auto"/>
            <w:noWrap/>
            <w:hideMark/>
          </w:tcPr>
          <w:p w14:paraId="37A0F0D5"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0,75</w:t>
            </w:r>
          </w:p>
        </w:tc>
        <w:tc>
          <w:tcPr>
            <w:tcW w:w="578" w:type="pct"/>
            <w:tcBorders>
              <w:top w:val="single" w:sz="4" w:space="0" w:color="002060"/>
              <w:left w:val="nil"/>
              <w:bottom w:val="single" w:sz="4" w:space="0" w:color="002060"/>
              <w:right w:val="nil"/>
            </w:tcBorders>
            <w:shd w:val="clear" w:color="auto" w:fill="auto"/>
            <w:noWrap/>
            <w:hideMark/>
          </w:tcPr>
          <w:p w14:paraId="3443FEF6"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0,92</w:t>
            </w:r>
          </w:p>
        </w:tc>
      </w:tr>
    </w:tbl>
    <w:p w14:paraId="17C433A2" w14:textId="77777777" w:rsidR="008D31CC" w:rsidRPr="00F5596D" w:rsidRDefault="008D31CC" w:rsidP="008D31CC">
      <w:pPr>
        <w:spacing w:after="0" w:line="276" w:lineRule="auto"/>
        <w:jc w:val="left"/>
        <w:rPr>
          <w:rFonts w:ascii="Calibri" w:eastAsia="Calibri" w:hAnsi="Calibri" w:cs="Calibri"/>
          <w:bCs/>
          <w:szCs w:val="72"/>
          <w:lang w:val="sr-Cyrl-CS"/>
        </w:rPr>
      </w:pPr>
    </w:p>
    <w:p w14:paraId="5CFD800D" w14:textId="77777777" w:rsidR="008D31CC" w:rsidRPr="00F5596D" w:rsidRDefault="008D31CC" w:rsidP="008D31CC">
      <w:pPr>
        <w:rPr>
          <w:lang w:val="sr-Cyrl-CS"/>
        </w:rPr>
        <w:sectPr w:rsidR="008D31CC" w:rsidRPr="00F5596D" w:rsidSect="008D31CC">
          <w:type w:val="continuous"/>
          <w:pgSz w:w="12240" w:h="15840" w:code="1"/>
          <w:pgMar w:top="1440" w:right="1440" w:bottom="1440" w:left="1440" w:header="720" w:footer="720" w:gutter="0"/>
          <w:cols w:space="720"/>
          <w:titlePg/>
          <w:docGrid w:linePitch="360"/>
        </w:sectPr>
      </w:pPr>
    </w:p>
    <w:p w14:paraId="04266764" w14:textId="77777777" w:rsidR="008D31CC" w:rsidRPr="00F5596D" w:rsidRDefault="008D31CC" w:rsidP="008D31CC">
      <w:pPr>
        <w:spacing w:after="280"/>
        <w:rPr>
          <w:lang w:val="sr-Cyrl-CS"/>
        </w:rPr>
        <w:sectPr w:rsidR="008D31CC" w:rsidRPr="00F5596D" w:rsidSect="008D31CC">
          <w:type w:val="continuous"/>
          <w:pgSz w:w="12240" w:h="15840" w:code="1"/>
          <w:pgMar w:top="1440" w:right="1440" w:bottom="1440" w:left="1440" w:header="720" w:footer="720" w:gutter="0"/>
          <w:cols w:num="2" w:space="720"/>
          <w:titlePg/>
          <w:docGrid w:linePitch="360"/>
        </w:sectPr>
      </w:pPr>
      <w:r w:rsidRPr="00F5596D">
        <w:rPr>
          <w:lang w:val="sr-Cyrl-CS"/>
        </w:rPr>
        <w:t xml:space="preserve">Наредна табела приказује кретања основних параметара јавног дуга по основу све четири </w:t>
      </w:r>
      <w:r w:rsidRPr="00F5596D">
        <w:rPr>
          <w:lang w:val="sr-Cyrl-CS"/>
        </w:rPr>
        <w:t>разматране стратегије, што осликава горе поменуте карактеристике сваке стратегије.</w:t>
      </w:r>
    </w:p>
    <w:p w14:paraId="505913AF" w14:textId="1063C4FC" w:rsidR="008D31CC" w:rsidRPr="00F5596D" w:rsidRDefault="00F14A11" w:rsidP="008D31CC">
      <w:pPr>
        <w:spacing w:line="256" w:lineRule="auto"/>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35</w:t>
      </w:r>
      <w:r w:rsidR="008D31CC" w:rsidRPr="00F5596D">
        <w:rPr>
          <w:rFonts w:ascii="Calibri" w:eastAsia="Calibri" w:hAnsi="Calibri" w:cs="Times New Roman"/>
          <w:b/>
          <w:color w:val="002060"/>
          <w:lang w:val="sr-Cyrl-CS"/>
        </w:rPr>
        <w:t>. Индикатори ризика за алтернативне стратегије на крају 2028. године</w:t>
      </w:r>
    </w:p>
    <w:tbl>
      <w:tblPr>
        <w:tblStyle w:val="LightShading-Accent1222"/>
        <w:tblW w:w="5000" w:type="pct"/>
        <w:tblInd w:w="0" w:type="dxa"/>
        <w:tblLook w:val="04A0" w:firstRow="1" w:lastRow="0" w:firstColumn="1" w:lastColumn="0" w:noHBand="0" w:noVBand="1"/>
      </w:tblPr>
      <w:tblGrid>
        <w:gridCol w:w="2089"/>
        <w:gridCol w:w="3384"/>
        <w:gridCol w:w="1324"/>
        <w:gridCol w:w="641"/>
        <w:gridCol w:w="640"/>
        <w:gridCol w:w="638"/>
        <w:gridCol w:w="644"/>
      </w:tblGrid>
      <w:tr w:rsidR="008D31CC" w:rsidRPr="00F5596D" w14:paraId="579A399A" w14:textId="77777777" w:rsidTr="008D31CC">
        <w:trPr>
          <w:cnfStyle w:val="100000000000" w:firstRow="1" w:lastRow="0" w:firstColumn="0" w:lastColumn="0" w:oddVBand="0" w:evenVBand="0" w:oddHBand="0"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single" w:sz="4" w:space="0" w:color="002060"/>
              <w:bottom w:val="nil"/>
            </w:tcBorders>
            <w:noWrap/>
            <w:hideMark/>
          </w:tcPr>
          <w:p w14:paraId="04550ECC" w14:textId="77777777" w:rsidR="008D31CC" w:rsidRPr="00F5596D" w:rsidRDefault="008D31CC" w:rsidP="008D31CC">
            <w:pPr>
              <w:spacing w:line="256" w:lineRule="auto"/>
              <w:rPr>
                <w:rFonts w:ascii="Calibri" w:hAnsi="Calibri"/>
                <w:color w:val="002060"/>
                <w:lang w:val="sr-Cyrl-CS"/>
              </w:rPr>
            </w:pPr>
          </w:p>
        </w:tc>
        <w:tc>
          <w:tcPr>
            <w:tcW w:w="1808" w:type="pct"/>
            <w:tcBorders>
              <w:top w:val="single" w:sz="4" w:space="0" w:color="002060"/>
              <w:bottom w:val="single" w:sz="4" w:space="0" w:color="auto"/>
            </w:tcBorders>
          </w:tcPr>
          <w:p w14:paraId="4E256301" w14:textId="77777777" w:rsidR="008D31CC" w:rsidRPr="00F5596D" w:rsidRDefault="008D31CC" w:rsidP="008D31CC">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707" w:type="pct"/>
            <w:tcBorders>
              <w:top w:val="single" w:sz="4" w:space="0" w:color="002060"/>
              <w:bottom w:val="single" w:sz="4" w:space="0" w:color="auto"/>
            </w:tcBorders>
          </w:tcPr>
          <w:p w14:paraId="0B53EE5D"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p>
        </w:tc>
        <w:tc>
          <w:tcPr>
            <w:tcW w:w="1369" w:type="pct"/>
            <w:gridSpan w:val="4"/>
            <w:tcBorders>
              <w:top w:val="single" w:sz="4" w:space="0" w:color="002060"/>
              <w:bottom w:val="single" w:sz="4" w:space="0" w:color="auto"/>
            </w:tcBorders>
            <w:noWrap/>
            <w:hideMark/>
          </w:tcPr>
          <w:p w14:paraId="2DEC26D3" w14:textId="77777777" w:rsidR="008D31CC" w:rsidRPr="00F5596D" w:rsidRDefault="008D31CC" w:rsidP="008D31CC">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C1</w:t>
            </w:r>
            <w:r w:rsidRPr="00F5596D">
              <w:rPr>
                <w:rFonts w:ascii="Calibri" w:hAnsi="Calibri" w:cs="Calibri"/>
                <w:color w:val="002060"/>
                <w:sz w:val="18"/>
                <w:szCs w:val="18"/>
                <w:lang w:val="sr-Cyrl-CS"/>
              </w:rPr>
              <w:tab/>
              <w:t>C2</w:t>
            </w:r>
            <w:r w:rsidRPr="00F5596D">
              <w:rPr>
                <w:rFonts w:ascii="Calibri" w:hAnsi="Calibri" w:cs="Calibri"/>
                <w:color w:val="002060"/>
                <w:sz w:val="18"/>
                <w:szCs w:val="18"/>
                <w:lang w:val="sr-Cyrl-CS"/>
              </w:rPr>
              <w:tab/>
              <w:t>C3</w:t>
            </w:r>
            <w:r w:rsidRPr="00F5596D">
              <w:rPr>
                <w:rFonts w:ascii="Calibri" w:hAnsi="Calibri" w:cs="Calibri"/>
                <w:color w:val="002060"/>
                <w:sz w:val="18"/>
                <w:szCs w:val="18"/>
                <w:lang w:val="sr-Cyrl-CS"/>
              </w:rPr>
              <w:tab/>
              <w:t>C4</w:t>
            </w:r>
          </w:p>
        </w:tc>
      </w:tr>
      <w:tr w:rsidR="008D31CC" w:rsidRPr="00F5596D" w14:paraId="16EF0471"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nil"/>
              <w:bottom w:val="nil"/>
            </w:tcBorders>
            <w:shd w:val="clear" w:color="auto" w:fill="E7E6E6" w:themeFill="background2"/>
            <w:noWrap/>
            <w:hideMark/>
          </w:tcPr>
          <w:p w14:paraId="52A0B7B0"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Номинални дуг (% БДП)</w:t>
            </w:r>
          </w:p>
        </w:tc>
        <w:tc>
          <w:tcPr>
            <w:tcW w:w="1808" w:type="pct"/>
            <w:tcBorders>
              <w:top w:val="single" w:sz="4" w:space="0" w:color="auto"/>
              <w:bottom w:val="nil"/>
            </w:tcBorders>
            <w:shd w:val="clear" w:color="auto" w:fill="E7E6E6" w:themeFill="background2"/>
            <w:noWrap/>
            <w:hideMark/>
          </w:tcPr>
          <w:p w14:paraId="7AB3C69B" w14:textId="77777777" w:rsidR="008D31CC" w:rsidRPr="00F5596D" w:rsidRDefault="008D31CC" w:rsidP="008D31CC">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 </w:t>
            </w:r>
          </w:p>
        </w:tc>
        <w:tc>
          <w:tcPr>
            <w:tcW w:w="707" w:type="pct"/>
            <w:tcBorders>
              <w:top w:val="single" w:sz="4" w:space="0" w:color="auto"/>
              <w:bottom w:val="nil"/>
            </w:tcBorders>
            <w:shd w:val="clear" w:color="auto" w:fill="E7E6E6" w:themeFill="background2"/>
          </w:tcPr>
          <w:p w14:paraId="5DD7292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single" w:sz="4" w:space="0" w:color="auto"/>
              <w:bottom w:val="nil"/>
            </w:tcBorders>
            <w:shd w:val="clear" w:color="auto" w:fill="E7E6E6" w:themeFill="background2"/>
            <w:noWrap/>
            <w:hideMark/>
          </w:tcPr>
          <w:p w14:paraId="2253DA1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45,7</w:t>
            </w:r>
          </w:p>
        </w:tc>
        <w:tc>
          <w:tcPr>
            <w:tcW w:w="342" w:type="pct"/>
            <w:tcBorders>
              <w:top w:val="single" w:sz="4" w:space="0" w:color="auto"/>
              <w:bottom w:val="nil"/>
            </w:tcBorders>
            <w:shd w:val="clear" w:color="auto" w:fill="E7E6E6" w:themeFill="background2"/>
            <w:noWrap/>
            <w:hideMark/>
          </w:tcPr>
          <w:p w14:paraId="05E2CBC0"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45,8</w:t>
            </w:r>
          </w:p>
        </w:tc>
        <w:tc>
          <w:tcPr>
            <w:tcW w:w="341" w:type="pct"/>
            <w:tcBorders>
              <w:top w:val="single" w:sz="4" w:space="0" w:color="auto"/>
              <w:bottom w:val="nil"/>
            </w:tcBorders>
            <w:shd w:val="clear" w:color="auto" w:fill="E7E6E6" w:themeFill="background2"/>
            <w:noWrap/>
            <w:hideMark/>
          </w:tcPr>
          <w:p w14:paraId="68AF2FF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45,6</w:t>
            </w:r>
          </w:p>
        </w:tc>
        <w:tc>
          <w:tcPr>
            <w:tcW w:w="344" w:type="pct"/>
            <w:tcBorders>
              <w:top w:val="single" w:sz="4" w:space="0" w:color="auto"/>
              <w:bottom w:val="nil"/>
            </w:tcBorders>
            <w:shd w:val="clear" w:color="auto" w:fill="E7E6E6" w:themeFill="background2"/>
            <w:noWrap/>
            <w:hideMark/>
          </w:tcPr>
          <w:p w14:paraId="23D0A8F8"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45,8</w:t>
            </w:r>
          </w:p>
        </w:tc>
      </w:tr>
      <w:tr w:rsidR="008D31CC" w:rsidRPr="00F5596D" w14:paraId="6C9B5CB3"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2924" w:type="pct"/>
            <w:gridSpan w:val="2"/>
            <w:tcBorders>
              <w:top w:val="nil"/>
              <w:left w:val="nil"/>
              <w:bottom w:val="nil"/>
              <w:right w:val="nil"/>
            </w:tcBorders>
            <w:noWrap/>
            <w:hideMark/>
          </w:tcPr>
          <w:p w14:paraId="6A8A2E6D"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Примењена каматна стопа (%)</w:t>
            </w:r>
          </w:p>
        </w:tc>
        <w:tc>
          <w:tcPr>
            <w:tcW w:w="707" w:type="pct"/>
            <w:tcBorders>
              <w:top w:val="nil"/>
              <w:left w:val="nil"/>
              <w:bottom w:val="nil"/>
              <w:right w:val="nil"/>
            </w:tcBorders>
          </w:tcPr>
          <w:p w14:paraId="52240176"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4A58DAFE"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4,4</w:t>
            </w:r>
          </w:p>
        </w:tc>
        <w:tc>
          <w:tcPr>
            <w:tcW w:w="342" w:type="pct"/>
            <w:tcBorders>
              <w:top w:val="nil"/>
              <w:left w:val="nil"/>
              <w:bottom w:val="nil"/>
              <w:right w:val="nil"/>
            </w:tcBorders>
            <w:noWrap/>
            <w:hideMark/>
          </w:tcPr>
          <w:p w14:paraId="4DD614EB"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w:t>
            </w:r>
          </w:p>
        </w:tc>
        <w:tc>
          <w:tcPr>
            <w:tcW w:w="341" w:type="pct"/>
            <w:tcBorders>
              <w:top w:val="nil"/>
              <w:left w:val="nil"/>
              <w:bottom w:val="nil"/>
              <w:right w:val="nil"/>
            </w:tcBorders>
            <w:noWrap/>
            <w:hideMark/>
          </w:tcPr>
          <w:p w14:paraId="28ED62A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4,3</w:t>
            </w:r>
          </w:p>
        </w:tc>
        <w:tc>
          <w:tcPr>
            <w:tcW w:w="344" w:type="pct"/>
            <w:tcBorders>
              <w:top w:val="nil"/>
              <w:left w:val="nil"/>
              <w:bottom w:val="nil"/>
              <w:right w:val="nil"/>
            </w:tcBorders>
            <w:noWrap/>
            <w:hideMark/>
          </w:tcPr>
          <w:p w14:paraId="35ED5324"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4,6</w:t>
            </w:r>
          </w:p>
        </w:tc>
      </w:tr>
      <w:tr w:rsidR="008D31CC" w:rsidRPr="00F5596D" w14:paraId="401CA02F"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val="restart"/>
            <w:tcBorders>
              <w:top w:val="nil"/>
              <w:bottom w:val="nil"/>
            </w:tcBorders>
            <w:shd w:val="clear" w:color="auto" w:fill="E7E6E6" w:themeFill="background2"/>
            <w:noWrap/>
            <w:hideMark/>
          </w:tcPr>
          <w:p w14:paraId="1F4029F4"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Ризик</w:t>
            </w:r>
          </w:p>
          <w:p w14:paraId="7B9630E8"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рефинансирања</w:t>
            </w:r>
          </w:p>
        </w:tc>
        <w:tc>
          <w:tcPr>
            <w:tcW w:w="1808" w:type="pct"/>
            <w:tcBorders>
              <w:top w:val="nil"/>
              <w:bottom w:val="nil"/>
            </w:tcBorders>
            <w:shd w:val="clear" w:color="auto" w:fill="E7E6E6" w:themeFill="background2"/>
            <w:noWrap/>
            <w:hideMark/>
          </w:tcPr>
          <w:p w14:paraId="4BDF281F" w14:textId="77777777" w:rsidR="008D31CC" w:rsidRPr="00F5596D" w:rsidRDefault="008D31CC" w:rsidP="008D31CC">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ATM</w:t>
            </w:r>
            <w:r w:rsidRPr="00F5596D">
              <w:rPr>
                <w:rFonts w:ascii="Calibri" w:hAnsi="Calibri" w:cs="Calibri"/>
                <w:color w:val="002060"/>
                <w:sz w:val="18"/>
                <w:szCs w:val="18"/>
                <w:vertAlign w:val="superscript"/>
                <w:lang w:val="sr-Cyrl-CS"/>
              </w:rPr>
              <w:footnoteReference w:id="7"/>
            </w:r>
            <w:r w:rsidRPr="00F5596D">
              <w:rPr>
                <w:rFonts w:ascii="Calibri" w:hAnsi="Calibri" w:cs="Calibri"/>
                <w:color w:val="002060"/>
                <w:sz w:val="18"/>
                <w:szCs w:val="18"/>
                <w:lang w:val="sr-Cyrl-CS"/>
              </w:rPr>
              <w:t xml:space="preserve"> спољни портфолио (у годинама)</w:t>
            </w:r>
          </w:p>
        </w:tc>
        <w:tc>
          <w:tcPr>
            <w:tcW w:w="707" w:type="pct"/>
            <w:tcBorders>
              <w:top w:val="nil"/>
              <w:bottom w:val="nil"/>
            </w:tcBorders>
            <w:shd w:val="clear" w:color="auto" w:fill="E7E6E6" w:themeFill="background2"/>
          </w:tcPr>
          <w:p w14:paraId="4B130035"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bottom w:val="nil"/>
            </w:tcBorders>
            <w:shd w:val="clear" w:color="auto" w:fill="E7E6E6" w:themeFill="background2"/>
            <w:noWrap/>
            <w:hideMark/>
          </w:tcPr>
          <w:p w14:paraId="32FBCE04"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9,1</w:t>
            </w:r>
          </w:p>
        </w:tc>
        <w:tc>
          <w:tcPr>
            <w:tcW w:w="342" w:type="pct"/>
            <w:tcBorders>
              <w:top w:val="nil"/>
              <w:bottom w:val="nil"/>
            </w:tcBorders>
            <w:shd w:val="clear" w:color="auto" w:fill="E7E6E6" w:themeFill="background2"/>
            <w:noWrap/>
            <w:hideMark/>
          </w:tcPr>
          <w:p w14:paraId="011B445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10,1</w:t>
            </w:r>
          </w:p>
        </w:tc>
        <w:tc>
          <w:tcPr>
            <w:tcW w:w="341" w:type="pct"/>
            <w:tcBorders>
              <w:top w:val="nil"/>
              <w:bottom w:val="nil"/>
            </w:tcBorders>
            <w:shd w:val="clear" w:color="auto" w:fill="E7E6E6" w:themeFill="background2"/>
            <w:noWrap/>
            <w:hideMark/>
          </w:tcPr>
          <w:p w14:paraId="0E19DC75"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9,0</w:t>
            </w:r>
          </w:p>
        </w:tc>
        <w:tc>
          <w:tcPr>
            <w:tcW w:w="344" w:type="pct"/>
            <w:tcBorders>
              <w:top w:val="nil"/>
              <w:bottom w:val="nil"/>
            </w:tcBorders>
            <w:shd w:val="clear" w:color="auto" w:fill="E7E6E6" w:themeFill="background2"/>
            <w:noWrap/>
            <w:hideMark/>
          </w:tcPr>
          <w:p w14:paraId="112B2AF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8,4</w:t>
            </w:r>
          </w:p>
        </w:tc>
      </w:tr>
      <w:tr w:rsidR="008D31CC" w:rsidRPr="00F5596D" w14:paraId="3A8CFF4C"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nil"/>
              <w:left w:val="nil"/>
              <w:bottom w:val="nil"/>
              <w:right w:val="nil"/>
            </w:tcBorders>
            <w:vAlign w:val="center"/>
            <w:hideMark/>
          </w:tcPr>
          <w:p w14:paraId="253A07BA" w14:textId="77777777" w:rsidR="008D31CC" w:rsidRPr="00F5596D" w:rsidRDefault="008D31CC" w:rsidP="008D31CC">
            <w:pPr>
              <w:jc w:val="left"/>
              <w:rPr>
                <w:rFonts w:ascii="Calibri" w:hAnsi="Calibri" w:cs="Calibri"/>
                <w:color w:val="002060"/>
                <w:sz w:val="18"/>
                <w:szCs w:val="18"/>
                <w:lang w:val="sr-Cyrl-CS"/>
              </w:rPr>
            </w:pPr>
          </w:p>
        </w:tc>
        <w:tc>
          <w:tcPr>
            <w:tcW w:w="1808" w:type="pct"/>
            <w:tcBorders>
              <w:top w:val="nil"/>
              <w:left w:val="nil"/>
              <w:bottom w:val="nil"/>
              <w:right w:val="nil"/>
            </w:tcBorders>
            <w:noWrap/>
            <w:hideMark/>
          </w:tcPr>
          <w:p w14:paraId="3E4721DE" w14:textId="77777777" w:rsidR="008D31CC" w:rsidRPr="00F5596D" w:rsidRDefault="008D31CC" w:rsidP="008D31CC">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F5596D">
              <w:rPr>
                <w:rFonts w:ascii="Calibri" w:hAnsi="Calibri" w:cs="Calibri"/>
                <w:bCs/>
                <w:color w:val="002060"/>
                <w:sz w:val="18"/>
                <w:szCs w:val="18"/>
                <w:lang w:val="sr-Cyrl-CS"/>
              </w:rPr>
              <w:t>ATM домаћи портфолио (у годинама)</w:t>
            </w:r>
          </w:p>
        </w:tc>
        <w:tc>
          <w:tcPr>
            <w:tcW w:w="707" w:type="pct"/>
            <w:tcBorders>
              <w:top w:val="nil"/>
              <w:left w:val="nil"/>
              <w:bottom w:val="nil"/>
              <w:right w:val="nil"/>
            </w:tcBorders>
          </w:tcPr>
          <w:p w14:paraId="49EB1D6F"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5BD518B8"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5,7</w:t>
            </w:r>
          </w:p>
        </w:tc>
        <w:tc>
          <w:tcPr>
            <w:tcW w:w="342" w:type="pct"/>
            <w:tcBorders>
              <w:top w:val="nil"/>
              <w:left w:val="nil"/>
              <w:bottom w:val="nil"/>
              <w:right w:val="nil"/>
            </w:tcBorders>
            <w:noWrap/>
            <w:hideMark/>
          </w:tcPr>
          <w:p w14:paraId="19222C2E"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4,1</w:t>
            </w:r>
          </w:p>
        </w:tc>
        <w:tc>
          <w:tcPr>
            <w:tcW w:w="341" w:type="pct"/>
            <w:tcBorders>
              <w:top w:val="nil"/>
              <w:left w:val="nil"/>
              <w:bottom w:val="nil"/>
              <w:right w:val="nil"/>
            </w:tcBorders>
            <w:noWrap/>
            <w:hideMark/>
          </w:tcPr>
          <w:p w14:paraId="4F05925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4,1</w:t>
            </w:r>
          </w:p>
        </w:tc>
        <w:tc>
          <w:tcPr>
            <w:tcW w:w="344" w:type="pct"/>
            <w:tcBorders>
              <w:top w:val="nil"/>
              <w:left w:val="nil"/>
              <w:bottom w:val="nil"/>
              <w:right w:val="nil"/>
            </w:tcBorders>
            <w:noWrap/>
            <w:hideMark/>
          </w:tcPr>
          <w:p w14:paraId="23CAEA58"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8,0</w:t>
            </w:r>
          </w:p>
        </w:tc>
      </w:tr>
      <w:tr w:rsidR="008D31CC" w:rsidRPr="00F5596D" w14:paraId="0A12FCD7"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nil"/>
              <w:bottom w:val="single" w:sz="4" w:space="0" w:color="002060"/>
            </w:tcBorders>
            <w:vAlign w:val="center"/>
            <w:hideMark/>
          </w:tcPr>
          <w:p w14:paraId="4E2ACB78" w14:textId="77777777" w:rsidR="008D31CC" w:rsidRPr="00F5596D" w:rsidRDefault="008D31CC" w:rsidP="008D31CC">
            <w:pPr>
              <w:jc w:val="left"/>
              <w:rPr>
                <w:rFonts w:ascii="Calibri" w:hAnsi="Calibri" w:cs="Calibri"/>
                <w:color w:val="002060"/>
                <w:sz w:val="18"/>
                <w:szCs w:val="18"/>
                <w:lang w:val="sr-Cyrl-CS"/>
              </w:rPr>
            </w:pPr>
          </w:p>
        </w:tc>
        <w:tc>
          <w:tcPr>
            <w:tcW w:w="1808" w:type="pct"/>
            <w:tcBorders>
              <w:top w:val="nil"/>
              <w:bottom w:val="single" w:sz="4" w:space="0" w:color="002060"/>
            </w:tcBorders>
            <w:shd w:val="clear" w:color="auto" w:fill="E7E6E6" w:themeFill="background2"/>
            <w:noWrap/>
            <w:hideMark/>
          </w:tcPr>
          <w:p w14:paraId="5ACC91A9" w14:textId="77777777" w:rsidR="008D31CC" w:rsidRPr="00F5596D" w:rsidRDefault="008D31CC" w:rsidP="008D31CC">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ATM укупан портфолио (у годинама)</w:t>
            </w:r>
          </w:p>
        </w:tc>
        <w:tc>
          <w:tcPr>
            <w:tcW w:w="707" w:type="pct"/>
            <w:tcBorders>
              <w:top w:val="nil"/>
              <w:bottom w:val="single" w:sz="4" w:space="0" w:color="002060"/>
            </w:tcBorders>
            <w:shd w:val="clear" w:color="auto" w:fill="E7E6E6" w:themeFill="background2"/>
          </w:tcPr>
          <w:p w14:paraId="74FCDCC7"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bottom w:val="single" w:sz="4" w:space="0" w:color="002060"/>
            </w:tcBorders>
            <w:shd w:val="clear" w:color="auto" w:fill="E7E6E6" w:themeFill="background2"/>
            <w:noWrap/>
            <w:hideMark/>
          </w:tcPr>
          <w:p w14:paraId="23AEBD13"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8,2</w:t>
            </w:r>
          </w:p>
        </w:tc>
        <w:tc>
          <w:tcPr>
            <w:tcW w:w="342" w:type="pct"/>
            <w:tcBorders>
              <w:top w:val="nil"/>
              <w:bottom w:val="single" w:sz="4" w:space="0" w:color="002060"/>
            </w:tcBorders>
            <w:shd w:val="clear" w:color="auto" w:fill="E7E6E6" w:themeFill="background2"/>
            <w:noWrap/>
            <w:hideMark/>
          </w:tcPr>
          <w:p w14:paraId="01984245"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9,4</w:t>
            </w:r>
          </w:p>
        </w:tc>
        <w:tc>
          <w:tcPr>
            <w:tcW w:w="341" w:type="pct"/>
            <w:tcBorders>
              <w:top w:val="nil"/>
              <w:bottom w:val="single" w:sz="4" w:space="0" w:color="002060"/>
            </w:tcBorders>
            <w:shd w:val="clear" w:color="auto" w:fill="E7E6E6" w:themeFill="background2"/>
            <w:noWrap/>
            <w:hideMark/>
          </w:tcPr>
          <w:p w14:paraId="493305AA"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8,4</w:t>
            </w:r>
          </w:p>
        </w:tc>
        <w:tc>
          <w:tcPr>
            <w:tcW w:w="344" w:type="pct"/>
            <w:tcBorders>
              <w:top w:val="nil"/>
              <w:bottom w:val="single" w:sz="4" w:space="0" w:color="002060"/>
            </w:tcBorders>
            <w:shd w:val="clear" w:color="auto" w:fill="E7E6E6" w:themeFill="background2"/>
            <w:noWrap/>
            <w:hideMark/>
          </w:tcPr>
          <w:p w14:paraId="456D383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8,2</w:t>
            </w:r>
          </w:p>
        </w:tc>
      </w:tr>
      <w:tr w:rsidR="008D31CC" w:rsidRPr="00F5596D" w14:paraId="3AEFA702"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116" w:type="pct"/>
            <w:vMerge w:val="restart"/>
            <w:tcBorders>
              <w:top w:val="single" w:sz="4" w:space="0" w:color="002060"/>
              <w:left w:val="nil"/>
              <w:bottom w:val="nil"/>
              <w:right w:val="nil"/>
            </w:tcBorders>
            <w:noWrap/>
            <w:hideMark/>
          </w:tcPr>
          <w:p w14:paraId="157A6993"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Ризик каматних стопа</w:t>
            </w:r>
          </w:p>
        </w:tc>
        <w:tc>
          <w:tcPr>
            <w:tcW w:w="1808" w:type="pct"/>
            <w:tcBorders>
              <w:top w:val="single" w:sz="4" w:space="0" w:color="002060"/>
              <w:left w:val="nil"/>
              <w:bottom w:val="nil"/>
              <w:right w:val="nil"/>
            </w:tcBorders>
            <w:noWrap/>
            <w:hideMark/>
          </w:tcPr>
          <w:p w14:paraId="1430D8FD" w14:textId="77777777" w:rsidR="008D31CC" w:rsidRPr="00F5596D" w:rsidRDefault="008D31CC" w:rsidP="008D31CC">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F5596D">
              <w:rPr>
                <w:rFonts w:ascii="Calibri" w:hAnsi="Calibri" w:cs="Calibri"/>
                <w:bCs/>
                <w:color w:val="002060"/>
                <w:sz w:val="18"/>
                <w:szCs w:val="18"/>
                <w:lang w:val="sr-Cyrl-CS"/>
              </w:rPr>
              <w:t>АТR</w:t>
            </w:r>
            <w:r w:rsidRPr="00F5596D">
              <w:rPr>
                <w:rFonts w:ascii="Calibri" w:hAnsi="Calibri" w:cs="Calibri"/>
                <w:bCs/>
                <w:color w:val="002060"/>
                <w:sz w:val="18"/>
                <w:szCs w:val="18"/>
                <w:vertAlign w:val="superscript"/>
                <w:lang w:val="sr-Cyrl-CS"/>
              </w:rPr>
              <w:footnoteReference w:id="8"/>
            </w:r>
            <w:r w:rsidRPr="00F5596D">
              <w:rPr>
                <w:rFonts w:ascii="Calibri" w:hAnsi="Calibri" w:cs="Calibri"/>
                <w:bCs/>
                <w:color w:val="002060"/>
                <w:sz w:val="18"/>
                <w:szCs w:val="18"/>
                <w:lang w:val="sr-Cyrl-CS"/>
              </w:rPr>
              <w:t xml:space="preserve"> (у годинама)</w:t>
            </w:r>
          </w:p>
        </w:tc>
        <w:tc>
          <w:tcPr>
            <w:tcW w:w="707" w:type="pct"/>
            <w:tcBorders>
              <w:top w:val="single" w:sz="4" w:space="0" w:color="002060"/>
              <w:left w:val="nil"/>
              <w:bottom w:val="nil"/>
              <w:right w:val="nil"/>
            </w:tcBorders>
          </w:tcPr>
          <w:p w14:paraId="3101184F"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single" w:sz="4" w:space="0" w:color="002060"/>
              <w:left w:val="nil"/>
              <w:bottom w:val="nil"/>
              <w:right w:val="nil"/>
            </w:tcBorders>
            <w:noWrap/>
            <w:hideMark/>
          </w:tcPr>
          <w:p w14:paraId="120E6399"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5,3</w:t>
            </w:r>
          </w:p>
        </w:tc>
        <w:tc>
          <w:tcPr>
            <w:tcW w:w="342" w:type="pct"/>
            <w:tcBorders>
              <w:top w:val="single" w:sz="4" w:space="0" w:color="002060"/>
              <w:left w:val="nil"/>
              <w:bottom w:val="nil"/>
              <w:right w:val="nil"/>
            </w:tcBorders>
            <w:noWrap/>
            <w:hideMark/>
          </w:tcPr>
          <w:p w14:paraId="4D0F9057"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7,7</w:t>
            </w:r>
          </w:p>
        </w:tc>
        <w:tc>
          <w:tcPr>
            <w:tcW w:w="341" w:type="pct"/>
            <w:tcBorders>
              <w:top w:val="single" w:sz="4" w:space="0" w:color="002060"/>
              <w:left w:val="nil"/>
              <w:bottom w:val="nil"/>
              <w:right w:val="nil"/>
            </w:tcBorders>
            <w:noWrap/>
            <w:hideMark/>
          </w:tcPr>
          <w:p w14:paraId="6921367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6,7</w:t>
            </w:r>
          </w:p>
        </w:tc>
        <w:tc>
          <w:tcPr>
            <w:tcW w:w="344" w:type="pct"/>
            <w:tcBorders>
              <w:top w:val="single" w:sz="4" w:space="0" w:color="002060"/>
              <w:left w:val="nil"/>
              <w:bottom w:val="nil"/>
              <w:right w:val="nil"/>
            </w:tcBorders>
            <w:noWrap/>
            <w:hideMark/>
          </w:tcPr>
          <w:p w14:paraId="3A3268EA"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6,5</w:t>
            </w:r>
          </w:p>
        </w:tc>
      </w:tr>
      <w:tr w:rsidR="008D31CC" w:rsidRPr="00F5596D" w14:paraId="28CF62B6"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single" w:sz="4" w:space="0" w:color="002060"/>
              <w:bottom w:val="nil"/>
            </w:tcBorders>
            <w:vAlign w:val="center"/>
            <w:hideMark/>
          </w:tcPr>
          <w:p w14:paraId="16E6D4F1" w14:textId="77777777" w:rsidR="008D31CC" w:rsidRPr="00F5596D" w:rsidRDefault="008D31CC" w:rsidP="008D31CC">
            <w:pPr>
              <w:jc w:val="left"/>
              <w:rPr>
                <w:rFonts w:ascii="Calibri" w:hAnsi="Calibri" w:cs="Calibri"/>
                <w:color w:val="002060"/>
                <w:sz w:val="18"/>
                <w:szCs w:val="18"/>
                <w:lang w:val="sr-Cyrl-CS"/>
              </w:rPr>
            </w:pPr>
          </w:p>
        </w:tc>
        <w:tc>
          <w:tcPr>
            <w:tcW w:w="1808" w:type="pct"/>
            <w:tcBorders>
              <w:top w:val="nil"/>
              <w:bottom w:val="nil"/>
            </w:tcBorders>
            <w:shd w:val="clear" w:color="auto" w:fill="E7E6E6" w:themeFill="background2"/>
            <w:noWrap/>
            <w:hideMark/>
          </w:tcPr>
          <w:p w14:paraId="3083D387" w14:textId="77777777" w:rsidR="008D31CC" w:rsidRPr="00F5596D" w:rsidRDefault="008D31CC" w:rsidP="008D31CC">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Рефиксирање (% укупног дуга)</w:t>
            </w:r>
          </w:p>
        </w:tc>
        <w:tc>
          <w:tcPr>
            <w:tcW w:w="707" w:type="pct"/>
            <w:tcBorders>
              <w:top w:val="nil"/>
              <w:bottom w:val="nil"/>
            </w:tcBorders>
            <w:shd w:val="clear" w:color="auto" w:fill="E7E6E6" w:themeFill="background2"/>
          </w:tcPr>
          <w:p w14:paraId="4C56C1C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bottom w:val="nil"/>
            </w:tcBorders>
            <w:shd w:val="clear" w:color="auto" w:fill="E7E6E6" w:themeFill="background2"/>
            <w:noWrap/>
            <w:hideMark/>
          </w:tcPr>
          <w:p w14:paraId="3755B48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36,9</w:t>
            </w:r>
          </w:p>
        </w:tc>
        <w:tc>
          <w:tcPr>
            <w:tcW w:w="342" w:type="pct"/>
            <w:tcBorders>
              <w:top w:val="nil"/>
              <w:bottom w:val="nil"/>
            </w:tcBorders>
            <w:shd w:val="clear" w:color="auto" w:fill="E7E6E6" w:themeFill="background2"/>
            <w:noWrap/>
            <w:hideMark/>
          </w:tcPr>
          <w:p w14:paraId="6DFC98AE"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21,1</w:t>
            </w:r>
          </w:p>
        </w:tc>
        <w:tc>
          <w:tcPr>
            <w:tcW w:w="341" w:type="pct"/>
            <w:tcBorders>
              <w:top w:val="nil"/>
              <w:bottom w:val="nil"/>
            </w:tcBorders>
            <w:shd w:val="clear" w:color="auto" w:fill="E7E6E6" w:themeFill="background2"/>
            <w:noWrap/>
            <w:hideMark/>
          </w:tcPr>
          <w:p w14:paraId="0E7A3709"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21,2</w:t>
            </w:r>
          </w:p>
        </w:tc>
        <w:tc>
          <w:tcPr>
            <w:tcW w:w="344" w:type="pct"/>
            <w:tcBorders>
              <w:top w:val="nil"/>
              <w:bottom w:val="nil"/>
            </w:tcBorders>
            <w:shd w:val="clear" w:color="auto" w:fill="E7E6E6" w:themeFill="background2"/>
            <w:noWrap/>
            <w:hideMark/>
          </w:tcPr>
          <w:p w14:paraId="019E166F"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21,1</w:t>
            </w:r>
          </w:p>
        </w:tc>
      </w:tr>
      <w:tr w:rsidR="008D31CC" w:rsidRPr="00F5596D" w14:paraId="155D2860" w14:textId="77777777" w:rsidTr="008D31CC">
        <w:trPr>
          <w:trHeight w:val="262"/>
        </w:trPr>
        <w:tc>
          <w:tcPr>
            <w:cnfStyle w:val="001000000000" w:firstRow="0" w:lastRow="0" w:firstColumn="1" w:lastColumn="0" w:oddVBand="0" w:evenVBand="0" w:oddHBand="0" w:evenHBand="0" w:firstRowFirstColumn="0" w:firstRowLastColumn="0" w:lastRowFirstColumn="0" w:lastRowLastColumn="0"/>
            <w:tcW w:w="1116" w:type="pct"/>
            <w:vMerge/>
            <w:tcBorders>
              <w:top w:val="single" w:sz="4" w:space="0" w:color="002060"/>
              <w:left w:val="nil"/>
              <w:bottom w:val="nil"/>
              <w:right w:val="nil"/>
            </w:tcBorders>
            <w:vAlign w:val="center"/>
            <w:hideMark/>
          </w:tcPr>
          <w:p w14:paraId="370AB769" w14:textId="77777777" w:rsidR="008D31CC" w:rsidRPr="00F5596D" w:rsidRDefault="008D31CC" w:rsidP="008D31CC">
            <w:pPr>
              <w:jc w:val="left"/>
              <w:rPr>
                <w:rFonts w:ascii="Calibri" w:hAnsi="Calibri" w:cs="Calibri"/>
                <w:color w:val="002060"/>
                <w:sz w:val="18"/>
                <w:szCs w:val="18"/>
                <w:lang w:val="sr-Cyrl-CS"/>
              </w:rPr>
            </w:pPr>
          </w:p>
        </w:tc>
        <w:tc>
          <w:tcPr>
            <w:tcW w:w="1808" w:type="pct"/>
            <w:tcBorders>
              <w:top w:val="nil"/>
              <w:left w:val="nil"/>
              <w:bottom w:val="nil"/>
              <w:right w:val="nil"/>
            </w:tcBorders>
            <w:noWrap/>
            <w:hideMark/>
          </w:tcPr>
          <w:p w14:paraId="312B0D93" w14:textId="77777777" w:rsidR="008D31CC" w:rsidRPr="00F5596D" w:rsidRDefault="008D31CC" w:rsidP="008D31CC">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CS"/>
              </w:rPr>
            </w:pPr>
            <w:r w:rsidRPr="00F5596D">
              <w:rPr>
                <w:rFonts w:ascii="Calibri" w:hAnsi="Calibri" w:cs="Calibri"/>
                <w:bCs/>
                <w:color w:val="002060"/>
                <w:sz w:val="18"/>
                <w:szCs w:val="18"/>
                <w:lang w:val="sr-Cyrl-CS"/>
              </w:rPr>
              <w:t>Дуг по фиксним стопама (% укупног дуга)</w:t>
            </w:r>
          </w:p>
        </w:tc>
        <w:tc>
          <w:tcPr>
            <w:tcW w:w="707" w:type="pct"/>
            <w:tcBorders>
              <w:top w:val="nil"/>
              <w:left w:val="nil"/>
              <w:bottom w:val="nil"/>
              <w:right w:val="nil"/>
            </w:tcBorders>
          </w:tcPr>
          <w:p w14:paraId="5BB49B1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left w:val="nil"/>
              <w:bottom w:val="nil"/>
              <w:right w:val="nil"/>
            </w:tcBorders>
            <w:noWrap/>
            <w:hideMark/>
          </w:tcPr>
          <w:p w14:paraId="3AADACC6"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69,2</w:t>
            </w:r>
          </w:p>
        </w:tc>
        <w:tc>
          <w:tcPr>
            <w:tcW w:w="342" w:type="pct"/>
            <w:tcBorders>
              <w:top w:val="nil"/>
              <w:left w:val="nil"/>
              <w:bottom w:val="nil"/>
              <w:right w:val="nil"/>
            </w:tcBorders>
            <w:noWrap/>
            <w:hideMark/>
          </w:tcPr>
          <w:p w14:paraId="33C9FA5A"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85,0</w:t>
            </w:r>
          </w:p>
        </w:tc>
        <w:tc>
          <w:tcPr>
            <w:tcW w:w="341" w:type="pct"/>
            <w:tcBorders>
              <w:top w:val="nil"/>
              <w:left w:val="nil"/>
              <w:bottom w:val="nil"/>
              <w:right w:val="nil"/>
            </w:tcBorders>
            <w:noWrap/>
            <w:hideMark/>
          </w:tcPr>
          <w:p w14:paraId="6696210A"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85,0</w:t>
            </w:r>
          </w:p>
        </w:tc>
        <w:tc>
          <w:tcPr>
            <w:tcW w:w="344" w:type="pct"/>
            <w:tcBorders>
              <w:top w:val="nil"/>
              <w:left w:val="nil"/>
              <w:bottom w:val="nil"/>
              <w:right w:val="nil"/>
            </w:tcBorders>
            <w:noWrap/>
            <w:hideMark/>
          </w:tcPr>
          <w:p w14:paraId="287E6E60" w14:textId="77777777" w:rsidR="008D31CC" w:rsidRPr="00F5596D" w:rsidRDefault="008D31CC" w:rsidP="008D31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85,0</w:t>
            </w:r>
          </w:p>
        </w:tc>
      </w:tr>
      <w:tr w:rsidR="008D31CC" w:rsidRPr="00F5596D" w14:paraId="29001149" w14:textId="77777777" w:rsidTr="008D31CC">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116" w:type="pct"/>
            <w:tcBorders>
              <w:top w:val="nil"/>
              <w:bottom w:val="single" w:sz="4" w:space="0" w:color="002060"/>
            </w:tcBorders>
            <w:shd w:val="clear" w:color="auto" w:fill="E7E6E6" w:themeFill="background2"/>
            <w:noWrap/>
            <w:hideMark/>
          </w:tcPr>
          <w:p w14:paraId="31E2BA00" w14:textId="77777777" w:rsidR="008D31CC" w:rsidRPr="00F5596D" w:rsidRDefault="008D31CC" w:rsidP="008D31CC">
            <w:pPr>
              <w:spacing w:line="240" w:lineRule="auto"/>
              <w:rPr>
                <w:rFonts w:ascii="Calibri" w:hAnsi="Calibri" w:cs="Calibri"/>
                <w:color w:val="002060"/>
                <w:sz w:val="18"/>
                <w:szCs w:val="18"/>
                <w:lang w:val="sr-Cyrl-CS"/>
              </w:rPr>
            </w:pPr>
            <w:r w:rsidRPr="00F5596D">
              <w:rPr>
                <w:rFonts w:ascii="Calibri" w:hAnsi="Calibri" w:cs="Calibri"/>
                <w:color w:val="002060"/>
                <w:sz w:val="18"/>
                <w:szCs w:val="18"/>
                <w:lang w:val="sr-Cyrl-CS"/>
              </w:rPr>
              <w:t>Ризик девизног курса</w:t>
            </w:r>
          </w:p>
        </w:tc>
        <w:tc>
          <w:tcPr>
            <w:tcW w:w="1808" w:type="pct"/>
            <w:tcBorders>
              <w:top w:val="nil"/>
              <w:bottom w:val="single" w:sz="4" w:space="0" w:color="002060"/>
            </w:tcBorders>
            <w:shd w:val="clear" w:color="auto" w:fill="E7E6E6" w:themeFill="background2"/>
            <w:noWrap/>
            <w:hideMark/>
          </w:tcPr>
          <w:p w14:paraId="620664A5" w14:textId="77777777" w:rsidR="008D31CC" w:rsidRPr="00F5596D" w:rsidRDefault="008D31CC" w:rsidP="008D31CC">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CS"/>
              </w:rPr>
            </w:pPr>
            <w:r w:rsidRPr="00F5596D">
              <w:rPr>
                <w:rFonts w:ascii="Calibri" w:hAnsi="Calibri" w:cs="Calibri"/>
                <w:color w:val="002060"/>
                <w:sz w:val="18"/>
                <w:szCs w:val="18"/>
                <w:lang w:val="sr-Cyrl-CS"/>
              </w:rPr>
              <w:t>Ино-валутни дуг (% укупног дуга)</w:t>
            </w:r>
          </w:p>
        </w:tc>
        <w:tc>
          <w:tcPr>
            <w:tcW w:w="707" w:type="pct"/>
            <w:tcBorders>
              <w:top w:val="nil"/>
              <w:bottom w:val="single" w:sz="4" w:space="0" w:color="002060"/>
            </w:tcBorders>
            <w:shd w:val="clear" w:color="auto" w:fill="E7E6E6" w:themeFill="background2"/>
          </w:tcPr>
          <w:p w14:paraId="2A4FF532"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p>
        </w:tc>
        <w:tc>
          <w:tcPr>
            <w:tcW w:w="342" w:type="pct"/>
            <w:tcBorders>
              <w:top w:val="nil"/>
              <w:bottom w:val="single" w:sz="4" w:space="0" w:color="002060"/>
            </w:tcBorders>
            <w:shd w:val="clear" w:color="auto" w:fill="E7E6E6" w:themeFill="background2"/>
            <w:noWrap/>
            <w:hideMark/>
          </w:tcPr>
          <w:p w14:paraId="587E3E2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73,7</w:t>
            </w:r>
          </w:p>
        </w:tc>
        <w:tc>
          <w:tcPr>
            <w:tcW w:w="342" w:type="pct"/>
            <w:tcBorders>
              <w:top w:val="nil"/>
              <w:bottom w:val="single" w:sz="4" w:space="0" w:color="002060"/>
            </w:tcBorders>
            <w:shd w:val="clear" w:color="auto" w:fill="E7E6E6" w:themeFill="background2"/>
            <w:noWrap/>
            <w:hideMark/>
          </w:tcPr>
          <w:p w14:paraId="7E243B55"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88,3</w:t>
            </w:r>
          </w:p>
        </w:tc>
        <w:tc>
          <w:tcPr>
            <w:tcW w:w="341" w:type="pct"/>
            <w:tcBorders>
              <w:top w:val="nil"/>
              <w:bottom w:val="single" w:sz="4" w:space="0" w:color="002060"/>
            </w:tcBorders>
            <w:shd w:val="clear" w:color="auto" w:fill="E7E6E6" w:themeFill="background2"/>
            <w:noWrap/>
            <w:hideMark/>
          </w:tcPr>
          <w:p w14:paraId="4F0516CD"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88,3</w:t>
            </w:r>
          </w:p>
        </w:tc>
        <w:tc>
          <w:tcPr>
            <w:tcW w:w="344" w:type="pct"/>
            <w:tcBorders>
              <w:top w:val="nil"/>
              <w:bottom w:val="single" w:sz="4" w:space="0" w:color="002060"/>
            </w:tcBorders>
            <w:shd w:val="clear" w:color="auto" w:fill="E7E6E6" w:themeFill="background2"/>
            <w:noWrap/>
            <w:hideMark/>
          </w:tcPr>
          <w:p w14:paraId="1148981B" w14:textId="77777777" w:rsidR="008D31CC" w:rsidRPr="00F5596D" w:rsidRDefault="008D31CC" w:rsidP="008D31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b/>
                <w:bCs/>
                <w:color w:val="002060"/>
                <w:sz w:val="18"/>
                <w:szCs w:val="18"/>
                <w:lang w:val="sr-Cyrl-CS"/>
              </w:rPr>
            </w:pPr>
            <w:r w:rsidRPr="00F5596D">
              <w:rPr>
                <w:rFonts w:ascii="Calibri" w:hAnsi="Calibri" w:cs="Calibri"/>
                <w:b/>
                <w:bCs/>
                <w:color w:val="002060"/>
                <w:sz w:val="18"/>
                <w:szCs w:val="18"/>
                <w:lang w:val="sr-Cyrl-CS"/>
              </w:rPr>
              <w:t>40,1</w:t>
            </w:r>
          </w:p>
        </w:tc>
      </w:tr>
    </w:tbl>
    <w:p w14:paraId="02A3F052" w14:textId="77777777" w:rsidR="008D31CC" w:rsidRPr="00F5596D" w:rsidRDefault="008D31CC" w:rsidP="008D31CC">
      <w:pPr>
        <w:rPr>
          <w:rFonts w:ascii="Calibri" w:hAnsi="Calibri"/>
          <w:color w:val="2F5496" w:themeColor="accent1" w:themeShade="BF"/>
          <w:sz w:val="22"/>
          <w:lang w:val="sr-Cyrl-CS"/>
        </w:rPr>
        <w:sectPr w:rsidR="008D31CC" w:rsidRPr="00F5596D" w:rsidSect="008D31CC">
          <w:type w:val="continuous"/>
          <w:pgSz w:w="12240" w:h="15840" w:code="1"/>
          <w:pgMar w:top="1440" w:right="1440" w:bottom="1440" w:left="1440" w:header="720" w:footer="720" w:gutter="0"/>
          <w:cols w:space="720"/>
          <w:titlePg/>
          <w:docGrid w:linePitch="360"/>
        </w:sectPr>
      </w:pPr>
    </w:p>
    <w:p w14:paraId="66472240"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lastRenderedPageBreak/>
        <w:t>Стрес-тест анализа</w:t>
      </w:r>
    </w:p>
    <w:p w14:paraId="51F9CE63"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На основу планираног макроекономског оквира, а у случају изостанка утицаја могућих ризика, јавни дуг централног нивоа власти би на крају 2028. године требало да буде на нивоу од 45,7% БДП. </w:t>
      </w:r>
    </w:p>
    <w:p w14:paraId="776F9456" w14:textId="77777777" w:rsidR="008D31CC" w:rsidRPr="00F5596D" w:rsidRDefault="008D31CC" w:rsidP="008D31CC">
      <w:pPr>
        <w:rPr>
          <w:rFonts w:ascii="Calibri" w:eastAsia="Calibri" w:hAnsi="Calibri" w:cs="Calibri"/>
          <w:bCs/>
          <w:szCs w:val="72"/>
          <w:lang w:val="sr-Cyrl-CS"/>
        </w:rPr>
      </w:pPr>
    </w:p>
    <w:p w14:paraId="0E9AA86C" w14:textId="77777777" w:rsidR="008D31CC" w:rsidRPr="00F5596D" w:rsidRDefault="008D31CC" w:rsidP="008D31CC">
      <w:pPr>
        <w:rPr>
          <w:rFonts w:ascii="Calibri" w:eastAsia="Calibri" w:hAnsi="Calibri" w:cs="Calibri"/>
          <w:bCs/>
          <w:szCs w:val="72"/>
          <w:lang w:val="sr-Cyrl-CS"/>
        </w:rPr>
      </w:pPr>
    </w:p>
    <w:p w14:paraId="5E3BF067"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Основни фактори који утичу на стабилизацију рација јавни дуг/БДП су раст БДП, позитивни примарни резултат и курс динара према ино-валутама.</w:t>
      </w:r>
    </w:p>
    <w:p w14:paraId="3C828FF6" w14:textId="77777777" w:rsidR="008D31CC" w:rsidRPr="00F5596D" w:rsidRDefault="008D31CC" w:rsidP="008D31CC">
      <w:pPr>
        <w:rPr>
          <w:lang w:val="sr-Cyrl-CS"/>
        </w:rPr>
        <w:sectPr w:rsidR="008D31CC" w:rsidRPr="00F5596D" w:rsidSect="008D31CC">
          <w:type w:val="continuous"/>
          <w:pgSz w:w="12240" w:h="15840" w:code="1"/>
          <w:pgMar w:top="1440" w:right="1440" w:bottom="1440" w:left="1440" w:header="720" w:footer="720" w:gutter="0"/>
          <w:cols w:num="2" w:space="720"/>
          <w:titlePg/>
          <w:docGrid w:linePitch="360"/>
        </w:sectPr>
      </w:pPr>
    </w:p>
    <w:p w14:paraId="77D9A376" w14:textId="02E3DE88" w:rsidR="008D31CC" w:rsidRPr="00F5596D" w:rsidRDefault="00F14A11" w:rsidP="008D31CC">
      <w:pPr>
        <w:jc w:val="center"/>
        <w:rPr>
          <w:rFonts w:ascii="Calibri" w:eastAsia="Calibri" w:hAnsi="Calibri" w:cs="Times New Roman"/>
          <w:b/>
          <w:color w:val="002060"/>
          <w:lang w:val="sr-Cyrl-CS"/>
        </w:rPr>
      </w:pPr>
      <w:r w:rsidRPr="00F5596D">
        <w:rPr>
          <w:rFonts w:ascii="Calibri" w:eastAsia="Calibri" w:hAnsi="Calibri" w:cs="Times New Roman"/>
          <w:b/>
          <w:color w:val="002060"/>
          <w:lang w:val="sr-Cyrl-CS"/>
        </w:rPr>
        <w:t>Табела 36</w:t>
      </w:r>
      <w:r w:rsidR="008D31CC" w:rsidRPr="00F5596D">
        <w:rPr>
          <w:rFonts w:ascii="Calibri" w:eastAsia="Calibri" w:hAnsi="Calibri" w:cs="Times New Roman"/>
          <w:b/>
          <w:color w:val="002060"/>
          <w:lang w:val="sr-Cyrl-CS"/>
        </w:rPr>
        <w:t xml:space="preserve">. Доприноси основних макроекономских варијабли на промену рација </w:t>
      </w:r>
      <w:r w:rsidR="008D31CC" w:rsidRPr="00F5596D">
        <w:rPr>
          <w:rFonts w:ascii="Calibri" w:eastAsia="Calibri" w:hAnsi="Calibri" w:cs="Times New Roman"/>
          <w:b/>
          <w:color w:val="002060"/>
          <w:lang w:val="sr-Cyrl-C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24"/>
        <w:gridCol w:w="921"/>
        <w:gridCol w:w="923"/>
        <w:gridCol w:w="923"/>
        <w:gridCol w:w="923"/>
        <w:gridCol w:w="923"/>
        <w:gridCol w:w="923"/>
      </w:tblGrid>
      <w:tr w:rsidR="008D31CC" w:rsidRPr="00F5596D" w14:paraId="44B600DC" w14:textId="77777777" w:rsidTr="008D31CC">
        <w:trPr>
          <w:cnfStyle w:val="100000000000" w:firstRow="1" w:lastRow="0" w:firstColumn="0" w:lastColumn="0" w:oddVBand="0" w:evenVBand="0" w:oddHBand="0" w:evenHBand="0" w:firstRowFirstColumn="0" w:firstRowLastColumn="0" w:lastRowFirstColumn="0" w:lastRowLastColumn="0"/>
          <w:trHeight w:val="265"/>
        </w:trPr>
        <w:tc>
          <w:tcPr>
            <w:tcW w:w="2043" w:type="pct"/>
            <w:tcBorders>
              <w:top w:val="single" w:sz="4" w:space="0" w:color="002060"/>
              <w:bottom w:val="single" w:sz="8" w:space="0" w:color="FFFFFF" w:themeColor="background1"/>
            </w:tcBorders>
            <w:noWrap/>
            <w:hideMark/>
          </w:tcPr>
          <w:p w14:paraId="7360D090"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 </w:t>
            </w:r>
          </w:p>
        </w:tc>
        <w:tc>
          <w:tcPr>
            <w:tcW w:w="492" w:type="pct"/>
            <w:tcBorders>
              <w:top w:val="single" w:sz="4" w:space="0" w:color="002060"/>
              <w:bottom w:val="single" w:sz="4" w:space="0" w:color="002060"/>
            </w:tcBorders>
            <w:hideMark/>
          </w:tcPr>
          <w:p w14:paraId="642E1753"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 xml:space="preserve">2023 </w:t>
            </w:r>
          </w:p>
        </w:tc>
        <w:tc>
          <w:tcPr>
            <w:tcW w:w="493" w:type="pct"/>
            <w:tcBorders>
              <w:top w:val="single" w:sz="4" w:space="0" w:color="002060"/>
              <w:bottom w:val="single" w:sz="4" w:space="0" w:color="002060"/>
            </w:tcBorders>
            <w:hideMark/>
          </w:tcPr>
          <w:p w14:paraId="5741C476"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2024</w:t>
            </w:r>
          </w:p>
        </w:tc>
        <w:tc>
          <w:tcPr>
            <w:tcW w:w="493" w:type="pct"/>
            <w:tcBorders>
              <w:top w:val="single" w:sz="4" w:space="0" w:color="002060"/>
              <w:bottom w:val="single" w:sz="4" w:space="0" w:color="002060"/>
            </w:tcBorders>
            <w:noWrap/>
            <w:hideMark/>
          </w:tcPr>
          <w:p w14:paraId="111ABFA2"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2025 п</w:t>
            </w:r>
          </w:p>
        </w:tc>
        <w:tc>
          <w:tcPr>
            <w:tcW w:w="493" w:type="pct"/>
            <w:tcBorders>
              <w:top w:val="single" w:sz="4" w:space="0" w:color="002060"/>
              <w:bottom w:val="single" w:sz="4" w:space="0" w:color="002060"/>
            </w:tcBorders>
            <w:noWrap/>
            <w:hideMark/>
          </w:tcPr>
          <w:p w14:paraId="4A365862"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2026 п</w:t>
            </w:r>
          </w:p>
        </w:tc>
        <w:tc>
          <w:tcPr>
            <w:tcW w:w="493" w:type="pct"/>
            <w:tcBorders>
              <w:top w:val="single" w:sz="4" w:space="0" w:color="002060"/>
              <w:bottom w:val="single" w:sz="4" w:space="0" w:color="002060"/>
            </w:tcBorders>
            <w:noWrap/>
            <w:hideMark/>
          </w:tcPr>
          <w:p w14:paraId="21E979BA"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2027 п</w:t>
            </w:r>
          </w:p>
        </w:tc>
        <w:tc>
          <w:tcPr>
            <w:tcW w:w="493" w:type="pct"/>
            <w:tcBorders>
              <w:top w:val="single" w:sz="4" w:space="0" w:color="002060"/>
              <w:bottom w:val="single" w:sz="4" w:space="0" w:color="002060"/>
            </w:tcBorders>
            <w:noWrap/>
            <w:hideMark/>
          </w:tcPr>
          <w:p w14:paraId="14EF8B0C" w14:textId="77777777" w:rsidR="008D31CC" w:rsidRPr="00F5596D" w:rsidRDefault="008D31CC" w:rsidP="008D31CC">
            <w:pPr>
              <w:jc w:val="center"/>
              <w:rPr>
                <w:rFonts w:ascii="Calibri" w:hAnsi="Calibri" w:cs="Calibri"/>
                <w:color w:val="002060"/>
                <w:sz w:val="18"/>
                <w:szCs w:val="18"/>
                <w:lang w:val="sr-Cyrl-CS"/>
              </w:rPr>
            </w:pPr>
            <w:r w:rsidRPr="00F5596D">
              <w:rPr>
                <w:rFonts w:ascii="Calibri" w:hAnsi="Calibri" w:cs="Calibri"/>
                <w:color w:val="002060"/>
                <w:sz w:val="18"/>
                <w:szCs w:val="18"/>
                <w:lang w:val="sr-Cyrl-CS"/>
              </w:rPr>
              <w:t>2028 п</w:t>
            </w:r>
          </w:p>
        </w:tc>
      </w:tr>
      <w:tr w:rsidR="008D31CC" w:rsidRPr="00F5596D" w14:paraId="35FD3F71" w14:textId="77777777" w:rsidTr="008D31CC">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single" w:sz="8" w:space="0" w:color="FFFFFF" w:themeColor="background1"/>
              <w:bottom w:val="nil"/>
            </w:tcBorders>
            <w:shd w:val="clear" w:color="auto" w:fill="E7E6E6" w:themeFill="background2"/>
            <w:noWrap/>
            <w:hideMark/>
          </w:tcPr>
          <w:p w14:paraId="154BC5ED"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Дуг централне државе/БДП</w:t>
            </w:r>
          </w:p>
        </w:tc>
        <w:tc>
          <w:tcPr>
            <w:tcW w:w="492" w:type="pct"/>
            <w:tcBorders>
              <w:top w:val="single" w:sz="4" w:space="0" w:color="002060"/>
              <w:bottom w:val="nil"/>
            </w:tcBorders>
            <w:shd w:val="clear" w:color="auto" w:fill="E7E6E6" w:themeFill="background2"/>
            <w:hideMark/>
          </w:tcPr>
          <w:p w14:paraId="16F4CBF3"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52,0</w:t>
            </w:r>
          </w:p>
        </w:tc>
        <w:tc>
          <w:tcPr>
            <w:tcW w:w="493" w:type="pct"/>
            <w:tcBorders>
              <w:top w:val="single" w:sz="4" w:space="0" w:color="002060"/>
              <w:bottom w:val="nil"/>
            </w:tcBorders>
            <w:shd w:val="clear" w:color="auto" w:fill="E7E6E6" w:themeFill="background2"/>
            <w:hideMark/>
          </w:tcPr>
          <w:p w14:paraId="4840DB41"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47,2</w:t>
            </w:r>
          </w:p>
        </w:tc>
        <w:tc>
          <w:tcPr>
            <w:tcW w:w="493" w:type="pct"/>
            <w:tcBorders>
              <w:top w:val="single" w:sz="4" w:space="0" w:color="002060"/>
              <w:bottom w:val="nil"/>
            </w:tcBorders>
            <w:shd w:val="clear" w:color="auto" w:fill="E7E6E6" w:themeFill="background2"/>
            <w:noWrap/>
            <w:hideMark/>
          </w:tcPr>
          <w:p w14:paraId="7B282C5E"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46,3</w:t>
            </w:r>
          </w:p>
        </w:tc>
        <w:tc>
          <w:tcPr>
            <w:tcW w:w="493" w:type="pct"/>
            <w:tcBorders>
              <w:top w:val="single" w:sz="4" w:space="0" w:color="002060"/>
              <w:bottom w:val="nil"/>
            </w:tcBorders>
            <w:shd w:val="clear" w:color="auto" w:fill="E7E6E6" w:themeFill="background2"/>
            <w:noWrap/>
            <w:hideMark/>
          </w:tcPr>
          <w:p w14:paraId="4F3B1798"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46,0</w:t>
            </w:r>
          </w:p>
        </w:tc>
        <w:tc>
          <w:tcPr>
            <w:tcW w:w="493" w:type="pct"/>
            <w:tcBorders>
              <w:top w:val="single" w:sz="4" w:space="0" w:color="002060"/>
              <w:bottom w:val="nil"/>
            </w:tcBorders>
            <w:shd w:val="clear" w:color="auto" w:fill="E7E6E6" w:themeFill="background2"/>
            <w:noWrap/>
            <w:hideMark/>
          </w:tcPr>
          <w:p w14:paraId="29050F64"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45,8</w:t>
            </w:r>
          </w:p>
        </w:tc>
        <w:tc>
          <w:tcPr>
            <w:tcW w:w="493" w:type="pct"/>
            <w:tcBorders>
              <w:top w:val="single" w:sz="4" w:space="0" w:color="002060"/>
              <w:bottom w:val="nil"/>
            </w:tcBorders>
            <w:shd w:val="clear" w:color="auto" w:fill="E7E6E6" w:themeFill="background2"/>
            <w:noWrap/>
            <w:hideMark/>
          </w:tcPr>
          <w:p w14:paraId="422C3BC1"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45,7</w:t>
            </w:r>
          </w:p>
        </w:tc>
      </w:tr>
      <w:tr w:rsidR="008D31CC" w:rsidRPr="00F5596D" w14:paraId="4E989D93" w14:textId="77777777" w:rsidTr="008D31CC">
        <w:trPr>
          <w:trHeight w:val="265"/>
        </w:trPr>
        <w:tc>
          <w:tcPr>
            <w:tcW w:w="2043" w:type="pct"/>
            <w:tcBorders>
              <w:top w:val="nil"/>
              <w:left w:val="nil"/>
              <w:bottom w:val="nil"/>
              <w:right w:val="nil"/>
            </w:tcBorders>
            <w:noWrap/>
            <w:hideMark/>
          </w:tcPr>
          <w:p w14:paraId="4F77B435"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Промена у односу на претходну год. у % БДП</w:t>
            </w:r>
          </w:p>
        </w:tc>
        <w:tc>
          <w:tcPr>
            <w:tcW w:w="492" w:type="pct"/>
            <w:tcBorders>
              <w:top w:val="nil"/>
              <w:left w:val="nil"/>
              <w:bottom w:val="nil"/>
              <w:right w:val="nil"/>
            </w:tcBorders>
            <w:hideMark/>
          </w:tcPr>
          <w:p w14:paraId="3E492D25"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-3,1</w:t>
            </w:r>
          </w:p>
        </w:tc>
        <w:tc>
          <w:tcPr>
            <w:tcW w:w="493" w:type="pct"/>
            <w:tcBorders>
              <w:top w:val="nil"/>
              <w:left w:val="nil"/>
              <w:bottom w:val="nil"/>
              <w:right w:val="nil"/>
            </w:tcBorders>
            <w:hideMark/>
          </w:tcPr>
          <w:p w14:paraId="1855C0C1"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-0,4</w:t>
            </w:r>
          </w:p>
        </w:tc>
        <w:tc>
          <w:tcPr>
            <w:tcW w:w="493" w:type="pct"/>
            <w:tcBorders>
              <w:top w:val="nil"/>
              <w:left w:val="nil"/>
              <w:bottom w:val="nil"/>
              <w:right w:val="nil"/>
            </w:tcBorders>
            <w:noWrap/>
            <w:hideMark/>
          </w:tcPr>
          <w:p w14:paraId="2CD07D90"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-0,7</w:t>
            </w:r>
          </w:p>
        </w:tc>
        <w:tc>
          <w:tcPr>
            <w:tcW w:w="493" w:type="pct"/>
            <w:tcBorders>
              <w:top w:val="nil"/>
              <w:left w:val="nil"/>
              <w:bottom w:val="nil"/>
              <w:right w:val="nil"/>
            </w:tcBorders>
            <w:noWrap/>
            <w:hideMark/>
          </w:tcPr>
          <w:p w14:paraId="556DC1CC"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-1,1</w:t>
            </w:r>
          </w:p>
        </w:tc>
        <w:tc>
          <w:tcPr>
            <w:tcW w:w="493" w:type="pct"/>
            <w:tcBorders>
              <w:top w:val="nil"/>
              <w:left w:val="nil"/>
              <w:bottom w:val="nil"/>
              <w:right w:val="nil"/>
            </w:tcBorders>
            <w:noWrap/>
            <w:hideMark/>
          </w:tcPr>
          <w:p w14:paraId="6EB089B2"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-0,8</w:t>
            </w:r>
          </w:p>
        </w:tc>
        <w:tc>
          <w:tcPr>
            <w:tcW w:w="493" w:type="pct"/>
            <w:tcBorders>
              <w:top w:val="nil"/>
              <w:left w:val="nil"/>
              <w:bottom w:val="nil"/>
              <w:right w:val="nil"/>
            </w:tcBorders>
            <w:noWrap/>
            <w:hideMark/>
          </w:tcPr>
          <w:p w14:paraId="059F62A9"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-0,1</w:t>
            </w:r>
          </w:p>
        </w:tc>
      </w:tr>
      <w:tr w:rsidR="008D31CC" w:rsidRPr="00F5596D" w14:paraId="62539990" w14:textId="77777777" w:rsidTr="008D31CC">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noWrap/>
            <w:hideMark/>
          </w:tcPr>
          <w:p w14:paraId="4FE1E260"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Допринос примарног фискалног резултата</w:t>
            </w:r>
          </w:p>
        </w:tc>
        <w:tc>
          <w:tcPr>
            <w:tcW w:w="492" w:type="pct"/>
            <w:tcBorders>
              <w:top w:val="nil"/>
              <w:bottom w:val="nil"/>
            </w:tcBorders>
            <w:shd w:val="clear" w:color="auto" w:fill="E7E6E6" w:themeFill="background2"/>
            <w:hideMark/>
          </w:tcPr>
          <w:p w14:paraId="27B64BC7"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0,3</w:t>
            </w:r>
          </w:p>
        </w:tc>
        <w:tc>
          <w:tcPr>
            <w:tcW w:w="493" w:type="pct"/>
            <w:tcBorders>
              <w:top w:val="nil"/>
              <w:bottom w:val="nil"/>
            </w:tcBorders>
            <w:shd w:val="clear" w:color="auto" w:fill="E7E6E6" w:themeFill="background2"/>
            <w:hideMark/>
          </w:tcPr>
          <w:p w14:paraId="1785CF09"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0,4</w:t>
            </w:r>
          </w:p>
        </w:tc>
        <w:tc>
          <w:tcPr>
            <w:tcW w:w="493" w:type="pct"/>
            <w:tcBorders>
              <w:top w:val="nil"/>
              <w:bottom w:val="nil"/>
            </w:tcBorders>
            <w:shd w:val="clear" w:color="auto" w:fill="E7E6E6" w:themeFill="background2"/>
            <w:noWrap/>
            <w:hideMark/>
          </w:tcPr>
          <w:p w14:paraId="03645986"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0,9</w:t>
            </w:r>
          </w:p>
        </w:tc>
        <w:tc>
          <w:tcPr>
            <w:tcW w:w="493" w:type="pct"/>
            <w:tcBorders>
              <w:top w:val="nil"/>
              <w:bottom w:val="nil"/>
            </w:tcBorders>
            <w:shd w:val="clear" w:color="auto" w:fill="E7E6E6" w:themeFill="background2"/>
            <w:noWrap/>
            <w:hideMark/>
          </w:tcPr>
          <w:p w14:paraId="3BCB2792"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0,9</w:t>
            </w:r>
          </w:p>
        </w:tc>
        <w:tc>
          <w:tcPr>
            <w:tcW w:w="493" w:type="pct"/>
            <w:tcBorders>
              <w:top w:val="nil"/>
              <w:bottom w:val="nil"/>
            </w:tcBorders>
            <w:shd w:val="clear" w:color="auto" w:fill="E7E6E6" w:themeFill="background2"/>
            <w:noWrap/>
            <w:hideMark/>
          </w:tcPr>
          <w:p w14:paraId="7BB9E739"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1,0</w:t>
            </w:r>
          </w:p>
        </w:tc>
        <w:tc>
          <w:tcPr>
            <w:tcW w:w="493" w:type="pct"/>
            <w:tcBorders>
              <w:top w:val="nil"/>
              <w:bottom w:val="nil"/>
            </w:tcBorders>
            <w:shd w:val="clear" w:color="auto" w:fill="E7E6E6" w:themeFill="background2"/>
            <w:noWrap/>
            <w:hideMark/>
          </w:tcPr>
          <w:p w14:paraId="25E87816"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0,7</w:t>
            </w:r>
          </w:p>
        </w:tc>
      </w:tr>
      <w:tr w:rsidR="008D31CC" w:rsidRPr="00F5596D" w14:paraId="274B693C" w14:textId="77777777" w:rsidTr="008D31CC">
        <w:trPr>
          <w:trHeight w:val="265"/>
        </w:trPr>
        <w:tc>
          <w:tcPr>
            <w:tcW w:w="2043" w:type="pct"/>
            <w:tcBorders>
              <w:top w:val="nil"/>
              <w:left w:val="nil"/>
              <w:bottom w:val="nil"/>
              <w:right w:val="nil"/>
            </w:tcBorders>
            <w:noWrap/>
            <w:hideMark/>
          </w:tcPr>
          <w:p w14:paraId="3C3724A5"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Допринос камата</w:t>
            </w:r>
          </w:p>
        </w:tc>
        <w:tc>
          <w:tcPr>
            <w:tcW w:w="492" w:type="pct"/>
            <w:tcBorders>
              <w:top w:val="nil"/>
              <w:left w:val="nil"/>
              <w:bottom w:val="nil"/>
              <w:right w:val="nil"/>
            </w:tcBorders>
            <w:hideMark/>
          </w:tcPr>
          <w:p w14:paraId="2A85A708"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1,8</w:t>
            </w:r>
          </w:p>
        </w:tc>
        <w:tc>
          <w:tcPr>
            <w:tcW w:w="493" w:type="pct"/>
            <w:tcBorders>
              <w:top w:val="nil"/>
              <w:left w:val="nil"/>
              <w:bottom w:val="nil"/>
              <w:right w:val="nil"/>
            </w:tcBorders>
            <w:hideMark/>
          </w:tcPr>
          <w:p w14:paraId="6465B69F"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1,8</w:t>
            </w:r>
          </w:p>
        </w:tc>
        <w:tc>
          <w:tcPr>
            <w:tcW w:w="493" w:type="pct"/>
            <w:tcBorders>
              <w:top w:val="nil"/>
              <w:left w:val="nil"/>
              <w:bottom w:val="nil"/>
              <w:right w:val="nil"/>
            </w:tcBorders>
            <w:noWrap/>
            <w:hideMark/>
          </w:tcPr>
          <w:p w14:paraId="2D1BCE00"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2,1</w:t>
            </w:r>
          </w:p>
        </w:tc>
        <w:tc>
          <w:tcPr>
            <w:tcW w:w="493" w:type="pct"/>
            <w:tcBorders>
              <w:top w:val="nil"/>
              <w:left w:val="nil"/>
              <w:bottom w:val="nil"/>
              <w:right w:val="nil"/>
            </w:tcBorders>
            <w:noWrap/>
            <w:hideMark/>
          </w:tcPr>
          <w:p w14:paraId="1EBAA07B"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2,1</w:t>
            </w:r>
          </w:p>
        </w:tc>
        <w:tc>
          <w:tcPr>
            <w:tcW w:w="493" w:type="pct"/>
            <w:tcBorders>
              <w:top w:val="nil"/>
              <w:left w:val="nil"/>
              <w:bottom w:val="nil"/>
              <w:right w:val="nil"/>
            </w:tcBorders>
            <w:noWrap/>
            <w:hideMark/>
          </w:tcPr>
          <w:p w14:paraId="78AB5749"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2,0</w:t>
            </w:r>
          </w:p>
        </w:tc>
        <w:tc>
          <w:tcPr>
            <w:tcW w:w="493" w:type="pct"/>
            <w:tcBorders>
              <w:top w:val="nil"/>
              <w:left w:val="nil"/>
              <w:bottom w:val="nil"/>
              <w:right w:val="nil"/>
            </w:tcBorders>
            <w:noWrap/>
            <w:hideMark/>
          </w:tcPr>
          <w:p w14:paraId="60408C18"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1,9</w:t>
            </w:r>
          </w:p>
        </w:tc>
      </w:tr>
      <w:tr w:rsidR="008D31CC" w:rsidRPr="00F5596D" w14:paraId="33E87454" w14:textId="77777777" w:rsidTr="008D31CC">
        <w:trPr>
          <w:cnfStyle w:val="000000100000" w:firstRow="0" w:lastRow="0" w:firstColumn="0" w:lastColumn="0" w:oddVBand="0" w:evenVBand="0" w:oddHBand="1" w:evenHBand="0" w:firstRowFirstColumn="0" w:firstRowLastColumn="0" w:lastRowFirstColumn="0" w:lastRowLastColumn="0"/>
          <w:trHeight w:val="265"/>
        </w:trPr>
        <w:tc>
          <w:tcPr>
            <w:tcW w:w="2043" w:type="pct"/>
            <w:tcBorders>
              <w:top w:val="nil"/>
              <w:bottom w:val="nil"/>
            </w:tcBorders>
            <w:shd w:val="clear" w:color="auto" w:fill="E7E6E6" w:themeFill="background2"/>
            <w:hideMark/>
          </w:tcPr>
          <w:p w14:paraId="1310E796"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Допринос раста номиналног БДП</w:t>
            </w:r>
          </w:p>
        </w:tc>
        <w:tc>
          <w:tcPr>
            <w:tcW w:w="492" w:type="pct"/>
            <w:tcBorders>
              <w:top w:val="nil"/>
              <w:bottom w:val="nil"/>
            </w:tcBorders>
            <w:shd w:val="clear" w:color="auto" w:fill="E7E6E6" w:themeFill="background2"/>
            <w:hideMark/>
          </w:tcPr>
          <w:p w14:paraId="0A910F3B"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-7,2</w:t>
            </w:r>
          </w:p>
        </w:tc>
        <w:tc>
          <w:tcPr>
            <w:tcW w:w="493" w:type="pct"/>
            <w:tcBorders>
              <w:top w:val="nil"/>
              <w:bottom w:val="nil"/>
            </w:tcBorders>
            <w:shd w:val="clear" w:color="auto" w:fill="E7E6E6" w:themeFill="background2"/>
            <w:hideMark/>
          </w:tcPr>
          <w:p w14:paraId="7A020493"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-8,0</w:t>
            </w:r>
          </w:p>
        </w:tc>
        <w:tc>
          <w:tcPr>
            <w:tcW w:w="493" w:type="pct"/>
            <w:tcBorders>
              <w:top w:val="nil"/>
              <w:bottom w:val="nil"/>
            </w:tcBorders>
            <w:shd w:val="clear" w:color="auto" w:fill="E7E6E6" w:themeFill="background2"/>
            <w:noWrap/>
            <w:hideMark/>
          </w:tcPr>
          <w:p w14:paraId="3A7679CF"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-3,2</w:t>
            </w:r>
          </w:p>
        </w:tc>
        <w:tc>
          <w:tcPr>
            <w:tcW w:w="493" w:type="pct"/>
            <w:tcBorders>
              <w:top w:val="nil"/>
              <w:bottom w:val="nil"/>
            </w:tcBorders>
            <w:shd w:val="clear" w:color="auto" w:fill="E7E6E6" w:themeFill="background2"/>
            <w:noWrap/>
            <w:hideMark/>
          </w:tcPr>
          <w:p w14:paraId="6E2BBE28"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-3,2</w:t>
            </w:r>
          </w:p>
        </w:tc>
        <w:tc>
          <w:tcPr>
            <w:tcW w:w="493" w:type="pct"/>
            <w:tcBorders>
              <w:top w:val="nil"/>
              <w:bottom w:val="nil"/>
            </w:tcBorders>
            <w:shd w:val="clear" w:color="auto" w:fill="E7E6E6" w:themeFill="background2"/>
            <w:noWrap/>
            <w:hideMark/>
          </w:tcPr>
          <w:p w14:paraId="1F2AFB12"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-3,4</w:t>
            </w:r>
          </w:p>
        </w:tc>
        <w:tc>
          <w:tcPr>
            <w:tcW w:w="493" w:type="pct"/>
            <w:tcBorders>
              <w:top w:val="nil"/>
              <w:bottom w:val="nil"/>
            </w:tcBorders>
            <w:shd w:val="clear" w:color="auto" w:fill="E7E6E6" w:themeFill="background2"/>
            <w:noWrap/>
            <w:hideMark/>
          </w:tcPr>
          <w:p w14:paraId="4EEEA2CD"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-2,8</w:t>
            </w:r>
          </w:p>
        </w:tc>
      </w:tr>
      <w:tr w:rsidR="008D31CC" w:rsidRPr="00F5596D" w14:paraId="2384D8FF" w14:textId="77777777" w:rsidTr="008D31CC">
        <w:trPr>
          <w:trHeight w:val="265"/>
        </w:trPr>
        <w:tc>
          <w:tcPr>
            <w:tcW w:w="2043" w:type="pct"/>
            <w:tcBorders>
              <w:top w:val="nil"/>
              <w:left w:val="nil"/>
              <w:bottom w:val="single" w:sz="4" w:space="0" w:color="002060"/>
              <w:right w:val="nil"/>
            </w:tcBorders>
            <w:hideMark/>
          </w:tcPr>
          <w:p w14:paraId="77C39CE5" w14:textId="77777777" w:rsidR="008D31CC" w:rsidRPr="00F5596D" w:rsidRDefault="008D31CC" w:rsidP="008D31CC">
            <w:pPr>
              <w:spacing w:line="240" w:lineRule="auto"/>
              <w:rPr>
                <w:rFonts w:ascii="Calibri" w:hAnsi="Calibri" w:cs="Calibri"/>
                <w:bCs/>
                <w:color w:val="002060"/>
                <w:sz w:val="18"/>
                <w:szCs w:val="18"/>
                <w:lang w:val="sr-Cyrl-CS"/>
              </w:rPr>
            </w:pPr>
            <w:r w:rsidRPr="00F5596D">
              <w:rPr>
                <w:rFonts w:ascii="Calibri" w:hAnsi="Calibri" w:cs="Calibri"/>
                <w:bCs/>
                <w:color w:val="002060"/>
                <w:sz w:val="18"/>
                <w:szCs w:val="18"/>
                <w:lang w:val="sr-Cyrl-CS"/>
              </w:rPr>
              <w:t>Допринос осталих фактора</w:t>
            </w:r>
          </w:p>
        </w:tc>
        <w:tc>
          <w:tcPr>
            <w:tcW w:w="492" w:type="pct"/>
            <w:tcBorders>
              <w:top w:val="nil"/>
              <w:left w:val="nil"/>
              <w:bottom w:val="single" w:sz="4" w:space="0" w:color="002060"/>
              <w:right w:val="nil"/>
            </w:tcBorders>
            <w:hideMark/>
          </w:tcPr>
          <w:p w14:paraId="2666E9FD"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1,9</w:t>
            </w:r>
          </w:p>
        </w:tc>
        <w:tc>
          <w:tcPr>
            <w:tcW w:w="493" w:type="pct"/>
            <w:tcBorders>
              <w:top w:val="nil"/>
              <w:left w:val="nil"/>
              <w:bottom w:val="single" w:sz="4" w:space="0" w:color="002060"/>
              <w:right w:val="nil"/>
            </w:tcBorders>
            <w:hideMark/>
          </w:tcPr>
          <w:p w14:paraId="552B5EDC"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5,5</w:t>
            </w:r>
          </w:p>
        </w:tc>
        <w:tc>
          <w:tcPr>
            <w:tcW w:w="493" w:type="pct"/>
            <w:tcBorders>
              <w:top w:val="nil"/>
              <w:left w:val="nil"/>
              <w:bottom w:val="single" w:sz="4" w:space="0" w:color="002060"/>
              <w:right w:val="nil"/>
            </w:tcBorders>
            <w:noWrap/>
            <w:hideMark/>
          </w:tcPr>
          <w:p w14:paraId="7BE2F07D"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-0,6</w:t>
            </w:r>
          </w:p>
        </w:tc>
        <w:tc>
          <w:tcPr>
            <w:tcW w:w="493" w:type="pct"/>
            <w:tcBorders>
              <w:top w:val="nil"/>
              <w:left w:val="nil"/>
              <w:bottom w:val="single" w:sz="4" w:space="0" w:color="002060"/>
              <w:right w:val="nil"/>
            </w:tcBorders>
            <w:noWrap/>
            <w:hideMark/>
          </w:tcPr>
          <w:p w14:paraId="4C30F20E"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-0,9</w:t>
            </w:r>
          </w:p>
        </w:tc>
        <w:tc>
          <w:tcPr>
            <w:tcW w:w="493" w:type="pct"/>
            <w:tcBorders>
              <w:top w:val="nil"/>
              <w:left w:val="nil"/>
              <w:bottom w:val="single" w:sz="4" w:space="0" w:color="002060"/>
              <w:right w:val="nil"/>
            </w:tcBorders>
            <w:noWrap/>
            <w:hideMark/>
          </w:tcPr>
          <w:p w14:paraId="0CC2ECAA"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-0,4</w:t>
            </w:r>
          </w:p>
        </w:tc>
        <w:tc>
          <w:tcPr>
            <w:tcW w:w="493" w:type="pct"/>
            <w:tcBorders>
              <w:top w:val="nil"/>
              <w:left w:val="nil"/>
              <w:bottom w:val="single" w:sz="4" w:space="0" w:color="002060"/>
              <w:right w:val="nil"/>
            </w:tcBorders>
            <w:noWrap/>
            <w:hideMark/>
          </w:tcPr>
          <w:p w14:paraId="2CFDE69D" w14:textId="77777777" w:rsidR="008D31CC" w:rsidRPr="00F5596D" w:rsidRDefault="008D31CC" w:rsidP="008D31CC">
            <w:pPr>
              <w:spacing w:line="240" w:lineRule="auto"/>
              <w:jc w:val="center"/>
              <w:rPr>
                <w:rFonts w:ascii="Calibri" w:hAnsi="Calibri" w:cs="Calibri"/>
                <w:bCs/>
                <w:color w:val="002060"/>
                <w:sz w:val="18"/>
                <w:szCs w:val="18"/>
                <w:lang w:val="sr-Cyrl-CS"/>
              </w:rPr>
            </w:pPr>
            <w:r w:rsidRPr="00F5596D">
              <w:rPr>
                <w:rFonts w:ascii="Calibri" w:hAnsi="Calibri" w:cs="Calibri"/>
                <w:bCs/>
                <w:color w:val="002060"/>
                <w:sz w:val="18"/>
                <w:szCs w:val="18"/>
                <w:lang w:val="sr-Cyrl-CS"/>
              </w:rPr>
              <w:t>0,0</w:t>
            </w:r>
          </w:p>
        </w:tc>
      </w:tr>
    </w:tbl>
    <w:p w14:paraId="3A857ED0" w14:textId="77777777" w:rsidR="008D31CC" w:rsidRPr="00F5596D" w:rsidRDefault="008D31CC" w:rsidP="008D31CC">
      <w:pPr>
        <w:rPr>
          <w:lang w:val="sr-Cyrl-CS"/>
        </w:rPr>
      </w:pPr>
    </w:p>
    <w:p w14:paraId="2E5EB2AD" w14:textId="77777777" w:rsidR="008D31CC" w:rsidRPr="00F5596D" w:rsidRDefault="008D31CC" w:rsidP="008D31CC">
      <w:pPr>
        <w:spacing w:line="256" w:lineRule="auto"/>
        <w:jc w:val="center"/>
        <w:rPr>
          <w:rFonts w:ascii="Calibri" w:eastAsia="Calibri" w:hAnsi="Calibri" w:cs="Times New Roman"/>
          <w:b/>
          <w:color w:val="002060"/>
          <w:lang w:val="sr-Cyrl-CS"/>
        </w:rPr>
        <w:sectPr w:rsidR="008D31CC" w:rsidRPr="00F5596D" w:rsidSect="008D31CC">
          <w:type w:val="continuous"/>
          <w:pgSz w:w="12240" w:h="15840" w:code="1"/>
          <w:pgMar w:top="1440" w:right="1440" w:bottom="1440" w:left="1440" w:header="720" w:footer="720" w:gutter="0"/>
          <w:cols w:space="720"/>
          <w:titlePg/>
          <w:docGrid w:linePitch="360"/>
        </w:sectPr>
      </w:pPr>
    </w:p>
    <w:p w14:paraId="01F96AC5" w14:textId="4ECDC513" w:rsidR="008D31CC" w:rsidRPr="00F5596D" w:rsidRDefault="008D31CC" w:rsidP="008D31CC">
      <w:pPr>
        <w:rPr>
          <w:rFonts w:ascii="Calibri" w:eastAsia="Calibri" w:hAnsi="Calibri" w:cs="Times New Roman"/>
          <w:b/>
          <w:color w:val="002060"/>
          <w:lang w:val="sr-Cyrl-CS"/>
        </w:rPr>
      </w:pPr>
      <w:r w:rsidRPr="00F5596D">
        <w:rPr>
          <w:rFonts w:ascii="Calibri" w:eastAsia="Calibri" w:hAnsi="Calibri" w:cs="Times New Roman"/>
          <w:b/>
          <w:color w:val="002060"/>
          <w:lang w:val="sr-Cyrl-CS"/>
        </w:rPr>
        <w:t>Утицај промене курса динара према корпи валута из портфолија јавног дуга централног нивоа државе на промену рација јавни дуг – БДП</w:t>
      </w:r>
    </w:p>
    <w:p w14:paraId="5881CBD3" w14:textId="77777777" w:rsidR="008D31CC" w:rsidRPr="00F5596D" w:rsidRDefault="008D31CC" w:rsidP="008D31CC">
      <w:pPr>
        <w:rPr>
          <w:lang w:val="sr-Cyrl-CS"/>
        </w:rPr>
      </w:pPr>
      <w:r w:rsidRPr="00F5596D">
        <w:rPr>
          <w:noProof/>
        </w:rPr>
        <w:drawing>
          <wp:inline distT="0" distB="0" distL="0" distR="0" wp14:anchorId="32EE2BD6" wp14:editId="7614881B">
            <wp:extent cx="2743200" cy="1805650"/>
            <wp:effectExtent l="0" t="0" r="0" b="4445"/>
            <wp:docPr id="551732419" name="Chart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14:paraId="067549B5"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апрецијације до 10% депрецијације динара у односу на корпу валута. Применом наведених сценарија може се видети да би се рацио за 2028. годину кретао у распону од 42,1% до 49,3%, док би за основни сценарио био на нивоу од 45,7%.</w:t>
      </w:r>
    </w:p>
    <w:p w14:paraId="5C994605" w14:textId="77777777" w:rsidR="008D31CC" w:rsidRPr="00F5596D" w:rsidRDefault="008D31CC" w:rsidP="008D31CC">
      <w:pPr>
        <w:rPr>
          <w:rFonts w:ascii="Calibri" w:eastAsia="Calibri" w:hAnsi="Calibri" w:cs="Calibri"/>
          <w:bCs/>
          <w:spacing w:val="-2"/>
          <w:szCs w:val="72"/>
          <w:lang w:val="sr-Cyrl-CS"/>
        </w:rPr>
      </w:pPr>
      <w:r w:rsidRPr="00F5596D">
        <w:rPr>
          <w:rFonts w:ascii="Calibri" w:eastAsia="Calibri" w:hAnsi="Calibri" w:cs="Calibri"/>
          <w:bCs/>
          <w:spacing w:val="-2"/>
          <w:szCs w:val="72"/>
          <w:lang w:val="sr-Cyrl-CS"/>
        </w:rPr>
        <w:t xml:space="preserve">Главни ризици за остварење Стратегије, поред горе наведених фактора који су квантификовани, су и </w:t>
      </w:r>
      <w:r w:rsidRPr="00F5596D">
        <w:rPr>
          <w:rFonts w:ascii="Calibri" w:eastAsia="Calibri" w:hAnsi="Calibri" w:cs="Calibri"/>
          <w:bCs/>
          <w:spacing w:val="-2"/>
          <w:szCs w:val="72"/>
          <w:lang w:val="sr-Cyrl-CS"/>
        </w:rPr>
        <w:t>стабилност макроекономске ситуације у Републици 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7F202087"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мултилатералних и билатералних кредитора.</w:t>
      </w:r>
    </w:p>
    <w:p w14:paraId="0E8CDEC5"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t>Дугорочни стратешки оквир за управљање јавним дугом</w:t>
      </w:r>
    </w:p>
    <w:p w14:paraId="4D4AEBA1"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Основни стратешки циљеви којима је потребно тежити у наредном дугорочном периоду, како би се минимизирали ризици повећања задужености и трошкова сервисирања јавног дуга су:</w:t>
      </w:r>
    </w:p>
    <w:p w14:paraId="4E3E64F1"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учешће дуга деноминованог у динарима износи најмање 30% укупног јавног дуга на средњи рок;</w:t>
      </w:r>
    </w:p>
    <w:p w14:paraId="4AB34924"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учешће дуга деноминованог у еврима у јавном дугу износи најмање 65% дуга у ино-валути, укључујући будућа задуживања и трансакције;</w:t>
      </w:r>
    </w:p>
    <w:p w14:paraId="5B09D0E1" w14:textId="551DCEEE"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се учешће дуга са варијабилним каматним стопама креће у инт</w:t>
      </w:r>
      <w:r w:rsidR="009F4767">
        <w:rPr>
          <w:rFonts w:ascii="Calibri" w:eastAsia="Calibri" w:hAnsi="Calibri" w:cs="Calibri"/>
          <w:bCs/>
          <w:szCs w:val="72"/>
          <w:lang w:val="sr-Cyrl-CS"/>
        </w:rPr>
        <w:t>е</w:t>
      </w:r>
      <w:r w:rsidRPr="00F5596D">
        <w:rPr>
          <w:rFonts w:ascii="Calibri" w:eastAsia="Calibri" w:hAnsi="Calibri" w:cs="Calibri"/>
          <w:bCs/>
          <w:szCs w:val="72"/>
          <w:lang w:val="sr-Cyrl-CS"/>
        </w:rPr>
        <w:t>рвалу од 25% ± 5% у средњорочном периоду;</w:t>
      </w:r>
    </w:p>
    <w:p w14:paraId="229F29AC"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lastRenderedPageBreak/>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4F0E6E78"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просечна пондерисана каматна стопа (WAIR) на јавни дуг у домаћој валути не прелази 6,00%;</w:t>
      </w:r>
    </w:p>
    <w:p w14:paraId="77B0DA44"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учешће краткорочног дуга (чије је доспеће до годину дана) износи до 20% укупног јавног дуга;</w:t>
      </w:r>
    </w:p>
    <w:p w14:paraId="56B25963" w14:textId="77777777" w:rsidR="008D31CC" w:rsidRPr="00F5596D" w:rsidRDefault="008D31CC" w:rsidP="008D31CC">
      <w:pPr>
        <w:numPr>
          <w:ilvl w:val="0"/>
          <w:numId w:val="4"/>
        </w:numPr>
        <w:ind w:left="142" w:hanging="142"/>
        <w:contextualSpacing/>
        <w:rPr>
          <w:rFonts w:ascii="Calibri" w:eastAsia="Calibri" w:hAnsi="Calibri" w:cs="Calibri"/>
          <w:bCs/>
          <w:szCs w:val="72"/>
          <w:lang w:val="sr-Cyrl-CS"/>
        </w:rPr>
      </w:pPr>
      <w:r w:rsidRPr="00F5596D">
        <w:rPr>
          <w:rFonts w:ascii="Calibri" w:eastAsia="Calibri" w:hAnsi="Calibri" w:cs="Calibri"/>
          <w:bCs/>
          <w:szCs w:val="72"/>
          <w:lang w:val="sr-Cyrl-CS"/>
        </w:rPr>
        <w:t>да просечно време до доспећа (АТМ) унутрашњег дуга буде на нивоу од најмање пет година на средњи рок;</w:t>
      </w:r>
    </w:p>
    <w:p w14:paraId="131C2061" w14:textId="1DBC22E7" w:rsidR="008D31CC" w:rsidRPr="00F5596D" w:rsidRDefault="008D31CC" w:rsidP="008D31CC">
      <w:pPr>
        <w:numPr>
          <w:ilvl w:val="0"/>
          <w:numId w:val="4"/>
        </w:numPr>
        <w:ind w:left="142" w:hanging="142"/>
        <w:rPr>
          <w:rFonts w:ascii="Calibri" w:eastAsia="Calibri" w:hAnsi="Calibri" w:cs="Calibri"/>
          <w:bCs/>
          <w:szCs w:val="72"/>
          <w:lang w:val="sr-Cyrl-CS"/>
        </w:rPr>
        <w:sectPr w:rsidR="008D31CC" w:rsidRPr="00F5596D" w:rsidSect="008D31CC">
          <w:type w:val="continuous"/>
          <w:pgSz w:w="12240" w:h="15840" w:code="1"/>
          <w:pgMar w:top="1440" w:right="1440" w:bottom="1440" w:left="1440" w:header="720" w:footer="720" w:gutter="0"/>
          <w:cols w:num="2" w:space="720"/>
          <w:titlePg/>
          <w:docGrid w:linePitch="360"/>
        </w:sectPr>
      </w:pPr>
      <w:r w:rsidRPr="00F5596D">
        <w:rPr>
          <w:rFonts w:ascii="Calibri" w:eastAsia="Calibri" w:hAnsi="Calibri" w:cs="Calibri"/>
          <w:bCs/>
          <w:szCs w:val="72"/>
          <w:lang w:val="sr-Cyrl-CS"/>
        </w:rPr>
        <w:t>да се просечно време до доспећа (АТМ) спољног дуга одржава на нивоу од 8,0 ± 0,5 година у истом временском хоризонту</w:t>
      </w:r>
    </w:p>
    <w:p w14:paraId="3912F4EB" w14:textId="364A3C39" w:rsidR="008D31CC" w:rsidRPr="00F5596D" w:rsidRDefault="008D31CC" w:rsidP="00AF2DEB">
      <w:pPr>
        <w:rPr>
          <w:lang w:val="sr-Cyrl-CS"/>
        </w:rPr>
      </w:pPr>
      <w:r w:rsidRPr="00F5596D">
        <w:rPr>
          <w:rFonts w:ascii="Calibri" w:eastAsia="Calibri" w:hAnsi="Calibri" w:cs="Times New Roman"/>
          <w:b/>
          <w:color w:val="002060"/>
          <w:spacing w:val="-2"/>
          <w:lang w:val="sr-Cyrl-CS"/>
        </w:rPr>
        <w:t xml:space="preserve">Кретање приноса до доспећа динарских </w:t>
      </w:r>
      <w:r w:rsidRPr="00F5596D">
        <w:rPr>
          <w:rFonts w:ascii="Calibri" w:eastAsia="Calibri" w:hAnsi="Calibri" w:cs="Calibri"/>
          <w:b/>
          <w:bCs/>
          <w:color w:val="002060"/>
          <w:spacing w:val="-2"/>
          <w:szCs w:val="72"/>
          <w:lang w:val="sr-Cyrl-CS"/>
        </w:rPr>
        <w:t>„</w:t>
      </w:r>
      <w:r w:rsidRPr="00F5596D">
        <w:rPr>
          <w:rFonts w:ascii="Calibri" w:eastAsia="Calibri" w:hAnsi="Calibri" w:cs="Times New Roman"/>
          <w:b/>
          <w:color w:val="002060"/>
          <w:spacing w:val="-2"/>
          <w:lang w:val="sr-Cyrl-CS"/>
        </w:rPr>
        <w:t>бенчмарк” емисија укључених у GBI-EM Global Diversified Index на секундарном трговању</w:t>
      </w:r>
    </w:p>
    <w:p w14:paraId="274AA062" w14:textId="73F9C2D2" w:rsidR="008D31CC" w:rsidRPr="00F5596D" w:rsidRDefault="008D31CC" w:rsidP="008D31CC">
      <w:pPr>
        <w:spacing w:after="240" w:line="256" w:lineRule="auto"/>
        <w:rPr>
          <w:rFonts w:ascii="Calibri" w:eastAsia="Calibri" w:hAnsi="Calibri" w:cs="Times New Roman"/>
          <w:b/>
          <w:color w:val="002060"/>
          <w:spacing w:val="-2"/>
          <w:lang w:val="sr-Cyrl-CS"/>
        </w:rPr>
      </w:pPr>
      <w:r w:rsidRPr="00F5596D">
        <w:rPr>
          <w:noProof/>
        </w:rPr>
        <w:drawing>
          <wp:inline distT="0" distB="0" distL="0" distR="0" wp14:anchorId="51FE04B0" wp14:editId="07C3D414">
            <wp:extent cx="2750457" cy="2409190"/>
            <wp:effectExtent l="0" t="0" r="0" b="0"/>
            <wp:docPr id="123" name="Pictur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755119" cy="2413274"/>
                    </a:xfrm>
                    <a:prstGeom prst="rect">
                      <a:avLst/>
                    </a:prstGeom>
                    <a:noFill/>
                    <a:ln>
                      <a:noFill/>
                    </a:ln>
                  </pic:spPr>
                </pic:pic>
              </a:graphicData>
            </a:graphic>
          </wp:inline>
        </w:drawing>
      </w:r>
    </w:p>
    <w:p w14:paraId="74F78E3D" w14:textId="57046710" w:rsidR="008D31CC" w:rsidRPr="00F5596D" w:rsidRDefault="008D31CC" w:rsidP="008D31CC">
      <w:pPr>
        <w:spacing w:after="40" w:line="256" w:lineRule="auto"/>
        <w:jc w:val="center"/>
        <w:rPr>
          <w:rFonts w:ascii="Calibri" w:eastAsia="Calibri" w:hAnsi="Calibri" w:cs="Times New Roman"/>
          <w:b/>
          <w:color w:val="002060"/>
          <w:spacing w:val="-2"/>
          <w:lang w:val="sr-Cyrl-CS"/>
        </w:rPr>
      </w:pPr>
      <w:r w:rsidRPr="00F5596D">
        <w:rPr>
          <w:rFonts w:ascii="Calibri" w:eastAsia="Calibri" w:hAnsi="Calibri" w:cs="Times New Roman"/>
          <w:b/>
          <w:bCs/>
          <w:color w:val="002060"/>
          <w:lang w:val="sr-Cyrl-CS"/>
        </w:rPr>
        <w:t xml:space="preserve">Просечно време до доспећа (АТМ) државних хартија од вредности емитованих на домаћем финансијском тржишту у периоду </w:t>
      </w:r>
      <w:r w:rsidRPr="00F5596D">
        <w:rPr>
          <w:rFonts w:ascii="Calibri" w:eastAsia="Calibri" w:hAnsi="Calibri" w:cs="Times New Roman"/>
          <w:b/>
          <w:bCs/>
          <w:color w:val="002060"/>
          <w:lang w:val="sr-Cyrl-CS"/>
        </w:rPr>
        <w:br w:type="textWrapping" w:clear="all"/>
        <w:t xml:space="preserve">30. април 2018. – </w:t>
      </w:r>
      <w:r w:rsidRPr="00F5596D">
        <w:rPr>
          <w:rFonts w:ascii="Calibri" w:eastAsia="Calibri" w:hAnsi="Calibri" w:cs="Times New Roman"/>
          <w:b/>
          <w:color w:val="002060"/>
          <w:spacing w:val="-2"/>
          <w:lang w:val="sr-Cyrl-CS"/>
        </w:rPr>
        <w:t>30. април 2025. године</w:t>
      </w:r>
      <w:r w:rsidRPr="00F5596D">
        <w:rPr>
          <w:lang w:val="sr-Cyrl-CS"/>
        </w:rPr>
        <w:t xml:space="preserve"> </w:t>
      </w:r>
      <w:r w:rsidRPr="00F5596D">
        <w:rPr>
          <w:noProof/>
        </w:rPr>
        <w:drawing>
          <wp:inline distT="0" distB="0" distL="0" distR="0" wp14:anchorId="1906AF94" wp14:editId="123359B0">
            <wp:extent cx="2769870" cy="27165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769870" cy="2716530"/>
                    </a:xfrm>
                    <a:prstGeom prst="rect">
                      <a:avLst/>
                    </a:prstGeom>
                    <a:noFill/>
                    <a:ln>
                      <a:noFill/>
                    </a:ln>
                  </pic:spPr>
                </pic:pic>
              </a:graphicData>
            </a:graphic>
          </wp:inline>
        </w:drawing>
      </w:r>
    </w:p>
    <w:p w14:paraId="5818B4AB"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p>
    <w:p w14:paraId="46D7DD5C" w14:textId="77777777" w:rsidR="008D31CC" w:rsidRPr="00F5596D" w:rsidRDefault="008D31CC" w:rsidP="008D31CC">
      <w:pPr>
        <w:spacing w:line="256" w:lineRule="auto"/>
        <w:rPr>
          <w:rFonts w:ascii="Calibri" w:eastAsia="Calibri" w:hAnsi="Calibri" w:cs="Times New Roman"/>
          <w:b/>
          <w:color w:val="2F5496" w:themeColor="accent1" w:themeShade="BF"/>
          <w:sz w:val="22"/>
          <w:lang w:val="sr-Cyrl-CS"/>
        </w:rPr>
      </w:pPr>
      <w:r w:rsidRPr="00F5596D">
        <w:rPr>
          <w:rFonts w:ascii="Calibri" w:eastAsia="Calibri" w:hAnsi="Calibri" w:cs="Times New Roman"/>
          <w:b/>
          <w:color w:val="2F5496" w:themeColor="accent1" w:themeShade="BF"/>
          <w:sz w:val="22"/>
          <w:lang w:val="sr-Cyrl-CS"/>
        </w:rPr>
        <w:t>Мере за унапређење тржишта динарских хартија од вредности у периоду 2025–2028. године</w:t>
      </w:r>
    </w:p>
    <w:p w14:paraId="6253F912"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Тржиште државних хартија од вредности, у периоду од 2012. године до априла 2025.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хартија од вредности, док је на крају априла 2025. године износило 100,0%.</w:t>
      </w:r>
    </w:p>
    <w:p w14:paraId="4A8721E6" w14:textId="5AD9345A" w:rsidR="008D31CC" w:rsidRPr="00F5596D" w:rsidRDefault="008D31CC" w:rsidP="00AF2DEB">
      <w:pPr>
        <w:rPr>
          <w:rFonts w:ascii="Calibri" w:eastAsia="Calibri" w:hAnsi="Calibri" w:cs="Calibri"/>
          <w:bCs/>
          <w:szCs w:val="72"/>
          <w:lang w:val="sr-Cyrl-CS"/>
        </w:rPr>
      </w:pPr>
      <w:r w:rsidRPr="00F5596D">
        <w:rPr>
          <w:rFonts w:ascii="Calibri" w:eastAsia="Calibri" w:hAnsi="Calibri" w:cs="Calibri"/>
          <w:bCs/>
          <w:szCs w:val="72"/>
          <w:lang w:val="sr-Cyrl-CS"/>
        </w:rPr>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емисија током 2014. и 2015. године, са истом праксом је настављено током 2016. године. У фебруару и јулу 2016. године емитоване су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трогодишња и седмогодишња обвезница обима емисије по 110,0 млрд динара. У априлу 2017. године емитована је трогодишња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обвезница обима емисије у износу од 110,0 млрд динара. У јануару и фебруару 2018. године емитоване су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петогодишња и десетогодишња обвезница обима емисије по </w:t>
      </w:r>
      <w:r w:rsidRPr="00F5596D">
        <w:rPr>
          <w:rFonts w:ascii="Calibri" w:eastAsia="Calibri" w:hAnsi="Calibri" w:cs="Calibri"/>
          <w:bCs/>
          <w:szCs w:val="72"/>
          <w:lang w:val="sr-Cyrl-CS"/>
        </w:rPr>
        <w:lastRenderedPageBreak/>
        <w:t>110,0 млрд динара. У јануару 2019. године емитоване су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трогодишња и седмогодишња обвезница обима емисије 100,0 и 150,0 млрд динара. </w:t>
      </w:r>
      <w:r w:rsidRPr="00F5596D">
        <w:rPr>
          <w:rFonts w:ascii="Calibri" w:eastAsia="Calibri" w:hAnsi="Calibri" w:cs="Calibri"/>
          <w:bCs/>
          <w:spacing w:val="-2"/>
          <w:szCs w:val="72"/>
          <w:lang w:val="sr-Cyrl-CS"/>
        </w:rPr>
        <w:t>У јануару и фебруару 2020. године по први пут су емитоване петоипогодишње и дванаестоипогодишње обвезнице са полугодишњим купоном. Изменама Уредбе о општим условима за емисију и продају државних хартија од вредности на примарном тржишту („Службени гласник РС”, бр. 100/14, 78/17, 66/18, 78/18 и 140/20), омогућено је повећање обима раније емитованих обвезница, па је петоипогодишњим обвезницама (првобитно емитованим 28.01.2020. године) и дванаестоипогодишњим обвезницама (првобитно емитованим 18.02.2020. године) 2021. године повећан обим емисије за по 50 млрд динара, док је десетогодишњим обвезницама (првобитно емитованим 06.02.2018. године) повећан за 10 млрд динара. Током 2022. године извршено је повећање обима емисија десетогодишњим обвезницама (првобитно емитованим 06.02.2018. године) за 25 млрд динара.</w:t>
      </w:r>
    </w:p>
    <w:p w14:paraId="3D2C3FC8"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Овим емисијама знатно је повећан обим секундарног трговања овим инструментима, што је допринело и паду извршних стопа приноса на реотварањима поменутих емисија. Учешће страних инвеститора у динарским хартијама од вредности, на крају августа 2024. године износило је 17,2%.</w:t>
      </w:r>
    </w:p>
    <w:p w14:paraId="6597C394"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30. јуна 2021. године три динарске бенчмарк обвезнице укључене су у J.P. Morgan индекс државних обвезница земаља у развоју (GBI-EM </w:t>
      </w:r>
      <w:r w:rsidRPr="00F5596D">
        <w:rPr>
          <w:rFonts w:ascii="Calibri" w:eastAsia="Calibri" w:hAnsi="Calibri" w:cs="Calibri"/>
          <w:bCs/>
          <w:i/>
          <w:szCs w:val="72"/>
          <w:lang w:val="sr-Cyrl-CS"/>
        </w:rPr>
        <w:t>Global Diversified Index</w:t>
      </w:r>
      <w:r w:rsidRPr="00F5596D">
        <w:rPr>
          <w:rFonts w:ascii="Calibri" w:eastAsia="Calibri" w:hAnsi="Calibri" w:cs="Calibri"/>
          <w:bCs/>
          <w:szCs w:val="72"/>
          <w:lang w:val="sr-Cyrl-CS"/>
        </w:rPr>
        <w:t>), са датумом доспећа 11. јануар 2026. године (RSMFRSD89592), 8. фебруар 2028. године (RSMFRSD55940) и 20. август 2032. године (RSMFRSD86176). 5. марта 2024. године у J.P. Morgan индекс државних обвезница земаља у развоју (GBI-EM Global Diversified Index), укључена је нова динарска бенчмарк обвезница са датумом доспећа 26. октобар 2031. године (RSMFRSD58761). 31. марта 2025. године у J.P. Morgan индекс државних обвезница земаља у развоју (GBI-EM Global Diversified Index), укључена је нова динарска бенчмарк обвезница са датумом доспећа 27. јул 2035. године (RSMFRSD34101).</w:t>
      </w:r>
    </w:p>
    <w:p w14:paraId="0A370280"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У 2023. години од динарских хартија емитоване су двогодишње динарске обвезнице. Десетогодишњим динарским обвезницама је </w:t>
      </w:r>
      <w:r w:rsidRPr="00F5596D">
        <w:rPr>
          <w:rFonts w:ascii="Calibri" w:eastAsia="Calibri" w:hAnsi="Calibri" w:cs="Calibri"/>
          <w:bCs/>
          <w:szCs w:val="72"/>
          <w:lang w:val="sr-Cyrl-CS"/>
        </w:rPr>
        <w:t>повећан обим емисије за 18,4 млрд динара и дванаестоипоогодишњим за 50 млрд динара. У октобру 2023. године емитована је нова осмогодишња динарска обвезница, са обимом емисије 110 милијарди динара. Од евро деноминованих хартија емитоване су двогодишње обвезнице.</w:t>
      </w:r>
    </w:p>
    <w:p w14:paraId="7B679408"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2024. години повећан је обим емисије обвезнице рочности 8 година за 40 милијарди динара</w:t>
      </w:r>
      <w:r w:rsidRPr="00F5596D">
        <w:rPr>
          <w:lang w:val="sr-Cyrl-CS"/>
        </w:rPr>
        <w:t xml:space="preserve"> (</w:t>
      </w:r>
      <w:r w:rsidRPr="00F5596D">
        <w:rPr>
          <w:rFonts w:ascii="Calibri" w:eastAsia="Calibri" w:hAnsi="Calibri" w:cs="Calibri"/>
          <w:bCs/>
          <w:szCs w:val="72"/>
          <w:lang w:val="sr-Cyrl-CS"/>
        </w:rPr>
        <w:t>првобитно емитованe 24.10.2023. године).</w:t>
      </w:r>
      <w:r w:rsidRPr="00F5596D">
        <w:rPr>
          <w:lang w:val="sr-Cyrl-CS"/>
        </w:rPr>
        <w:t xml:space="preserve"> </w:t>
      </w:r>
      <w:r w:rsidRPr="00F5596D">
        <w:rPr>
          <w:rFonts w:ascii="Calibri" w:eastAsia="Calibri" w:hAnsi="Calibri" w:cs="Calibri"/>
          <w:bCs/>
          <w:szCs w:val="72"/>
          <w:lang w:val="sr-Cyrl-CS"/>
        </w:rPr>
        <w:t>Од евро деноминованих хартија емитоване су трогодишње обвезнице.</w:t>
      </w:r>
    </w:p>
    <w:p w14:paraId="4FA6E533" w14:textId="47B345E9"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јануару 2025. години емитована је нова десетипогодишња динарска обвезница, са обимом емисије 120 милијарди динара. Обим емисије обвезнице рочности 10,5 година повећан је у фебруару за 60 милијарди динара</w:t>
      </w:r>
      <w:r w:rsidRPr="00F5596D">
        <w:rPr>
          <w:lang w:val="sr-Cyrl-CS"/>
        </w:rPr>
        <w:t xml:space="preserve"> (</w:t>
      </w:r>
      <w:r w:rsidRPr="00F5596D">
        <w:rPr>
          <w:rFonts w:ascii="Calibri" w:eastAsia="Calibri" w:hAnsi="Calibri" w:cs="Calibri"/>
          <w:bCs/>
          <w:szCs w:val="72"/>
          <w:lang w:val="sr-Cyrl-CS"/>
        </w:rPr>
        <w:t>првобитно емитованe 23.01.2025. године).</w:t>
      </w:r>
      <w:r w:rsidRPr="00F5596D">
        <w:rPr>
          <w:lang w:val="sr-Cyrl-CS"/>
        </w:rPr>
        <w:t xml:space="preserve"> Током прва четири месеца 2025. године није било емисија </w:t>
      </w:r>
      <w:r w:rsidRPr="00F5596D">
        <w:rPr>
          <w:rFonts w:ascii="Calibri" w:eastAsia="Calibri" w:hAnsi="Calibri" w:cs="Calibri"/>
          <w:bCs/>
          <w:szCs w:val="72"/>
          <w:lang w:val="sr-Cyrl-CS"/>
        </w:rPr>
        <w:t>евро деноминованих хартија од вредности.</w:t>
      </w:r>
    </w:p>
    <w:p w14:paraId="50B3BDC0"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У периоду за који се доноси ова Стратегија очекује се унапређење ефикасности примарног тржишта путем приступа Euroclear платформи и кроз концепт примарних дилера, као механизма продаје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државних хартија од вредности на домаћем финансијском тржишту преко примарних дилера, пружиће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државних хартија од вредности. Увођењем „бенчмарк</w:t>
      </w:r>
      <w:r w:rsidRPr="00F5596D">
        <w:rPr>
          <w:rFonts w:eastAsia="MS PGothic" w:cstheme="minorHAnsi"/>
          <w:szCs w:val="20"/>
          <w:lang w:val="sr-Cyrl-CS" w:eastAsia="ja-JP"/>
        </w:rPr>
        <w:t>”</w:t>
      </w:r>
      <w:r w:rsidRPr="00F5596D">
        <w:rPr>
          <w:rFonts w:ascii="Calibri" w:eastAsia="Calibri" w:hAnsi="Calibri" w:cs="Calibri"/>
          <w:bCs/>
          <w:szCs w:val="72"/>
          <w:lang w:val="sr-Cyrl-C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1A8361FE"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w:t>
      </w:r>
      <w:r w:rsidRPr="00F5596D">
        <w:rPr>
          <w:rFonts w:ascii="Calibri" w:eastAsia="Calibri" w:hAnsi="Calibri" w:cs="Calibri"/>
          <w:bCs/>
          <w:szCs w:val="72"/>
          <w:lang w:val="sr-Cyrl-CS"/>
        </w:rPr>
        <w:lastRenderedPageBreak/>
        <w:t>међународном финансијском тржишту, које се рефлектују на премију ризика земље.</w:t>
      </w:r>
    </w:p>
    <w:p w14:paraId="3D530EB0"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 xml:space="preserve">На крају 2012. године просечна рочност динарских хартија од вредности износила је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на крају 2021. године 1.377 дана (3,8 године), на крају 2022. године 1.220 дана (3,3 </w:t>
      </w:r>
      <w:r w:rsidRPr="00F5596D">
        <w:rPr>
          <w:rFonts w:ascii="Calibri" w:eastAsia="Calibri" w:hAnsi="Calibri" w:cs="Calibri"/>
          <w:bCs/>
          <w:color w:val="auto"/>
          <w:szCs w:val="72"/>
          <w:lang w:val="sr-Cyrl-CS"/>
        </w:rPr>
        <w:t xml:space="preserve">године), </w:t>
      </w:r>
      <w:r w:rsidRPr="00F5596D">
        <w:rPr>
          <w:rFonts w:ascii="Calibri" w:eastAsia="Calibri" w:hAnsi="Calibri" w:cs="Calibri"/>
          <w:bCs/>
          <w:szCs w:val="72"/>
          <w:lang w:val="sr-Cyrl-CS"/>
        </w:rPr>
        <w:t>на крају 2023. године 1.427 дана (3,9 године), на крају 2024. године 1.474 дана (4 године), а на крају априла 2025. године 1.765 дана (4,8 година).</w:t>
      </w:r>
    </w:p>
    <w:p w14:paraId="36673F5E" w14:textId="77777777" w:rsidR="008D31CC"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Развој домаћег тржишта државних хартија од вредности од стране Републике Србије потпомогнут је следећим мерама:</w:t>
      </w:r>
    </w:p>
    <w:p w14:paraId="31F6D34A" w14:textId="77777777" w:rsidR="008D31CC" w:rsidRPr="00F5596D" w:rsidRDefault="008D31CC" w:rsidP="008D31CC">
      <w:pPr>
        <w:numPr>
          <w:ilvl w:val="0"/>
          <w:numId w:val="13"/>
        </w:numPr>
        <w:ind w:left="0" w:hanging="142"/>
        <w:rPr>
          <w:rFonts w:ascii="Calibri" w:eastAsia="Calibri" w:hAnsi="Calibri" w:cs="Calibri"/>
          <w:bCs/>
          <w:szCs w:val="72"/>
          <w:lang w:val="sr-Cyrl-CS"/>
        </w:rPr>
      </w:pPr>
      <w:r w:rsidRPr="00F5596D">
        <w:rPr>
          <w:rFonts w:ascii="Calibri" w:eastAsia="Calibri" w:hAnsi="Calibri" w:cs="Calibri"/>
          <w:bCs/>
          <w:szCs w:val="72"/>
          <w:lang w:val="sr-Cyrl-CS"/>
        </w:rPr>
        <w:t xml:space="preserve">Обвезнице Републике Србије укључене су у </w:t>
      </w:r>
      <w:r w:rsidRPr="00F5596D">
        <w:rPr>
          <w:rFonts w:ascii="Calibri" w:eastAsia="Calibri" w:hAnsi="Calibri" w:cs="Calibri"/>
          <w:bCs/>
          <w:iCs/>
          <w:szCs w:val="72"/>
          <w:lang w:val="sr-Cyrl-CS"/>
        </w:rPr>
        <w:t>Ј.P. Morgan</w:t>
      </w:r>
      <w:r w:rsidRPr="00F5596D">
        <w:rPr>
          <w:rFonts w:ascii="Calibri" w:eastAsia="Calibri" w:hAnsi="Calibri" w:cs="Calibri"/>
          <w:bCs/>
          <w:szCs w:val="72"/>
          <w:lang w:val="sr-Cyrl-CS"/>
        </w:rPr>
        <w:t xml:space="preserve"> глобални индекс</w:t>
      </w:r>
      <w:r w:rsidRPr="00F5596D">
        <w:rPr>
          <w:lang w:val="sr-Cyrl-CS"/>
        </w:rPr>
        <w:t xml:space="preserve"> </w:t>
      </w:r>
      <w:r w:rsidRPr="00F5596D">
        <w:rPr>
          <w:rFonts w:ascii="Calibri" w:eastAsia="Calibri" w:hAnsi="Calibri" w:cs="Calibri"/>
          <w:bCs/>
          <w:szCs w:val="72"/>
          <w:lang w:val="sr-Cyrl-CS"/>
        </w:rPr>
        <w:t>државних обвезница у локалним валутама земаља у развоју (</w:t>
      </w:r>
      <w:r w:rsidRPr="00F5596D">
        <w:rPr>
          <w:rFonts w:ascii="Calibri" w:eastAsia="Calibri" w:hAnsi="Calibri" w:cs="Calibri"/>
          <w:bCs/>
          <w:i/>
          <w:szCs w:val="72"/>
          <w:lang w:val="sr-Cyrl-CS"/>
        </w:rPr>
        <w:t>GBI-EM</w:t>
      </w:r>
      <w:r w:rsidRPr="00F5596D">
        <w:rPr>
          <w:rFonts w:ascii="Calibri" w:eastAsia="Calibri" w:hAnsi="Calibri" w:cs="Calibri"/>
          <w:bCs/>
          <w:szCs w:val="72"/>
          <w:lang w:val="sr-Cyrl-CS"/>
        </w:rPr>
        <w:t xml:space="preserve"> </w:t>
      </w:r>
      <w:r w:rsidRPr="00F5596D">
        <w:rPr>
          <w:rFonts w:ascii="Calibri" w:eastAsia="Calibri" w:hAnsi="Calibri" w:cs="Calibri"/>
          <w:bCs/>
          <w:i/>
          <w:iCs/>
          <w:szCs w:val="72"/>
          <w:lang w:val="sr-Cyrl-CS"/>
        </w:rPr>
        <w:t>Global Diversified Index</w:t>
      </w:r>
      <w:r w:rsidRPr="00F5596D">
        <w:rPr>
          <w:rFonts w:ascii="Calibri" w:eastAsia="Calibri" w:hAnsi="Calibri" w:cs="Calibri"/>
          <w:bCs/>
          <w:szCs w:val="72"/>
          <w:lang w:val="sr-Cyrl-CS"/>
        </w:rPr>
        <w:t>) што би требало значајно да повећа базу инвеститора и додатно поспеши секундарно трговање, што ће даље допринети смањењу трошкова задуживања путем емисија динарских државних хартија од вредности;</w:t>
      </w:r>
    </w:p>
    <w:p w14:paraId="65148510" w14:textId="77777777" w:rsidR="008D31CC" w:rsidRPr="00F5596D" w:rsidRDefault="008D31CC" w:rsidP="008D31CC">
      <w:pPr>
        <w:numPr>
          <w:ilvl w:val="0"/>
          <w:numId w:val="13"/>
        </w:numPr>
        <w:ind w:left="0" w:hanging="142"/>
        <w:rPr>
          <w:rFonts w:ascii="Calibri" w:eastAsia="Calibri" w:hAnsi="Calibri" w:cs="Calibri"/>
          <w:bCs/>
          <w:szCs w:val="72"/>
          <w:lang w:val="sr-Cyrl-CS"/>
        </w:rPr>
      </w:pPr>
      <w:r w:rsidRPr="00F5596D">
        <w:rPr>
          <w:rFonts w:ascii="Calibri" w:eastAsia="Calibri" w:hAnsi="Calibri" w:cs="Calibri"/>
          <w:bCs/>
          <w:szCs w:val="72"/>
          <w:lang w:val="sr-Cyrl-CS"/>
        </w:rPr>
        <w:t xml:space="preserve">У циљу креирања што веће базе инвеститора и развоја секундарног тржишта хартија од вредности емитованих на домаћем тржишту, </w:t>
      </w:r>
      <w:r w:rsidRPr="00F5596D">
        <w:rPr>
          <w:rFonts w:ascii="Calibri" w:eastAsia="Calibri" w:hAnsi="Calibri" w:cs="Calibri"/>
          <w:bCs/>
          <w:szCs w:val="72"/>
          <w:lang w:val="sr-Cyrl-CS"/>
        </w:rPr>
        <w:t>креиран је једнак порески третман домаћих и страних инвеститора крајем 2011. године, и у наредном периоду тежиће се уклањању свих евентуалних препрека за слободан проток капитала;</w:t>
      </w:r>
    </w:p>
    <w:p w14:paraId="5F41A614" w14:textId="75149AC0" w:rsidR="008D31CC" w:rsidRPr="00F5596D" w:rsidRDefault="008D31CC" w:rsidP="008D31CC">
      <w:pPr>
        <w:numPr>
          <w:ilvl w:val="0"/>
          <w:numId w:val="13"/>
        </w:numPr>
        <w:ind w:left="0" w:hanging="142"/>
        <w:rPr>
          <w:rFonts w:ascii="Calibri" w:eastAsia="Calibri" w:hAnsi="Calibri" w:cs="Calibri"/>
          <w:bCs/>
          <w:szCs w:val="72"/>
          <w:lang w:val="sr-Cyrl-CS"/>
        </w:rPr>
      </w:pPr>
      <w:r w:rsidRPr="00F5596D">
        <w:rPr>
          <w:rFonts w:ascii="Calibri" w:eastAsia="Calibri" w:hAnsi="Calibri" w:cs="Calibri"/>
          <w:bCs/>
          <w:szCs w:val="72"/>
          <w:lang w:val="sr-Cyrl-CS"/>
        </w:rPr>
        <w:t>Предузете су активности на омогућавању салдирања државних хартија од вредности на 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регистра врши и друго страно правно лице које обавља послове клиринга и салдирања.</w:t>
      </w:r>
    </w:p>
    <w:p w14:paraId="79382127" w14:textId="71716E92" w:rsidR="00AF2DEB" w:rsidRPr="00F5596D" w:rsidRDefault="008D31CC" w:rsidP="008D31CC">
      <w:pPr>
        <w:rPr>
          <w:rFonts w:ascii="Calibri" w:eastAsia="Calibri" w:hAnsi="Calibri" w:cs="Calibri"/>
          <w:bCs/>
          <w:szCs w:val="72"/>
          <w:lang w:val="sr-Cyrl-CS"/>
        </w:rPr>
      </w:pPr>
      <w:r w:rsidRPr="00F5596D">
        <w:rPr>
          <w:rFonts w:ascii="Calibri" w:eastAsia="Calibri" w:hAnsi="Calibri" w:cs="Calibri"/>
          <w:bCs/>
          <w:szCs w:val="72"/>
          <w:lang w:val="sr-Cyrl-CS"/>
        </w:rPr>
        <w:t>Током 2023. и 2024. године активно се радило на усаглашавању законске регулативе и ИТ инфраструктуре за успостављање међународног линка (i-Link) између Централног регистра, депоа и клиринга хартија од вредности и Euroclear банке, што је настављено и у 2025. години како би се отпочело салдирање државних бенчмарк обвезница преко Euroclear провајдера пост трговинских трансакција. Основне предности приступања Euroclear систему су ширење базе инвеститора кроз лакшу доступност домаћих хартија од вредности страним инвеститорима, што даље смањује трошкове у редукованом ланцу учесника куповине хартија од вредности, а тиме и пад приноса на хартије и ниже трошкове задуживања емитента. Такође, повећава се ликвидност секундарног тржишта ширењем базе инвеститора.</w:t>
      </w:r>
    </w:p>
    <w:p w14:paraId="3F883C4A" w14:textId="77777777" w:rsidR="00AF2DEB" w:rsidRPr="00F5596D" w:rsidRDefault="00AF2DEB">
      <w:pPr>
        <w:jc w:val="left"/>
        <w:rPr>
          <w:rFonts w:ascii="Calibri" w:eastAsia="Calibri" w:hAnsi="Calibri" w:cs="Calibri"/>
          <w:bCs/>
          <w:szCs w:val="72"/>
          <w:lang w:val="sr-Cyrl-CS"/>
        </w:rPr>
        <w:sectPr w:rsidR="00AF2DEB" w:rsidRPr="00F5596D" w:rsidSect="00AF2DEB">
          <w:headerReference w:type="even" r:id="rId232"/>
          <w:footerReference w:type="even" r:id="rId233"/>
          <w:footerReference w:type="default" r:id="rId234"/>
          <w:footerReference w:type="first" r:id="rId235"/>
          <w:type w:val="continuous"/>
          <w:pgSz w:w="12240" w:h="15840" w:code="1"/>
          <w:pgMar w:top="0" w:right="1440" w:bottom="1440" w:left="1440" w:header="720" w:footer="720" w:gutter="0"/>
          <w:cols w:num="2" w:space="720"/>
          <w:titlePg/>
          <w:docGrid w:linePitch="360"/>
        </w:sectPr>
      </w:pPr>
    </w:p>
    <w:p w14:paraId="27ABCF87" w14:textId="54D6625C" w:rsidR="00AF2DEB" w:rsidRPr="00F5596D" w:rsidRDefault="00AF2DEB">
      <w:pPr>
        <w:jc w:val="left"/>
        <w:rPr>
          <w:rFonts w:ascii="Calibri" w:eastAsia="Calibri" w:hAnsi="Calibri" w:cs="Calibri"/>
          <w:bCs/>
          <w:szCs w:val="72"/>
          <w:lang w:val="sr-Cyrl-CS"/>
        </w:rPr>
      </w:pPr>
      <w:r w:rsidRPr="00F5596D">
        <w:rPr>
          <w:rFonts w:ascii="Calibri" w:eastAsia="Calibri" w:hAnsi="Calibri" w:cs="Calibri"/>
          <w:bCs/>
          <w:szCs w:val="72"/>
          <w:lang w:val="sr-Cyrl-CS"/>
        </w:rPr>
        <w:br w:type="page"/>
      </w:r>
    </w:p>
    <w:p w14:paraId="09FAF180" w14:textId="77777777" w:rsidR="00CF51CF" w:rsidRPr="00F5596D" w:rsidRDefault="00CF51CF" w:rsidP="008D31CC">
      <w:pPr>
        <w:pStyle w:val="Heading1"/>
        <w:spacing w:before="0" w:after="240"/>
        <w:jc w:val="center"/>
        <w:rPr>
          <w:rFonts w:asciiTheme="minorHAnsi" w:hAnsiTheme="minorHAnsi" w:cstheme="minorHAnsi"/>
          <w:b/>
          <w:sz w:val="26"/>
          <w:szCs w:val="26"/>
          <w:lang w:val="sr-Cyrl-CS"/>
        </w:rPr>
      </w:pPr>
      <w:bookmarkStart w:id="66" w:name="_Toc529801854"/>
      <w:bookmarkStart w:id="67" w:name="_Toc86923729"/>
      <w:bookmarkStart w:id="68" w:name="_Toc135994508"/>
      <w:bookmarkStart w:id="69" w:name="_Toc146277922"/>
      <w:bookmarkStart w:id="70" w:name="_Toc148431275"/>
      <w:bookmarkStart w:id="71" w:name="_Toc181190974"/>
      <w:bookmarkStart w:id="72" w:name="_Toc181271509"/>
      <w:bookmarkStart w:id="73" w:name="_Toc200118002"/>
    </w:p>
    <w:p w14:paraId="6A5DB7B9" w14:textId="07D82473" w:rsidR="008D31CC" w:rsidRPr="00F5596D" w:rsidRDefault="008D31CC" w:rsidP="008D31CC">
      <w:pPr>
        <w:pStyle w:val="Heading1"/>
        <w:spacing w:before="0" w:after="240"/>
        <w:jc w:val="center"/>
        <w:rPr>
          <w:rFonts w:asciiTheme="minorHAnsi" w:hAnsiTheme="minorHAnsi" w:cstheme="minorHAnsi"/>
          <w:b/>
          <w:sz w:val="26"/>
          <w:szCs w:val="26"/>
          <w:lang w:val="sr-Cyrl-CS"/>
        </w:rPr>
      </w:pPr>
      <w:r w:rsidRPr="00F5596D">
        <w:rPr>
          <w:rFonts w:asciiTheme="minorHAnsi" w:hAnsiTheme="minorHAnsi" w:cstheme="minorHAnsi"/>
          <w:b/>
          <w:sz w:val="26"/>
          <w:szCs w:val="26"/>
          <w:lang w:val="sr-Cyrl-CS"/>
        </w:rPr>
        <w:t>IV. ЗАВРШНЕ ОДРЕДБЕ</w:t>
      </w:r>
      <w:bookmarkEnd w:id="66"/>
      <w:bookmarkEnd w:id="67"/>
      <w:bookmarkEnd w:id="68"/>
      <w:bookmarkEnd w:id="69"/>
      <w:bookmarkEnd w:id="70"/>
      <w:bookmarkEnd w:id="71"/>
      <w:bookmarkEnd w:id="72"/>
      <w:bookmarkEnd w:id="73"/>
    </w:p>
    <w:p w14:paraId="285E20EE" w14:textId="77777777" w:rsidR="008D31CC" w:rsidRPr="00F5596D" w:rsidRDefault="008D31CC" w:rsidP="008D31CC">
      <w:pPr>
        <w:rPr>
          <w:lang w:val="sr-Cyrl-CS"/>
        </w:rPr>
      </w:pPr>
    </w:p>
    <w:p w14:paraId="3E221371" w14:textId="514FB809" w:rsidR="008D31CC" w:rsidRPr="00F5596D" w:rsidRDefault="008D31CC" w:rsidP="008D31CC">
      <w:pPr>
        <w:spacing w:after="80"/>
        <w:ind w:firstLine="720"/>
        <w:rPr>
          <w:rFonts w:ascii="Calibri" w:eastAsia="Calibri" w:hAnsi="Calibri" w:cs="Calibri"/>
          <w:bCs/>
          <w:szCs w:val="72"/>
          <w:lang w:val="sr-Cyrl-CS"/>
        </w:rPr>
      </w:pPr>
      <w:r w:rsidRPr="00F5596D">
        <w:rPr>
          <w:rFonts w:ascii="Calibri" w:eastAsia="Calibri" w:hAnsi="Calibri" w:cs="Calibri"/>
          <w:bCs/>
          <w:szCs w:val="72"/>
          <w:lang w:val="sr-Cyrl-CS"/>
        </w:rPr>
        <w:t xml:space="preserve">Саставни део ове </w:t>
      </w:r>
      <w:r w:rsidR="00E72B3D" w:rsidRPr="00F5596D">
        <w:rPr>
          <w:rFonts w:ascii="Calibri" w:eastAsia="Calibri" w:hAnsi="Calibri" w:cs="Calibri"/>
          <w:bCs/>
          <w:szCs w:val="72"/>
          <w:lang w:val="sr-Cyrl-CS"/>
        </w:rPr>
        <w:t>ф</w:t>
      </w:r>
      <w:r w:rsidRPr="00F5596D">
        <w:rPr>
          <w:rFonts w:ascii="Calibri" w:eastAsia="Calibri" w:hAnsi="Calibri" w:cs="Calibri"/>
          <w:bCs/>
          <w:szCs w:val="72"/>
          <w:lang w:val="sr-Cyrl-CS"/>
        </w:rPr>
        <w:t>искалне стратегије чине Прилог 1 – Пројекција основних макроекономских индикатора, Прилог 2 – Фиск</w:t>
      </w:r>
      <w:r w:rsidR="0050180C" w:rsidRPr="00F5596D">
        <w:rPr>
          <w:rFonts w:ascii="Calibri" w:eastAsia="Calibri" w:hAnsi="Calibri" w:cs="Calibri"/>
          <w:bCs/>
          <w:szCs w:val="72"/>
          <w:lang w:val="sr-Cyrl-CS"/>
        </w:rPr>
        <w:t>ални оквир сектора државе у 2026</w:t>
      </w:r>
      <w:r w:rsidRPr="00F5596D">
        <w:rPr>
          <w:rFonts w:ascii="Calibri" w:eastAsia="Calibri" w:hAnsi="Calibri" w:cs="Calibri"/>
          <w:bCs/>
          <w:szCs w:val="72"/>
          <w:lang w:val="sr-Cyrl-CS"/>
        </w:rPr>
        <w:t>. години и Прилог 3 – Преглед инвестиционих пројеката у републичком буџету – издаци за нефинансијску имовину (</w:t>
      </w:r>
      <w:r w:rsidR="00DF4358">
        <w:rPr>
          <w:rFonts w:ascii="Calibri" w:eastAsia="Calibri" w:hAnsi="Calibri" w:cs="Calibri"/>
          <w:bCs/>
          <w:szCs w:val="72"/>
          <w:lang w:val="sr-Cyrl-CS"/>
        </w:rPr>
        <w:t>изнад</w:t>
      </w:r>
      <w:r w:rsidRPr="00F5596D">
        <w:rPr>
          <w:rFonts w:ascii="Calibri" w:eastAsia="Calibri" w:hAnsi="Calibri" w:cs="Calibri"/>
          <w:bCs/>
          <w:szCs w:val="72"/>
          <w:lang w:val="sr-Cyrl-CS"/>
        </w:rPr>
        <w:t xml:space="preserve"> 20 милиона евра), који су одштампани уз ову </w:t>
      </w:r>
      <w:r w:rsidR="00E72B3D" w:rsidRPr="00F5596D">
        <w:rPr>
          <w:rFonts w:cstheme="minorHAnsi"/>
          <w:bCs/>
          <w:szCs w:val="72"/>
          <w:lang w:val="sr-Cyrl-CS"/>
        </w:rPr>
        <w:t>ф</w:t>
      </w:r>
      <w:r w:rsidRPr="00F5596D">
        <w:rPr>
          <w:rFonts w:ascii="Calibri" w:eastAsia="Calibri" w:hAnsi="Calibri" w:cs="Calibri"/>
          <w:bCs/>
          <w:szCs w:val="72"/>
          <w:lang w:val="sr-Cyrl-CS"/>
        </w:rPr>
        <w:t>искалну стратегију.</w:t>
      </w:r>
    </w:p>
    <w:p w14:paraId="3C50ACBE" w14:textId="69F1CF25" w:rsidR="008D31CC" w:rsidRPr="00F5596D" w:rsidRDefault="00C20380" w:rsidP="008D31CC">
      <w:pPr>
        <w:spacing w:after="80"/>
        <w:ind w:firstLine="720"/>
        <w:rPr>
          <w:rFonts w:ascii="Calibri" w:eastAsia="Calibri" w:hAnsi="Calibri" w:cs="Calibri"/>
          <w:bCs/>
          <w:szCs w:val="72"/>
          <w:lang w:val="sr-Cyrl-CS"/>
        </w:rPr>
      </w:pPr>
      <w:r w:rsidRPr="00F5596D">
        <w:rPr>
          <w:rFonts w:ascii="Calibri" w:eastAsia="Calibri" w:hAnsi="Calibri" w:cs="Calibri"/>
          <w:bCs/>
          <w:szCs w:val="72"/>
          <w:lang w:val="sr-Cyrl-CS"/>
        </w:rPr>
        <w:t>Ову</w:t>
      </w:r>
      <w:r w:rsidR="0050180C" w:rsidRPr="00F5596D">
        <w:rPr>
          <w:rFonts w:ascii="Calibri" w:eastAsia="Calibri" w:hAnsi="Calibri" w:cs="Calibri"/>
          <w:bCs/>
          <w:szCs w:val="72"/>
          <w:lang w:val="sr-Cyrl-CS"/>
        </w:rPr>
        <w:t xml:space="preserve"> </w:t>
      </w:r>
      <w:r w:rsidR="00E72B3D" w:rsidRPr="00F5596D">
        <w:rPr>
          <w:rFonts w:ascii="Calibri" w:eastAsia="Calibri" w:hAnsi="Calibri" w:cs="Calibri"/>
          <w:bCs/>
          <w:szCs w:val="72"/>
          <w:lang w:val="sr-Cyrl-CS"/>
        </w:rPr>
        <w:t>ф</w:t>
      </w:r>
      <w:r w:rsidR="008D31CC" w:rsidRPr="00F5596D">
        <w:rPr>
          <w:rFonts w:ascii="Calibri" w:eastAsia="Calibri" w:hAnsi="Calibri" w:cs="Calibri"/>
          <w:bCs/>
          <w:szCs w:val="72"/>
          <w:lang w:val="sr-Cyrl-CS"/>
        </w:rPr>
        <w:t>искалну стратегију доставити одбору Народне скупштине надлежном за финансије, републички буџет и контролу трошења јавних средстава и Министарству финансија.</w:t>
      </w:r>
    </w:p>
    <w:p w14:paraId="7DFFD4EE" w14:textId="6D04509B" w:rsidR="008D31CC" w:rsidRPr="00F5596D" w:rsidRDefault="008D31CC" w:rsidP="008D31CC">
      <w:pPr>
        <w:ind w:firstLine="720"/>
        <w:rPr>
          <w:lang w:val="sr-Cyrl-CS"/>
        </w:rPr>
      </w:pPr>
      <w:r w:rsidRPr="00F5596D">
        <w:rPr>
          <w:rFonts w:cstheme="minorHAnsi"/>
          <w:bCs/>
          <w:szCs w:val="72"/>
          <w:lang w:val="sr-Cyrl-CS"/>
        </w:rPr>
        <w:t xml:space="preserve">Ову </w:t>
      </w:r>
      <w:r w:rsidR="00E72B3D" w:rsidRPr="00F5596D">
        <w:rPr>
          <w:rFonts w:cstheme="minorHAnsi"/>
          <w:bCs/>
          <w:szCs w:val="72"/>
          <w:lang w:val="sr-Cyrl-CS"/>
        </w:rPr>
        <w:t>ф</w:t>
      </w:r>
      <w:r w:rsidR="0050180C" w:rsidRPr="00F5596D">
        <w:rPr>
          <w:rFonts w:cstheme="minorHAnsi"/>
          <w:bCs/>
          <w:szCs w:val="72"/>
          <w:lang w:val="sr-Cyrl-CS"/>
        </w:rPr>
        <w:t>искалну стратегију објавити</w:t>
      </w:r>
      <w:r w:rsidRPr="00F5596D">
        <w:rPr>
          <w:rFonts w:cstheme="minorHAnsi"/>
          <w:bCs/>
          <w:szCs w:val="72"/>
          <w:lang w:val="sr-Cyrl-CS"/>
        </w:rPr>
        <w:t xml:space="preserve"> на интернет страници Владе и Министарства финансија.</w:t>
      </w:r>
    </w:p>
    <w:p w14:paraId="5A989B7B" w14:textId="77777777" w:rsidR="008D31CC" w:rsidRPr="00F5596D" w:rsidRDefault="008D31CC" w:rsidP="008D31CC">
      <w:pPr>
        <w:spacing w:after="0"/>
        <w:jc w:val="right"/>
        <w:rPr>
          <w:rFonts w:cstheme="minorHAnsi"/>
          <w:bCs/>
          <w:color w:val="FF0000"/>
          <w:szCs w:val="72"/>
          <w:lang w:val="sr-Cyrl-CS"/>
        </w:rPr>
      </w:pPr>
    </w:p>
    <w:p w14:paraId="2B91A29D" w14:textId="77777777" w:rsidR="008D31CC" w:rsidRPr="00F5596D" w:rsidRDefault="008D31CC" w:rsidP="008D31CC">
      <w:pPr>
        <w:spacing w:after="0"/>
        <w:jc w:val="right"/>
        <w:rPr>
          <w:rFonts w:cstheme="minorHAnsi"/>
          <w:bCs/>
          <w:color w:val="FF0000"/>
          <w:szCs w:val="72"/>
          <w:lang w:val="sr-Cyrl-CS"/>
        </w:rPr>
      </w:pPr>
    </w:p>
    <w:p w14:paraId="0D182E37" w14:textId="063CDEFD" w:rsidR="008D31CC" w:rsidRPr="00DD1030" w:rsidRDefault="008D31CC" w:rsidP="008D31CC">
      <w:pPr>
        <w:tabs>
          <w:tab w:val="left" w:pos="1189"/>
        </w:tabs>
        <w:spacing w:after="0"/>
        <w:rPr>
          <w:rFonts w:ascii="Calibri" w:hAnsi="Calibri" w:cs="Calibri"/>
          <w:bCs/>
          <w:color w:val="FF0000"/>
          <w:szCs w:val="72"/>
          <w:lang w:val="sr-Cyrl-CS"/>
        </w:rPr>
      </w:pPr>
      <w:r w:rsidRPr="00DD1030">
        <w:rPr>
          <w:rFonts w:ascii="Calibri" w:eastAsia="Calibri" w:hAnsi="Calibri" w:cs="Calibri"/>
          <w:bCs/>
          <w:szCs w:val="72"/>
          <w:lang w:val="sr-Cyrl-CS"/>
        </w:rPr>
        <w:t>05 Број:</w:t>
      </w:r>
      <w:r w:rsidRPr="00DD1030">
        <w:rPr>
          <w:rFonts w:ascii="Calibri" w:hAnsi="Calibri" w:cs="Calibri"/>
          <w:bCs/>
          <w:color w:val="FF0000"/>
          <w:szCs w:val="72"/>
          <w:lang w:val="sr-Cyrl-CS"/>
        </w:rPr>
        <w:t xml:space="preserve"> </w:t>
      </w:r>
      <w:r w:rsidR="00DF5D74" w:rsidRPr="00DD1030">
        <w:rPr>
          <w:rFonts w:ascii="Calibri" w:hAnsi="Calibri" w:cs="Calibri"/>
          <w:bCs/>
          <w:color w:val="auto"/>
          <w:szCs w:val="72"/>
          <w:lang w:val="sr-Cyrl-CS"/>
        </w:rPr>
        <w:t>400-6582/2025-1</w:t>
      </w:r>
    </w:p>
    <w:p w14:paraId="73B1AAE6" w14:textId="4C289F9B" w:rsidR="008D31CC" w:rsidRPr="00F5596D" w:rsidRDefault="0050180C" w:rsidP="008D31CC">
      <w:pPr>
        <w:spacing w:after="0"/>
        <w:rPr>
          <w:rFonts w:cstheme="minorHAnsi"/>
          <w:bCs/>
          <w:color w:val="FF0000"/>
          <w:szCs w:val="72"/>
          <w:lang w:val="sr-Cyrl-CS"/>
        </w:rPr>
      </w:pPr>
      <w:r w:rsidRPr="00F5596D">
        <w:rPr>
          <w:rFonts w:ascii="Calibri" w:eastAsia="Calibri" w:hAnsi="Calibri" w:cs="Calibri"/>
          <w:bCs/>
          <w:szCs w:val="72"/>
          <w:lang w:val="sr-Cyrl-CS"/>
        </w:rPr>
        <w:t xml:space="preserve">У Београду, </w:t>
      </w:r>
      <w:r w:rsidR="00DF5D74">
        <w:rPr>
          <w:rFonts w:ascii="Calibri" w:eastAsia="Calibri" w:hAnsi="Calibri" w:cs="Calibri"/>
          <w:bCs/>
          <w:szCs w:val="72"/>
          <w:lang w:val="sr-Cyrl-CS"/>
        </w:rPr>
        <w:t xml:space="preserve">18. </w:t>
      </w:r>
      <w:r w:rsidRPr="00F5596D">
        <w:rPr>
          <w:rFonts w:ascii="Calibri" w:eastAsia="Calibri" w:hAnsi="Calibri" w:cs="Calibri"/>
          <w:bCs/>
          <w:szCs w:val="72"/>
          <w:lang w:val="sr-Cyrl-CS"/>
        </w:rPr>
        <w:t>јун</w:t>
      </w:r>
      <w:r w:rsidR="00E72B3D" w:rsidRPr="00F5596D">
        <w:rPr>
          <w:rFonts w:ascii="Calibri" w:eastAsia="Calibri" w:hAnsi="Calibri" w:cs="Calibri"/>
          <w:bCs/>
          <w:szCs w:val="72"/>
          <w:lang w:val="sr-Cyrl-CS"/>
        </w:rPr>
        <w:t>a</w:t>
      </w:r>
      <w:r w:rsidRPr="00F5596D">
        <w:rPr>
          <w:rFonts w:ascii="Calibri" w:eastAsia="Calibri" w:hAnsi="Calibri" w:cs="Calibri"/>
          <w:bCs/>
          <w:szCs w:val="72"/>
          <w:lang w:val="sr-Cyrl-CS"/>
        </w:rPr>
        <w:t xml:space="preserve"> 2025</w:t>
      </w:r>
      <w:r w:rsidR="008D31CC" w:rsidRPr="00F5596D">
        <w:rPr>
          <w:rFonts w:ascii="Calibri" w:eastAsia="Calibri" w:hAnsi="Calibri" w:cs="Calibri"/>
          <w:bCs/>
          <w:szCs w:val="72"/>
          <w:lang w:val="sr-Cyrl-CS"/>
        </w:rPr>
        <w:t>. године</w:t>
      </w:r>
    </w:p>
    <w:p w14:paraId="01F63F3B" w14:textId="77777777" w:rsidR="008D31CC" w:rsidRPr="00F5596D" w:rsidRDefault="008D31CC" w:rsidP="008D31CC">
      <w:pPr>
        <w:spacing w:after="0"/>
        <w:rPr>
          <w:rFonts w:cstheme="minorHAnsi"/>
          <w:bCs/>
          <w:color w:val="FF0000"/>
          <w:szCs w:val="72"/>
          <w:lang w:val="sr-Cyrl-CS"/>
        </w:rPr>
      </w:pPr>
    </w:p>
    <w:p w14:paraId="5EE46FB5" w14:textId="77777777" w:rsidR="008D31CC" w:rsidRPr="00F5596D" w:rsidRDefault="008D31CC" w:rsidP="008D31CC">
      <w:pPr>
        <w:spacing w:after="0"/>
        <w:jc w:val="center"/>
        <w:rPr>
          <w:rFonts w:ascii="Calibri" w:eastAsia="Calibri" w:hAnsi="Calibri" w:cs="Calibri"/>
          <w:bCs/>
          <w:szCs w:val="72"/>
          <w:lang w:val="sr-Cyrl-CS"/>
        </w:rPr>
      </w:pPr>
      <w:r w:rsidRPr="00F5596D">
        <w:rPr>
          <w:rFonts w:ascii="Calibri" w:eastAsia="Calibri" w:hAnsi="Calibri" w:cs="Calibri"/>
          <w:bCs/>
          <w:szCs w:val="72"/>
          <w:lang w:val="sr-Cyrl-CS"/>
        </w:rPr>
        <w:t>В Л А Д А</w:t>
      </w:r>
    </w:p>
    <w:p w14:paraId="7C9E5236" w14:textId="77777777" w:rsidR="008D31CC" w:rsidRPr="00F5596D" w:rsidRDefault="008D31CC" w:rsidP="008D31CC">
      <w:pPr>
        <w:spacing w:after="0"/>
        <w:jc w:val="right"/>
        <w:rPr>
          <w:rFonts w:ascii="Calibri" w:eastAsia="Calibri" w:hAnsi="Calibri" w:cs="Calibri"/>
          <w:bCs/>
          <w:szCs w:val="72"/>
          <w:lang w:val="sr-Cyrl-CS"/>
        </w:rPr>
      </w:pPr>
    </w:p>
    <w:p w14:paraId="60C4E231" w14:textId="5BC83005" w:rsidR="008D31CC" w:rsidRPr="00F5596D" w:rsidRDefault="00E72B3D" w:rsidP="00E72B3D">
      <w:pPr>
        <w:spacing w:after="0"/>
        <w:jc w:val="center"/>
        <w:rPr>
          <w:rFonts w:ascii="Calibri" w:eastAsia="Calibri" w:hAnsi="Calibri" w:cs="Calibri"/>
          <w:bCs/>
          <w:szCs w:val="72"/>
          <w:lang w:val="sr-Cyrl-CS"/>
        </w:rPr>
      </w:pPr>
      <w:r w:rsidRPr="00F5596D">
        <w:rPr>
          <w:rFonts w:ascii="Calibri" w:eastAsia="Calibri" w:hAnsi="Calibri" w:cs="Calibri"/>
          <w:bCs/>
          <w:szCs w:val="72"/>
          <w:lang w:val="sr-Cyrl-CS"/>
        </w:rPr>
        <w:t xml:space="preserve">                                                                                                                                                 ПРВИ ПОТ</w:t>
      </w:r>
      <w:r w:rsidR="008D31CC" w:rsidRPr="00F5596D">
        <w:rPr>
          <w:rFonts w:ascii="Calibri" w:eastAsia="Calibri" w:hAnsi="Calibri" w:cs="Calibri"/>
          <w:bCs/>
          <w:szCs w:val="72"/>
          <w:lang w:val="sr-Cyrl-CS"/>
        </w:rPr>
        <w:t>ПРЕДСЕДНИК</w:t>
      </w:r>
      <w:r w:rsidRPr="00F5596D">
        <w:rPr>
          <w:rFonts w:ascii="Calibri" w:eastAsia="Calibri" w:hAnsi="Calibri" w:cs="Calibri"/>
          <w:bCs/>
          <w:szCs w:val="72"/>
          <w:lang w:val="sr-Cyrl-CS"/>
        </w:rPr>
        <w:t xml:space="preserve"> ВЛАДЕ</w:t>
      </w:r>
    </w:p>
    <w:p w14:paraId="7C266650" w14:textId="77777777" w:rsidR="008D31CC" w:rsidRPr="00F5596D" w:rsidRDefault="008D31CC" w:rsidP="008D31CC">
      <w:pPr>
        <w:spacing w:after="0"/>
        <w:rPr>
          <w:rFonts w:ascii="Calibri" w:eastAsia="Calibri" w:hAnsi="Calibri" w:cs="Calibri"/>
          <w:bCs/>
          <w:szCs w:val="72"/>
          <w:lang w:val="sr-Cyrl-CS"/>
        </w:rPr>
      </w:pPr>
    </w:p>
    <w:p w14:paraId="2088FB4C" w14:textId="0638396B" w:rsidR="001F7FAB" w:rsidRPr="00F5596D" w:rsidRDefault="00E72B3D" w:rsidP="001F7FAB">
      <w:pPr>
        <w:spacing w:after="0"/>
        <w:jc w:val="center"/>
        <w:rPr>
          <w:rFonts w:cstheme="minorHAnsi"/>
          <w:color w:val="002060"/>
          <w:sz w:val="24"/>
          <w:szCs w:val="26"/>
          <w:lang w:val="sr-Cyrl-CS"/>
        </w:rPr>
      </w:pPr>
      <w:bookmarkStart w:id="74" w:name="_Toc181190975"/>
      <w:bookmarkStart w:id="75" w:name="_Toc181271510"/>
      <w:bookmarkStart w:id="76" w:name="_Toc146277923"/>
      <w:bookmarkStart w:id="77" w:name="_Toc148431276"/>
      <w:bookmarkStart w:id="78" w:name="_Toc119654152"/>
      <w:bookmarkStart w:id="79" w:name="_Toc135994509"/>
      <w:bookmarkStart w:id="80" w:name="_Toc86923730"/>
      <w:bookmarkStart w:id="81" w:name="_Toc23342474"/>
      <w:bookmarkStart w:id="82" w:name="_Toc530635112"/>
      <w:r w:rsidRPr="00F5596D">
        <w:rPr>
          <w:rFonts w:ascii="Calibri" w:eastAsia="Calibri" w:hAnsi="Calibri" w:cs="Calibri"/>
          <w:bCs/>
          <w:szCs w:val="72"/>
          <w:lang w:val="sr-Cyrl-CS"/>
        </w:rPr>
        <w:t xml:space="preserve">                                                                                                                                                    Синиша Мали</w:t>
      </w:r>
    </w:p>
    <w:p w14:paraId="46F571FF" w14:textId="77777777" w:rsidR="008F6D54" w:rsidRPr="00F5596D" w:rsidRDefault="008F6D54">
      <w:pPr>
        <w:jc w:val="left"/>
        <w:rPr>
          <w:rFonts w:eastAsiaTheme="majorEastAsia" w:cstheme="minorHAnsi"/>
          <w:color w:val="002060"/>
          <w:sz w:val="24"/>
          <w:szCs w:val="26"/>
          <w:lang w:val="sr-Cyrl-CS"/>
        </w:rPr>
      </w:pPr>
      <w:bookmarkStart w:id="83" w:name="_Toc171062490"/>
      <w:bookmarkStart w:id="84" w:name="_Toc119654153"/>
      <w:bookmarkEnd w:id="74"/>
      <w:bookmarkEnd w:id="75"/>
      <w:bookmarkEnd w:id="76"/>
      <w:bookmarkEnd w:id="77"/>
      <w:bookmarkEnd w:id="78"/>
      <w:bookmarkEnd w:id="79"/>
      <w:bookmarkEnd w:id="80"/>
      <w:bookmarkEnd w:id="81"/>
      <w:bookmarkEnd w:id="82"/>
      <w:r w:rsidRPr="00F5596D">
        <w:rPr>
          <w:rFonts w:cstheme="minorHAnsi"/>
          <w:color w:val="002060"/>
          <w:sz w:val="24"/>
          <w:szCs w:val="26"/>
          <w:lang w:val="sr-Cyrl-CS"/>
        </w:rPr>
        <w:br w:type="page"/>
      </w:r>
    </w:p>
    <w:p w14:paraId="155B3CF1" w14:textId="15DFAFBB" w:rsidR="00C76CE4" w:rsidRPr="00F5596D" w:rsidRDefault="00C76CE4" w:rsidP="008F6D54">
      <w:pPr>
        <w:pStyle w:val="Heading1"/>
        <w:spacing w:after="160"/>
        <w:jc w:val="center"/>
        <w:rPr>
          <w:rFonts w:asciiTheme="minorHAnsi" w:hAnsiTheme="minorHAnsi" w:cstheme="minorHAnsi"/>
          <w:color w:val="002060"/>
          <w:sz w:val="24"/>
          <w:szCs w:val="26"/>
          <w:lang w:val="sr-Cyrl-CS"/>
        </w:rPr>
      </w:pPr>
      <w:bookmarkStart w:id="85" w:name="_Toc200118003"/>
      <w:r w:rsidRPr="00F5596D">
        <w:rPr>
          <w:rFonts w:asciiTheme="minorHAnsi" w:hAnsiTheme="minorHAnsi" w:cstheme="minorHAnsi"/>
          <w:color w:val="002060"/>
          <w:sz w:val="24"/>
          <w:szCs w:val="26"/>
          <w:lang w:val="sr-Cyrl-CS"/>
        </w:rPr>
        <w:lastRenderedPageBreak/>
        <w:t>Прилог 1 – Пројекција основних макроекономских индикатора</w:t>
      </w:r>
      <w:bookmarkEnd w:id="83"/>
      <w:bookmarkEnd w:id="85"/>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9"/>
        <w:gridCol w:w="1131"/>
        <w:gridCol w:w="1129"/>
        <w:gridCol w:w="1123"/>
      </w:tblGrid>
      <w:tr w:rsidR="00C76CE4" w:rsidRPr="00F5596D" w14:paraId="35C20345" w14:textId="77777777" w:rsidTr="003D6A23">
        <w:trPr>
          <w:trHeight w:val="551"/>
          <w:jc w:val="center"/>
        </w:trPr>
        <w:tc>
          <w:tcPr>
            <w:tcW w:w="2590" w:type="pct"/>
            <w:tcBorders>
              <w:top w:val="single" w:sz="4" w:space="0" w:color="002060"/>
              <w:bottom w:val="single" w:sz="4" w:space="0" w:color="002060"/>
            </w:tcBorders>
            <w:vAlign w:val="center"/>
            <w:hideMark/>
          </w:tcPr>
          <w:p w14:paraId="683DAD35" w14:textId="77777777" w:rsidR="00C76CE4" w:rsidRPr="00F5596D" w:rsidRDefault="00C76CE4" w:rsidP="003D6A23">
            <w:pPr>
              <w:rPr>
                <w:rFonts w:eastAsia="Calibri" w:cstheme="minorHAnsi"/>
                <w:iCs/>
                <w:color w:val="002060"/>
                <w:sz w:val="18"/>
                <w:szCs w:val="18"/>
                <w:lang w:val="sr-Cyrl-CS"/>
              </w:rPr>
            </w:pPr>
          </w:p>
        </w:tc>
        <w:tc>
          <w:tcPr>
            <w:tcW w:w="603" w:type="pct"/>
            <w:tcBorders>
              <w:top w:val="single" w:sz="4" w:space="0" w:color="002060"/>
              <w:bottom w:val="single" w:sz="4" w:space="0" w:color="002060"/>
            </w:tcBorders>
            <w:noWrap/>
            <w:vAlign w:val="center"/>
          </w:tcPr>
          <w:p w14:paraId="212ACB48" w14:textId="77777777" w:rsidR="00C76CE4" w:rsidRPr="00F5596D" w:rsidRDefault="00C76CE4" w:rsidP="003D6A23">
            <w:pPr>
              <w:jc w:val="center"/>
              <w:rPr>
                <w:rFonts w:eastAsia="Calibri" w:cstheme="minorHAnsi"/>
                <w:iCs/>
                <w:color w:val="002060"/>
                <w:szCs w:val="18"/>
                <w:lang w:val="sr-Cyrl-CS"/>
              </w:rPr>
            </w:pPr>
            <w:r w:rsidRPr="00F5596D">
              <w:rPr>
                <w:rFonts w:eastAsia="Calibri" w:cstheme="minorHAnsi"/>
                <w:iCs/>
                <w:color w:val="002060"/>
                <w:szCs w:val="18"/>
                <w:lang w:val="sr-Cyrl-CS"/>
              </w:rPr>
              <w:t>2025</w:t>
            </w:r>
          </w:p>
        </w:tc>
        <w:tc>
          <w:tcPr>
            <w:tcW w:w="604" w:type="pct"/>
            <w:tcBorders>
              <w:top w:val="single" w:sz="4" w:space="0" w:color="002060"/>
              <w:bottom w:val="single" w:sz="4" w:space="0" w:color="002060"/>
            </w:tcBorders>
            <w:noWrap/>
            <w:vAlign w:val="center"/>
            <w:hideMark/>
          </w:tcPr>
          <w:p w14:paraId="01C55AC2" w14:textId="77777777" w:rsidR="00C76CE4" w:rsidRPr="00F5596D" w:rsidRDefault="00C76CE4" w:rsidP="003D6A23">
            <w:pPr>
              <w:jc w:val="center"/>
              <w:rPr>
                <w:rFonts w:eastAsia="Calibri" w:cstheme="minorHAnsi"/>
                <w:iCs/>
                <w:color w:val="002060"/>
                <w:sz w:val="18"/>
                <w:szCs w:val="18"/>
                <w:lang w:val="sr-Cyrl-CS"/>
              </w:rPr>
            </w:pPr>
            <w:r w:rsidRPr="00F5596D">
              <w:rPr>
                <w:color w:val="002060"/>
                <w:lang w:val="sr-Cyrl-CS"/>
              </w:rPr>
              <w:t>2026</w:t>
            </w:r>
          </w:p>
        </w:tc>
        <w:tc>
          <w:tcPr>
            <w:tcW w:w="603" w:type="pct"/>
            <w:tcBorders>
              <w:top w:val="single" w:sz="4" w:space="0" w:color="002060"/>
              <w:bottom w:val="single" w:sz="4" w:space="0" w:color="002060"/>
            </w:tcBorders>
            <w:noWrap/>
            <w:vAlign w:val="center"/>
            <w:hideMark/>
          </w:tcPr>
          <w:p w14:paraId="0B37708A" w14:textId="77777777" w:rsidR="00C76CE4" w:rsidRPr="00F5596D" w:rsidRDefault="00C76CE4" w:rsidP="003D6A23">
            <w:pPr>
              <w:jc w:val="center"/>
              <w:rPr>
                <w:rFonts w:eastAsia="Calibri" w:cstheme="minorHAnsi"/>
                <w:iCs/>
                <w:color w:val="002060"/>
                <w:sz w:val="18"/>
                <w:szCs w:val="18"/>
                <w:lang w:val="sr-Cyrl-CS"/>
              </w:rPr>
            </w:pPr>
            <w:r w:rsidRPr="00F5596D">
              <w:rPr>
                <w:color w:val="002060"/>
                <w:lang w:val="sr-Cyrl-CS"/>
              </w:rPr>
              <w:t>2027</w:t>
            </w:r>
          </w:p>
        </w:tc>
        <w:tc>
          <w:tcPr>
            <w:tcW w:w="600" w:type="pct"/>
            <w:tcBorders>
              <w:top w:val="single" w:sz="4" w:space="0" w:color="002060"/>
              <w:bottom w:val="single" w:sz="4" w:space="0" w:color="002060"/>
            </w:tcBorders>
            <w:noWrap/>
            <w:vAlign w:val="center"/>
            <w:hideMark/>
          </w:tcPr>
          <w:p w14:paraId="68E50A1E" w14:textId="77777777" w:rsidR="00C76CE4" w:rsidRPr="00F5596D" w:rsidRDefault="00C76CE4" w:rsidP="003D6A23">
            <w:pPr>
              <w:jc w:val="center"/>
              <w:rPr>
                <w:rFonts w:eastAsia="Calibri" w:cstheme="minorHAnsi"/>
                <w:iCs/>
                <w:color w:val="002060"/>
                <w:sz w:val="18"/>
                <w:szCs w:val="18"/>
                <w:lang w:val="sr-Cyrl-CS"/>
              </w:rPr>
            </w:pPr>
            <w:r w:rsidRPr="00F5596D">
              <w:rPr>
                <w:color w:val="002060"/>
                <w:lang w:val="sr-Cyrl-CS"/>
              </w:rPr>
              <w:t>2028</w:t>
            </w:r>
          </w:p>
        </w:tc>
      </w:tr>
      <w:tr w:rsidR="00C76CE4" w:rsidRPr="00F5596D" w14:paraId="6FB5C525" w14:textId="77777777" w:rsidTr="003D6A23">
        <w:trPr>
          <w:trHeight w:val="281"/>
          <w:jc w:val="center"/>
        </w:trPr>
        <w:tc>
          <w:tcPr>
            <w:tcW w:w="2590" w:type="pct"/>
            <w:tcBorders>
              <w:top w:val="single" w:sz="4" w:space="0" w:color="002060"/>
            </w:tcBorders>
            <w:noWrap/>
            <w:vAlign w:val="center"/>
            <w:hideMark/>
          </w:tcPr>
          <w:p w14:paraId="6F044B93" w14:textId="77777777" w:rsidR="00C76CE4" w:rsidRPr="00F5596D" w:rsidRDefault="00C76CE4" w:rsidP="003D6A23">
            <w:pPr>
              <w:jc w:val="left"/>
              <w:rPr>
                <w:rFonts w:eastAsia="Calibri" w:cstheme="minorHAnsi"/>
                <w:color w:val="002060"/>
                <w:sz w:val="18"/>
                <w:szCs w:val="18"/>
                <w:lang w:val="sr-Cyrl-CS"/>
              </w:rPr>
            </w:pPr>
            <w:r w:rsidRPr="00F5596D">
              <w:rPr>
                <w:rFonts w:eastAsia="Calibri" w:cstheme="minorHAnsi"/>
                <w:color w:val="002060"/>
                <w:sz w:val="18"/>
                <w:szCs w:val="18"/>
                <w:lang w:val="sr-Cyrl-CS"/>
              </w:rPr>
              <w:t>Стопа реалног раста БДП, %</w:t>
            </w:r>
          </w:p>
        </w:tc>
        <w:tc>
          <w:tcPr>
            <w:tcW w:w="603" w:type="pct"/>
            <w:tcBorders>
              <w:top w:val="nil"/>
              <w:left w:val="nil"/>
              <w:bottom w:val="nil"/>
              <w:right w:val="nil"/>
            </w:tcBorders>
            <w:shd w:val="clear" w:color="auto" w:fill="auto"/>
            <w:noWrap/>
            <w:vAlign w:val="center"/>
          </w:tcPr>
          <w:p w14:paraId="12D43A9F"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3,0</w:t>
            </w:r>
          </w:p>
        </w:tc>
        <w:tc>
          <w:tcPr>
            <w:tcW w:w="604" w:type="pct"/>
            <w:tcBorders>
              <w:top w:val="nil"/>
              <w:left w:val="nil"/>
              <w:bottom w:val="nil"/>
              <w:right w:val="nil"/>
            </w:tcBorders>
            <w:shd w:val="clear" w:color="auto" w:fill="auto"/>
            <w:noWrap/>
            <w:vAlign w:val="center"/>
          </w:tcPr>
          <w:p w14:paraId="72D98EBF"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4,2</w:t>
            </w:r>
          </w:p>
        </w:tc>
        <w:tc>
          <w:tcPr>
            <w:tcW w:w="603" w:type="pct"/>
            <w:tcBorders>
              <w:top w:val="nil"/>
              <w:left w:val="nil"/>
              <w:bottom w:val="nil"/>
              <w:right w:val="nil"/>
            </w:tcBorders>
            <w:shd w:val="clear" w:color="auto" w:fill="auto"/>
            <w:noWrap/>
            <w:vAlign w:val="center"/>
          </w:tcPr>
          <w:p w14:paraId="1F461CF1"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5,0</w:t>
            </w:r>
          </w:p>
        </w:tc>
        <w:tc>
          <w:tcPr>
            <w:tcW w:w="600" w:type="pct"/>
            <w:tcBorders>
              <w:top w:val="nil"/>
              <w:left w:val="nil"/>
              <w:bottom w:val="nil"/>
              <w:right w:val="nil"/>
            </w:tcBorders>
            <w:shd w:val="clear" w:color="auto" w:fill="auto"/>
            <w:noWrap/>
            <w:vAlign w:val="center"/>
          </w:tcPr>
          <w:p w14:paraId="5FD0FE39"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3,5</w:t>
            </w:r>
          </w:p>
        </w:tc>
      </w:tr>
      <w:tr w:rsidR="00C76CE4" w:rsidRPr="00F5596D" w14:paraId="0E45BE1F" w14:textId="77777777" w:rsidTr="003D6A23">
        <w:trPr>
          <w:trHeight w:val="281"/>
          <w:jc w:val="center"/>
        </w:trPr>
        <w:tc>
          <w:tcPr>
            <w:tcW w:w="2590" w:type="pct"/>
            <w:noWrap/>
            <w:vAlign w:val="center"/>
            <w:hideMark/>
          </w:tcPr>
          <w:p w14:paraId="2B59009F" w14:textId="77777777" w:rsidR="00C76CE4" w:rsidRPr="00F5596D" w:rsidRDefault="00C76CE4" w:rsidP="003D6A23">
            <w:pPr>
              <w:jc w:val="left"/>
              <w:rPr>
                <w:rFonts w:eastAsia="Calibri" w:cstheme="minorHAnsi"/>
                <w:bCs/>
                <w:color w:val="002060"/>
                <w:sz w:val="18"/>
                <w:szCs w:val="18"/>
                <w:lang w:val="sr-Cyrl-CS"/>
              </w:rPr>
            </w:pPr>
            <w:r w:rsidRPr="00F5596D">
              <w:rPr>
                <w:rFonts w:eastAsia="Calibri" w:cstheme="minorHAnsi"/>
                <w:color w:val="002060"/>
                <w:sz w:val="18"/>
                <w:szCs w:val="18"/>
                <w:lang w:val="sr-Cyrl-CS"/>
              </w:rPr>
              <w:t>БДП у текућим тржишним ценама (у млрд динара)</w:t>
            </w:r>
          </w:p>
        </w:tc>
        <w:tc>
          <w:tcPr>
            <w:tcW w:w="603" w:type="pct"/>
            <w:tcBorders>
              <w:top w:val="nil"/>
              <w:left w:val="nil"/>
              <w:bottom w:val="nil"/>
              <w:right w:val="nil"/>
            </w:tcBorders>
            <w:shd w:val="clear" w:color="auto" w:fill="auto"/>
            <w:noWrap/>
            <w:vAlign w:val="center"/>
          </w:tcPr>
          <w:p w14:paraId="1079A80F"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10.329,2</w:t>
            </w:r>
          </w:p>
        </w:tc>
        <w:tc>
          <w:tcPr>
            <w:tcW w:w="604" w:type="pct"/>
            <w:tcBorders>
              <w:top w:val="nil"/>
              <w:left w:val="nil"/>
              <w:bottom w:val="nil"/>
              <w:right w:val="nil"/>
            </w:tcBorders>
            <w:shd w:val="clear" w:color="auto" w:fill="auto"/>
            <w:noWrap/>
            <w:vAlign w:val="center"/>
          </w:tcPr>
          <w:p w14:paraId="26310830"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11.096,4</w:t>
            </w:r>
          </w:p>
        </w:tc>
        <w:tc>
          <w:tcPr>
            <w:tcW w:w="603" w:type="pct"/>
            <w:tcBorders>
              <w:top w:val="nil"/>
              <w:left w:val="nil"/>
              <w:bottom w:val="nil"/>
              <w:right w:val="nil"/>
            </w:tcBorders>
            <w:shd w:val="clear" w:color="auto" w:fill="auto"/>
            <w:noWrap/>
            <w:vAlign w:val="center"/>
          </w:tcPr>
          <w:p w14:paraId="4213F0E1"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11.995,1</w:t>
            </w:r>
          </w:p>
        </w:tc>
        <w:tc>
          <w:tcPr>
            <w:tcW w:w="600" w:type="pct"/>
            <w:tcBorders>
              <w:top w:val="nil"/>
              <w:left w:val="nil"/>
              <w:bottom w:val="nil"/>
              <w:right w:val="nil"/>
            </w:tcBorders>
            <w:shd w:val="clear" w:color="auto" w:fill="auto"/>
            <w:noWrap/>
            <w:vAlign w:val="center"/>
          </w:tcPr>
          <w:p w14:paraId="120CC09B" w14:textId="77777777" w:rsidR="00C76CE4" w:rsidRPr="00F5596D" w:rsidRDefault="00C76CE4" w:rsidP="003D6A23">
            <w:pPr>
              <w:jc w:val="center"/>
              <w:rPr>
                <w:rFonts w:cstheme="minorHAnsi"/>
                <w:color w:val="002060"/>
                <w:sz w:val="18"/>
                <w:szCs w:val="18"/>
                <w:lang w:val="sr-Cyrl-CS"/>
              </w:rPr>
            </w:pPr>
            <w:r w:rsidRPr="00F5596D">
              <w:rPr>
                <w:rFonts w:cstheme="minorHAnsi"/>
                <w:color w:val="002060"/>
                <w:sz w:val="18"/>
                <w:szCs w:val="18"/>
                <w:lang w:val="sr-Cyrl-CS"/>
              </w:rPr>
              <w:t>12.761,6</w:t>
            </w:r>
          </w:p>
        </w:tc>
      </w:tr>
      <w:tr w:rsidR="00C76CE4" w:rsidRPr="00F5596D" w14:paraId="4F79C654" w14:textId="77777777" w:rsidTr="003D6A23">
        <w:trPr>
          <w:trHeight w:val="281"/>
          <w:jc w:val="center"/>
        </w:trPr>
        <w:tc>
          <w:tcPr>
            <w:tcW w:w="2590" w:type="pct"/>
            <w:shd w:val="clear" w:color="auto" w:fill="E7E6E6" w:themeFill="background2"/>
            <w:noWrap/>
            <w:vAlign w:val="center"/>
            <w:hideMark/>
          </w:tcPr>
          <w:p w14:paraId="249B6D80" w14:textId="77777777" w:rsidR="00C76CE4" w:rsidRPr="00F5596D" w:rsidRDefault="00C76CE4" w:rsidP="003D6A23">
            <w:pPr>
              <w:jc w:val="left"/>
              <w:rPr>
                <w:rFonts w:eastAsia="Calibri" w:cstheme="minorHAnsi"/>
                <w:bCs/>
                <w:color w:val="002060"/>
                <w:sz w:val="18"/>
                <w:szCs w:val="18"/>
                <w:lang w:val="sr-Cyrl-CS"/>
              </w:rPr>
            </w:pPr>
            <w:r w:rsidRPr="00F5596D">
              <w:rPr>
                <w:rFonts w:eastAsia="Calibri" w:cstheme="minorHAnsi"/>
                <w:iCs/>
                <w:color w:val="002060"/>
                <w:sz w:val="18"/>
                <w:szCs w:val="18"/>
                <w:lang w:val="sr-Cyrl-CS"/>
              </w:rPr>
              <w:t xml:space="preserve">Извори раста: процентне промене у </w:t>
            </w:r>
            <w:r w:rsidRPr="00F5596D">
              <w:rPr>
                <w:rFonts w:eastAsia="Calibri" w:cstheme="minorHAnsi"/>
                <w:bCs/>
                <w:iCs/>
                <w:color w:val="002060"/>
                <w:sz w:val="18"/>
                <w:szCs w:val="18"/>
                <w:lang w:val="sr-Cyrl-CS"/>
              </w:rPr>
              <w:t>сталним</w:t>
            </w:r>
            <w:r w:rsidRPr="00F5596D">
              <w:rPr>
                <w:rFonts w:eastAsia="Calibri" w:cstheme="minorHAnsi"/>
                <w:iCs/>
                <w:color w:val="002060"/>
                <w:sz w:val="18"/>
                <w:szCs w:val="18"/>
                <w:lang w:val="sr-Cyrl-CS"/>
              </w:rPr>
              <w:t xml:space="preserve"> ценама</w:t>
            </w:r>
          </w:p>
        </w:tc>
        <w:tc>
          <w:tcPr>
            <w:tcW w:w="603" w:type="pct"/>
            <w:tcBorders>
              <w:top w:val="nil"/>
              <w:left w:val="nil"/>
              <w:bottom w:val="nil"/>
              <w:right w:val="nil"/>
            </w:tcBorders>
            <w:shd w:val="clear" w:color="000000" w:fill="E7E6E6"/>
            <w:vAlign w:val="center"/>
          </w:tcPr>
          <w:p w14:paraId="79C490DA" w14:textId="77777777" w:rsidR="00C76CE4" w:rsidRPr="00F5596D" w:rsidRDefault="00C76CE4" w:rsidP="003D6A23">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04F5F4BC" w14:textId="77777777" w:rsidR="00C76CE4" w:rsidRPr="00F5596D" w:rsidRDefault="00C76CE4" w:rsidP="003D6A23">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6ABA7562" w14:textId="77777777" w:rsidR="00C76CE4" w:rsidRPr="00F5596D" w:rsidRDefault="00C76CE4" w:rsidP="003D6A23">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0E362D6F" w14:textId="77777777" w:rsidR="00C76CE4" w:rsidRPr="00F5596D" w:rsidRDefault="00C76CE4" w:rsidP="003D6A23">
            <w:pPr>
              <w:jc w:val="center"/>
              <w:rPr>
                <w:rFonts w:eastAsia="Calibri" w:cstheme="minorHAnsi"/>
                <w:bCs/>
                <w:color w:val="002060"/>
                <w:sz w:val="18"/>
                <w:szCs w:val="18"/>
                <w:lang w:val="sr-Cyrl-CS"/>
              </w:rPr>
            </w:pPr>
          </w:p>
        </w:tc>
      </w:tr>
      <w:tr w:rsidR="00C76CE4" w:rsidRPr="00F5596D" w14:paraId="70B05AC3" w14:textId="77777777" w:rsidTr="003D6A23">
        <w:trPr>
          <w:trHeight w:val="281"/>
          <w:jc w:val="center"/>
        </w:trPr>
        <w:tc>
          <w:tcPr>
            <w:tcW w:w="2590" w:type="pct"/>
            <w:noWrap/>
            <w:vAlign w:val="center"/>
            <w:hideMark/>
          </w:tcPr>
          <w:p w14:paraId="0DBA578A"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40BD0680" w14:textId="77777777" w:rsidR="00C76CE4" w:rsidRPr="00F5596D" w:rsidRDefault="00C76CE4" w:rsidP="003D6A23">
            <w:pPr>
              <w:jc w:val="center"/>
              <w:rPr>
                <w:color w:val="002060"/>
                <w:sz w:val="18"/>
                <w:lang w:val="sr-Cyrl-CS"/>
              </w:rPr>
            </w:pPr>
            <w:r w:rsidRPr="00F5596D">
              <w:rPr>
                <w:color w:val="002060"/>
                <w:sz w:val="18"/>
                <w:lang w:val="sr-Cyrl-CS"/>
              </w:rPr>
              <w:t>3,1</w:t>
            </w:r>
          </w:p>
        </w:tc>
        <w:tc>
          <w:tcPr>
            <w:tcW w:w="604" w:type="pct"/>
            <w:tcBorders>
              <w:top w:val="nil"/>
              <w:left w:val="nil"/>
              <w:bottom w:val="nil"/>
              <w:right w:val="nil"/>
            </w:tcBorders>
            <w:shd w:val="clear" w:color="auto" w:fill="auto"/>
            <w:noWrap/>
            <w:vAlign w:val="center"/>
          </w:tcPr>
          <w:p w14:paraId="2EAF2D46" w14:textId="77777777" w:rsidR="00C76CE4" w:rsidRPr="00F5596D" w:rsidRDefault="00C76CE4" w:rsidP="003D6A23">
            <w:pPr>
              <w:jc w:val="center"/>
              <w:rPr>
                <w:color w:val="002060"/>
                <w:sz w:val="18"/>
                <w:lang w:val="sr-Cyrl-CS"/>
              </w:rPr>
            </w:pPr>
            <w:r w:rsidRPr="00F5596D">
              <w:rPr>
                <w:color w:val="002060"/>
                <w:sz w:val="18"/>
                <w:lang w:val="sr-Cyrl-CS"/>
              </w:rPr>
              <w:t>3,9</w:t>
            </w:r>
          </w:p>
        </w:tc>
        <w:tc>
          <w:tcPr>
            <w:tcW w:w="603" w:type="pct"/>
            <w:tcBorders>
              <w:top w:val="nil"/>
              <w:left w:val="nil"/>
              <w:bottom w:val="nil"/>
              <w:right w:val="nil"/>
            </w:tcBorders>
            <w:shd w:val="clear" w:color="auto" w:fill="auto"/>
            <w:noWrap/>
            <w:vAlign w:val="center"/>
          </w:tcPr>
          <w:p w14:paraId="1168A8EE" w14:textId="77777777" w:rsidR="00C76CE4" w:rsidRPr="00F5596D" w:rsidRDefault="00C76CE4" w:rsidP="003D6A23">
            <w:pPr>
              <w:jc w:val="center"/>
              <w:rPr>
                <w:color w:val="002060"/>
                <w:sz w:val="18"/>
                <w:lang w:val="sr-Cyrl-CS"/>
              </w:rPr>
            </w:pPr>
            <w:r w:rsidRPr="00F5596D">
              <w:rPr>
                <w:color w:val="002060"/>
                <w:sz w:val="18"/>
                <w:lang w:val="sr-Cyrl-CS"/>
              </w:rPr>
              <w:t>3,4</w:t>
            </w:r>
          </w:p>
        </w:tc>
        <w:tc>
          <w:tcPr>
            <w:tcW w:w="600" w:type="pct"/>
            <w:tcBorders>
              <w:top w:val="nil"/>
              <w:left w:val="nil"/>
              <w:bottom w:val="nil"/>
              <w:right w:val="nil"/>
            </w:tcBorders>
            <w:shd w:val="clear" w:color="auto" w:fill="auto"/>
            <w:noWrap/>
            <w:vAlign w:val="center"/>
          </w:tcPr>
          <w:p w14:paraId="77256569" w14:textId="77777777" w:rsidR="00C76CE4" w:rsidRPr="00F5596D" w:rsidRDefault="00C76CE4" w:rsidP="003D6A23">
            <w:pPr>
              <w:jc w:val="center"/>
              <w:rPr>
                <w:color w:val="002060"/>
                <w:sz w:val="18"/>
                <w:lang w:val="sr-Cyrl-CS"/>
              </w:rPr>
            </w:pPr>
            <w:r w:rsidRPr="00F5596D">
              <w:rPr>
                <w:color w:val="002060"/>
                <w:sz w:val="18"/>
                <w:lang w:val="sr-Cyrl-CS"/>
              </w:rPr>
              <w:t>3,4</w:t>
            </w:r>
          </w:p>
        </w:tc>
      </w:tr>
      <w:tr w:rsidR="00C76CE4" w:rsidRPr="00F5596D" w14:paraId="540FF9E8" w14:textId="77777777" w:rsidTr="003D6A23">
        <w:trPr>
          <w:trHeight w:val="281"/>
          <w:jc w:val="center"/>
        </w:trPr>
        <w:tc>
          <w:tcPr>
            <w:tcW w:w="2590" w:type="pct"/>
            <w:noWrap/>
            <w:vAlign w:val="center"/>
            <w:hideMark/>
          </w:tcPr>
          <w:p w14:paraId="3896E127"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0F4867D1" w14:textId="77777777" w:rsidR="00C76CE4" w:rsidRPr="00F5596D" w:rsidRDefault="00C76CE4" w:rsidP="003D6A23">
            <w:pPr>
              <w:jc w:val="center"/>
              <w:rPr>
                <w:color w:val="002060"/>
                <w:sz w:val="18"/>
                <w:lang w:val="sr-Cyrl-CS"/>
              </w:rPr>
            </w:pPr>
            <w:r w:rsidRPr="00F5596D">
              <w:rPr>
                <w:color w:val="002060"/>
                <w:sz w:val="18"/>
                <w:lang w:val="sr-Cyrl-CS"/>
              </w:rPr>
              <w:t>3,7</w:t>
            </w:r>
          </w:p>
        </w:tc>
        <w:tc>
          <w:tcPr>
            <w:tcW w:w="604" w:type="pct"/>
            <w:tcBorders>
              <w:top w:val="nil"/>
              <w:left w:val="nil"/>
              <w:bottom w:val="nil"/>
              <w:right w:val="nil"/>
            </w:tcBorders>
            <w:shd w:val="clear" w:color="auto" w:fill="auto"/>
            <w:noWrap/>
            <w:vAlign w:val="center"/>
          </w:tcPr>
          <w:p w14:paraId="67C37DD0" w14:textId="77777777" w:rsidR="00C76CE4" w:rsidRPr="00F5596D" w:rsidRDefault="00C76CE4" w:rsidP="003D6A23">
            <w:pPr>
              <w:jc w:val="center"/>
              <w:rPr>
                <w:color w:val="002060"/>
                <w:sz w:val="18"/>
                <w:lang w:val="sr-Cyrl-CS"/>
              </w:rPr>
            </w:pPr>
            <w:r w:rsidRPr="00F5596D">
              <w:rPr>
                <w:color w:val="002060"/>
                <w:sz w:val="18"/>
                <w:lang w:val="sr-Cyrl-CS"/>
              </w:rPr>
              <w:t>3,3</w:t>
            </w:r>
          </w:p>
        </w:tc>
        <w:tc>
          <w:tcPr>
            <w:tcW w:w="603" w:type="pct"/>
            <w:tcBorders>
              <w:top w:val="nil"/>
              <w:left w:val="nil"/>
              <w:bottom w:val="nil"/>
              <w:right w:val="nil"/>
            </w:tcBorders>
            <w:shd w:val="clear" w:color="auto" w:fill="auto"/>
            <w:noWrap/>
            <w:vAlign w:val="center"/>
          </w:tcPr>
          <w:p w14:paraId="51BE79F1" w14:textId="77777777" w:rsidR="00C76CE4" w:rsidRPr="00F5596D" w:rsidRDefault="00C76CE4" w:rsidP="003D6A23">
            <w:pPr>
              <w:jc w:val="center"/>
              <w:rPr>
                <w:color w:val="002060"/>
                <w:sz w:val="18"/>
                <w:lang w:val="sr-Cyrl-CS"/>
              </w:rPr>
            </w:pPr>
            <w:r w:rsidRPr="00F5596D">
              <w:rPr>
                <w:color w:val="002060"/>
                <w:sz w:val="18"/>
                <w:lang w:val="sr-Cyrl-CS"/>
              </w:rPr>
              <w:t>2,1</w:t>
            </w:r>
          </w:p>
        </w:tc>
        <w:tc>
          <w:tcPr>
            <w:tcW w:w="600" w:type="pct"/>
            <w:tcBorders>
              <w:top w:val="nil"/>
              <w:left w:val="nil"/>
              <w:bottom w:val="nil"/>
              <w:right w:val="nil"/>
            </w:tcBorders>
            <w:shd w:val="clear" w:color="auto" w:fill="auto"/>
            <w:noWrap/>
            <w:vAlign w:val="center"/>
          </w:tcPr>
          <w:p w14:paraId="1358E32D" w14:textId="77777777" w:rsidR="00C76CE4" w:rsidRPr="00F5596D" w:rsidRDefault="00C76CE4" w:rsidP="003D6A23">
            <w:pPr>
              <w:jc w:val="center"/>
              <w:rPr>
                <w:color w:val="002060"/>
                <w:sz w:val="18"/>
                <w:lang w:val="sr-Cyrl-CS"/>
              </w:rPr>
            </w:pPr>
            <w:r w:rsidRPr="00F5596D">
              <w:rPr>
                <w:color w:val="002060"/>
                <w:sz w:val="18"/>
                <w:lang w:val="sr-Cyrl-CS"/>
              </w:rPr>
              <w:t>2,4</w:t>
            </w:r>
          </w:p>
        </w:tc>
      </w:tr>
      <w:tr w:rsidR="00C76CE4" w:rsidRPr="00F5596D" w14:paraId="06A65812" w14:textId="77777777" w:rsidTr="003D6A23">
        <w:trPr>
          <w:trHeight w:val="281"/>
          <w:jc w:val="center"/>
        </w:trPr>
        <w:tc>
          <w:tcPr>
            <w:tcW w:w="2590" w:type="pct"/>
            <w:noWrap/>
            <w:vAlign w:val="center"/>
            <w:hideMark/>
          </w:tcPr>
          <w:p w14:paraId="03F31AD8"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2059709E" w14:textId="77777777" w:rsidR="00C76CE4" w:rsidRPr="00F5596D" w:rsidRDefault="00C76CE4" w:rsidP="003D6A23">
            <w:pPr>
              <w:jc w:val="center"/>
              <w:rPr>
                <w:color w:val="002060"/>
                <w:sz w:val="18"/>
                <w:lang w:val="sr-Cyrl-CS"/>
              </w:rPr>
            </w:pPr>
            <w:r w:rsidRPr="00F5596D">
              <w:rPr>
                <w:color w:val="002060"/>
                <w:sz w:val="18"/>
                <w:lang w:val="sr-Cyrl-CS"/>
              </w:rPr>
              <w:t>4,2</w:t>
            </w:r>
          </w:p>
        </w:tc>
        <w:tc>
          <w:tcPr>
            <w:tcW w:w="604" w:type="pct"/>
            <w:tcBorders>
              <w:top w:val="nil"/>
              <w:left w:val="nil"/>
              <w:bottom w:val="nil"/>
              <w:right w:val="nil"/>
            </w:tcBorders>
            <w:shd w:val="clear" w:color="auto" w:fill="auto"/>
            <w:noWrap/>
            <w:vAlign w:val="center"/>
          </w:tcPr>
          <w:p w14:paraId="22420DF4" w14:textId="77777777" w:rsidR="00C76CE4" w:rsidRPr="00F5596D" w:rsidRDefault="00C76CE4" w:rsidP="003D6A23">
            <w:pPr>
              <w:jc w:val="center"/>
              <w:rPr>
                <w:color w:val="002060"/>
                <w:sz w:val="18"/>
                <w:lang w:val="sr-Cyrl-CS"/>
              </w:rPr>
            </w:pPr>
            <w:r w:rsidRPr="00F5596D">
              <w:rPr>
                <w:color w:val="002060"/>
                <w:sz w:val="18"/>
                <w:lang w:val="sr-Cyrl-CS"/>
              </w:rPr>
              <w:t>8,8</w:t>
            </w:r>
          </w:p>
        </w:tc>
        <w:tc>
          <w:tcPr>
            <w:tcW w:w="603" w:type="pct"/>
            <w:tcBorders>
              <w:top w:val="nil"/>
              <w:left w:val="nil"/>
              <w:bottom w:val="nil"/>
              <w:right w:val="nil"/>
            </w:tcBorders>
            <w:shd w:val="clear" w:color="auto" w:fill="auto"/>
            <w:noWrap/>
            <w:vAlign w:val="center"/>
          </w:tcPr>
          <w:p w14:paraId="5B1E1817" w14:textId="77777777" w:rsidR="00C76CE4" w:rsidRPr="00F5596D" w:rsidRDefault="00C76CE4" w:rsidP="003D6A23">
            <w:pPr>
              <w:jc w:val="center"/>
              <w:rPr>
                <w:color w:val="002060"/>
                <w:sz w:val="18"/>
                <w:lang w:val="sr-Cyrl-CS"/>
              </w:rPr>
            </w:pPr>
            <w:r w:rsidRPr="00F5596D">
              <w:rPr>
                <w:color w:val="002060"/>
                <w:sz w:val="18"/>
                <w:lang w:val="sr-Cyrl-CS"/>
              </w:rPr>
              <w:t>6,4</w:t>
            </w:r>
          </w:p>
        </w:tc>
        <w:tc>
          <w:tcPr>
            <w:tcW w:w="600" w:type="pct"/>
            <w:tcBorders>
              <w:top w:val="nil"/>
              <w:left w:val="nil"/>
              <w:bottom w:val="nil"/>
              <w:right w:val="nil"/>
            </w:tcBorders>
            <w:shd w:val="clear" w:color="auto" w:fill="auto"/>
            <w:noWrap/>
            <w:vAlign w:val="center"/>
          </w:tcPr>
          <w:p w14:paraId="2C8F0B04" w14:textId="77777777" w:rsidR="00C76CE4" w:rsidRPr="00F5596D" w:rsidRDefault="00C76CE4" w:rsidP="003D6A23">
            <w:pPr>
              <w:jc w:val="center"/>
              <w:rPr>
                <w:color w:val="002060"/>
                <w:sz w:val="18"/>
                <w:lang w:val="sr-Cyrl-CS"/>
              </w:rPr>
            </w:pPr>
            <w:r w:rsidRPr="00F5596D">
              <w:rPr>
                <w:color w:val="002060"/>
                <w:sz w:val="18"/>
                <w:lang w:val="sr-Cyrl-CS"/>
              </w:rPr>
              <w:t>4,5</w:t>
            </w:r>
          </w:p>
        </w:tc>
      </w:tr>
      <w:tr w:rsidR="00C76CE4" w:rsidRPr="00F5596D" w14:paraId="6D896B82" w14:textId="77777777" w:rsidTr="003D6A23">
        <w:trPr>
          <w:trHeight w:val="281"/>
          <w:jc w:val="center"/>
        </w:trPr>
        <w:tc>
          <w:tcPr>
            <w:tcW w:w="2590" w:type="pct"/>
            <w:noWrap/>
            <w:vAlign w:val="center"/>
            <w:hideMark/>
          </w:tcPr>
          <w:p w14:paraId="368D662F"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Извоз робе и услуга</w:t>
            </w:r>
          </w:p>
        </w:tc>
        <w:tc>
          <w:tcPr>
            <w:tcW w:w="603" w:type="pct"/>
            <w:tcBorders>
              <w:top w:val="nil"/>
              <w:left w:val="nil"/>
              <w:bottom w:val="nil"/>
              <w:right w:val="nil"/>
            </w:tcBorders>
            <w:shd w:val="clear" w:color="auto" w:fill="auto"/>
            <w:noWrap/>
            <w:vAlign w:val="center"/>
          </w:tcPr>
          <w:p w14:paraId="6995E307" w14:textId="77777777" w:rsidR="00C76CE4" w:rsidRPr="00F5596D" w:rsidRDefault="00C76CE4" w:rsidP="003D6A23">
            <w:pPr>
              <w:jc w:val="center"/>
              <w:rPr>
                <w:color w:val="002060"/>
                <w:sz w:val="18"/>
                <w:lang w:val="sr-Cyrl-CS"/>
              </w:rPr>
            </w:pPr>
            <w:r w:rsidRPr="00F5596D">
              <w:rPr>
                <w:color w:val="002060"/>
                <w:sz w:val="18"/>
                <w:lang w:val="sr-Cyrl-CS"/>
              </w:rPr>
              <w:t>4,5</w:t>
            </w:r>
          </w:p>
        </w:tc>
        <w:tc>
          <w:tcPr>
            <w:tcW w:w="604" w:type="pct"/>
            <w:tcBorders>
              <w:top w:val="nil"/>
              <w:left w:val="nil"/>
              <w:bottom w:val="nil"/>
              <w:right w:val="nil"/>
            </w:tcBorders>
            <w:shd w:val="clear" w:color="auto" w:fill="auto"/>
            <w:noWrap/>
            <w:vAlign w:val="center"/>
          </w:tcPr>
          <w:p w14:paraId="36336819" w14:textId="77777777" w:rsidR="00C76CE4" w:rsidRPr="00F5596D" w:rsidRDefault="00C76CE4" w:rsidP="003D6A23">
            <w:pPr>
              <w:jc w:val="center"/>
              <w:rPr>
                <w:color w:val="002060"/>
                <w:sz w:val="18"/>
                <w:lang w:val="sr-Cyrl-CS"/>
              </w:rPr>
            </w:pPr>
            <w:r w:rsidRPr="00F5596D">
              <w:rPr>
                <w:color w:val="002060"/>
                <w:sz w:val="18"/>
                <w:lang w:val="sr-Cyrl-CS"/>
              </w:rPr>
              <w:t>6,0</w:t>
            </w:r>
          </w:p>
        </w:tc>
        <w:tc>
          <w:tcPr>
            <w:tcW w:w="603" w:type="pct"/>
            <w:tcBorders>
              <w:top w:val="nil"/>
              <w:left w:val="nil"/>
              <w:bottom w:val="nil"/>
              <w:right w:val="nil"/>
            </w:tcBorders>
            <w:shd w:val="clear" w:color="auto" w:fill="auto"/>
            <w:noWrap/>
            <w:vAlign w:val="center"/>
          </w:tcPr>
          <w:p w14:paraId="6D2D57C7" w14:textId="77777777" w:rsidR="00C76CE4" w:rsidRPr="00F5596D" w:rsidRDefault="00C76CE4" w:rsidP="003D6A23">
            <w:pPr>
              <w:jc w:val="center"/>
              <w:rPr>
                <w:color w:val="002060"/>
                <w:sz w:val="18"/>
                <w:lang w:val="sr-Cyrl-CS"/>
              </w:rPr>
            </w:pPr>
            <w:r w:rsidRPr="00F5596D">
              <w:rPr>
                <w:color w:val="002060"/>
                <w:sz w:val="18"/>
                <w:lang w:val="sr-Cyrl-CS"/>
              </w:rPr>
              <w:t>8,3</w:t>
            </w:r>
          </w:p>
        </w:tc>
        <w:tc>
          <w:tcPr>
            <w:tcW w:w="600" w:type="pct"/>
            <w:tcBorders>
              <w:top w:val="nil"/>
              <w:left w:val="nil"/>
              <w:bottom w:val="nil"/>
              <w:right w:val="nil"/>
            </w:tcBorders>
            <w:shd w:val="clear" w:color="auto" w:fill="auto"/>
            <w:noWrap/>
            <w:vAlign w:val="center"/>
          </w:tcPr>
          <w:p w14:paraId="7F8D5F2E" w14:textId="77777777" w:rsidR="00C76CE4" w:rsidRPr="00F5596D" w:rsidRDefault="00C76CE4" w:rsidP="003D6A23">
            <w:pPr>
              <w:jc w:val="center"/>
              <w:rPr>
                <w:color w:val="002060"/>
                <w:sz w:val="18"/>
                <w:lang w:val="sr-Cyrl-CS"/>
              </w:rPr>
            </w:pPr>
            <w:r w:rsidRPr="00F5596D">
              <w:rPr>
                <w:color w:val="002060"/>
                <w:sz w:val="18"/>
                <w:lang w:val="sr-Cyrl-CS"/>
              </w:rPr>
              <w:t>5,6</w:t>
            </w:r>
          </w:p>
        </w:tc>
      </w:tr>
      <w:tr w:rsidR="00C76CE4" w:rsidRPr="00F5596D" w14:paraId="5A2C4FA8" w14:textId="77777777" w:rsidTr="003D6A23">
        <w:trPr>
          <w:trHeight w:val="281"/>
          <w:jc w:val="center"/>
        </w:trPr>
        <w:tc>
          <w:tcPr>
            <w:tcW w:w="2590" w:type="pct"/>
            <w:noWrap/>
            <w:vAlign w:val="center"/>
          </w:tcPr>
          <w:p w14:paraId="4BEE478C"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bCs/>
                <w:color w:val="002060"/>
                <w:sz w:val="18"/>
                <w:szCs w:val="18"/>
                <w:lang w:val="sr-Cyrl-CS"/>
              </w:rPr>
              <w:t>Увоз робе и услуга</w:t>
            </w:r>
          </w:p>
        </w:tc>
        <w:tc>
          <w:tcPr>
            <w:tcW w:w="603" w:type="pct"/>
            <w:tcBorders>
              <w:top w:val="nil"/>
              <w:left w:val="nil"/>
              <w:bottom w:val="nil"/>
              <w:right w:val="nil"/>
            </w:tcBorders>
            <w:shd w:val="clear" w:color="auto" w:fill="auto"/>
            <w:noWrap/>
            <w:vAlign w:val="center"/>
          </w:tcPr>
          <w:p w14:paraId="0F3BA04D" w14:textId="77777777" w:rsidR="00C76CE4" w:rsidRPr="00F5596D" w:rsidRDefault="00C76CE4" w:rsidP="003D6A23">
            <w:pPr>
              <w:jc w:val="center"/>
              <w:rPr>
                <w:color w:val="002060"/>
                <w:sz w:val="18"/>
                <w:lang w:val="sr-Cyrl-CS"/>
              </w:rPr>
            </w:pPr>
            <w:r w:rsidRPr="00F5596D">
              <w:rPr>
                <w:color w:val="002060"/>
                <w:sz w:val="18"/>
                <w:lang w:val="sr-Cyrl-CS"/>
              </w:rPr>
              <w:t>5,4</w:t>
            </w:r>
          </w:p>
        </w:tc>
        <w:tc>
          <w:tcPr>
            <w:tcW w:w="604" w:type="pct"/>
            <w:tcBorders>
              <w:top w:val="nil"/>
              <w:left w:val="nil"/>
              <w:bottom w:val="nil"/>
              <w:right w:val="nil"/>
            </w:tcBorders>
            <w:shd w:val="clear" w:color="auto" w:fill="auto"/>
            <w:noWrap/>
            <w:vAlign w:val="center"/>
          </w:tcPr>
          <w:p w14:paraId="7D8166A9" w14:textId="77777777" w:rsidR="00C76CE4" w:rsidRPr="00F5596D" w:rsidRDefault="00C76CE4" w:rsidP="003D6A23">
            <w:pPr>
              <w:jc w:val="center"/>
              <w:rPr>
                <w:color w:val="002060"/>
                <w:sz w:val="18"/>
                <w:lang w:val="sr-Cyrl-CS"/>
              </w:rPr>
            </w:pPr>
            <w:r w:rsidRPr="00F5596D">
              <w:rPr>
                <w:color w:val="002060"/>
                <w:sz w:val="18"/>
                <w:lang w:val="sr-Cyrl-CS"/>
              </w:rPr>
              <w:t>7,0</w:t>
            </w:r>
          </w:p>
        </w:tc>
        <w:tc>
          <w:tcPr>
            <w:tcW w:w="603" w:type="pct"/>
            <w:tcBorders>
              <w:top w:val="nil"/>
              <w:left w:val="nil"/>
              <w:bottom w:val="nil"/>
              <w:right w:val="nil"/>
            </w:tcBorders>
            <w:shd w:val="clear" w:color="auto" w:fill="auto"/>
            <w:noWrap/>
            <w:vAlign w:val="center"/>
          </w:tcPr>
          <w:p w14:paraId="684C668A" w14:textId="77777777" w:rsidR="00C76CE4" w:rsidRPr="00F5596D" w:rsidRDefault="00C76CE4" w:rsidP="003D6A23">
            <w:pPr>
              <w:jc w:val="center"/>
              <w:rPr>
                <w:color w:val="002060"/>
                <w:sz w:val="18"/>
                <w:lang w:val="sr-Cyrl-CS"/>
              </w:rPr>
            </w:pPr>
            <w:r w:rsidRPr="00F5596D">
              <w:rPr>
                <w:color w:val="002060"/>
                <w:sz w:val="18"/>
                <w:lang w:val="sr-Cyrl-CS"/>
              </w:rPr>
              <w:t>6,3</w:t>
            </w:r>
          </w:p>
        </w:tc>
        <w:tc>
          <w:tcPr>
            <w:tcW w:w="600" w:type="pct"/>
            <w:tcBorders>
              <w:top w:val="nil"/>
              <w:left w:val="nil"/>
              <w:bottom w:val="nil"/>
              <w:right w:val="nil"/>
            </w:tcBorders>
            <w:shd w:val="clear" w:color="auto" w:fill="auto"/>
            <w:noWrap/>
            <w:vAlign w:val="center"/>
          </w:tcPr>
          <w:p w14:paraId="5606B3CB" w14:textId="77777777" w:rsidR="00C76CE4" w:rsidRPr="00F5596D" w:rsidRDefault="00C76CE4" w:rsidP="003D6A23">
            <w:pPr>
              <w:jc w:val="center"/>
              <w:rPr>
                <w:color w:val="002060"/>
                <w:sz w:val="18"/>
                <w:lang w:val="sr-Cyrl-CS"/>
              </w:rPr>
            </w:pPr>
            <w:r w:rsidRPr="00F5596D">
              <w:rPr>
                <w:color w:val="002060"/>
                <w:sz w:val="18"/>
                <w:lang w:val="sr-Cyrl-CS"/>
              </w:rPr>
              <w:t>5,4</w:t>
            </w:r>
          </w:p>
        </w:tc>
      </w:tr>
      <w:tr w:rsidR="00C76CE4" w:rsidRPr="00F5596D" w14:paraId="0739C9A3" w14:textId="77777777" w:rsidTr="003D6A23">
        <w:trPr>
          <w:trHeight w:val="281"/>
          <w:jc w:val="center"/>
        </w:trPr>
        <w:tc>
          <w:tcPr>
            <w:tcW w:w="2590" w:type="pct"/>
            <w:shd w:val="clear" w:color="auto" w:fill="E7E6E6" w:themeFill="background2"/>
            <w:noWrap/>
            <w:vAlign w:val="center"/>
            <w:hideMark/>
          </w:tcPr>
          <w:p w14:paraId="70F8C2DC" w14:textId="77777777" w:rsidR="00C76CE4" w:rsidRPr="00F5596D" w:rsidRDefault="00C76CE4" w:rsidP="003D6A23">
            <w:pPr>
              <w:jc w:val="left"/>
              <w:rPr>
                <w:rFonts w:eastAsia="Calibri" w:cstheme="minorHAnsi"/>
                <w:bCs/>
                <w:iCs/>
                <w:color w:val="002060"/>
                <w:sz w:val="18"/>
                <w:szCs w:val="18"/>
                <w:lang w:val="sr-Cyrl-CS"/>
              </w:rPr>
            </w:pPr>
            <w:r w:rsidRPr="00F5596D">
              <w:rPr>
                <w:rFonts w:eastAsia="Calibri" w:cstheme="minorHAnsi"/>
                <w:iCs/>
                <w:color w:val="002060"/>
                <w:sz w:val="18"/>
                <w:szCs w:val="18"/>
                <w:lang w:val="sr-Cyrl-CS"/>
              </w:rPr>
              <w:t>Допринос расту БДП</w:t>
            </w:r>
            <w:r w:rsidRPr="00F5596D">
              <w:rPr>
                <w:rFonts w:eastAsia="Calibri" w:cstheme="minorHAnsi"/>
                <w:bCs/>
                <w:iCs/>
                <w:color w:val="002060"/>
                <w:sz w:val="18"/>
                <w:szCs w:val="18"/>
                <w:lang w:val="sr-Cyrl-CS"/>
              </w:rPr>
              <w:t>, процентни поени</w:t>
            </w:r>
          </w:p>
        </w:tc>
        <w:tc>
          <w:tcPr>
            <w:tcW w:w="603" w:type="pct"/>
            <w:tcBorders>
              <w:top w:val="nil"/>
              <w:left w:val="nil"/>
              <w:bottom w:val="nil"/>
              <w:right w:val="nil"/>
            </w:tcBorders>
            <w:shd w:val="clear" w:color="000000" w:fill="E7E6E6"/>
            <w:noWrap/>
            <w:vAlign w:val="center"/>
          </w:tcPr>
          <w:p w14:paraId="1258622B" w14:textId="77777777" w:rsidR="00C76CE4" w:rsidRPr="00F5596D" w:rsidRDefault="00C76CE4" w:rsidP="003D6A23">
            <w:pPr>
              <w:jc w:val="center"/>
              <w:rPr>
                <w:rFonts w:eastAsia="Calibri" w:cstheme="minorHAnsi"/>
                <w:iCs/>
                <w:color w:val="002060"/>
                <w:sz w:val="18"/>
                <w:szCs w:val="18"/>
                <w:lang w:val="sr-Cyrl-CS"/>
              </w:rPr>
            </w:pPr>
          </w:p>
        </w:tc>
        <w:tc>
          <w:tcPr>
            <w:tcW w:w="604" w:type="pct"/>
            <w:tcBorders>
              <w:top w:val="nil"/>
              <w:left w:val="nil"/>
              <w:bottom w:val="nil"/>
              <w:right w:val="nil"/>
            </w:tcBorders>
            <w:shd w:val="clear" w:color="000000" w:fill="E7E6E6"/>
            <w:noWrap/>
            <w:vAlign w:val="center"/>
          </w:tcPr>
          <w:p w14:paraId="63BAC2FE" w14:textId="77777777" w:rsidR="00C76CE4" w:rsidRPr="00F5596D" w:rsidRDefault="00C76CE4" w:rsidP="003D6A23">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0ED76D08" w14:textId="77777777" w:rsidR="00C76CE4" w:rsidRPr="00F5596D" w:rsidRDefault="00C76CE4" w:rsidP="003D6A23">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797E8ED0" w14:textId="77777777" w:rsidR="00C76CE4" w:rsidRPr="00F5596D" w:rsidRDefault="00C76CE4" w:rsidP="003D6A23">
            <w:pPr>
              <w:jc w:val="center"/>
              <w:rPr>
                <w:rFonts w:eastAsia="Calibri" w:cstheme="minorHAnsi"/>
                <w:color w:val="002060"/>
                <w:sz w:val="18"/>
                <w:szCs w:val="18"/>
                <w:lang w:val="sr-Cyrl-CS"/>
              </w:rPr>
            </w:pPr>
          </w:p>
        </w:tc>
      </w:tr>
      <w:tr w:rsidR="00C76CE4" w:rsidRPr="00F5596D" w14:paraId="243D04AE" w14:textId="77777777" w:rsidTr="003D6A23">
        <w:trPr>
          <w:trHeight w:val="281"/>
          <w:jc w:val="center"/>
        </w:trPr>
        <w:tc>
          <w:tcPr>
            <w:tcW w:w="2590" w:type="pct"/>
            <w:noWrap/>
            <w:vAlign w:val="center"/>
            <w:hideMark/>
          </w:tcPr>
          <w:p w14:paraId="4EF9204C"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Домаћа тражња</w:t>
            </w:r>
          </w:p>
        </w:tc>
        <w:tc>
          <w:tcPr>
            <w:tcW w:w="603" w:type="pct"/>
            <w:tcBorders>
              <w:top w:val="nil"/>
              <w:left w:val="nil"/>
              <w:bottom w:val="nil"/>
              <w:right w:val="nil"/>
            </w:tcBorders>
            <w:shd w:val="clear" w:color="auto" w:fill="auto"/>
            <w:noWrap/>
            <w:vAlign w:val="center"/>
          </w:tcPr>
          <w:p w14:paraId="4658D249" w14:textId="77777777" w:rsidR="00C76CE4" w:rsidRPr="00F5596D" w:rsidRDefault="00C76CE4" w:rsidP="003D6A23">
            <w:pPr>
              <w:jc w:val="center"/>
              <w:rPr>
                <w:color w:val="002060"/>
                <w:sz w:val="18"/>
                <w:lang w:val="sr-Cyrl-CS"/>
              </w:rPr>
            </w:pPr>
            <w:r w:rsidRPr="00F5596D">
              <w:rPr>
                <w:color w:val="002060"/>
                <w:sz w:val="18"/>
                <w:lang w:val="sr-Cyrl-CS"/>
              </w:rPr>
              <w:t>3,9</w:t>
            </w:r>
          </w:p>
        </w:tc>
        <w:tc>
          <w:tcPr>
            <w:tcW w:w="604" w:type="pct"/>
            <w:tcBorders>
              <w:top w:val="nil"/>
              <w:left w:val="nil"/>
              <w:bottom w:val="nil"/>
              <w:right w:val="nil"/>
            </w:tcBorders>
            <w:shd w:val="clear" w:color="auto" w:fill="auto"/>
            <w:noWrap/>
            <w:vAlign w:val="center"/>
          </w:tcPr>
          <w:p w14:paraId="588809B8" w14:textId="77777777" w:rsidR="00C76CE4" w:rsidRPr="00F5596D" w:rsidRDefault="00C76CE4" w:rsidP="003D6A23">
            <w:pPr>
              <w:jc w:val="center"/>
              <w:rPr>
                <w:color w:val="002060"/>
                <w:sz w:val="18"/>
                <w:lang w:val="sr-Cyrl-CS"/>
              </w:rPr>
            </w:pPr>
            <w:r w:rsidRPr="00F5596D">
              <w:rPr>
                <w:color w:val="002060"/>
                <w:sz w:val="18"/>
                <w:lang w:val="sr-Cyrl-CS"/>
              </w:rPr>
              <w:t>5,3</w:t>
            </w:r>
          </w:p>
        </w:tc>
        <w:tc>
          <w:tcPr>
            <w:tcW w:w="603" w:type="pct"/>
            <w:tcBorders>
              <w:top w:val="nil"/>
              <w:left w:val="nil"/>
              <w:bottom w:val="nil"/>
              <w:right w:val="nil"/>
            </w:tcBorders>
            <w:shd w:val="clear" w:color="auto" w:fill="auto"/>
            <w:noWrap/>
            <w:vAlign w:val="center"/>
          </w:tcPr>
          <w:p w14:paraId="75E9B174" w14:textId="77777777" w:rsidR="00C76CE4" w:rsidRPr="00F5596D" w:rsidRDefault="00C76CE4" w:rsidP="003D6A23">
            <w:pPr>
              <w:jc w:val="center"/>
              <w:rPr>
                <w:color w:val="002060"/>
                <w:sz w:val="18"/>
                <w:lang w:val="sr-Cyrl-CS"/>
              </w:rPr>
            </w:pPr>
            <w:r w:rsidRPr="00F5596D">
              <w:rPr>
                <w:color w:val="002060"/>
                <w:sz w:val="18"/>
                <w:lang w:val="sr-Cyrl-CS"/>
              </w:rPr>
              <w:t>4,2</w:t>
            </w:r>
          </w:p>
        </w:tc>
        <w:tc>
          <w:tcPr>
            <w:tcW w:w="600" w:type="pct"/>
            <w:tcBorders>
              <w:top w:val="nil"/>
              <w:left w:val="nil"/>
              <w:bottom w:val="nil"/>
              <w:right w:val="nil"/>
            </w:tcBorders>
            <w:shd w:val="clear" w:color="auto" w:fill="auto"/>
            <w:noWrap/>
            <w:vAlign w:val="center"/>
          </w:tcPr>
          <w:p w14:paraId="2149B8A3" w14:textId="77777777" w:rsidR="00C76CE4" w:rsidRPr="00F5596D" w:rsidRDefault="00C76CE4" w:rsidP="003D6A23">
            <w:pPr>
              <w:jc w:val="center"/>
              <w:rPr>
                <w:color w:val="002060"/>
                <w:sz w:val="18"/>
                <w:lang w:val="sr-Cyrl-CS"/>
              </w:rPr>
            </w:pPr>
            <w:r w:rsidRPr="00F5596D">
              <w:rPr>
                <w:color w:val="002060"/>
                <w:sz w:val="18"/>
                <w:lang w:val="sr-Cyrl-CS"/>
              </w:rPr>
              <w:t>3,7</w:t>
            </w:r>
          </w:p>
        </w:tc>
      </w:tr>
      <w:tr w:rsidR="00C76CE4" w:rsidRPr="00F5596D" w14:paraId="6CC4513F" w14:textId="77777777" w:rsidTr="003D6A23">
        <w:trPr>
          <w:trHeight w:val="281"/>
          <w:jc w:val="center"/>
        </w:trPr>
        <w:tc>
          <w:tcPr>
            <w:tcW w:w="2590" w:type="pct"/>
            <w:noWrap/>
            <w:vAlign w:val="center"/>
            <w:hideMark/>
          </w:tcPr>
          <w:p w14:paraId="53E95B48"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Лична потрошња</w:t>
            </w:r>
          </w:p>
        </w:tc>
        <w:tc>
          <w:tcPr>
            <w:tcW w:w="603" w:type="pct"/>
            <w:tcBorders>
              <w:top w:val="nil"/>
              <w:left w:val="nil"/>
              <w:bottom w:val="nil"/>
              <w:right w:val="nil"/>
            </w:tcBorders>
            <w:shd w:val="clear" w:color="auto" w:fill="auto"/>
            <w:noWrap/>
            <w:vAlign w:val="center"/>
          </w:tcPr>
          <w:p w14:paraId="3A5FAB5A" w14:textId="77777777" w:rsidR="00C76CE4" w:rsidRPr="00F5596D" w:rsidRDefault="00C76CE4" w:rsidP="003D6A23">
            <w:pPr>
              <w:jc w:val="center"/>
              <w:rPr>
                <w:color w:val="002060"/>
                <w:sz w:val="18"/>
                <w:lang w:val="sr-Cyrl-CS"/>
              </w:rPr>
            </w:pPr>
            <w:r w:rsidRPr="00F5596D">
              <w:rPr>
                <w:color w:val="002060"/>
                <w:sz w:val="18"/>
                <w:lang w:val="sr-Cyrl-CS"/>
              </w:rPr>
              <w:t>2,0</w:t>
            </w:r>
          </w:p>
        </w:tc>
        <w:tc>
          <w:tcPr>
            <w:tcW w:w="604" w:type="pct"/>
            <w:tcBorders>
              <w:top w:val="nil"/>
              <w:left w:val="nil"/>
              <w:bottom w:val="nil"/>
              <w:right w:val="nil"/>
            </w:tcBorders>
            <w:shd w:val="clear" w:color="auto" w:fill="auto"/>
            <w:noWrap/>
            <w:vAlign w:val="center"/>
          </w:tcPr>
          <w:p w14:paraId="033D7F81" w14:textId="77777777" w:rsidR="00C76CE4" w:rsidRPr="00F5596D" w:rsidRDefault="00C76CE4" w:rsidP="003D6A23">
            <w:pPr>
              <w:jc w:val="center"/>
              <w:rPr>
                <w:color w:val="002060"/>
                <w:sz w:val="18"/>
                <w:lang w:val="sr-Cyrl-CS"/>
              </w:rPr>
            </w:pPr>
            <w:r w:rsidRPr="00F5596D">
              <w:rPr>
                <w:color w:val="002060"/>
                <w:sz w:val="18"/>
                <w:lang w:val="sr-Cyrl-CS"/>
              </w:rPr>
              <w:t>2,5</w:t>
            </w:r>
          </w:p>
        </w:tc>
        <w:tc>
          <w:tcPr>
            <w:tcW w:w="603" w:type="pct"/>
            <w:tcBorders>
              <w:top w:val="nil"/>
              <w:left w:val="nil"/>
              <w:bottom w:val="nil"/>
              <w:right w:val="nil"/>
            </w:tcBorders>
            <w:shd w:val="clear" w:color="auto" w:fill="auto"/>
            <w:noWrap/>
            <w:vAlign w:val="center"/>
          </w:tcPr>
          <w:p w14:paraId="6951293D" w14:textId="77777777" w:rsidR="00C76CE4" w:rsidRPr="00F5596D" w:rsidRDefault="00C76CE4" w:rsidP="003D6A23">
            <w:pPr>
              <w:jc w:val="center"/>
              <w:rPr>
                <w:color w:val="002060"/>
                <w:sz w:val="18"/>
                <w:lang w:val="sr-Cyrl-CS"/>
              </w:rPr>
            </w:pPr>
            <w:r w:rsidRPr="00F5596D">
              <w:rPr>
                <w:color w:val="002060"/>
                <w:sz w:val="18"/>
                <w:lang w:val="sr-Cyrl-CS"/>
              </w:rPr>
              <w:t>2,1</w:t>
            </w:r>
          </w:p>
        </w:tc>
        <w:tc>
          <w:tcPr>
            <w:tcW w:w="600" w:type="pct"/>
            <w:tcBorders>
              <w:top w:val="nil"/>
              <w:left w:val="nil"/>
              <w:bottom w:val="nil"/>
              <w:right w:val="nil"/>
            </w:tcBorders>
            <w:shd w:val="clear" w:color="auto" w:fill="auto"/>
            <w:noWrap/>
            <w:vAlign w:val="center"/>
          </w:tcPr>
          <w:p w14:paraId="69A7FDE6" w14:textId="77777777" w:rsidR="00C76CE4" w:rsidRPr="00F5596D" w:rsidRDefault="00C76CE4" w:rsidP="003D6A23">
            <w:pPr>
              <w:jc w:val="center"/>
              <w:rPr>
                <w:color w:val="002060"/>
                <w:sz w:val="18"/>
                <w:lang w:val="sr-Cyrl-CS"/>
              </w:rPr>
            </w:pPr>
            <w:r w:rsidRPr="00F5596D">
              <w:rPr>
                <w:color w:val="002060"/>
                <w:sz w:val="18"/>
                <w:lang w:val="sr-Cyrl-CS"/>
              </w:rPr>
              <w:t>2,1</w:t>
            </w:r>
          </w:p>
        </w:tc>
      </w:tr>
      <w:tr w:rsidR="00C76CE4" w:rsidRPr="00F5596D" w14:paraId="37419297" w14:textId="77777777" w:rsidTr="003D6A23">
        <w:trPr>
          <w:trHeight w:val="281"/>
          <w:jc w:val="center"/>
        </w:trPr>
        <w:tc>
          <w:tcPr>
            <w:tcW w:w="2590" w:type="pct"/>
            <w:noWrap/>
            <w:vAlign w:val="center"/>
            <w:hideMark/>
          </w:tcPr>
          <w:p w14:paraId="426DBEE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Државна потрошња</w:t>
            </w:r>
          </w:p>
        </w:tc>
        <w:tc>
          <w:tcPr>
            <w:tcW w:w="603" w:type="pct"/>
            <w:tcBorders>
              <w:top w:val="nil"/>
              <w:left w:val="nil"/>
              <w:bottom w:val="nil"/>
              <w:right w:val="nil"/>
            </w:tcBorders>
            <w:shd w:val="clear" w:color="auto" w:fill="auto"/>
            <w:noWrap/>
            <w:vAlign w:val="center"/>
          </w:tcPr>
          <w:p w14:paraId="07421FE8" w14:textId="77777777" w:rsidR="00C76CE4" w:rsidRPr="00F5596D" w:rsidRDefault="00C76CE4" w:rsidP="003D6A23">
            <w:pPr>
              <w:jc w:val="center"/>
              <w:rPr>
                <w:color w:val="002060"/>
                <w:sz w:val="18"/>
                <w:lang w:val="sr-Cyrl-CS"/>
              </w:rPr>
            </w:pPr>
            <w:r w:rsidRPr="00F5596D">
              <w:rPr>
                <w:color w:val="002060"/>
                <w:sz w:val="18"/>
                <w:lang w:val="sr-Cyrl-CS"/>
              </w:rPr>
              <w:t>0,6</w:t>
            </w:r>
          </w:p>
        </w:tc>
        <w:tc>
          <w:tcPr>
            <w:tcW w:w="604" w:type="pct"/>
            <w:tcBorders>
              <w:top w:val="nil"/>
              <w:left w:val="nil"/>
              <w:bottom w:val="nil"/>
              <w:right w:val="nil"/>
            </w:tcBorders>
            <w:shd w:val="clear" w:color="auto" w:fill="auto"/>
            <w:noWrap/>
            <w:vAlign w:val="center"/>
          </w:tcPr>
          <w:p w14:paraId="0ECEB54A" w14:textId="77777777" w:rsidR="00C76CE4" w:rsidRPr="00F5596D" w:rsidRDefault="00C76CE4" w:rsidP="003D6A23">
            <w:pPr>
              <w:jc w:val="center"/>
              <w:rPr>
                <w:color w:val="002060"/>
                <w:sz w:val="18"/>
                <w:lang w:val="sr-Cyrl-CS"/>
              </w:rPr>
            </w:pPr>
            <w:r w:rsidRPr="00F5596D">
              <w:rPr>
                <w:color w:val="002060"/>
                <w:sz w:val="18"/>
                <w:lang w:val="sr-Cyrl-CS"/>
              </w:rPr>
              <w:t>0,6</w:t>
            </w:r>
          </w:p>
        </w:tc>
        <w:tc>
          <w:tcPr>
            <w:tcW w:w="603" w:type="pct"/>
            <w:tcBorders>
              <w:top w:val="nil"/>
              <w:left w:val="nil"/>
              <w:bottom w:val="nil"/>
              <w:right w:val="nil"/>
            </w:tcBorders>
            <w:shd w:val="clear" w:color="auto" w:fill="auto"/>
            <w:noWrap/>
            <w:vAlign w:val="center"/>
          </w:tcPr>
          <w:p w14:paraId="2B0D9F97" w14:textId="77777777" w:rsidR="00C76CE4" w:rsidRPr="00F5596D" w:rsidRDefault="00C76CE4" w:rsidP="003D6A23">
            <w:pPr>
              <w:jc w:val="center"/>
              <w:rPr>
                <w:color w:val="002060"/>
                <w:sz w:val="18"/>
                <w:lang w:val="sr-Cyrl-CS"/>
              </w:rPr>
            </w:pPr>
            <w:r w:rsidRPr="00F5596D">
              <w:rPr>
                <w:color w:val="002060"/>
                <w:sz w:val="18"/>
                <w:lang w:val="sr-Cyrl-CS"/>
              </w:rPr>
              <w:t>0,4</w:t>
            </w:r>
          </w:p>
        </w:tc>
        <w:tc>
          <w:tcPr>
            <w:tcW w:w="600" w:type="pct"/>
            <w:tcBorders>
              <w:top w:val="nil"/>
              <w:left w:val="nil"/>
              <w:bottom w:val="nil"/>
              <w:right w:val="nil"/>
            </w:tcBorders>
            <w:shd w:val="clear" w:color="auto" w:fill="auto"/>
            <w:noWrap/>
            <w:vAlign w:val="center"/>
          </w:tcPr>
          <w:p w14:paraId="44B0372D" w14:textId="77777777" w:rsidR="00C76CE4" w:rsidRPr="00F5596D" w:rsidRDefault="00C76CE4" w:rsidP="003D6A23">
            <w:pPr>
              <w:jc w:val="center"/>
              <w:rPr>
                <w:color w:val="002060"/>
                <w:sz w:val="18"/>
                <w:lang w:val="sr-Cyrl-CS"/>
              </w:rPr>
            </w:pPr>
            <w:r w:rsidRPr="00F5596D">
              <w:rPr>
                <w:color w:val="002060"/>
                <w:sz w:val="18"/>
                <w:lang w:val="sr-Cyrl-CS"/>
              </w:rPr>
              <w:t>0,4</w:t>
            </w:r>
          </w:p>
        </w:tc>
      </w:tr>
      <w:tr w:rsidR="00C76CE4" w:rsidRPr="00F5596D" w14:paraId="381B66B3" w14:textId="77777777" w:rsidTr="003D6A23">
        <w:trPr>
          <w:trHeight w:val="281"/>
          <w:jc w:val="center"/>
        </w:trPr>
        <w:tc>
          <w:tcPr>
            <w:tcW w:w="2590" w:type="pct"/>
            <w:vAlign w:val="center"/>
          </w:tcPr>
          <w:p w14:paraId="69A16B24"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Инвестиције у основна средства</w:t>
            </w:r>
          </w:p>
        </w:tc>
        <w:tc>
          <w:tcPr>
            <w:tcW w:w="603" w:type="pct"/>
            <w:tcBorders>
              <w:top w:val="nil"/>
              <w:left w:val="nil"/>
              <w:bottom w:val="nil"/>
              <w:right w:val="nil"/>
            </w:tcBorders>
            <w:shd w:val="clear" w:color="auto" w:fill="auto"/>
            <w:noWrap/>
            <w:vAlign w:val="center"/>
          </w:tcPr>
          <w:p w14:paraId="70983E6F" w14:textId="77777777" w:rsidR="00C76CE4" w:rsidRPr="00F5596D" w:rsidRDefault="00C76CE4" w:rsidP="003D6A23">
            <w:pPr>
              <w:jc w:val="center"/>
              <w:rPr>
                <w:color w:val="002060"/>
                <w:sz w:val="18"/>
                <w:lang w:val="sr-Cyrl-CS"/>
              </w:rPr>
            </w:pPr>
            <w:r w:rsidRPr="00F5596D">
              <w:rPr>
                <w:color w:val="002060"/>
                <w:sz w:val="18"/>
                <w:lang w:val="sr-Cyrl-CS"/>
              </w:rPr>
              <w:t>1,0</w:t>
            </w:r>
          </w:p>
        </w:tc>
        <w:tc>
          <w:tcPr>
            <w:tcW w:w="604" w:type="pct"/>
            <w:tcBorders>
              <w:top w:val="nil"/>
              <w:left w:val="nil"/>
              <w:bottom w:val="nil"/>
              <w:right w:val="nil"/>
            </w:tcBorders>
            <w:shd w:val="clear" w:color="auto" w:fill="auto"/>
            <w:noWrap/>
            <w:vAlign w:val="center"/>
          </w:tcPr>
          <w:p w14:paraId="1BA019EB" w14:textId="77777777" w:rsidR="00C76CE4" w:rsidRPr="00F5596D" w:rsidRDefault="00C76CE4" w:rsidP="003D6A23">
            <w:pPr>
              <w:jc w:val="center"/>
              <w:rPr>
                <w:color w:val="002060"/>
                <w:sz w:val="18"/>
                <w:lang w:val="sr-Cyrl-CS"/>
              </w:rPr>
            </w:pPr>
            <w:r w:rsidRPr="00F5596D">
              <w:rPr>
                <w:color w:val="002060"/>
                <w:sz w:val="18"/>
                <w:lang w:val="sr-Cyrl-CS"/>
              </w:rPr>
              <w:t>2,2</w:t>
            </w:r>
          </w:p>
        </w:tc>
        <w:tc>
          <w:tcPr>
            <w:tcW w:w="603" w:type="pct"/>
            <w:tcBorders>
              <w:top w:val="nil"/>
              <w:left w:val="nil"/>
              <w:bottom w:val="nil"/>
              <w:right w:val="nil"/>
            </w:tcBorders>
            <w:shd w:val="clear" w:color="auto" w:fill="auto"/>
            <w:noWrap/>
            <w:vAlign w:val="center"/>
          </w:tcPr>
          <w:p w14:paraId="680F0DEE" w14:textId="77777777" w:rsidR="00C76CE4" w:rsidRPr="00F5596D" w:rsidRDefault="00C76CE4" w:rsidP="003D6A23">
            <w:pPr>
              <w:jc w:val="center"/>
              <w:rPr>
                <w:color w:val="002060"/>
                <w:sz w:val="18"/>
                <w:lang w:val="sr-Cyrl-CS"/>
              </w:rPr>
            </w:pPr>
            <w:r w:rsidRPr="00F5596D">
              <w:rPr>
                <w:color w:val="002060"/>
                <w:sz w:val="18"/>
                <w:lang w:val="sr-Cyrl-CS"/>
              </w:rPr>
              <w:t>1,7</w:t>
            </w:r>
          </w:p>
        </w:tc>
        <w:tc>
          <w:tcPr>
            <w:tcW w:w="600" w:type="pct"/>
            <w:tcBorders>
              <w:top w:val="nil"/>
              <w:left w:val="nil"/>
              <w:bottom w:val="nil"/>
              <w:right w:val="nil"/>
            </w:tcBorders>
            <w:shd w:val="clear" w:color="auto" w:fill="auto"/>
            <w:noWrap/>
            <w:vAlign w:val="center"/>
          </w:tcPr>
          <w:p w14:paraId="24966131" w14:textId="77777777" w:rsidR="00C76CE4" w:rsidRPr="00F5596D" w:rsidRDefault="00C76CE4" w:rsidP="003D6A23">
            <w:pPr>
              <w:jc w:val="center"/>
              <w:rPr>
                <w:color w:val="002060"/>
                <w:sz w:val="18"/>
                <w:lang w:val="sr-Cyrl-CS"/>
              </w:rPr>
            </w:pPr>
            <w:r w:rsidRPr="00F5596D">
              <w:rPr>
                <w:color w:val="002060"/>
                <w:sz w:val="18"/>
                <w:lang w:val="sr-Cyrl-CS"/>
              </w:rPr>
              <w:t>1,2</w:t>
            </w:r>
          </w:p>
        </w:tc>
      </w:tr>
      <w:tr w:rsidR="00C76CE4" w:rsidRPr="00F5596D" w14:paraId="250285E4" w14:textId="77777777" w:rsidTr="003D6A23">
        <w:trPr>
          <w:trHeight w:val="281"/>
          <w:jc w:val="center"/>
        </w:trPr>
        <w:tc>
          <w:tcPr>
            <w:tcW w:w="2590" w:type="pct"/>
            <w:vAlign w:val="center"/>
            <w:hideMark/>
          </w:tcPr>
          <w:p w14:paraId="0E3FA8F6"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Промена у залихама</w:t>
            </w:r>
          </w:p>
        </w:tc>
        <w:tc>
          <w:tcPr>
            <w:tcW w:w="603" w:type="pct"/>
            <w:tcBorders>
              <w:top w:val="nil"/>
              <w:left w:val="nil"/>
              <w:bottom w:val="nil"/>
              <w:right w:val="nil"/>
            </w:tcBorders>
            <w:shd w:val="clear" w:color="auto" w:fill="auto"/>
            <w:noWrap/>
            <w:vAlign w:val="center"/>
          </w:tcPr>
          <w:p w14:paraId="3B41A73B" w14:textId="77777777" w:rsidR="00C76CE4" w:rsidRPr="00F5596D" w:rsidRDefault="00C76CE4" w:rsidP="003D6A23">
            <w:pPr>
              <w:jc w:val="center"/>
              <w:rPr>
                <w:color w:val="002060"/>
                <w:sz w:val="18"/>
                <w:lang w:val="sr-Cyrl-CS"/>
              </w:rPr>
            </w:pPr>
            <w:r w:rsidRPr="00F5596D">
              <w:rPr>
                <w:color w:val="002060"/>
                <w:sz w:val="18"/>
                <w:lang w:val="sr-Cyrl-CS"/>
              </w:rPr>
              <w:t>0,3</w:t>
            </w:r>
          </w:p>
        </w:tc>
        <w:tc>
          <w:tcPr>
            <w:tcW w:w="604" w:type="pct"/>
            <w:tcBorders>
              <w:top w:val="nil"/>
              <w:left w:val="nil"/>
              <w:bottom w:val="nil"/>
              <w:right w:val="nil"/>
            </w:tcBorders>
            <w:shd w:val="clear" w:color="auto" w:fill="auto"/>
            <w:noWrap/>
            <w:vAlign w:val="center"/>
          </w:tcPr>
          <w:p w14:paraId="60B94F4F" w14:textId="77777777" w:rsidR="00C76CE4" w:rsidRPr="00F5596D" w:rsidRDefault="00C76CE4" w:rsidP="003D6A23">
            <w:pPr>
              <w:jc w:val="center"/>
              <w:rPr>
                <w:color w:val="002060"/>
                <w:sz w:val="18"/>
                <w:lang w:val="sr-Cyrl-CS"/>
              </w:rPr>
            </w:pPr>
            <w:r w:rsidRPr="00F5596D">
              <w:rPr>
                <w:color w:val="002060"/>
                <w:sz w:val="18"/>
                <w:lang w:val="sr-Cyrl-CS"/>
              </w:rPr>
              <w:t>0,0</w:t>
            </w:r>
          </w:p>
        </w:tc>
        <w:tc>
          <w:tcPr>
            <w:tcW w:w="603" w:type="pct"/>
            <w:tcBorders>
              <w:top w:val="nil"/>
              <w:left w:val="nil"/>
              <w:bottom w:val="nil"/>
              <w:right w:val="nil"/>
            </w:tcBorders>
            <w:shd w:val="clear" w:color="auto" w:fill="auto"/>
            <w:noWrap/>
            <w:vAlign w:val="center"/>
          </w:tcPr>
          <w:p w14:paraId="4024717A" w14:textId="77777777" w:rsidR="00C76CE4" w:rsidRPr="00F5596D" w:rsidRDefault="00C76CE4" w:rsidP="003D6A23">
            <w:pPr>
              <w:jc w:val="center"/>
              <w:rPr>
                <w:color w:val="002060"/>
                <w:sz w:val="18"/>
                <w:lang w:val="sr-Cyrl-CS"/>
              </w:rPr>
            </w:pPr>
            <w:r w:rsidRPr="00F5596D">
              <w:rPr>
                <w:color w:val="002060"/>
                <w:sz w:val="18"/>
                <w:lang w:val="sr-Cyrl-CS"/>
              </w:rPr>
              <w:t>0,0</w:t>
            </w:r>
          </w:p>
        </w:tc>
        <w:tc>
          <w:tcPr>
            <w:tcW w:w="600" w:type="pct"/>
            <w:tcBorders>
              <w:top w:val="nil"/>
              <w:left w:val="nil"/>
              <w:bottom w:val="nil"/>
              <w:right w:val="nil"/>
            </w:tcBorders>
            <w:shd w:val="clear" w:color="auto" w:fill="auto"/>
            <w:noWrap/>
            <w:vAlign w:val="center"/>
          </w:tcPr>
          <w:p w14:paraId="51221EC0" w14:textId="77777777" w:rsidR="00C76CE4" w:rsidRPr="00F5596D" w:rsidRDefault="00C76CE4" w:rsidP="003D6A23">
            <w:pPr>
              <w:jc w:val="center"/>
              <w:rPr>
                <w:color w:val="002060"/>
                <w:sz w:val="18"/>
                <w:lang w:val="sr-Cyrl-CS"/>
              </w:rPr>
            </w:pPr>
            <w:r w:rsidRPr="00F5596D">
              <w:rPr>
                <w:color w:val="002060"/>
                <w:sz w:val="18"/>
                <w:lang w:val="sr-Cyrl-CS"/>
              </w:rPr>
              <w:t>0,0</w:t>
            </w:r>
          </w:p>
        </w:tc>
      </w:tr>
      <w:tr w:rsidR="00C76CE4" w:rsidRPr="00F5596D" w14:paraId="00AF14D1" w14:textId="77777777" w:rsidTr="003D6A23">
        <w:trPr>
          <w:trHeight w:val="281"/>
          <w:jc w:val="center"/>
        </w:trPr>
        <w:tc>
          <w:tcPr>
            <w:tcW w:w="2590" w:type="pct"/>
            <w:noWrap/>
            <w:vAlign w:val="center"/>
            <w:hideMark/>
          </w:tcPr>
          <w:p w14:paraId="6CD74302"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Нето извоз робе и услуга</w:t>
            </w:r>
          </w:p>
        </w:tc>
        <w:tc>
          <w:tcPr>
            <w:tcW w:w="603" w:type="pct"/>
            <w:tcBorders>
              <w:top w:val="nil"/>
              <w:left w:val="nil"/>
              <w:bottom w:val="nil"/>
              <w:right w:val="nil"/>
            </w:tcBorders>
            <w:shd w:val="clear" w:color="auto" w:fill="auto"/>
            <w:noWrap/>
            <w:vAlign w:val="center"/>
          </w:tcPr>
          <w:p w14:paraId="193292FF" w14:textId="77777777" w:rsidR="00C76CE4" w:rsidRPr="00F5596D" w:rsidRDefault="00C76CE4" w:rsidP="003D6A23">
            <w:pPr>
              <w:jc w:val="center"/>
              <w:rPr>
                <w:color w:val="002060"/>
                <w:sz w:val="18"/>
                <w:lang w:val="sr-Cyrl-CS"/>
              </w:rPr>
            </w:pPr>
            <w:r w:rsidRPr="00F5596D">
              <w:rPr>
                <w:color w:val="002060"/>
                <w:sz w:val="18"/>
                <w:lang w:val="sr-Cyrl-CS"/>
              </w:rPr>
              <w:t>-1,0</w:t>
            </w:r>
          </w:p>
        </w:tc>
        <w:tc>
          <w:tcPr>
            <w:tcW w:w="604" w:type="pct"/>
            <w:tcBorders>
              <w:top w:val="nil"/>
              <w:left w:val="nil"/>
              <w:bottom w:val="nil"/>
              <w:right w:val="nil"/>
            </w:tcBorders>
            <w:shd w:val="clear" w:color="auto" w:fill="auto"/>
            <w:noWrap/>
            <w:vAlign w:val="center"/>
          </w:tcPr>
          <w:p w14:paraId="443E106F" w14:textId="77777777" w:rsidR="00C76CE4" w:rsidRPr="00F5596D" w:rsidRDefault="00C76CE4" w:rsidP="003D6A23">
            <w:pPr>
              <w:jc w:val="center"/>
              <w:rPr>
                <w:color w:val="002060"/>
                <w:sz w:val="18"/>
                <w:lang w:val="sr-Cyrl-CS"/>
              </w:rPr>
            </w:pPr>
            <w:r w:rsidRPr="00F5596D">
              <w:rPr>
                <w:color w:val="002060"/>
                <w:sz w:val="18"/>
                <w:lang w:val="sr-Cyrl-CS"/>
              </w:rPr>
              <w:t>-1,1</w:t>
            </w:r>
          </w:p>
        </w:tc>
        <w:tc>
          <w:tcPr>
            <w:tcW w:w="603" w:type="pct"/>
            <w:tcBorders>
              <w:top w:val="nil"/>
              <w:left w:val="nil"/>
              <w:bottom w:val="nil"/>
              <w:right w:val="nil"/>
            </w:tcBorders>
            <w:shd w:val="clear" w:color="auto" w:fill="auto"/>
            <w:noWrap/>
            <w:vAlign w:val="center"/>
          </w:tcPr>
          <w:p w14:paraId="1C095D53" w14:textId="77777777" w:rsidR="00C76CE4" w:rsidRPr="00F5596D" w:rsidRDefault="00C76CE4" w:rsidP="003D6A23">
            <w:pPr>
              <w:jc w:val="center"/>
              <w:rPr>
                <w:color w:val="002060"/>
                <w:sz w:val="18"/>
                <w:lang w:val="sr-Cyrl-CS"/>
              </w:rPr>
            </w:pPr>
            <w:r w:rsidRPr="00F5596D">
              <w:rPr>
                <w:color w:val="002060"/>
                <w:sz w:val="18"/>
                <w:lang w:val="sr-Cyrl-CS"/>
              </w:rPr>
              <w:t>0,8</w:t>
            </w:r>
          </w:p>
        </w:tc>
        <w:tc>
          <w:tcPr>
            <w:tcW w:w="600" w:type="pct"/>
            <w:tcBorders>
              <w:top w:val="nil"/>
              <w:left w:val="nil"/>
              <w:bottom w:val="nil"/>
              <w:right w:val="nil"/>
            </w:tcBorders>
            <w:shd w:val="clear" w:color="auto" w:fill="auto"/>
            <w:noWrap/>
            <w:vAlign w:val="center"/>
          </w:tcPr>
          <w:p w14:paraId="2E4DFB51" w14:textId="77777777" w:rsidR="00C76CE4" w:rsidRPr="00F5596D" w:rsidRDefault="00C76CE4" w:rsidP="003D6A23">
            <w:pPr>
              <w:jc w:val="center"/>
              <w:rPr>
                <w:color w:val="002060"/>
                <w:sz w:val="18"/>
                <w:lang w:val="sr-Cyrl-CS"/>
              </w:rPr>
            </w:pPr>
            <w:r w:rsidRPr="00F5596D">
              <w:rPr>
                <w:color w:val="002060"/>
                <w:sz w:val="18"/>
                <w:lang w:val="sr-Cyrl-CS"/>
              </w:rPr>
              <w:t>-0,3</w:t>
            </w:r>
          </w:p>
        </w:tc>
      </w:tr>
      <w:tr w:rsidR="00C76CE4" w:rsidRPr="00F5596D" w14:paraId="3C769991" w14:textId="77777777" w:rsidTr="003D6A23">
        <w:trPr>
          <w:trHeight w:val="281"/>
          <w:jc w:val="center"/>
        </w:trPr>
        <w:tc>
          <w:tcPr>
            <w:tcW w:w="2590" w:type="pct"/>
            <w:shd w:val="clear" w:color="auto" w:fill="E7E6E6" w:themeFill="background2"/>
            <w:noWrap/>
            <w:vAlign w:val="center"/>
            <w:hideMark/>
          </w:tcPr>
          <w:p w14:paraId="57BE46DA" w14:textId="77777777" w:rsidR="00C76CE4" w:rsidRPr="00F5596D" w:rsidRDefault="00C76CE4" w:rsidP="003D6A23">
            <w:pPr>
              <w:jc w:val="left"/>
              <w:rPr>
                <w:rFonts w:eastAsia="Calibri" w:cstheme="minorHAnsi"/>
                <w:bCs/>
                <w:color w:val="002060"/>
                <w:sz w:val="18"/>
                <w:szCs w:val="18"/>
                <w:lang w:val="sr-Cyrl-CS"/>
              </w:rPr>
            </w:pPr>
            <w:r w:rsidRPr="00F5596D">
              <w:rPr>
                <w:rFonts w:eastAsia="Calibri" w:cstheme="minorHAnsi"/>
                <w:iCs/>
                <w:color w:val="002060"/>
                <w:sz w:val="18"/>
                <w:szCs w:val="18"/>
                <w:lang w:val="sr-Cyrl-CS"/>
              </w:rPr>
              <w:t>Раст БДВ по секторима и нето пореза, %</w:t>
            </w:r>
          </w:p>
        </w:tc>
        <w:tc>
          <w:tcPr>
            <w:tcW w:w="603" w:type="pct"/>
            <w:tcBorders>
              <w:top w:val="nil"/>
              <w:left w:val="nil"/>
              <w:bottom w:val="nil"/>
              <w:right w:val="nil"/>
            </w:tcBorders>
            <w:shd w:val="clear" w:color="000000" w:fill="E7E6E6"/>
            <w:vAlign w:val="center"/>
          </w:tcPr>
          <w:p w14:paraId="39B10A7D" w14:textId="77777777" w:rsidR="00C76CE4" w:rsidRPr="00F5596D" w:rsidRDefault="00C76CE4" w:rsidP="003D6A23">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57EC34ED" w14:textId="77777777" w:rsidR="00C76CE4" w:rsidRPr="00F5596D" w:rsidRDefault="00C76CE4" w:rsidP="003D6A23">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1BB747EF" w14:textId="77777777" w:rsidR="00C76CE4" w:rsidRPr="00F5596D" w:rsidRDefault="00C76CE4" w:rsidP="003D6A23">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614F5B83" w14:textId="77777777" w:rsidR="00C76CE4" w:rsidRPr="00F5596D" w:rsidRDefault="00C76CE4" w:rsidP="003D6A23">
            <w:pPr>
              <w:jc w:val="center"/>
              <w:rPr>
                <w:rFonts w:eastAsia="Calibri" w:cstheme="minorHAnsi"/>
                <w:bCs/>
                <w:color w:val="002060"/>
                <w:sz w:val="18"/>
                <w:szCs w:val="18"/>
                <w:lang w:val="sr-Cyrl-CS"/>
              </w:rPr>
            </w:pPr>
          </w:p>
        </w:tc>
      </w:tr>
      <w:tr w:rsidR="00C76CE4" w:rsidRPr="00F5596D" w14:paraId="15686C10" w14:textId="77777777" w:rsidTr="003D6A23">
        <w:trPr>
          <w:trHeight w:val="281"/>
          <w:jc w:val="center"/>
        </w:trPr>
        <w:tc>
          <w:tcPr>
            <w:tcW w:w="2590" w:type="pct"/>
            <w:noWrap/>
            <w:vAlign w:val="center"/>
            <w:hideMark/>
          </w:tcPr>
          <w:p w14:paraId="2CEE1583"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44BC0128" w14:textId="77777777" w:rsidR="00C76CE4" w:rsidRPr="00F5596D" w:rsidRDefault="00C76CE4" w:rsidP="003D6A23">
            <w:pPr>
              <w:jc w:val="center"/>
              <w:rPr>
                <w:color w:val="002060"/>
                <w:sz w:val="18"/>
                <w:lang w:val="sr-Cyrl-CS"/>
              </w:rPr>
            </w:pPr>
            <w:r w:rsidRPr="00F5596D">
              <w:rPr>
                <w:color w:val="002060"/>
                <w:sz w:val="18"/>
                <w:lang w:val="sr-Cyrl-CS"/>
              </w:rPr>
              <w:t>6,3</w:t>
            </w:r>
          </w:p>
        </w:tc>
        <w:tc>
          <w:tcPr>
            <w:tcW w:w="604" w:type="pct"/>
            <w:tcBorders>
              <w:top w:val="nil"/>
              <w:left w:val="nil"/>
              <w:bottom w:val="nil"/>
              <w:right w:val="nil"/>
            </w:tcBorders>
            <w:shd w:val="clear" w:color="auto" w:fill="auto"/>
            <w:noWrap/>
            <w:vAlign w:val="center"/>
          </w:tcPr>
          <w:p w14:paraId="7B8528B4" w14:textId="77777777" w:rsidR="00C76CE4" w:rsidRPr="00F5596D" w:rsidRDefault="00C76CE4" w:rsidP="003D6A23">
            <w:pPr>
              <w:jc w:val="center"/>
              <w:rPr>
                <w:color w:val="002060"/>
                <w:sz w:val="18"/>
                <w:lang w:val="sr-Cyrl-CS"/>
              </w:rPr>
            </w:pPr>
            <w:r w:rsidRPr="00F5596D">
              <w:rPr>
                <w:color w:val="002060"/>
                <w:sz w:val="18"/>
                <w:lang w:val="sr-Cyrl-CS"/>
              </w:rPr>
              <w:t>0,2</w:t>
            </w:r>
          </w:p>
        </w:tc>
        <w:tc>
          <w:tcPr>
            <w:tcW w:w="603" w:type="pct"/>
            <w:tcBorders>
              <w:top w:val="nil"/>
              <w:left w:val="nil"/>
              <w:bottom w:val="nil"/>
              <w:right w:val="nil"/>
            </w:tcBorders>
            <w:shd w:val="clear" w:color="auto" w:fill="auto"/>
            <w:noWrap/>
            <w:vAlign w:val="center"/>
          </w:tcPr>
          <w:p w14:paraId="3E77850A" w14:textId="77777777" w:rsidR="00C76CE4" w:rsidRPr="00F5596D" w:rsidRDefault="00C76CE4" w:rsidP="003D6A23">
            <w:pPr>
              <w:jc w:val="center"/>
              <w:rPr>
                <w:color w:val="002060"/>
                <w:sz w:val="18"/>
                <w:lang w:val="sr-Cyrl-CS"/>
              </w:rPr>
            </w:pPr>
            <w:r w:rsidRPr="00F5596D">
              <w:rPr>
                <w:color w:val="002060"/>
                <w:sz w:val="18"/>
                <w:lang w:val="sr-Cyrl-CS"/>
              </w:rPr>
              <w:t>0,0</w:t>
            </w:r>
          </w:p>
        </w:tc>
        <w:tc>
          <w:tcPr>
            <w:tcW w:w="600" w:type="pct"/>
            <w:tcBorders>
              <w:top w:val="nil"/>
              <w:left w:val="nil"/>
              <w:bottom w:val="nil"/>
              <w:right w:val="nil"/>
            </w:tcBorders>
            <w:shd w:val="clear" w:color="auto" w:fill="auto"/>
            <w:noWrap/>
            <w:vAlign w:val="center"/>
          </w:tcPr>
          <w:p w14:paraId="0A37B005" w14:textId="77777777" w:rsidR="00C76CE4" w:rsidRPr="00F5596D" w:rsidRDefault="00C76CE4" w:rsidP="003D6A23">
            <w:pPr>
              <w:jc w:val="center"/>
              <w:rPr>
                <w:color w:val="002060"/>
                <w:sz w:val="18"/>
                <w:lang w:val="sr-Cyrl-CS"/>
              </w:rPr>
            </w:pPr>
            <w:r w:rsidRPr="00F5596D">
              <w:rPr>
                <w:color w:val="002060"/>
                <w:sz w:val="18"/>
                <w:lang w:val="sr-Cyrl-CS"/>
              </w:rPr>
              <w:t>0,0</w:t>
            </w:r>
          </w:p>
        </w:tc>
      </w:tr>
      <w:tr w:rsidR="00C76CE4" w:rsidRPr="00F5596D" w14:paraId="2E247CA5" w14:textId="77777777" w:rsidTr="003D6A23">
        <w:trPr>
          <w:trHeight w:val="281"/>
          <w:jc w:val="center"/>
        </w:trPr>
        <w:tc>
          <w:tcPr>
            <w:tcW w:w="2590" w:type="pct"/>
            <w:noWrap/>
            <w:vAlign w:val="center"/>
            <w:hideMark/>
          </w:tcPr>
          <w:p w14:paraId="620656C9"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283C46F8" w14:textId="77777777" w:rsidR="00C76CE4" w:rsidRPr="00F5596D" w:rsidRDefault="00C76CE4" w:rsidP="003D6A23">
            <w:pPr>
              <w:jc w:val="center"/>
              <w:rPr>
                <w:color w:val="002060"/>
                <w:sz w:val="18"/>
                <w:lang w:val="sr-Cyrl-CS"/>
              </w:rPr>
            </w:pPr>
            <w:r w:rsidRPr="00F5596D">
              <w:rPr>
                <w:color w:val="002060"/>
                <w:sz w:val="18"/>
                <w:lang w:val="sr-Cyrl-CS"/>
              </w:rPr>
              <w:t>2,9</w:t>
            </w:r>
          </w:p>
        </w:tc>
        <w:tc>
          <w:tcPr>
            <w:tcW w:w="604" w:type="pct"/>
            <w:tcBorders>
              <w:top w:val="nil"/>
              <w:left w:val="nil"/>
              <w:bottom w:val="nil"/>
              <w:right w:val="nil"/>
            </w:tcBorders>
            <w:shd w:val="clear" w:color="auto" w:fill="auto"/>
            <w:noWrap/>
            <w:vAlign w:val="center"/>
          </w:tcPr>
          <w:p w14:paraId="2B7B6BCA" w14:textId="77777777" w:rsidR="00C76CE4" w:rsidRPr="00F5596D" w:rsidRDefault="00C76CE4" w:rsidP="003D6A23">
            <w:pPr>
              <w:jc w:val="center"/>
              <w:rPr>
                <w:color w:val="002060"/>
                <w:sz w:val="18"/>
                <w:lang w:val="sr-Cyrl-CS"/>
              </w:rPr>
            </w:pPr>
            <w:r w:rsidRPr="00F5596D">
              <w:rPr>
                <w:color w:val="002060"/>
                <w:sz w:val="18"/>
                <w:lang w:val="sr-Cyrl-CS"/>
              </w:rPr>
              <w:t>3,8</w:t>
            </w:r>
          </w:p>
        </w:tc>
        <w:tc>
          <w:tcPr>
            <w:tcW w:w="603" w:type="pct"/>
            <w:tcBorders>
              <w:top w:val="nil"/>
              <w:left w:val="nil"/>
              <w:bottom w:val="nil"/>
              <w:right w:val="nil"/>
            </w:tcBorders>
            <w:shd w:val="clear" w:color="auto" w:fill="auto"/>
            <w:noWrap/>
            <w:vAlign w:val="center"/>
          </w:tcPr>
          <w:p w14:paraId="38E2FA1A" w14:textId="77777777" w:rsidR="00C76CE4" w:rsidRPr="00F5596D" w:rsidRDefault="00C76CE4" w:rsidP="003D6A23">
            <w:pPr>
              <w:jc w:val="center"/>
              <w:rPr>
                <w:color w:val="002060"/>
                <w:sz w:val="18"/>
                <w:lang w:val="sr-Cyrl-CS"/>
              </w:rPr>
            </w:pPr>
            <w:r w:rsidRPr="00F5596D">
              <w:rPr>
                <w:color w:val="002060"/>
                <w:sz w:val="18"/>
                <w:lang w:val="sr-Cyrl-CS"/>
              </w:rPr>
              <w:t>4,4</w:t>
            </w:r>
          </w:p>
        </w:tc>
        <w:tc>
          <w:tcPr>
            <w:tcW w:w="600" w:type="pct"/>
            <w:tcBorders>
              <w:top w:val="nil"/>
              <w:left w:val="nil"/>
              <w:bottom w:val="nil"/>
              <w:right w:val="nil"/>
            </w:tcBorders>
            <w:shd w:val="clear" w:color="auto" w:fill="auto"/>
            <w:noWrap/>
            <w:vAlign w:val="center"/>
          </w:tcPr>
          <w:p w14:paraId="76A1897D" w14:textId="77777777" w:rsidR="00C76CE4" w:rsidRPr="00F5596D" w:rsidRDefault="00C76CE4" w:rsidP="003D6A23">
            <w:pPr>
              <w:jc w:val="center"/>
              <w:rPr>
                <w:color w:val="002060"/>
                <w:sz w:val="18"/>
                <w:lang w:val="sr-Cyrl-CS"/>
              </w:rPr>
            </w:pPr>
            <w:r w:rsidRPr="00F5596D">
              <w:rPr>
                <w:color w:val="002060"/>
                <w:sz w:val="18"/>
                <w:lang w:val="sr-Cyrl-CS"/>
              </w:rPr>
              <w:t>4,7</w:t>
            </w:r>
          </w:p>
        </w:tc>
      </w:tr>
      <w:tr w:rsidR="00C76CE4" w:rsidRPr="00F5596D" w14:paraId="58F4E534" w14:textId="77777777" w:rsidTr="003D6A23">
        <w:trPr>
          <w:trHeight w:val="281"/>
          <w:jc w:val="center"/>
        </w:trPr>
        <w:tc>
          <w:tcPr>
            <w:tcW w:w="2590" w:type="pct"/>
            <w:noWrap/>
            <w:vAlign w:val="center"/>
            <w:hideMark/>
          </w:tcPr>
          <w:p w14:paraId="48CE7FB6"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350644AE" w14:textId="77777777" w:rsidR="00C76CE4" w:rsidRPr="00F5596D" w:rsidRDefault="00C76CE4" w:rsidP="003D6A23">
            <w:pPr>
              <w:jc w:val="center"/>
              <w:rPr>
                <w:color w:val="002060"/>
                <w:sz w:val="18"/>
                <w:lang w:val="sr-Cyrl-CS"/>
              </w:rPr>
            </w:pPr>
            <w:r w:rsidRPr="00F5596D">
              <w:rPr>
                <w:color w:val="002060"/>
                <w:sz w:val="18"/>
                <w:lang w:val="sr-Cyrl-CS"/>
              </w:rPr>
              <w:t>1,9</w:t>
            </w:r>
          </w:p>
        </w:tc>
        <w:tc>
          <w:tcPr>
            <w:tcW w:w="604" w:type="pct"/>
            <w:tcBorders>
              <w:top w:val="nil"/>
              <w:left w:val="nil"/>
              <w:bottom w:val="nil"/>
              <w:right w:val="nil"/>
            </w:tcBorders>
            <w:shd w:val="clear" w:color="auto" w:fill="auto"/>
            <w:noWrap/>
            <w:vAlign w:val="center"/>
          </w:tcPr>
          <w:p w14:paraId="4C859FB3" w14:textId="77777777" w:rsidR="00C76CE4" w:rsidRPr="00F5596D" w:rsidRDefault="00C76CE4" w:rsidP="003D6A23">
            <w:pPr>
              <w:jc w:val="center"/>
              <w:rPr>
                <w:color w:val="002060"/>
                <w:sz w:val="18"/>
                <w:lang w:val="sr-Cyrl-CS"/>
              </w:rPr>
            </w:pPr>
            <w:r w:rsidRPr="00F5596D">
              <w:rPr>
                <w:color w:val="002060"/>
                <w:sz w:val="18"/>
                <w:lang w:val="sr-Cyrl-CS"/>
              </w:rPr>
              <w:t>8,3</w:t>
            </w:r>
          </w:p>
        </w:tc>
        <w:tc>
          <w:tcPr>
            <w:tcW w:w="603" w:type="pct"/>
            <w:tcBorders>
              <w:top w:val="nil"/>
              <w:left w:val="nil"/>
              <w:bottom w:val="nil"/>
              <w:right w:val="nil"/>
            </w:tcBorders>
            <w:shd w:val="clear" w:color="auto" w:fill="auto"/>
            <w:noWrap/>
            <w:vAlign w:val="center"/>
          </w:tcPr>
          <w:p w14:paraId="3D4C83B9" w14:textId="77777777" w:rsidR="00C76CE4" w:rsidRPr="00F5596D" w:rsidRDefault="00C76CE4" w:rsidP="003D6A23">
            <w:pPr>
              <w:jc w:val="center"/>
              <w:rPr>
                <w:color w:val="002060"/>
                <w:sz w:val="18"/>
                <w:lang w:val="sr-Cyrl-CS"/>
              </w:rPr>
            </w:pPr>
            <w:r w:rsidRPr="00F5596D">
              <w:rPr>
                <w:color w:val="002060"/>
                <w:sz w:val="18"/>
                <w:lang w:val="sr-Cyrl-CS"/>
              </w:rPr>
              <w:t>5,1</w:t>
            </w:r>
          </w:p>
        </w:tc>
        <w:tc>
          <w:tcPr>
            <w:tcW w:w="600" w:type="pct"/>
            <w:tcBorders>
              <w:top w:val="nil"/>
              <w:left w:val="nil"/>
              <w:bottom w:val="nil"/>
              <w:right w:val="nil"/>
            </w:tcBorders>
            <w:shd w:val="clear" w:color="auto" w:fill="auto"/>
            <w:noWrap/>
            <w:vAlign w:val="center"/>
          </w:tcPr>
          <w:p w14:paraId="3B66270D" w14:textId="77777777" w:rsidR="00C76CE4" w:rsidRPr="00F5596D" w:rsidRDefault="00C76CE4" w:rsidP="003D6A23">
            <w:pPr>
              <w:jc w:val="center"/>
              <w:rPr>
                <w:color w:val="002060"/>
                <w:sz w:val="18"/>
                <w:lang w:val="sr-Cyrl-CS"/>
              </w:rPr>
            </w:pPr>
            <w:r w:rsidRPr="00F5596D">
              <w:rPr>
                <w:color w:val="002060"/>
                <w:sz w:val="18"/>
                <w:lang w:val="sr-Cyrl-CS"/>
              </w:rPr>
              <w:t>2,6</w:t>
            </w:r>
          </w:p>
        </w:tc>
      </w:tr>
      <w:tr w:rsidR="00C76CE4" w:rsidRPr="00F5596D" w14:paraId="77D84F77" w14:textId="77777777" w:rsidTr="003D6A23">
        <w:trPr>
          <w:trHeight w:val="281"/>
          <w:jc w:val="center"/>
        </w:trPr>
        <w:tc>
          <w:tcPr>
            <w:tcW w:w="2590" w:type="pct"/>
            <w:noWrap/>
            <w:vAlign w:val="center"/>
            <w:hideMark/>
          </w:tcPr>
          <w:p w14:paraId="4609E0A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03FCE5BA" w14:textId="77777777" w:rsidR="00C76CE4" w:rsidRPr="00F5596D" w:rsidRDefault="00C76CE4" w:rsidP="003D6A23">
            <w:pPr>
              <w:jc w:val="center"/>
              <w:rPr>
                <w:color w:val="002060"/>
                <w:sz w:val="18"/>
                <w:lang w:val="sr-Cyrl-CS"/>
              </w:rPr>
            </w:pPr>
            <w:r w:rsidRPr="00F5596D">
              <w:rPr>
                <w:color w:val="002060"/>
                <w:sz w:val="18"/>
                <w:lang w:val="sr-Cyrl-CS"/>
              </w:rPr>
              <w:t>3,1</w:t>
            </w:r>
          </w:p>
        </w:tc>
        <w:tc>
          <w:tcPr>
            <w:tcW w:w="604" w:type="pct"/>
            <w:tcBorders>
              <w:top w:val="nil"/>
              <w:left w:val="nil"/>
              <w:bottom w:val="nil"/>
              <w:right w:val="nil"/>
            </w:tcBorders>
            <w:shd w:val="clear" w:color="auto" w:fill="auto"/>
            <w:noWrap/>
            <w:vAlign w:val="center"/>
          </w:tcPr>
          <w:p w14:paraId="1805CFBD" w14:textId="77777777" w:rsidR="00C76CE4" w:rsidRPr="00F5596D" w:rsidRDefault="00C76CE4" w:rsidP="003D6A23">
            <w:pPr>
              <w:jc w:val="center"/>
              <w:rPr>
                <w:color w:val="002060"/>
                <w:sz w:val="18"/>
                <w:lang w:val="sr-Cyrl-CS"/>
              </w:rPr>
            </w:pPr>
            <w:r w:rsidRPr="00F5596D">
              <w:rPr>
                <w:color w:val="002060"/>
                <w:sz w:val="18"/>
                <w:lang w:val="sr-Cyrl-CS"/>
              </w:rPr>
              <w:t>4,4</w:t>
            </w:r>
          </w:p>
        </w:tc>
        <w:tc>
          <w:tcPr>
            <w:tcW w:w="603" w:type="pct"/>
            <w:tcBorders>
              <w:top w:val="nil"/>
              <w:left w:val="nil"/>
              <w:bottom w:val="nil"/>
              <w:right w:val="nil"/>
            </w:tcBorders>
            <w:shd w:val="clear" w:color="auto" w:fill="auto"/>
            <w:noWrap/>
            <w:vAlign w:val="center"/>
          </w:tcPr>
          <w:p w14:paraId="31FF3DDC" w14:textId="77777777" w:rsidR="00C76CE4" w:rsidRPr="00F5596D" w:rsidRDefault="00C76CE4" w:rsidP="003D6A23">
            <w:pPr>
              <w:jc w:val="center"/>
              <w:rPr>
                <w:color w:val="002060"/>
                <w:sz w:val="18"/>
                <w:lang w:val="sr-Cyrl-CS"/>
              </w:rPr>
            </w:pPr>
            <w:r w:rsidRPr="00F5596D">
              <w:rPr>
                <w:color w:val="002060"/>
                <w:sz w:val="18"/>
                <w:lang w:val="sr-Cyrl-CS"/>
              </w:rPr>
              <w:t>5,7</w:t>
            </w:r>
          </w:p>
        </w:tc>
        <w:tc>
          <w:tcPr>
            <w:tcW w:w="600" w:type="pct"/>
            <w:tcBorders>
              <w:top w:val="nil"/>
              <w:left w:val="nil"/>
              <w:bottom w:val="nil"/>
              <w:right w:val="nil"/>
            </w:tcBorders>
            <w:shd w:val="clear" w:color="auto" w:fill="auto"/>
            <w:noWrap/>
            <w:vAlign w:val="center"/>
          </w:tcPr>
          <w:p w14:paraId="27F4DD3E" w14:textId="77777777" w:rsidR="00C76CE4" w:rsidRPr="00F5596D" w:rsidRDefault="00C76CE4" w:rsidP="003D6A23">
            <w:pPr>
              <w:jc w:val="center"/>
              <w:rPr>
                <w:color w:val="002060"/>
                <w:sz w:val="18"/>
                <w:lang w:val="sr-Cyrl-CS"/>
              </w:rPr>
            </w:pPr>
            <w:r w:rsidRPr="00F5596D">
              <w:rPr>
                <w:color w:val="002060"/>
                <w:sz w:val="18"/>
                <w:lang w:val="sr-Cyrl-CS"/>
              </w:rPr>
              <w:t>3,4</w:t>
            </w:r>
          </w:p>
        </w:tc>
      </w:tr>
      <w:tr w:rsidR="00C76CE4" w:rsidRPr="00F5596D" w14:paraId="576BA011" w14:textId="77777777" w:rsidTr="003D6A23">
        <w:trPr>
          <w:trHeight w:val="281"/>
          <w:jc w:val="center"/>
        </w:trPr>
        <w:tc>
          <w:tcPr>
            <w:tcW w:w="2590" w:type="pct"/>
            <w:noWrap/>
            <w:vAlign w:val="center"/>
          </w:tcPr>
          <w:p w14:paraId="406D6E0F"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41240998" w14:textId="77777777" w:rsidR="00C76CE4" w:rsidRPr="00F5596D" w:rsidRDefault="00C76CE4" w:rsidP="003D6A23">
            <w:pPr>
              <w:jc w:val="center"/>
              <w:rPr>
                <w:color w:val="002060"/>
                <w:sz w:val="18"/>
                <w:lang w:val="sr-Cyrl-CS"/>
              </w:rPr>
            </w:pPr>
            <w:r w:rsidRPr="00F5596D">
              <w:rPr>
                <w:color w:val="002060"/>
                <w:sz w:val="18"/>
                <w:lang w:val="sr-Cyrl-CS"/>
              </w:rPr>
              <w:t>2,6</w:t>
            </w:r>
          </w:p>
        </w:tc>
        <w:tc>
          <w:tcPr>
            <w:tcW w:w="604" w:type="pct"/>
            <w:tcBorders>
              <w:top w:val="nil"/>
              <w:left w:val="nil"/>
              <w:bottom w:val="nil"/>
              <w:right w:val="nil"/>
            </w:tcBorders>
            <w:shd w:val="clear" w:color="auto" w:fill="auto"/>
            <w:noWrap/>
            <w:vAlign w:val="center"/>
          </w:tcPr>
          <w:p w14:paraId="1E90E563" w14:textId="77777777" w:rsidR="00C76CE4" w:rsidRPr="00F5596D" w:rsidRDefault="00C76CE4" w:rsidP="003D6A23">
            <w:pPr>
              <w:jc w:val="center"/>
              <w:rPr>
                <w:color w:val="002060"/>
                <w:sz w:val="18"/>
                <w:lang w:val="sr-Cyrl-CS"/>
              </w:rPr>
            </w:pPr>
            <w:r w:rsidRPr="00F5596D">
              <w:rPr>
                <w:color w:val="002060"/>
                <w:sz w:val="18"/>
                <w:lang w:val="sr-Cyrl-CS"/>
              </w:rPr>
              <w:t>3,7</w:t>
            </w:r>
          </w:p>
        </w:tc>
        <w:tc>
          <w:tcPr>
            <w:tcW w:w="603" w:type="pct"/>
            <w:tcBorders>
              <w:top w:val="nil"/>
              <w:left w:val="nil"/>
              <w:bottom w:val="nil"/>
              <w:right w:val="nil"/>
            </w:tcBorders>
            <w:shd w:val="clear" w:color="auto" w:fill="auto"/>
            <w:noWrap/>
            <w:vAlign w:val="center"/>
          </w:tcPr>
          <w:p w14:paraId="37BCC049" w14:textId="77777777" w:rsidR="00C76CE4" w:rsidRPr="00F5596D" w:rsidRDefault="00C76CE4" w:rsidP="003D6A23">
            <w:pPr>
              <w:jc w:val="center"/>
              <w:rPr>
                <w:color w:val="002060"/>
                <w:sz w:val="18"/>
                <w:lang w:val="sr-Cyrl-CS"/>
              </w:rPr>
            </w:pPr>
            <w:r w:rsidRPr="00F5596D">
              <w:rPr>
                <w:color w:val="002060"/>
                <w:sz w:val="18"/>
                <w:lang w:val="sr-Cyrl-CS"/>
              </w:rPr>
              <w:t>4,6</w:t>
            </w:r>
          </w:p>
        </w:tc>
        <w:tc>
          <w:tcPr>
            <w:tcW w:w="600" w:type="pct"/>
            <w:tcBorders>
              <w:top w:val="nil"/>
              <w:left w:val="nil"/>
              <w:bottom w:val="nil"/>
              <w:right w:val="nil"/>
            </w:tcBorders>
            <w:shd w:val="clear" w:color="auto" w:fill="auto"/>
            <w:noWrap/>
            <w:vAlign w:val="center"/>
          </w:tcPr>
          <w:p w14:paraId="5F2988A2" w14:textId="77777777" w:rsidR="00C76CE4" w:rsidRPr="00F5596D" w:rsidRDefault="00C76CE4" w:rsidP="003D6A23">
            <w:pPr>
              <w:jc w:val="center"/>
              <w:rPr>
                <w:color w:val="002060"/>
                <w:sz w:val="18"/>
                <w:lang w:val="sr-Cyrl-CS"/>
              </w:rPr>
            </w:pPr>
            <w:r w:rsidRPr="00F5596D">
              <w:rPr>
                <w:color w:val="002060"/>
                <w:sz w:val="18"/>
                <w:lang w:val="sr-Cyrl-CS"/>
              </w:rPr>
              <w:t>3,4</w:t>
            </w:r>
          </w:p>
        </w:tc>
      </w:tr>
      <w:tr w:rsidR="00C76CE4" w:rsidRPr="00F5596D" w14:paraId="25A261B9" w14:textId="77777777" w:rsidTr="003D6A23">
        <w:trPr>
          <w:trHeight w:val="281"/>
          <w:jc w:val="center"/>
        </w:trPr>
        <w:tc>
          <w:tcPr>
            <w:tcW w:w="2590" w:type="pct"/>
            <w:shd w:val="clear" w:color="auto" w:fill="E7E6E6" w:themeFill="background2"/>
            <w:noWrap/>
            <w:vAlign w:val="center"/>
            <w:hideMark/>
          </w:tcPr>
          <w:p w14:paraId="56E8979F" w14:textId="77777777" w:rsidR="00C76CE4" w:rsidRPr="00F5596D" w:rsidRDefault="00C76CE4" w:rsidP="003D6A23">
            <w:pPr>
              <w:jc w:val="left"/>
              <w:rPr>
                <w:rFonts w:eastAsia="Calibri" w:cstheme="minorHAnsi"/>
                <w:bCs/>
                <w:color w:val="002060"/>
                <w:sz w:val="18"/>
                <w:szCs w:val="18"/>
                <w:lang w:val="sr-Cyrl-CS"/>
              </w:rPr>
            </w:pPr>
            <w:r w:rsidRPr="00F5596D">
              <w:rPr>
                <w:rFonts w:eastAsia="Calibri" w:cstheme="minorHAnsi"/>
                <w:iCs/>
                <w:color w:val="002060"/>
                <w:sz w:val="18"/>
                <w:szCs w:val="18"/>
                <w:lang w:val="sr-Cyrl-CS"/>
              </w:rPr>
              <w:t>Допринос расту БДП, процентни поени</w:t>
            </w:r>
          </w:p>
        </w:tc>
        <w:tc>
          <w:tcPr>
            <w:tcW w:w="603" w:type="pct"/>
            <w:tcBorders>
              <w:top w:val="nil"/>
              <w:left w:val="nil"/>
              <w:bottom w:val="nil"/>
              <w:right w:val="nil"/>
            </w:tcBorders>
            <w:shd w:val="clear" w:color="000000" w:fill="E7E6E6"/>
            <w:vAlign w:val="center"/>
          </w:tcPr>
          <w:p w14:paraId="340D9ABC" w14:textId="77777777" w:rsidR="00C76CE4" w:rsidRPr="00F5596D" w:rsidRDefault="00C76CE4" w:rsidP="003D6A23">
            <w:pPr>
              <w:jc w:val="center"/>
              <w:rPr>
                <w:rFonts w:eastAsia="Calibri" w:cstheme="minorHAnsi"/>
                <w:bCs/>
                <w:color w:val="002060"/>
                <w:sz w:val="18"/>
                <w:szCs w:val="18"/>
                <w:lang w:val="sr-Cyrl-CS"/>
              </w:rPr>
            </w:pPr>
          </w:p>
        </w:tc>
        <w:tc>
          <w:tcPr>
            <w:tcW w:w="604" w:type="pct"/>
            <w:tcBorders>
              <w:top w:val="nil"/>
              <w:left w:val="nil"/>
              <w:bottom w:val="nil"/>
              <w:right w:val="nil"/>
            </w:tcBorders>
            <w:shd w:val="clear" w:color="000000" w:fill="E7E6E6"/>
            <w:vAlign w:val="center"/>
          </w:tcPr>
          <w:p w14:paraId="08F5EE53" w14:textId="77777777" w:rsidR="00C76CE4" w:rsidRPr="00F5596D" w:rsidRDefault="00C76CE4" w:rsidP="003D6A23">
            <w:pPr>
              <w:jc w:val="center"/>
              <w:rPr>
                <w:rFonts w:eastAsia="Calibri" w:cstheme="minorHAnsi"/>
                <w:bCs/>
                <w:color w:val="002060"/>
                <w:sz w:val="18"/>
                <w:szCs w:val="18"/>
                <w:lang w:val="sr-Cyrl-CS"/>
              </w:rPr>
            </w:pPr>
          </w:p>
        </w:tc>
        <w:tc>
          <w:tcPr>
            <w:tcW w:w="603" w:type="pct"/>
            <w:tcBorders>
              <w:top w:val="nil"/>
              <w:left w:val="nil"/>
              <w:bottom w:val="nil"/>
              <w:right w:val="nil"/>
            </w:tcBorders>
            <w:shd w:val="clear" w:color="000000" w:fill="E7E6E6"/>
            <w:vAlign w:val="center"/>
          </w:tcPr>
          <w:p w14:paraId="5DC49954" w14:textId="77777777" w:rsidR="00C76CE4" w:rsidRPr="00F5596D" w:rsidRDefault="00C76CE4" w:rsidP="003D6A23">
            <w:pPr>
              <w:jc w:val="center"/>
              <w:rPr>
                <w:rFonts w:eastAsia="Calibri" w:cstheme="minorHAnsi"/>
                <w:bCs/>
                <w:color w:val="002060"/>
                <w:sz w:val="18"/>
                <w:szCs w:val="18"/>
                <w:lang w:val="sr-Cyrl-CS"/>
              </w:rPr>
            </w:pPr>
          </w:p>
        </w:tc>
        <w:tc>
          <w:tcPr>
            <w:tcW w:w="600" w:type="pct"/>
            <w:tcBorders>
              <w:top w:val="nil"/>
              <w:left w:val="nil"/>
              <w:bottom w:val="nil"/>
              <w:right w:val="nil"/>
            </w:tcBorders>
            <w:shd w:val="clear" w:color="000000" w:fill="E7E6E6"/>
            <w:vAlign w:val="center"/>
          </w:tcPr>
          <w:p w14:paraId="5A3B07AD" w14:textId="77777777" w:rsidR="00C76CE4" w:rsidRPr="00F5596D" w:rsidRDefault="00C76CE4" w:rsidP="003D6A23">
            <w:pPr>
              <w:jc w:val="center"/>
              <w:rPr>
                <w:rFonts w:eastAsia="Calibri" w:cstheme="minorHAnsi"/>
                <w:bCs/>
                <w:color w:val="002060"/>
                <w:sz w:val="18"/>
                <w:szCs w:val="18"/>
                <w:lang w:val="sr-Cyrl-CS"/>
              </w:rPr>
            </w:pPr>
          </w:p>
        </w:tc>
      </w:tr>
      <w:tr w:rsidR="00C76CE4" w:rsidRPr="00F5596D" w14:paraId="4ED4A37C" w14:textId="77777777" w:rsidTr="003D6A23">
        <w:trPr>
          <w:trHeight w:val="281"/>
          <w:jc w:val="center"/>
        </w:trPr>
        <w:tc>
          <w:tcPr>
            <w:tcW w:w="2590" w:type="pct"/>
            <w:noWrap/>
            <w:vAlign w:val="center"/>
            <w:hideMark/>
          </w:tcPr>
          <w:p w14:paraId="618BC2EF"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Пољопривреда</w:t>
            </w:r>
          </w:p>
        </w:tc>
        <w:tc>
          <w:tcPr>
            <w:tcW w:w="603" w:type="pct"/>
            <w:tcBorders>
              <w:top w:val="nil"/>
              <w:left w:val="nil"/>
              <w:bottom w:val="nil"/>
              <w:right w:val="nil"/>
            </w:tcBorders>
            <w:shd w:val="clear" w:color="auto" w:fill="auto"/>
            <w:noWrap/>
            <w:vAlign w:val="center"/>
          </w:tcPr>
          <w:p w14:paraId="49C224AA" w14:textId="77777777" w:rsidR="00C76CE4" w:rsidRPr="00F5596D" w:rsidRDefault="00C76CE4" w:rsidP="003D6A23">
            <w:pPr>
              <w:jc w:val="center"/>
              <w:rPr>
                <w:color w:val="002060"/>
                <w:sz w:val="18"/>
                <w:lang w:val="sr-Cyrl-CS"/>
              </w:rPr>
            </w:pPr>
            <w:r w:rsidRPr="00F5596D">
              <w:rPr>
                <w:color w:val="002060"/>
                <w:sz w:val="18"/>
                <w:lang w:val="sr-Cyrl-CS"/>
              </w:rPr>
              <w:t>0,3</w:t>
            </w:r>
          </w:p>
        </w:tc>
        <w:tc>
          <w:tcPr>
            <w:tcW w:w="604" w:type="pct"/>
            <w:tcBorders>
              <w:top w:val="nil"/>
              <w:left w:val="nil"/>
              <w:bottom w:val="nil"/>
              <w:right w:val="nil"/>
            </w:tcBorders>
            <w:shd w:val="clear" w:color="auto" w:fill="auto"/>
            <w:noWrap/>
            <w:vAlign w:val="center"/>
          </w:tcPr>
          <w:p w14:paraId="38055F6E" w14:textId="77777777" w:rsidR="00C76CE4" w:rsidRPr="00F5596D" w:rsidRDefault="00C76CE4" w:rsidP="003D6A23">
            <w:pPr>
              <w:jc w:val="center"/>
              <w:rPr>
                <w:color w:val="002060"/>
                <w:sz w:val="18"/>
                <w:lang w:val="sr-Cyrl-CS"/>
              </w:rPr>
            </w:pPr>
            <w:r w:rsidRPr="00F5596D">
              <w:rPr>
                <w:color w:val="002060"/>
                <w:sz w:val="18"/>
                <w:lang w:val="sr-Cyrl-CS"/>
              </w:rPr>
              <w:t>0,0</w:t>
            </w:r>
          </w:p>
        </w:tc>
        <w:tc>
          <w:tcPr>
            <w:tcW w:w="603" w:type="pct"/>
            <w:tcBorders>
              <w:top w:val="nil"/>
              <w:left w:val="nil"/>
              <w:bottom w:val="nil"/>
              <w:right w:val="nil"/>
            </w:tcBorders>
            <w:shd w:val="clear" w:color="auto" w:fill="auto"/>
            <w:noWrap/>
            <w:vAlign w:val="center"/>
          </w:tcPr>
          <w:p w14:paraId="412AD85A" w14:textId="77777777" w:rsidR="00C76CE4" w:rsidRPr="00F5596D" w:rsidRDefault="00C76CE4" w:rsidP="003D6A23">
            <w:pPr>
              <w:jc w:val="center"/>
              <w:rPr>
                <w:color w:val="002060"/>
                <w:sz w:val="18"/>
                <w:lang w:val="sr-Cyrl-CS"/>
              </w:rPr>
            </w:pPr>
            <w:r w:rsidRPr="00F5596D">
              <w:rPr>
                <w:color w:val="002060"/>
                <w:sz w:val="18"/>
                <w:lang w:val="sr-Cyrl-CS"/>
              </w:rPr>
              <w:t>0,0</w:t>
            </w:r>
          </w:p>
        </w:tc>
        <w:tc>
          <w:tcPr>
            <w:tcW w:w="600" w:type="pct"/>
            <w:tcBorders>
              <w:top w:val="nil"/>
              <w:left w:val="nil"/>
              <w:bottom w:val="nil"/>
              <w:right w:val="nil"/>
            </w:tcBorders>
            <w:shd w:val="clear" w:color="auto" w:fill="auto"/>
            <w:noWrap/>
            <w:vAlign w:val="center"/>
          </w:tcPr>
          <w:p w14:paraId="23BAC2EC" w14:textId="77777777" w:rsidR="00C76CE4" w:rsidRPr="00F5596D" w:rsidRDefault="00C76CE4" w:rsidP="003D6A23">
            <w:pPr>
              <w:jc w:val="center"/>
              <w:rPr>
                <w:color w:val="002060"/>
                <w:sz w:val="18"/>
                <w:lang w:val="sr-Cyrl-CS"/>
              </w:rPr>
            </w:pPr>
            <w:r w:rsidRPr="00F5596D">
              <w:rPr>
                <w:color w:val="002060"/>
                <w:sz w:val="18"/>
                <w:lang w:val="sr-Cyrl-CS"/>
              </w:rPr>
              <w:t>0,0</w:t>
            </w:r>
          </w:p>
        </w:tc>
      </w:tr>
      <w:tr w:rsidR="00C76CE4" w:rsidRPr="00F5596D" w14:paraId="3101B2B7" w14:textId="77777777" w:rsidTr="003D6A23">
        <w:trPr>
          <w:trHeight w:val="281"/>
          <w:jc w:val="center"/>
        </w:trPr>
        <w:tc>
          <w:tcPr>
            <w:tcW w:w="2590" w:type="pct"/>
            <w:noWrap/>
            <w:vAlign w:val="center"/>
            <w:hideMark/>
          </w:tcPr>
          <w:p w14:paraId="4E90BE63"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Индустрија</w:t>
            </w:r>
          </w:p>
        </w:tc>
        <w:tc>
          <w:tcPr>
            <w:tcW w:w="603" w:type="pct"/>
            <w:tcBorders>
              <w:top w:val="nil"/>
              <w:left w:val="nil"/>
              <w:bottom w:val="nil"/>
              <w:right w:val="nil"/>
            </w:tcBorders>
            <w:shd w:val="clear" w:color="auto" w:fill="auto"/>
            <w:noWrap/>
            <w:vAlign w:val="center"/>
          </w:tcPr>
          <w:p w14:paraId="21E4BCD9" w14:textId="77777777" w:rsidR="00C76CE4" w:rsidRPr="00F5596D" w:rsidRDefault="00C76CE4" w:rsidP="003D6A23">
            <w:pPr>
              <w:jc w:val="center"/>
              <w:rPr>
                <w:color w:val="002060"/>
                <w:sz w:val="18"/>
                <w:lang w:val="sr-Cyrl-CS"/>
              </w:rPr>
            </w:pPr>
            <w:r w:rsidRPr="00F5596D">
              <w:rPr>
                <w:color w:val="002060"/>
                <w:sz w:val="18"/>
                <w:lang w:val="sr-Cyrl-CS"/>
              </w:rPr>
              <w:t>0,6</w:t>
            </w:r>
          </w:p>
        </w:tc>
        <w:tc>
          <w:tcPr>
            <w:tcW w:w="604" w:type="pct"/>
            <w:tcBorders>
              <w:top w:val="nil"/>
              <w:left w:val="nil"/>
              <w:bottom w:val="nil"/>
              <w:right w:val="nil"/>
            </w:tcBorders>
            <w:shd w:val="clear" w:color="auto" w:fill="auto"/>
            <w:noWrap/>
            <w:vAlign w:val="center"/>
          </w:tcPr>
          <w:p w14:paraId="5F2DA559" w14:textId="77777777" w:rsidR="00C76CE4" w:rsidRPr="00F5596D" w:rsidRDefault="00C76CE4" w:rsidP="003D6A23">
            <w:pPr>
              <w:jc w:val="center"/>
              <w:rPr>
                <w:color w:val="002060"/>
                <w:sz w:val="18"/>
                <w:lang w:val="sr-Cyrl-CS"/>
              </w:rPr>
            </w:pPr>
            <w:r w:rsidRPr="00F5596D">
              <w:rPr>
                <w:color w:val="002060"/>
                <w:sz w:val="18"/>
                <w:lang w:val="sr-Cyrl-CS"/>
              </w:rPr>
              <w:t>0,8</w:t>
            </w:r>
          </w:p>
        </w:tc>
        <w:tc>
          <w:tcPr>
            <w:tcW w:w="603" w:type="pct"/>
            <w:tcBorders>
              <w:top w:val="nil"/>
              <w:left w:val="nil"/>
              <w:bottom w:val="nil"/>
              <w:right w:val="nil"/>
            </w:tcBorders>
            <w:shd w:val="clear" w:color="auto" w:fill="auto"/>
            <w:noWrap/>
            <w:vAlign w:val="center"/>
          </w:tcPr>
          <w:p w14:paraId="752D4356" w14:textId="77777777" w:rsidR="00C76CE4" w:rsidRPr="00F5596D" w:rsidRDefault="00C76CE4" w:rsidP="003D6A23">
            <w:pPr>
              <w:jc w:val="center"/>
              <w:rPr>
                <w:color w:val="002060"/>
                <w:sz w:val="18"/>
                <w:lang w:val="sr-Cyrl-CS"/>
              </w:rPr>
            </w:pPr>
            <w:r w:rsidRPr="00F5596D">
              <w:rPr>
                <w:color w:val="002060"/>
                <w:sz w:val="18"/>
                <w:lang w:val="sr-Cyrl-CS"/>
              </w:rPr>
              <w:t>0,9</w:t>
            </w:r>
          </w:p>
        </w:tc>
        <w:tc>
          <w:tcPr>
            <w:tcW w:w="600" w:type="pct"/>
            <w:tcBorders>
              <w:top w:val="nil"/>
              <w:left w:val="nil"/>
              <w:bottom w:val="nil"/>
              <w:right w:val="nil"/>
            </w:tcBorders>
            <w:shd w:val="clear" w:color="auto" w:fill="auto"/>
            <w:noWrap/>
            <w:vAlign w:val="center"/>
          </w:tcPr>
          <w:p w14:paraId="647D2BAF" w14:textId="77777777" w:rsidR="00C76CE4" w:rsidRPr="00F5596D" w:rsidRDefault="00C76CE4" w:rsidP="003D6A23">
            <w:pPr>
              <w:jc w:val="center"/>
              <w:rPr>
                <w:color w:val="002060"/>
                <w:sz w:val="18"/>
                <w:lang w:val="sr-Cyrl-CS"/>
              </w:rPr>
            </w:pPr>
            <w:r w:rsidRPr="00F5596D">
              <w:rPr>
                <w:color w:val="002060"/>
                <w:sz w:val="18"/>
                <w:lang w:val="sr-Cyrl-CS"/>
              </w:rPr>
              <w:t>1,0</w:t>
            </w:r>
          </w:p>
        </w:tc>
      </w:tr>
      <w:tr w:rsidR="00C76CE4" w:rsidRPr="00F5596D" w14:paraId="6B589536" w14:textId="77777777" w:rsidTr="003D6A23">
        <w:trPr>
          <w:trHeight w:val="281"/>
          <w:jc w:val="center"/>
        </w:trPr>
        <w:tc>
          <w:tcPr>
            <w:tcW w:w="2590" w:type="pct"/>
            <w:noWrap/>
            <w:vAlign w:val="center"/>
            <w:hideMark/>
          </w:tcPr>
          <w:p w14:paraId="2931DDAA"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Грађевинарство</w:t>
            </w:r>
          </w:p>
        </w:tc>
        <w:tc>
          <w:tcPr>
            <w:tcW w:w="603" w:type="pct"/>
            <w:tcBorders>
              <w:top w:val="nil"/>
              <w:left w:val="nil"/>
              <w:bottom w:val="nil"/>
              <w:right w:val="nil"/>
            </w:tcBorders>
            <w:shd w:val="clear" w:color="auto" w:fill="auto"/>
            <w:noWrap/>
            <w:vAlign w:val="center"/>
          </w:tcPr>
          <w:p w14:paraId="79118BA9" w14:textId="77777777" w:rsidR="00C76CE4" w:rsidRPr="00F5596D" w:rsidRDefault="00C76CE4" w:rsidP="003D6A23">
            <w:pPr>
              <w:jc w:val="center"/>
              <w:rPr>
                <w:color w:val="002060"/>
                <w:sz w:val="18"/>
                <w:lang w:val="sr-Cyrl-CS"/>
              </w:rPr>
            </w:pPr>
            <w:r w:rsidRPr="00F5596D">
              <w:rPr>
                <w:color w:val="002060"/>
                <w:sz w:val="18"/>
                <w:lang w:val="sr-Cyrl-CS"/>
              </w:rPr>
              <w:t>0,1</w:t>
            </w:r>
          </w:p>
        </w:tc>
        <w:tc>
          <w:tcPr>
            <w:tcW w:w="604" w:type="pct"/>
            <w:tcBorders>
              <w:top w:val="nil"/>
              <w:left w:val="nil"/>
              <w:bottom w:val="nil"/>
              <w:right w:val="nil"/>
            </w:tcBorders>
            <w:shd w:val="clear" w:color="auto" w:fill="auto"/>
            <w:noWrap/>
            <w:vAlign w:val="center"/>
          </w:tcPr>
          <w:p w14:paraId="3127C87C" w14:textId="77777777" w:rsidR="00C76CE4" w:rsidRPr="00F5596D" w:rsidRDefault="00C76CE4" w:rsidP="003D6A23">
            <w:pPr>
              <w:jc w:val="center"/>
              <w:rPr>
                <w:color w:val="002060"/>
                <w:sz w:val="18"/>
                <w:lang w:val="sr-Cyrl-CS"/>
              </w:rPr>
            </w:pPr>
            <w:r w:rsidRPr="00F5596D">
              <w:rPr>
                <w:color w:val="002060"/>
                <w:sz w:val="18"/>
                <w:lang w:val="sr-Cyrl-CS"/>
              </w:rPr>
              <w:t>0,4</w:t>
            </w:r>
          </w:p>
        </w:tc>
        <w:tc>
          <w:tcPr>
            <w:tcW w:w="603" w:type="pct"/>
            <w:tcBorders>
              <w:top w:val="nil"/>
              <w:left w:val="nil"/>
              <w:bottom w:val="nil"/>
              <w:right w:val="nil"/>
            </w:tcBorders>
            <w:shd w:val="clear" w:color="auto" w:fill="auto"/>
            <w:noWrap/>
            <w:vAlign w:val="center"/>
          </w:tcPr>
          <w:p w14:paraId="5E42FAB6" w14:textId="77777777" w:rsidR="00C76CE4" w:rsidRPr="00F5596D" w:rsidRDefault="00C76CE4" w:rsidP="003D6A23">
            <w:pPr>
              <w:jc w:val="center"/>
              <w:rPr>
                <w:color w:val="002060"/>
                <w:sz w:val="18"/>
                <w:lang w:val="sr-Cyrl-CS"/>
              </w:rPr>
            </w:pPr>
            <w:r w:rsidRPr="00F5596D">
              <w:rPr>
                <w:color w:val="002060"/>
                <w:sz w:val="18"/>
                <w:lang w:val="sr-Cyrl-CS"/>
              </w:rPr>
              <w:t>0,3</w:t>
            </w:r>
          </w:p>
        </w:tc>
        <w:tc>
          <w:tcPr>
            <w:tcW w:w="600" w:type="pct"/>
            <w:tcBorders>
              <w:top w:val="nil"/>
              <w:left w:val="nil"/>
              <w:bottom w:val="nil"/>
              <w:right w:val="nil"/>
            </w:tcBorders>
            <w:shd w:val="clear" w:color="auto" w:fill="auto"/>
            <w:noWrap/>
            <w:vAlign w:val="center"/>
          </w:tcPr>
          <w:p w14:paraId="4A9904C3" w14:textId="77777777" w:rsidR="00C76CE4" w:rsidRPr="00F5596D" w:rsidRDefault="00C76CE4" w:rsidP="003D6A23">
            <w:pPr>
              <w:jc w:val="center"/>
              <w:rPr>
                <w:color w:val="002060"/>
                <w:sz w:val="18"/>
                <w:lang w:val="sr-Cyrl-CS"/>
              </w:rPr>
            </w:pPr>
            <w:r w:rsidRPr="00F5596D">
              <w:rPr>
                <w:color w:val="002060"/>
                <w:sz w:val="18"/>
                <w:lang w:val="sr-Cyrl-CS"/>
              </w:rPr>
              <w:t>0,1</w:t>
            </w:r>
          </w:p>
        </w:tc>
      </w:tr>
      <w:tr w:rsidR="00C76CE4" w:rsidRPr="00F5596D" w14:paraId="579200FC" w14:textId="77777777" w:rsidTr="003D6A23">
        <w:trPr>
          <w:trHeight w:val="281"/>
          <w:jc w:val="center"/>
        </w:trPr>
        <w:tc>
          <w:tcPr>
            <w:tcW w:w="2590" w:type="pct"/>
            <w:noWrap/>
            <w:vAlign w:val="center"/>
            <w:hideMark/>
          </w:tcPr>
          <w:p w14:paraId="406139C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Услуге</w:t>
            </w:r>
          </w:p>
        </w:tc>
        <w:tc>
          <w:tcPr>
            <w:tcW w:w="603" w:type="pct"/>
            <w:tcBorders>
              <w:top w:val="nil"/>
              <w:left w:val="nil"/>
              <w:bottom w:val="nil"/>
              <w:right w:val="nil"/>
            </w:tcBorders>
            <w:shd w:val="clear" w:color="auto" w:fill="auto"/>
            <w:noWrap/>
            <w:vAlign w:val="center"/>
          </w:tcPr>
          <w:p w14:paraId="6CF30047" w14:textId="77777777" w:rsidR="00C76CE4" w:rsidRPr="00F5596D" w:rsidRDefault="00C76CE4" w:rsidP="003D6A23">
            <w:pPr>
              <w:jc w:val="center"/>
              <w:rPr>
                <w:color w:val="002060"/>
                <w:sz w:val="18"/>
                <w:lang w:val="sr-Cyrl-CS"/>
              </w:rPr>
            </w:pPr>
            <w:r w:rsidRPr="00F5596D">
              <w:rPr>
                <w:color w:val="002060"/>
                <w:sz w:val="18"/>
                <w:lang w:val="sr-Cyrl-CS"/>
              </w:rPr>
              <w:t>1,7</w:t>
            </w:r>
          </w:p>
        </w:tc>
        <w:tc>
          <w:tcPr>
            <w:tcW w:w="604" w:type="pct"/>
            <w:tcBorders>
              <w:top w:val="nil"/>
              <w:left w:val="nil"/>
              <w:bottom w:val="nil"/>
              <w:right w:val="nil"/>
            </w:tcBorders>
            <w:shd w:val="clear" w:color="auto" w:fill="auto"/>
            <w:noWrap/>
            <w:vAlign w:val="center"/>
          </w:tcPr>
          <w:p w14:paraId="415E9456" w14:textId="77777777" w:rsidR="00C76CE4" w:rsidRPr="00F5596D" w:rsidRDefault="00C76CE4" w:rsidP="003D6A23">
            <w:pPr>
              <w:jc w:val="center"/>
              <w:rPr>
                <w:color w:val="002060"/>
                <w:sz w:val="18"/>
                <w:lang w:val="sr-Cyrl-CS"/>
              </w:rPr>
            </w:pPr>
            <w:r w:rsidRPr="00F5596D">
              <w:rPr>
                <w:color w:val="002060"/>
                <w:sz w:val="18"/>
                <w:lang w:val="sr-Cyrl-CS"/>
              </w:rPr>
              <w:t>2,5</w:t>
            </w:r>
          </w:p>
        </w:tc>
        <w:tc>
          <w:tcPr>
            <w:tcW w:w="603" w:type="pct"/>
            <w:tcBorders>
              <w:top w:val="nil"/>
              <w:left w:val="nil"/>
              <w:bottom w:val="nil"/>
              <w:right w:val="nil"/>
            </w:tcBorders>
            <w:shd w:val="clear" w:color="auto" w:fill="auto"/>
            <w:noWrap/>
            <w:vAlign w:val="center"/>
          </w:tcPr>
          <w:p w14:paraId="646D7A7C" w14:textId="77777777" w:rsidR="00C76CE4" w:rsidRPr="00F5596D" w:rsidRDefault="00C76CE4" w:rsidP="003D6A23">
            <w:pPr>
              <w:jc w:val="center"/>
              <w:rPr>
                <w:color w:val="002060"/>
                <w:sz w:val="18"/>
                <w:lang w:val="sr-Cyrl-CS"/>
              </w:rPr>
            </w:pPr>
            <w:r w:rsidRPr="00F5596D">
              <w:rPr>
                <w:color w:val="002060"/>
                <w:sz w:val="18"/>
                <w:lang w:val="sr-Cyrl-CS"/>
              </w:rPr>
              <w:t>3,2</w:t>
            </w:r>
          </w:p>
        </w:tc>
        <w:tc>
          <w:tcPr>
            <w:tcW w:w="600" w:type="pct"/>
            <w:tcBorders>
              <w:top w:val="nil"/>
              <w:left w:val="nil"/>
              <w:bottom w:val="nil"/>
              <w:right w:val="nil"/>
            </w:tcBorders>
            <w:shd w:val="clear" w:color="auto" w:fill="auto"/>
            <w:noWrap/>
            <w:vAlign w:val="center"/>
          </w:tcPr>
          <w:p w14:paraId="5700DFAE" w14:textId="77777777" w:rsidR="00C76CE4" w:rsidRPr="00F5596D" w:rsidRDefault="00C76CE4" w:rsidP="003D6A23">
            <w:pPr>
              <w:jc w:val="center"/>
              <w:rPr>
                <w:color w:val="002060"/>
                <w:sz w:val="18"/>
                <w:lang w:val="sr-Cyrl-CS"/>
              </w:rPr>
            </w:pPr>
            <w:r w:rsidRPr="00F5596D">
              <w:rPr>
                <w:color w:val="002060"/>
                <w:sz w:val="18"/>
                <w:lang w:val="sr-Cyrl-CS"/>
              </w:rPr>
              <w:t>1,9</w:t>
            </w:r>
          </w:p>
        </w:tc>
      </w:tr>
      <w:tr w:rsidR="00C76CE4" w:rsidRPr="00F5596D" w14:paraId="07338C5F" w14:textId="77777777" w:rsidTr="003D6A23">
        <w:trPr>
          <w:trHeight w:val="281"/>
          <w:jc w:val="center"/>
        </w:trPr>
        <w:tc>
          <w:tcPr>
            <w:tcW w:w="2590" w:type="pct"/>
            <w:noWrap/>
            <w:vAlign w:val="center"/>
          </w:tcPr>
          <w:p w14:paraId="173C972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Нето порези</w:t>
            </w:r>
          </w:p>
        </w:tc>
        <w:tc>
          <w:tcPr>
            <w:tcW w:w="603" w:type="pct"/>
            <w:tcBorders>
              <w:top w:val="nil"/>
              <w:left w:val="nil"/>
              <w:bottom w:val="nil"/>
              <w:right w:val="nil"/>
            </w:tcBorders>
            <w:shd w:val="clear" w:color="auto" w:fill="auto"/>
            <w:noWrap/>
            <w:vAlign w:val="center"/>
          </w:tcPr>
          <w:p w14:paraId="0A801B60" w14:textId="77777777" w:rsidR="00C76CE4" w:rsidRPr="00F5596D" w:rsidRDefault="00C76CE4" w:rsidP="003D6A23">
            <w:pPr>
              <w:jc w:val="center"/>
              <w:rPr>
                <w:color w:val="002060"/>
                <w:sz w:val="18"/>
                <w:lang w:val="sr-Cyrl-CS"/>
              </w:rPr>
            </w:pPr>
            <w:r w:rsidRPr="00F5596D">
              <w:rPr>
                <w:color w:val="002060"/>
                <w:sz w:val="18"/>
                <w:lang w:val="sr-Cyrl-CS"/>
              </w:rPr>
              <w:t>0,4</w:t>
            </w:r>
          </w:p>
        </w:tc>
        <w:tc>
          <w:tcPr>
            <w:tcW w:w="604" w:type="pct"/>
            <w:tcBorders>
              <w:top w:val="nil"/>
              <w:left w:val="nil"/>
              <w:bottom w:val="nil"/>
              <w:right w:val="nil"/>
            </w:tcBorders>
            <w:shd w:val="clear" w:color="auto" w:fill="auto"/>
            <w:noWrap/>
            <w:vAlign w:val="center"/>
          </w:tcPr>
          <w:p w14:paraId="6FA6E1AD" w14:textId="77777777" w:rsidR="00C76CE4" w:rsidRPr="00F5596D" w:rsidRDefault="00C76CE4" w:rsidP="003D6A23">
            <w:pPr>
              <w:jc w:val="center"/>
              <w:rPr>
                <w:color w:val="002060"/>
                <w:sz w:val="18"/>
                <w:lang w:val="sr-Cyrl-CS"/>
              </w:rPr>
            </w:pPr>
            <w:r w:rsidRPr="00F5596D">
              <w:rPr>
                <w:color w:val="002060"/>
                <w:sz w:val="18"/>
                <w:lang w:val="sr-Cyrl-CS"/>
              </w:rPr>
              <w:t>0,5</w:t>
            </w:r>
          </w:p>
        </w:tc>
        <w:tc>
          <w:tcPr>
            <w:tcW w:w="603" w:type="pct"/>
            <w:tcBorders>
              <w:top w:val="nil"/>
              <w:left w:val="nil"/>
              <w:bottom w:val="nil"/>
              <w:right w:val="nil"/>
            </w:tcBorders>
            <w:shd w:val="clear" w:color="auto" w:fill="auto"/>
            <w:noWrap/>
            <w:vAlign w:val="center"/>
          </w:tcPr>
          <w:p w14:paraId="702CA5B4" w14:textId="77777777" w:rsidR="00C76CE4" w:rsidRPr="00F5596D" w:rsidRDefault="00C76CE4" w:rsidP="003D6A23">
            <w:pPr>
              <w:jc w:val="center"/>
              <w:rPr>
                <w:color w:val="002060"/>
                <w:sz w:val="18"/>
                <w:lang w:val="sr-Cyrl-CS"/>
              </w:rPr>
            </w:pPr>
            <w:r w:rsidRPr="00F5596D">
              <w:rPr>
                <w:color w:val="002060"/>
                <w:sz w:val="18"/>
                <w:lang w:val="sr-Cyrl-CS"/>
              </w:rPr>
              <w:t>0,7</w:t>
            </w:r>
          </w:p>
        </w:tc>
        <w:tc>
          <w:tcPr>
            <w:tcW w:w="600" w:type="pct"/>
            <w:tcBorders>
              <w:top w:val="nil"/>
              <w:left w:val="nil"/>
              <w:bottom w:val="nil"/>
              <w:right w:val="nil"/>
            </w:tcBorders>
            <w:shd w:val="clear" w:color="auto" w:fill="auto"/>
            <w:noWrap/>
            <w:vAlign w:val="center"/>
          </w:tcPr>
          <w:p w14:paraId="7BDDCDF8" w14:textId="77777777" w:rsidR="00C76CE4" w:rsidRPr="00F5596D" w:rsidRDefault="00C76CE4" w:rsidP="003D6A23">
            <w:pPr>
              <w:jc w:val="center"/>
              <w:rPr>
                <w:color w:val="002060"/>
                <w:sz w:val="18"/>
                <w:lang w:val="sr-Cyrl-CS"/>
              </w:rPr>
            </w:pPr>
            <w:r w:rsidRPr="00F5596D">
              <w:rPr>
                <w:color w:val="002060"/>
                <w:sz w:val="18"/>
                <w:lang w:val="sr-Cyrl-CS"/>
              </w:rPr>
              <w:t>0,5</w:t>
            </w:r>
          </w:p>
        </w:tc>
      </w:tr>
      <w:tr w:rsidR="00C76CE4" w:rsidRPr="00F5596D" w14:paraId="64A60E0D" w14:textId="77777777" w:rsidTr="003D6A23">
        <w:trPr>
          <w:trHeight w:val="281"/>
          <w:jc w:val="center"/>
        </w:trPr>
        <w:tc>
          <w:tcPr>
            <w:tcW w:w="2590" w:type="pct"/>
            <w:shd w:val="clear" w:color="auto" w:fill="E7E6E6" w:themeFill="background2"/>
            <w:noWrap/>
            <w:vAlign w:val="center"/>
            <w:hideMark/>
          </w:tcPr>
          <w:p w14:paraId="5F9CD3EE" w14:textId="77777777" w:rsidR="00C76CE4" w:rsidRPr="00F5596D" w:rsidRDefault="00C76CE4" w:rsidP="003D6A23">
            <w:pPr>
              <w:jc w:val="left"/>
              <w:rPr>
                <w:rFonts w:eastAsia="Calibri" w:cstheme="minorHAnsi"/>
                <w:bCs/>
                <w:iCs/>
                <w:color w:val="002060"/>
                <w:sz w:val="18"/>
                <w:szCs w:val="18"/>
                <w:lang w:val="sr-Cyrl-CS"/>
              </w:rPr>
            </w:pPr>
            <w:r w:rsidRPr="00F5596D">
              <w:rPr>
                <w:rFonts w:eastAsia="Calibri" w:cstheme="minorHAnsi"/>
                <w:iCs/>
                <w:color w:val="002060"/>
                <w:sz w:val="18"/>
                <w:szCs w:val="18"/>
                <w:lang w:val="sr-Cyrl-CS"/>
              </w:rPr>
              <w:t>Кретање цена, %</w:t>
            </w:r>
          </w:p>
        </w:tc>
        <w:tc>
          <w:tcPr>
            <w:tcW w:w="603" w:type="pct"/>
            <w:tcBorders>
              <w:top w:val="nil"/>
              <w:left w:val="nil"/>
              <w:bottom w:val="nil"/>
              <w:right w:val="nil"/>
            </w:tcBorders>
            <w:shd w:val="clear" w:color="000000" w:fill="E7E6E6"/>
            <w:noWrap/>
            <w:vAlign w:val="center"/>
          </w:tcPr>
          <w:p w14:paraId="1E7B2CE0" w14:textId="77777777" w:rsidR="00C76CE4" w:rsidRPr="00F5596D" w:rsidRDefault="00C76CE4" w:rsidP="003D6A23">
            <w:pPr>
              <w:jc w:val="center"/>
              <w:rPr>
                <w:rFonts w:eastAsia="Calibri" w:cstheme="minorHAnsi"/>
                <w:iCs/>
                <w:color w:val="002060"/>
                <w:sz w:val="18"/>
                <w:szCs w:val="18"/>
                <w:lang w:val="sr-Cyrl-CS"/>
              </w:rPr>
            </w:pPr>
          </w:p>
        </w:tc>
        <w:tc>
          <w:tcPr>
            <w:tcW w:w="604" w:type="pct"/>
            <w:tcBorders>
              <w:top w:val="nil"/>
              <w:left w:val="nil"/>
              <w:bottom w:val="nil"/>
              <w:right w:val="nil"/>
            </w:tcBorders>
            <w:shd w:val="clear" w:color="000000" w:fill="E7E6E6"/>
            <w:noWrap/>
            <w:vAlign w:val="center"/>
          </w:tcPr>
          <w:p w14:paraId="767557ED" w14:textId="77777777" w:rsidR="00C76CE4" w:rsidRPr="00F5596D" w:rsidRDefault="00C76CE4" w:rsidP="003D6A23">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0EBB150A" w14:textId="77777777" w:rsidR="00C76CE4" w:rsidRPr="00F5596D" w:rsidRDefault="00C76CE4" w:rsidP="003D6A23">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3A22D083" w14:textId="77777777" w:rsidR="00C76CE4" w:rsidRPr="00F5596D" w:rsidRDefault="00C76CE4" w:rsidP="003D6A23">
            <w:pPr>
              <w:jc w:val="center"/>
              <w:rPr>
                <w:rFonts w:eastAsia="Calibri" w:cstheme="minorHAnsi"/>
                <w:color w:val="002060"/>
                <w:sz w:val="18"/>
                <w:szCs w:val="18"/>
                <w:lang w:val="sr-Cyrl-CS"/>
              </w:rPr>
            </w:pPr>
          </w:p>
        </w:tc>
      </w:tr>
      <w:tr w:rsidR="00C76CE4" w:rsidRPr="00F5596D" w14:paraId="554FCB78" w14:textId="77777777" w:rsidTr="003D6A23">
        <w:trPr>
          <w:trHeight w:val="281"/>
          <w:jc w:val="center"/>
        </w:trPr>
        <w:tc>
          <w:tcPr>
            <w:tcW w:w="2590" w:type="pct"/>
            <w:noWrap/>
            <w:vAlign w:val="center"/>
            <w:hideMark/>
          </w:tcPr>
          <w:p w14:paraId="5175E81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БДП дефлатор</w:t>
            </w:r>
          </w:p>
        </w:tc>
        <w:tc>
          <w:tcPr>
            <w:tcW w:w="603" w:type="pct"/>
            <w:tcBorders>
              <w:top w:val="nil"/>
              <w:left w:val="nil"/>
              <w:bottom w:val="nil"/>
              <w:right w:val="nil"/>
            </w:tcBorders>
            <w:shd w:val="clear" w:color="auto" w:fill="auto"/>
            <w:noWrap/>
            <w:vAlign w:val="center"/>
          </w:tcPr>
          <w:p w14:paraId="3356366A" w14:textId="77777777" w:rsidR="00C76CE4" w:rsidRPr="00F5596D" w:rsidRDefault="00C76CE4" w:rsidP="003D6A23">
            <w:pPr>
              <w:jc w:val="center"/>
              <w:rPr>
                <w:color w:val="002060"/>
                <w:sz w:val="18"/>
                <w:lang w:val="sr-Cyrl-CS"/>
              </w:rPr>
            </w:pPr>
            <w:r w:rsidRPr="00F5596D">
              <w:rPr>
                <w:color w:val="002060"/>
                <w:sz w:val="18"/>
                <w:lang w:val="sr-Cyrl-CS"/>
              </w:rPr>
              <w:t>4,1</w:t>
            </w:r>
          </w:p>
        </w:tc>
        <w:tc>
          <w:tcPr>
            <w:tcW w:w="604" w:type="pct"/>
            <w:tcBorders>
              <w:top w:val="nil"/>
              <w:left w:val="nil"/>
              <w:bottom w:val="nil"/>
              <w:right w:val="nil"/>
            </w:tcBorders>
            <w:shd w:val="clear" w:color="auto" w:fill="auto"/>
            <w:noWrap/>
            <w:vAlign w:val="center"/>
          </w:tcPr>
          <w:p w14:paraId="0D725BD9" w14:textId="77777777" w:rsidR="00C76CE4" w:rsidRPr="00F5596D" w:rsidRDefault="00C76CE4" w:rsidP="003D6A23">
            <w:pPr>
              <w:jc w:val="center"/>
              <w:rPr>
                <w:color w:val="002060"/>
                <w:sz w:val="18"/>
                <w:lang w:val="sr-Cyrl-CS"/>
              </w:rPr>
            </w:pPr>
            <w:r w:rsidRPr="00F5596D">
              <w:rPr>
                <w:color w:val="002060"/>
                <w:sz w:val="18"/>
                <w:lang w:val="sr-Cyrl-CS"/>
              </w:rPr>
              <w:t>3,1</w:t>
            </w:r>
          </w:p>
        </w:tc>
        <w:tc>
          <w:tcPr>
            <w:tcW w:w="603" w:type="pct"/>
            <w:tcBorders>
              <w:top w:val="nil"/>
              <w:left w:val="nil"/>
              <w:bottom w:val="nil"/>
              <w:right w:val="nil"/>
            </w:tcBorders>
            <w:shd w:val="clear" w:color="auto" w:fill="auto"/>
            <w:noWrap/>
            <w:vAlign w:val="center"/>
          </w:tcPr>
          <w:p w14:paraId="773A576A" w14:textId="77777777" w:rsidR="00C76CE4" w:rsidRPr="00F5596D" w:rsidRDefault="00C76CE4" w:rsidP="003D6A23">
            <w:pPr>
              <w:jc w:val="center"/>
              <w:rPr>
                <w:color w:val="002060"/>
                <w:sz w:val="18"/>
                <w:lang w:val="sr-Cyrl-CS"/>
              </w:rPr>
            </w:pPr>
            <w:r w:rsidRPr="00F5596D">
              <w:rPr>
                <w:color w:val="002060"/>
                <w:sz w:val="18"/>
                <w:lang w:val="sr-Cyrl-CS"/>
              </w:rPr>
              <w:t>3,0</w:t>
            </w:r>
          </w:p>
        </w:tc>
        <w:tc>
          <w:tcPr>
            <w:tcW w:w="600" w:type="pct"/>
            <w:tcBorders>
              <w:top w:val="nil"/>
              <w:left w:val="nil"/>
              <w:bottom w:val="nil"/>
              <w:right w:val="nil"/>
            </w:tcBorders>
            <w:shd w:val="clear" w:color="auto" w:fill="auto"/>
            <w:noWrap/>
            <w:vAlign w:val="center"/>
          </w:tcPr>
          <w:p w14:paraId="14387792" w14:textId="77777777" w:rsidR="00C76CE4" w:rsidRPr="00F5596D" w:rsidRDefault="00C76CE4" w:rsidP="003D6A23">
            <w:pPr>
              <w:jc w:val="center"/>
              <w:rPr>
                <w:color w:val="002060"/>
                <w:sz w:val="18"/>
                <w:lang w:val="sr-Cyrl-CS"/>
              </w:rPr>
            </w:pPr>
            <w:r w:rsidRPr="00F5596D">
              <w:rPr>
                <w:color w:val="002060"/>
                <w:sz w:val="18"/>
                <w:lang w:val="sr-Cyrl-CS"/>
              </w:rPr>
              <w:t>2,8</w:t>
            </w:r>
          </w:p>
        </w:tc>
      </w:tr>
      <w:tr w:rsidR="00C76CE4" w:rsidRPr="00F5596D" w14:paraId="65B953FF" w14:textId="77777777" w:rsidTr="003D6A23">
        <w:trPr>
          <w:trHeight w:val="281"/>
          <w:jc w:val="center"/>
        </w:trPr>
        <w:tc>
          <w:tcPr>
            <w:tcW w:w="2590" w:type="pct"/>
            <w:noWrap/>
            <w:vAlign w:val="center"/>
            <w:hideMark/>
          </w:tcPr>
          <w:p w14:paraId="713D939B"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Потрошачке цене (годишњи просек)</w:t>
            </w:r>
          </w:p>
        </w:tc>
        <w:tc>
          <w:tcPr>
            <w:tcW w:w="603" w:type="pct"/>
            <w:tcBorders>
              <w:top w:val="nil"/>
              <w:left w:val="nil"/>
              <w:bottom w:val="nil"/>
              <w:right w:val="nil"/>
            </w:tcBorders>
            <w:shd w:val="clear" w:color="auto" w:fill="auto"/>
            <w:noWrap/>
            <w:vAlign w:val="center"/>
          </w:tcPr>
          <w:p w14:paraId="6254996B" w14:textId="77777777" w:rsidR="00C76CE4" w:rsidRPr="00F5596D" w:rsidRDefault="00C76CE4" w:rsidP="003D6A23">
            <w:pPr>
              <w:jc w:val="center"/>
              <w:rPr>
                <w:color w:val="002060"/>
                <w:sz w:val="18"/>
                <w:lang w:val="sr-Cyrl-CS"/>
              </w:rPr>
            </w:pPr>
            <w:r w:rsidRPr="00F5596D">
              <w:rPr>
                <w:color w:val="002060"/>
                <w:sz w:val="18"/>
                <w:lang w:val="sr-Cyrl-CS"/>
              </w:rPr>
              <w:t>4,0</w:t>
            </w:r>
          </w:p>
        </w:tc>
        <w:tc>
          <w:tcPr>
            <w:tcW w:w="604" w:type="pct"/>
            <w:tcBorders>
              <w:top w:val="nil"/>
              <w:left w:val="nil"/>
              <w:bottom w:val="nil"/>
              <w:right w:val="nil"/>
            </w:tcBorders>
            <w:shd w:val="clear" w:color="auto" w:fill="auto"/>
            <w:noWrap/>
            <w:vAlign w:val="center"/>
          </w:tcPr>
          <w:p w14:paraId="628E7E4D" w14:textId="77777777" w:rsidR="00C76CE4" w:rsidRPr="00F5596D" w:rsidRDefault="00C76CE4" w:rsidP="003D6A23">
            <w:pPr>
              <w:jc w:val="center"/>
              <w:rPr>
                <w:color w:val="002060"/>
                <w:sz w:val="18"/>
                <w:lang w:val="sr-Cyrl-CS"/>
              </w:rPr>
            </w:pPr>
            <w:r w:rsidRPr="00F5596D">
              <w:rPr>
                <w:color w:val="002060"/>
                <w:sz w:val="18"/>
                <w:lang w:val="sr-Cyrl-CS"/>
              </w:rPr>
              <w:t>3,5</w:t>
            </w:r>
          </w:p>
        </w:tc>
        <w:tc>
          <w:tcPr>
            <w:tcW w:w="603" w:type="pct"/>
            <w:tcBorders>
              <w:top w:val="nil"/>
              <w:left w:val="nil"/>
              <w:bottom w:val="nil"/>
              <w:right w:val="nil"/>
            </w:tcBorders>
            <w:shd w:val="clear" w:color="auto" w:fill="auto"/>
            <w:noWrap/>
            <w:vAlign w:val="center"/>
          </w:tcPr>
          <w:p w14:paraId="0F904769" w14:textId="77777777" w:rsidR="00C76CE4" w:rsidRPr="00F5596D" w:rsidRDefault="00C76CE4" w:rsidP="003D6A23">
            <w:pPr>
              <w:jc w:val="center"/>
              <w:rPr>
                <w:color w:val="002060"/>
                <w:sz w:val="18"/>
                <w:lang w:val="sr-Cyrl-CS"/>
              </w:rPr>
            </w:pPr>
            <w:r w:rsidRPr="00F5596D">
              <w:rPr>
                <w:color w:val="002060"/>
                <w:sz w:val="18"/>
                <w:lang w:val="sr-Cyrl-CS"/>
              </w:rPr>
              <w:t>3,3</w:t>
            </w:r>
          </w:p>
        </w:tc>
        <w:tc>
          <w:tcPr>
            <w:tcW w:w="600" w:type="pct"/>
            <w:tcBorders>
              <w:top w:val="nil"/>
              <w:left w:val="nil"/>
              <w:bottom w:val="nil"/>
              <w:right w:val="nil"/>
            </w:tcBorders>
            <w:shd w:val="clear" w:color="auto" w:fill="auto"/>
            <w:noWrap/>
            <w:vAlign w:val="center"/>
          </w:tcPr>
          <w:p w14:paraId="2D104F27" w14:textId="77777777" w:rsidR="00C76CE4" w:rsidRPr="00F5596D" w:rsidRDefault="00C76CE4" w:rsidP="003D6A23">
            <w:pPr>
              <w:jc w:val="center"/>
              <w:rPr>
                <w:color w:val="002060"/>
                <w:sz w:val="18"/>
                <w:lang w:val="sr-Cyrl-CS"/>
              </w:rPr>
            </w:pPr>
            <w:r w:rsidRPr="00F5596D">
              <w:rPr>
                <w:color w:val="002060"/>
                <w:sz w:val="18"/>
                <w:lang w:val="sr-Cyrl-CS"/>
              </w:rPr>
              <w:t>3,0</w:t>
            </w:r>
          </w:p>
        </w:tc>
      </w:tr>
      <w:tr w:rsidR="00C76CE4" w:rsidRPr="00F5596D" w14:paraId="2BA32261" w14:textId="77777777" w:rsidTr="003D6A23">
        <w:trPr>
          <w:trHeight w:val="281"/>
          <w:jc w:val="center"/>
        </w:trPr>
        <w:tc>
          <w:tcPr>
            <w:tcW w:w="2590" w:type="pct"/>
            <w:shd w:val="clear" w:color="auto" w:fill="E7E6E6" w:themeFill="background2"/>
            <w:noWrap/>
            <w:vAlign w:val="center"/>
            <w:hideMark/>
          </w:tcPr>
          <w:p w14:paraId="11D84CC2" w14:textId="77777777" w:rsidR="00C76CE4" w:rsidRPr="00F5596D" w:rsidRDefault="00C76CE4" w:rsidP="003D6A23">
            <w:pPr>
              <w:jc w:val="left"/>
              <w:rPr>
                <w:rFonts w:eastAsia="Calibri" w:cstheme="minorHAnsi"/>
                <w:bCs/>
                <w:iCs/>
                <w:color w:val="002060"/>
                <w:sz w:val="18"/>
                <w:szCs w:val="18"/>
                <w:lang w:val="sr-Cyrl-CS"/>
              </w:rPr>
            </w:pPr>
            <w:r w:rsidRPr="00F5596D">
              <w:rPr>
                <w:rFonts w:eastAsia="Calibri" w:cstheme="minorHAnsi"/>
                <w:iCs/>
                <w:color w:val="002060"/>
                <w:sz w:val="18"/>
                <w:szCs w:val="18"/>
                <w:lang w:val="sr-Cyrl-CS"/>
              </w:rPr>
              <w:t>Кретања у спољном сектору, % БДП</w:t>
            </w:r>
          </w:p>
        </w:tc>
        <w:tc>
          <w:tcPr>
            <w:tcW w:w="603" w:type="pct"/>
            <w:tcBorders>
              <w:top w:val="nil"/>
              <w:left w:val="nil"/>
              <w:bottom w:val="nil"/>
              <w:right w:val="nil"/>
            </w:tcBorders>
            <w:shd w:val="clear" w:color="000000" w:fill="E7E6E6"/>
            <w:noWrap/>
            <w:vAlign w:val="center"/>
          </w:tcPr>
          <w:p w14:paraId="32057044" w14:textId="77777777" w:rsidR="00C76CE4" w:rsidRPr="00F5596D" w:rsidRDefault="00C76CE4" w:rsidP="003D6A23">
            <w:pPr>
              <w:jc w:val="center"/>
              <w:rPr>
                <w:rFonts w:eastAsia="Calibri" w:cstheme="minorHAnsi"/>
                <w:color w:val="002060"/>
                <w:sz w:val="18"/>
                <w:szCs w:val="18"/>
                <w:lang w:val="sr-Cyrl-CS"/>
              </w:rPr>
            </w:pPr>
          </w:p>
        </w:tc>
        <w:tc>
          <w:tcPr>
            <w:tcW w:w="604" w:type="pct"/>
            <w:tcBorders>
              <w:top w:val="nil"/>
              <w:left w:val="nil"/>
              <w:bottom w:val="nil"/>
              <w:right w:val="nil"/>
            </w:tcBorders>
            <w:shd w:val="clear" w:color="000000" w:fill="E7E6E6"/>
            <w:noWrap/>
            <w:vAlign w:val="center"/>
          </w:tcPr>
          <w:p w14:paraId="15B0A69D" w14:textId="77777777" w:rsidR="00C76CE4" w:rsidRPr="00F5596D" w:rsidRDefault="00C76CE4" w:rsidP="003D6A23">
            <w:pPr>
              <w:jc w:val="center"/>
              <w:rPr>
                <w:rFonts w:eastAsia="Calibri" w:cstheme="minorHAnsi"/>
                <w:color w:val="002060"/>
                <w:sz w:val="18"/>
                <w:szCs w:val="18"/>
                <w:lang w:val="sr-Cyrl-CS"/>
              </w:rPr>
            </w:pPr>
          </w:p>
        </w:tc>
        <w:tc>
          <w:tcPr>
            <w:tcW w:w="603" w:type="pct"/>
            <w:tcBorders>
              <w:top w:val="nil"/>
              <w:left w:val="nil"/>
              <w:bottom w:val="nil"/>
              <w:right w:val="nil"/>
            </w:tcBorders>
            <w:shd w:val="clear" w:color="000000" w:fill="E7E6E6"/>
            <w:noWrap/>
            <w:vAlign w:val="center"/>
          </w:tcPr>
          <w:p w14:paraId="34F49A92" w14:textId="77777777" w:rsidR="00C76CE4" w:rsidRPr="00F5596D" w:rsidRDefault="00C76CE4" w:rsidP="003D6A23">
            <w:pPr>
              <w:jc w:val="center"/>
              <w:rPr>
                <w:rFonts w:eastAsia="Calibri" w:cstheme="minorHAnsi"/>
                <w:color w:val="002060"/>
                <w:sz w:val="18"/>
                <w:szCs w:val="18"/>
                <w:lang w:val="sr-Cyrl-CS"/>
              </w:rPr>
            </w:pPr>
          </w:p>
        </w:tc>
        <w:tc>
          <w:tcPr>
            <w:tcW w:w="600" w:type="pct"/>
            <w:tcBorders>
              <w:top w:val="nil"/>
              <w:left w:val="nil"/>
              <w:bottom w:val="nil"/>
              <w:right w:val="nil"/>
            </w:tcBorders>
            <w:shd w:val="clear" w:color="000000" w:fill="E7E6E6"/>
            <w:noWrap/>
            <w:vAlign w:val="center"/>
          </w:tcPr>
          <w:p w14:paraId="26DA9C19" w14:textId="77777777" w:rsidR="00C76CE4" w:rsidRPr="00F5596D" w:rsidRDefault="00C76CE4" w:rsidP="003D6A23">
            <w:pPr>
              <w:jc w:val="center"/>
              <w:rPr>
                <w:rFonts w:eastAsia="Calibri" w:cstheme="minorHAnsi"/>
                <w:color w:val="002060"/>
                <w:sz w:val="18"/>
                <w:szCs w:val="18"/>
                <w:lang w:val="sr-Cyrl-CS"/>
              </w:rPr>
            </w:pPr>
          </w:p>
        </w:tc>
      </w:tr>
      <w:tr w:rsidR="00C76CE4" w:rsidRPr="00F5596D" w14:paraId="0988257E" w14:textId="77777777" w:rsidTr="003D6A23">
        <w:trPr>
          <w:trHeight w:val="281"/>
          <w:jc w:val="center"/>
        </w:trPr>
        <w:tc>
          <w:tcPr>
            <w:tcW w:w="2590" w:type="pct"/>
            <w:noWrap/>
            <w:vAlign w:val="center"/>
            <w:hideMark/>
          </w:tcPr>
          <w:p w14:paraId="675F4336" w14:textId="77777777" w:rsidR="00C76CE4" w:rsidRPr="00F5596D" w:rsidRDefault="00C76CE4" w:rsidP="003D6A23">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Салдо текућег рачуна</w:t>
            </w:r>
          </w:p>
        </w:tc>
        <w:tc>
          <w:tcPr>
            <w:tcW w:w="603" w:type="pct"/>
            <w:tcBorders>
              <w:top w:val="nil"/>
              <w:left w:val="nil"/>
              <w:bottom w:val="nil"/>
              <w:right w:val="nil"/>
            </w:tcBorders>
            <w:shd w:val="clear" w:color="auto" w:fill="auto"/>
            <w:noWrap/>
            <w:vAlign w:val="center"/>
          </w:tcPr>
          <w:p w14:paraId="4CA26C0C" w14:textId="77777777" w:rsidR="00C76CE4" w:rsidRPr="00F5596D" w:rsidRDefault="00C76CE4" w:rsidP="003D6A23">
            <w:pPr>
              <w:jc w:val="center"/>
              <w:rPr>
                <w:color w:val="002060"/>
                <w:sz w:val="18"/>
                <w:lang w:val="sr-Cyrl-CS"/>
              </w:rPr>
            </w:pPr>
            <w:r w:rsidRPr="00F5596D">
              <w:rPr>
                <w:color w:val="002060"/>
                <w:sz w:val="18"/>
                <w:lang w:val="sr-Cyrl-CS"/>
              </w:rPr>
              <w:t>-5,0</w:t>
            </w:r>
          </w:p>
        </w:tc>
        <w:tc>
          <w:tcPr>
            <w:tcW w:w="604" w:type="pct"/>
            <w:tcBorders>
              <w:top w:val="nil"/>
              <w:left w:val="nil"/>
              <w:bottom w:val="nil"/>
              <w:right w:val="nil"/>
            </w:tcBorders>
            <w:shd w:val="clear" w:color="auto" w:fill="auto"/>
            <w:noWrap/>
            <w:vAlign w:val="center"/>
          </w:tcPr>
          <w:p w14:paraId="0E17E4C0" w14:textId="77777777" w:rsidR="00C76CE4" w:rsidRPr="00F5596D" w:rsidRDefault="00C76CE4" w:rsidP="003D6A23">
            <w:pPr>
              <w:jc w:val="center"/>
              <w:rPr>
                <w:color w:val="002060"/>
                <w:sz w:val="18"/>
                <w:lang w:val="sr-Cyrl-CS"/>
              </w:rPr>
            </w:pPr>
            <w:r w:rsidRPr="00F5596D">
              <w:rPr>
                <w:color w:val="002060"/>
                <w:sz w:val="18"/>
                <w:lang w:val="sr-Cyrl-CS"/>
              </w:rPr>
              <w:t>-5,4</w:t>
            </w:r>
          </w:p>
        </w:tc>
        <w:tc>
          <w:tcPr>
            <w:tcW w:w="603" w:type="pct"/>
            <w:tcBorders>
              <w:top w:val="nil"/>
              <w:left w:val="nil"/>
              <w:bottom w:val="nil"/>
              <w:right w:val="nil"/>
            </w:tcBorders>
            <w:shd w:val="clear" w:color="auto" w:fill="auto"/>
            <w:noWrap/>
            <w:vAlign w:val="center"/>
          </w:tcPr>
          <w:p w14:paraId="45AF4BCD" w14:textId="77777777" w:rsidR="00C76CE4" w:rsidRPr="00F5596D" w:rsidRDefault="00C76CE4" w:rsidP="003D6A23">
            <w:pPr>
              <w:jc w:val="center"/>
              <w:rPr>
                <w:color w:val="002060"/>
                <w:sz w:val="18"/>
                <w:lang w:val="sr-Cyrl-CS"/>
              </w:rPr>
            </w:pPr>
            <w:r w:rsidRPr="00F5596D">
              <w:rPr>
                <w:color w:val="002060"/>
                <w:sz w:val="18"/>
                <w:lang w:val="sr-Cyrl-CS"/>
              </w:rPr>
              <w:t>-4,1</w:t>
            </w:r>
          </w:p>
        </w:tc>
        <w:tc>
          <w:tcPr>
            <w:tcW w:w="600" w:type="pct"/>
            <w:tcBorders>
              <w:top w:val="nil"/>
              <w:left w:val="nil"/>
              <w:bottom w:val="nil"/>
              <w:right w:val="nil"/>
            </w:tcBorders>
            <w:shd w:val="clear" w:color="auto" w:fill="auto"/>
            <w:noWrap/>
            <w:vAlign w:val="center"/>
          </w:tcPr>
          <w:p w14:paraId="70FBDE32" w14:textId="77777777" w:rsidR="00C76CE4" w:rsidRPr="00F5596D" w:rsidRDefault="00C76CE4" w:rsidP="003D6A23">
            <w:pPr>
              <w:jc w:val="center"/>
              <w:rPr>
                <w:color w:val="002060"/>
                <w:sz w:val="18"/>
                <w:lang w:val="sr-Cyrl-CS"/>
              </w:rPr>
            </w:pPr>
            <w:r w:rsidRPr="00F5596D">
              <w:rPr>
                <w:color w:val="002060"/>
                <w:sz w:val="18"/>
                <w:lang w:val="sr-Cyrl-CS"/>
              </w:rPr>
              <w:t>-4,3</w:t>
            </w:r>
          </w:p>
        </w:tc>
      </w:tr>
      <w:tr w:rsidR="00C76CE4" w:rsidRPr="00F5596D" w14:paraId="4B84BD8E" w14:textId="77777777" w:rsidTr="003D6A23">
        <w:trPr>
          <w:trHeight w:val="283"/>
          <w:jc w:val="center"/>
        </w:trPr>
        <w:tc>
          <w:tcPr>
            <w:tcW w:w="2590" w:type="pct"/>
            <w:shd w:val="clear" w:color="auto" w:fill="E7E6E6" w:themeFill="background2"/>
            <w:noWrap/>
            <w:vAlign w:val="center"/>
            <w:hideMark/>
          </w:tcPr>
          <w:p w14:paraId="47131A08" w14:textId="77777777" w:rsidR="00C76CE4" w:rsidRPr="00F5596D" w:rsidRDefault="00C76CE4" w:rsidP="003D6A23">
            <w:pPr>
              <w:jc w:val="left"/>
              <w:rPr>
                <w:rFonts w:eastAsia="Calibri" w:cstheme="minorHAnsi"/>
                <w:bCs/>
                <w:iCs/>
                <w:color w:val="002060"/>
                <w:sz w:val="18"/>
                <w:szCs w:val="18"/>
                <w:lang w:val="sr-Cyrl-CS"/>
              </w:rPr>
            </w:pPr>
            <w:r w:rsidRPr="00F5596D">
              <w:rPr>
                <w:rFonts w:eastAsia="Calibri" w:cstheme="minorHAnsi"/>
                <w:iCs/>
                <w:color w:val="002060"/>
                <w:sz w:val="18"/>
                <w:szCs w:val="18"/>
                <w:lang w:val="sr-Cyrl-CS"/>
              </w:rPr>
              <w:t>Фискални индикатори, % БДП</w:t>
            </w:r>
          </w:p>
        </w:tc>
        <w:tc>
          <w:tcPr>
            <w:tcW w:w="603" w:type="pct"/>
            <w:shd w:val="clear" w:color="auto" w:fill="E7E6E6" w:themeFill="background2"/>
            <w:noWrap/>
            <w:vAlign w:val="center"/>
          </w:tcPr>
          <w:p w14:paraId="42DA74C8" w14:textId="77777777" w:rsidR="00C76CE4" w:rsidRPr="00F5596D" w:rsidRDefault="00C76CE4" w:rsidP="003D6A23">
            <w:pPr>
              <w:jc w:val="center"/>
              <w:rPr>
                <w:rFonts w:eastAsia="Calibri" w:cstheme="minorHAnsi"/>
                <w:iCs/>
                <w:color w:val="002060"/>
                <w:sz w:val="18"/>
                <w:szCs w:val="18"/>
                <w:lang w:val="sr-Cyrl-CS"/>
              </w:rPr>
            </w:pPr>
          </w:p>
        </w:tc>
        <w:tc>
          <w:tcPr>
            <w:tcW w:w="604" w:type="pct"/>
            <w:shd w:val="clear" w:color="auto" w:fill="E7E6E6" w:themeFill="background2"/>
            <w:noWrap/>
            <w:vAlign w:val="center"/>
          </w:tcPr>
          <w:p w14:paraId="51BEE842" w14:textId="77777777" w:rsidR="00C76CE4" w:rsidRPr="00F5596D" w:rsidRDefault="00C76CE4" w:rsidP="003D6A23">
            <w:pPr>
              <w:jc w:val="center"/>
              <w:rPr>
                <w:rFonts w:eastAsia="Calibri" w:cstheme="minorHAnsi"/>
                <w:color w:val="002060"/>
                <w:sz w:val="18"/>
                <w:szCs w:val="18"/>
                <w:lang w:val="sr-Cyrl-CS"/>
              </w:rPr>
            </w:pPr>
          </w:p>
        </w:tc>
        <w:tc>
          <w:tcPr>
            <w:tcW w:w="603" w:type="pct"/>
            <w:shd w:val="clear" w:color="auto" w:fill="E7E6E6" w:themeFill="background2"/>
            <w:noWrap/>
            <w:vAlign w:val="center"/>
          </w:tcPr>
          <w:p w14:paraId="23E11062" w14:textId="77777777" w:rsidR="00C76CE4" w:rsidRPr="00F5596D" w:rsidRDefault="00C76CE4" w:rsidP="003D6A23">
            <w:pPr>
              <w:jc w:val="center"/>
              <w:rPr>
                <w:rFonts w:eastAsia="Calibri" w:cstheme="minorHAnsi"/>
                <w:color w:val="002060"/>
                <w:sz w:val="18"/>
                <w:szCs w:val="18"/>
                <w:lang w:val="sr-Cyrl-CS"/>
              </w:rPr>
            </w:pPr>
          </w:p>
        </w:tc>
        <w:tc>
          <w:tcPr>
            <w:tcW w:w="600" w:type="pct"/>
            <w:shd w:val="clear" w:color="auto" w:fill="E7E6E6" w:themeFill="background2"/>
            <w:noWrap/>
            <w:vAlign w:val="center"/>
          </w:tcPr>
          <w:p w14:paraId="0C3E425E" w14:textId="77777777" w:rsidR="00C76CE4" w:rsidRPr="00F5596D" w:rsidRDefault="00C76CE4" w:rsidP="003D6A23">
            <w:pPr>
              <w:jc w:val="center"/>
              <w:rPr>
                <w:rFonts w:eastAsia="Calibri" w:cstheme="minorHAnsi"/>
                <w:color w:val="002060"/>
                <w:sz w:val="18"/>
                <w:szCs w:val="18"/>
                <w:lang w:val="sr-Cyrl-CS"/>
              </w:rPr>
            </w:pPr>
          </w:p>
        </w:tc>
      </w:tr>
      <w:tr w:rsidR="00962D2A" w:rsidRPr="00F5596D" w14:paraId="1B4B565D" w14:textId="77777777" w:rsidTr="003D6A23">
        <w:trPr>
          <w:trHeight w:val="281"/>
          <w:jc w:val="center"/>
        </w:trPr>
        <w:tc>
          <w:tcPr>
            <w:tcW w:w="2590" w:type="pct"/>
            <w:noWrap/>
            <w:vAlign w:val="center"/>
            <w:hideMark/>
          </w:tcPr>
          <w:p w14:paraId="3E68CD46" w14:textId="77777777" w:rsidR="00962D2A" w:rsidRPr="00F5596D" w:rsidRDefault="00962D2A" w:rsidP="00962D2A">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Фискални резултат сектора државе</w:t>
            </w:r>
          </w:p>
        </w:tc>
        <w:tc>
          <w:tcPr>
            <w:tcW w:w="603" w:type="pct"/>
            <w:tcBorders>
              <w:top w:val="nil"/>
              <w:left w:val="nil"/>
              <w:bottom w:val="nil"/>
              <w:right w:val="nil"/>
            </w:tcBorders>
            <w:shd w:val="clear" w:color="auto" w:fill="auto"/>
            <w:noWrap/>
            <w:vAlign w:val="center"/>
          </w:tcPr>
          <w:p w14:paraId="5597C45B" w14:textId="2A603539" w:rsidR="00962D2A" w:rsidRPr="00F5596D" w:rsidRDefault="00962D2A" w:rsidP="00962D2A">
            <w:pPr>
              <w:jc w:val="center"/>
              <w:rPr>
                <w:rFonts w:cstheme="minorHAnsi"/>
                <w:color w:val="002060"/>
                <w:sz w:val="18"/>
                <w:lang w:val="sr-Cyrl-CS"/>
              </w:rPr>
            </w:pPr>
            <w:r w:rsidRPr="00F5596D">
              <w:rPr>
                <w:rFonts w:cstheme="minorHAnsi"/>
                <w:color w:val="002060"/>
                <w:sz w:val="18"/>
                <w:lang w:val="sr-Cyrl-CS"/>
              </w:rPr>
              <w:t>-3,0</w:t>
            </w:r>
          </w:p>
        </w:tc>
        <w:tc>
          <w:tcPr>
            <w:tcW w:w="604" w:type="pct"/>
            <w:tcBorders>
              <w:top w:val="nil"/>
              <w:left w:val="nil"/>
              <w:bottom w:val="nil"/>
              <w:right w:val="nil"/>
            </w:tcBorders>
            <w:shd w:val="clear" w:color="auto" w:fill="auto"/>
            <w:noWrap/>
            <w:vAlign w:val="center"/>
          </w:tcPr>
          <w:p w14:paraId="3A54AD4D" w14:textId="47E68B9F" w:rsidR="00962D2A" w:rsidRPr="00F5596D" w:rsidRDefault="00962D2A" w:rsidP="00962D2A">
            <w:pPr>
              <w:jc w:val="center"/>
              <w:rPr>
                <w:rFonts w:cstheme="minorHAnsi"/>
                <w:color w:val="002060"/>
                <w:sz w:val="18"/>
                <w:lang w:val="sr-Cyrl-CS"/>
              </w:rPr>
            </w:pPr>
            <w:r w:rsidRPr="00F5596D">
              <w:rPr>
                <w:rFonts w:cstheme="minorHAnsi"/>
                <w:color w:val="002060"/>
                <w:sz w:val="18"/>
                <w:lang w:val="sr-Cyrl-CS"/>
              </w:rPr>
              <w:t>-3,0</w:t>
            </w:r>
          </w:p>
        </w:tc>
        <w:tc>
          <w:tcPr>
            <w:tcW w:w="603" w:type="pct"/>
            <w:tcBorders>
              <w:top w:val="nil"/>
              <w:left w:val="nil"/>
              <w:bottom w:val="nil"/>
              <w:right w:val="nil"/>
            </w:tcBorders>
            <w:shd w:val="clear" w:color="auto" w:fill="auto"/>
            <w:noWrap/>
            <w:vAlign w:val="center"/>
          </w:tcPr>
          <w:p w14:paraId="5D893F6F" w14:textId="72872A46" w:rsidR="00962D2A" w:rsidRPr="00F5596D" w:rsidRDefault="00962D2A" w:rsidP="00962D2A">
            <w:pPr>
              <w:jc w:val="center"/>
              <w:rPr>
                <w:rFonts w:cstheme="minorHAnsi"/>
                <w:color w:val="002060"/>
                <w:sz w:val="18"/>
                <w:lang w:val="sr-Cyrl-CS"/>
              </w:rPr>
            </w:pPr>
            <w:r w:rsidRPr="00F5596D">
              <w:rPr>
                <w:rFonts w:cstheme="minorHAnsi"/>
                <w:color w:val="002060"/>
                <w:sz w:val="18"/>
                <w:lang w:val="sr-Cyrl-CS"/>
              </w:rPr>
              <w:t>-3,0</w:t>
            </w:r>
          </w:p>
        </w:tc>
        <w:tc>
          <w:tcPr>
            <w:tcW w:w="600" w:type="pct"/>
            <w:tcBorders>
              <w:top w:val="nil"/>
              <w:left w:val="nil"/>
              <w:bottom w:val="nil"/>
              <w:right w:val="nil"/>
            </w:tcBorders>
            <w:shd w:val="clear" w:color="auto" w:fill="auto"/>
            <w:noWrap/>
            <w:vAlign w:val="center"/>
          </w:tcPr>
          <w:p w14:paraId="755364B4" w14:textId="466DC5A0" w:rsidR="00962D2A" w:rsidRPr="00F5596D" w:rsidRDefault="00962D2A" w:rsidP="00962D2A">
            <w:pPr>
              <w:jc w:val="center"/>
              <w:rPr>
                <w:rFonts w:cstheme="minorHAnsi"/>
                <w:color w:val="002060"/>
                <w:sz w:val="18"/>
                <w:lang w:val="sr-Cyrl-CS"/>
              </w:rPr>
            </w:pPr>
            <w:r w:rsidRPr="00F5596D">
              <w:rPr>
                <w:rFonts w:cstheme="minorHAnsi"/>
                <w:color w:val="002060"/>
                <w:sz w:val="18"/>
                <w:lang w:val="sr-Cyrl-CS"/>
              </w:rPr>
              <w:t>-2,5</w:t>
            </w:r>
          </w:p>
        </w:tc>
      </w:tr>
      <w:tr w:rsidR="00962D2A" w:rsidRPr="00F5596D" w14:paraId="35ACEE3D" w14:textId="77777777" w:rsidTr="003D6A23">
        <w:trPr>
          <w:trHeight w:val="281"/>
          <w:jc w:val="center"/>
        </w:trPr>
        <w:tc>
          <w:tcPr>
            <w:tcW w:w="2590" w:type="pct"/>
            <w:noWrap/>
            <w:vAlign w:val="center"/>
            <w:hideMark/>
          </w:tcPr>
          <w:p w14:paraId="343CE2C3" w14:textId="77777777" w:rsidR="00962D2A" w:rsidRPr="00F5596D" w:rsidRDefault="00962D2A" w:rsidP="00962D2A">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Консолидовани приходи</w:t>
            </w:r>
          </w:p>
        </w:tc>
        <w:tc>
          <w:tcPr>
            <w:tcW w:w="603" w:type="pct"/>
            <w:tcBorders>
              <w:top w:val="nil"/>
              <w:left w:val="nil"/>
              <w:bottom w:val="nil"/>
              <w:right w:val="nil"/>
            </w:tcBorders>
            <w:shd w:val="clear" w:color="auto" w:fill="auto"/>
            <w:noWrap/>
            <w:vAlign w:val="center"/>
          </w:tcPr>
          <w:p w14:paraId="1ED4166D" w14:textId="7C437140"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40,9</w:t>
            </w:r>
          </w:p>
        </w:tc>
        <w:tc>
          <w:tcPr>
            <w:tcW w:w="604" w:type="pct"/>
            <w:tcBorders>
              <w:top w:val="nil"/>
              <w:left w:val="nil"/>
              <w:bottom w:val="nil"/>
              <w:right w:val="nil"/>
            </w:tcBorders>
            <w:shd w:val="clear" w:color="auto" w:fill="auto"/>
            <w:noWrap/>
            <w:vAlign w:val="center"/>
          </w:tcPr>
          <w:p w14:paraId="496D274B" w14:textId="425C9431"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40,4</w:t>
            </w:r>
          </w:p>
        </w:tc>
        <w:tc>
          <w:tcPr>
            <w:tcW w:w="603" w:type="pct"/>
            <w:tcBorders>
              <w:top w:val="nil"/>
              <w:left w:val="nil"/>
              <w:bottom w:val="nil"/>
              <w:right w:val="nil"/>
            </w:tcBorders>
            <w:shd w:val="clear" w:color="auto" w:fill="auto"/>
            <w:noWrap/>
            <w:vAlign w:val="center"/>
          </w:tcPr>
          <w:p w14:paraId="7B893DF6" w14:textId="74AE0406"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40,1</w:t>
            </w:r>
          </w:p>
        </w:tc>
        <w:tc>
          <w:tcPr>
            <w:tcW w:w="600" w:type="pct"/>
            <w:tcBorders>
              <w:top w:val="nil"/>
              <w:left w:val="nil"/>
              <w:bottom w:val="nil"/>
              <w:right w:val="nil"/>
            </w:tcBorders>
            <w:shd w:val="clear" w:color="auto" w:fill="auto"/>
            <w:noWrap/>
            <w:vAlign w:val="center"/>
          </w:tcPr>
          <w:p w14:paraId="5B1AFEC7" w14:textId="52DD4D6B"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39,9</w:t>
            </w:r>
          </w:p>
        </w:tc>
      </w:tr>
      <w:tr w:rsidR="00962D2A" w:rsidRPr="00F5596D" w14:paraId="51E82567" w14:textId="77777777" w:rsidTr="003D6A23">
        <w:trPr>
          <w:trHeight w:val="281"/>
          <w:jc w:val="center"/>
        </w:trPr>
        <w:tc>
          <w:tcPr>
            <w:tcW w:w="2590" w:type="pct"/>
            <w:noWrap/>
            <w:vAlign w:val="center"/>
            <w:hideMark/>
          </w:tcPr>
          <w:p w14:paraId="463C5AC0" w14:textId="77777777" w:rsidR="00962D2A" w:rsidRPr="00F5596D" w:rsidRDefault="00962D2A" w:rsidP="00962D2A">
            <w:pPr>
              <w:ind w:left="113"/>
              <w:jc w:val="left"/>
              <w:rPr>
                <w:rFonts w:eastAsia="Calibri" w:cstheme="minorHAnsi"/>
                <w:color w:val="002060"/>
                <w:sz w:val="18"/>
                <w:szCs w:val="18"/>
                <w:lang w:val="sr-Cyrl-CS"/>
              </w:rPr>
            </w:pPr>
            <w:r w:rsidRPr="00F5596D">
              <w:rPr>
                <w:rFonts w:eastAsia="Calibri" w:cstheme="minorHAnsi"/>
                <w:color w:val="002060"/>
                <w:sz w:val="18"/>
                <w:szCs w:val="18"/>
                <w:lang w:val="sr-Cyrl-CS"/>
              </w:rPr>
              <w:t>Консолидовани расходи</w:t>
            </w:r>
          </w:p>
        </w:tc>
        <w:tc>
          <w:tcPr>
            <w:tcW w:w="603" w:type="pct"/>
            <w:tcBorders>
              <w:top w:val="nil"/>
              <w:left w:val="nil"/>
              <w:right w:val="nil"/>
            </w:tcBorders>
            <w:shd w:val="clear" w:color="auto" w:fill="auto"/>
            <w:noWrap/>
            <w:vAlign w:val="center"/>
          </w:tcPr>
          <w:p w14:paraId="14724142" w14:textId="0EEFE9CD"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43,9</w:t>
            </w:r>
          </w:p>
        </w:tc>
        <w:tc>
          <w:tcPr>
            <w:tcW w:w="604" w:type="pct"/>
            <w:tcBorders>
              <w:top w:val="nil"/>
              <w:left w:val="nil"/>
              <w:right w:val="nil"/>
            </w:tcBorders>
            <w:shd w:val="clear" w:color="auto" w:fill="auto"/>
            <w:noWrap/>
            <w:vAlign w:val="center"/>
          </w:tcPr>
          <w:p w14:paraId="7E3E3BB8" w14:textId="24E90E7A"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43,4</w:t>
            </w:r>
          </w:p>
        </w:tc>
        <w:tc>
          <w:tcPr>
            <w:tcW w:w="603" w:type="pct"/>
            <w:tcBorders>
              <w:top w:val="nil"/>
              <w:left w:val="nil"/>
              <w:right w:val="nil"/>
            </w:tcBorders>
            <w:shd w:val="clear" w:color="auto" w:fill="auto"/>
            <w:noWrap/>
            <w:vAlign w:val="center"/>
          </w:tcPr>
          <w:p w14:paraId="3485EB45" w14:textId="1BDD3038"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43,1</w:t>
            </w:r>
          </w:p>
        </w:tc>
        <w:tc>
          <w:tcPr>
            <w:tcW w:w="600" w:type="pct"/>
            <w:tcBorders>
              <w:top w:val="nil"/>
              <w:left w:val="nil"/>
              <w:right w:val="nil"/>
            </w:tcBorders>
            <w:shd w:val="clear" w:color="auto" w:fill="auto"/>
            <w:noWrap/>
            <w:vAlign w:val="center"/>
          </w:tcPr>
          <w:p w14:paraId="109F7F6D" w14:textId="0F8F9C47"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42,4</w:t>
            </w:r>
          </w:p>
        </w:tc>
      </w:tr>
      <w:tr w:rsidR="00962D2A" w:rsidRPr="00F5596D" w14:paraId="7D3D6264" w14:textId="77777777" w:rsidTr="003D6A23">
        <w:trPr>
          <w:trHeight w:val="281"/>
          <w:jc w:val="center"/>
        </w:trPr>
        <w:tc>
          <w:tcPr>
            <w:tcW w:w="2590" w:type="pct"/>
            <w:tcBorders>
              <w:bottom w:val="single" w:sz="4" w:space="0" w:color="002060"/>
            </w:tcBorders>
            <w:noWrap/>
            <w:vAlign w:val="center"/>
            <w:hideMark/>
          </w:tcPr>
          <w:p w14:paraId="51EFD215" w14:textId="77777777" w:rsidR="00962D2A" w:rsidRPr="00F5596D" w:rsidRDefault="00962D2A" w:rsidP="00962D2A">
            <w:pPr>
              <w:ind w:left="113"/>
              <w:jc w:val="left"/>
              <w:rPr>
                <w:rFonts w:eastAsia="Calibri" w:cstheme="minorHAnsi"/>
                <w:bCs/>
                <w:color w:val="002060"/>
                <w:sz w:val="18"/>
                <w:szCs w:val="18"/>
                <w:lang w:val="sr-Cyrl-CS"/>
              </w:rPr>
            </w:pPr>
            <w:r w:rsidRPr="00F5596D">
              <w:rPr>
                <w:rFonts w:eastAsia="Calibri" w:cstheme="minorHAnsi"/>
                <w:color w:val="002060"/>
                <w:sz w:val="18"/>
                <w:szCs w:val="18"/>
                <w:lang w:val="sr-Cyrl-CS"/>
              </w:rPr>
              <w:t>Бруто дуг сектора државе</w:t>
            </w:r>
          </w:p>
        </w:tc>
        <w:tc>
          <w:tcPr>
            <w:tcW w:w="603" w:type="pct"/>
            <w:tcBorders>
              <w:top w:val="nil"/>
              <w:left w:val="nil"/>
              <w:bottom w:val="single" w:sz="4" w:space="0" w:color="002060"/>
              <w:right w:val="nil"/>
            </w:tcBorders>
            <w:shd w:val="clear" w:color="auto" w:fill="auto"/>
            <w:noWrap/>
            <w:vAlign w:val="center"/>
          </w:tcPr>
          <w:p w14:paraId="785B5E85" w14:textId="4C51A78F"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46,8</w:t>
            </w:r>
          </w:p>
        </w:tc>
        <w:tc>
          <w:tcPr>
            <w:tcW w:w="604" w:type="pct"/>
            <w:tcBorders>
              <w:top w:val="nil"/>
              <w:left w:val="nil"/>
              <w:bottom w:val="single" w:sz="4" w:space="0" w:color="002060"/>
              <w:right w:val="nil"/>
            </w:tcBorders>
            <w:shd w:val="clear" w:color="auto" w:fill="auto"/>
            <w:noWrap/>
            <w:vAlign w:val="center"/>
          </w:tcPr>
          <w:p w14:paraId="64460DEC" w14:textId="7395F901"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46,5</w:t>
            </w:r>
          </w:p>
        </w:tc>
        <w:tc>
          <w:tcPr>
            <w:tcW w:w="603" w:type="pct"/>
            <w:tcBorders>
              <w:top w:val="nil"/>
              <w:left w:val="nil"/>
              <w:bottom w:val="single" w:sz="4" w:space="0" w:color="002060"/>
              <w:right w:val="nil"/>
            </w:tcBorders>
            <w:shd w:val="clear" w:color="auto" w:fill="auto"/>
            <w:noWrap/>
            <w:vAlign w:val="center"/>
          </w:tcPr>
          <w:p w14:paraId="6E910F71" w14:textId="5B7E9652"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46,3</w:t>
            </w:r>
          </w:p>
        </w:tc>
        <w:tc>
          <w:tcPr>
            <w:tcW w:w="600" w:type="pct"/>
            <w:tcBorders>
              <w:top w:val="nil"/>
              <w:left w:val="nil"/>
              <w:bottom w:val="single" w:sz="4" w:space="0" w:color="002060"/>
              <w:right w:val="nil"/>
            </w:tcBorders>
            <w:shd w:val="clear" w:color="auto" w:fill="auto"/>
            <w:noWrap/>
            <w:vAlign w:val="center"/>
          </w:tcPr>
          <w:p w14:paraId="4E0A53CB" w14:textId="2259A47A" w:rsidR="00962D2A" w:rsidRPr="00F5596D" w:rsidRDefault="00962D2A" w:rsidP="00962D2A">
            <w:pPr>
              <w:jc w:val="center"/>
              <w:rPr>
                <w:rFonts w:cstheme="minorHAnsi"/>
                <w:color w:val="002060"/>
                <w:sz w:val="18"/>
                <w:szCs w:val="18"/>
                <w:lang w:val="sr-Cyrl-CS"/>
              </w:rPr>
            </w:pPr>
            <w:r w:rsidRPr="00F5596D">
              <w:rPr>
                <w:rFonts w:cstheme="minorHAnsi"/>
                <w:color w:val="002060"/>
                <w:sz w:val="18"/>
                <w:szCs w:val="18"/>
                <w:lang w:val="sr-Cyrl-CS"/>
              </w:rPr>
              <w:t>46,2</w:t>
            </w:r>
          </w:p>
        </w:tc>
      </w:tr>
      <w:bookmarkEnd w:id="84"/>
    </w:tbl>
    <w:p w14:paraId="5D4175F7" w14:textId="62469D75" w:rsidR="001F7FAB" w:rsidRPr="00F5596D" w:rsidRDefault="001F7FAB" w:rsidP="008D31CC">
      <w:pPr>
        <w:rPr>
          <w:rFonts w:ascii="Calibri" w:eastAsia="Calibri" w:hAnsi="Calibri" w:cs="Calibri"/>
          <w:color w:val="44546A"/>
          <w:lang w:val="sr-Cyrl-CS"/>
        </w:rPr>
        <w:sectPr w:rsidR="001F7FAB" w:rsidRPr="00F5596D" w:rsidSect="00AF2DEB">
          <w:type w:val="continuous"/>
          <w:pgSz w:w="12240" w:h="15840" w:code="1"/>
          <w:pgMar w:top="0" w:right="1440" w:bottom="1440" w:left="1440" w:header="720" w:footer="720" w:gutter="0"/>
          <w:cols w:space="720"/>
          <w:titlePg/>
          <w:docGrid w:linePitch="360"/>
        </w:sectPr>
      </w:pPr>
    </w:p>
    <w:tbl>
      <w:tblPr>
        <w:tblStyle w:val="ListTable1Light-Accent3"/>
        <w:tblpPr w:leftFromText="180" w:rightFromText="180" w:vertAnchor="text" w:horzAnchor="margin" w:tblpY="597"/>
        <w:tblW w:w="4800" w:type="pct"/>
        <w:tblLook w:val="04A0" w:firstRow="1" w:lastRow="0" w:firstColumn="1" w:lastColumn="0" w:noHBand="0" w:noVBand="1"/>
      </w:tblPr>
      <w:tblGrid>
        <w:gridCol w:w="2756"/>
        <w:gridCol w:w="983"/>
        <w:gridCol w:w="984"/>
        <w:gridCol w:w="995"/>
        <w:gridCol w:w="962"/>
        <w:gridCol w:w="1037"/>
        <w:gridCol w:w="976"/>
        <w:gridCol w:w="1029"/>
        <w:gridCol w:w="1029"/>
        <w:gridCol w:w="1029"/>
        <w:gridCol w:w="1029"/>
        <w:gridCol w:w="1015"/>
      </w:tblGrid>
      <w:tr w:rsidR="003B151E" w:rsidRPr="00F5596D" w14:paraId="17BC9BF6" w14:textId="77777777" w:rsidTr="003B151E">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97" w:type="pct"/>
            <w:tcBorders>
              <w:top w:val="single" w:sz="4" w:space="0" w:color="auto"/>
              <w:bottom w:val="single" w:sz="4" w:space="0" w:color="auto"/>
            </w:tcBorders>
            <w:noWrap/>
            <w:hideMark/>
          </w:tcPr>
          <w:p w14:paraId="769486BA" w14:textId="739247B6" w:rsidR="000A6C38" w:rsidRPr="00F5596D" w:rsidRDefault="000A6C38" w:rsidP="003B151E">
            <w:pPr>
              <w:tabs>
                <w:tab w:val="center" w:pos="4680"/>
                <w:tab w:val="right" w:pos="9360"/>
              </w:tabs>
              <w:rPr>
                <w:rFonts w:ascii="Calibri" w:hAnsi="Calibri" w:cs="Calibri"/>
                <w:color w:val="002060"/>
                <w:sz w:val="14"/>
                <w:szCs w:val="14"/>
                <w:lang w:val="sr-Cyrl-CS"/>
              </w:rPr>
            </w:pPr>
            <w:r w:rsidRPr="00F5596D">
              <w:rPr>
                <w:rFonts w:ascii="Calibri" w:hAnsi="Calibri" w:cs="Calibri"/>
                <w:color w:val="002060"/>
                <w:sz w:val="14"/>
                <w:szCs w:val="14"/>
                <w:lang w:val="sr-Cyrl-CS"/>
              </w:rPr>
              <w:lastRenderedPageBreak/>
              <w:t> </w:t>
            </w:r>
          </w:p>
        </w:tc>
        <w:tc>
          <w:tcPr>
            <w:tcW w:w="356" w:type="pct"/>
            <w:tcBorders>
              <w:top w:val="single" w:sz="4" w:space="0" w:color="auto"/>
              <w:bottom w:val="single" w:sz="4" w:space="0" w:color="auto"/>
            </w:tcBorders>
            <w:vAlign w:val="center"/>
            <w:hideMark/>
          </w:tcPr>
          <w:p w14:paraId="3B017D37" w14:textId="3E5856DB"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Сектор државе</w:t>
            </w:r>
          </w:p>
        </w:tc>
        <w:tc>
          <w:tcPr>
            <w:tcW w:w="356" w:type="pct"/>
            <w:tcBorders>
              <w:top w:val="single" w:sz="4" w:space="0" w:color="auto"/>
              <w:bottom w:val="single" w:sz="4" w:space="0" w:color="auto"/>
            </w:tcBorders>
            <w:vAlign w:val="center"/>
            <w:hideMark/>
          </w:tcPr>
          <w:p w14:paraId="432D7355" w14:textId="1C5B66D1"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Буџет Републике</w:t>
            </w:r>
          </w:p>
        </w:tc>
        <w:tc>
          <w:tcPr>
            <w:tcW w:w="360" w:type="pct"/>
            <w:tcBorders>
              <w:top w:val="single" w:sz="4" w:space="0" w:color="auto"/>
              <w:bottom w:val="single" w:sz="4" w:space="0" w:color="auto"/>
            </w:tcBorders>
            <w:vAlign w:val="center"/>
            <w:hideMark/>
          </w:tcPr>
          <w:p w14:paraId="41AE613D"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Јединице локалне самоуправе</w:t>
            </w:r>
          </w:p>
        </w:tc>
        <w:tc>
          <w:tcPr>
            <w:tcW w:w="348" w:type="pct"/>
            <w:tcBorders>
              <w:top w:val="single" w:sz="4" w:space="0" w:color="auto"/>
              <w:bottom w:val="single" w:sz="4" w:space="0" w:color="auto"/>
            </w:tcBorders>
            <w:vAlign w:val="center"/>
            <w:hideMark/>
          </w:tcPr>
          <w:p w14:paraId="59D54770" w14:textId="64F3988F"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Градови и општине</w:t>
            </w:r>
          </w:p>
        </w:tc>
        <w:tc>
          <w:tcPr>
            <w:tcW w:w="375" w:type="pct"/>
            <w:tcBorders>
              <w:top w:val="single" w:sz="4" w:space="0" w:color="auto"/>
              <w:bottom w:val="single" w:sz="4" w:space="0" w:color="auto"/>
            </w:tcBorders>
            <w:noWrap/>
            <w:vAlign w:val="center"/>
            <w:hideMark/>
          </w:tcPr>
          <w:p w14:paraId="66226B34" w14:textId="26DE94D4"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AП Војводина</w:t>
            </w:r>
          </w:p>
        </w:tc>
        <w:tc>
          <w:tcPr>
            <w:tcW w:w="353" w:type="pct"/>
            <w:tcBorders>
              <w:top w:val="single" w:sz="4" w:space="0" w:color="auto"/>
              <w:bottom w:val="single" w:sz="4" w:space="0" w:color="auto"/>
            </w:tcBorders>
            <w:vAlign w:val="center"/>
            <w:hideMark/>
          </w:tcPr>
          <w:p w14:paraId="517789B9"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Ванбуџетски корисници</w:t>
            </w:r>
          </w:p>
        </w:tc>
        <w:tc>
          <w:tcPr>
            <w:tcW w:w="372" w:type="pct"/>
            <w:tcBorders>
              <w:top w:val="single" w:sz="4" w:space="0" w:color="auto"/>
              <w:bottom w:val="single" w:sz="4" w:space="0" w:color="auto"/>
            </w:tcBorders>
            <w:noWrap/>
            <w:vAlign w:val="center"/>
            <w:hideMark/>
          </w:tcPr>
          <w:p w14:paraId="71EB6442"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ООСО</w:t>
            </w:r>
          </w:p>
        </w:tc>
        <w:tc>
          <w:tcPr>
            <w:tcW w:w="372" w:type="pct"/>
            <w:tcBorders>
              <w:top w:val="single" w:sz="4" w:space="0" w:color="auto"/>
              <w:bottom w:val="single" w:sz="4" w:space="0" w:color="auto"/>
            </w:tcBorders>
            <w:noWrap/>
            <w:vAlign w:val="center"/>
            <w:hideMark/>
          </w:tcPr>
          <w:p w14:paraId="6E7220F3"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Фонд ПИО</w:t>
            </w:r>
          </w:p>
        </w:tc>
        <w:tc>
          <w:tcPr>
            <w:tcW w:w="372" w:type="pct"/>
            <w:tcBorders>
              <w:top w:val="single" w:sz="4" w:space="0" w:color="auto"/>
              <w:bottom w:val="single" w:sz="4" w:space="0" w:color="auto"/>
            </w:tcBorders>
            <w:noWrap/>
            <w:vAlign w:val="center"/>
            <w:hideMark/>
          </w:tcPr>
          <w:p w14:paraId="2B66F68D"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РФЗО</w:t>
            </w:r>
          </w:p>
        </w:tc>
        <w:tc>
          <w:tcPr>
            <w:tcW w:w="372" w:type="pct"/>
            <w:tcBorders>
              <w:top w:val="single" w:sz="4" w:space="0" w:color="auto"/>
              <w:bottom w:val="single" w:sz="4" w:space="0" w:color="auto"/>
            </w:tcBorders>
            <w:noWrap/>
            <w:vAlign w:val="center"/>
            <w:hideMark/>
          </w:tcPr>
          <w:p w14:paraId="280D44D5"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НСЗ</w:t>
            </w:r>
          </w:p>
        </w:tc>
        <w:tc>
          <w:tcPr>
            <w:tcW w:w="368" w:type="pct"/>
            <w:tcBorders>
              <w:top w:val="single" w:sz="4" w:space="0" w:color="auto"/>
              <w:bottom w:val="single" w:sz="4" w:space="0" w:color="auto"/>
            </w:tcBorders>
            <w:noWrap/>
            <w:vAlign w:val="center"/>
            <w:hideMark/>
          </w:tcPr>
          <w:p w14:paraId="20166F68" w14:textId="77777777" w:rsidR="000A6C38" w:rsidRPr="00F5596D" w:rsidRDefault="000A6C38" w:rsidP="003B151E">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CS"/>
              </w:rPr>
            </w:pPr>
            <w:r w:rsidRPr="00F5596D">
              <w:rPr>
                <w:rFonts w:ascii="Calibri" w:hAnsi="Calibri" w:cs="Calibri"/>
                <w:b w:val="0"/>
                <w:color w:val="002060"/>
                <w:sz w:val="14"/>
                <w:szCs w:val="14"/>
                <w:lang w:val="sr-Cyrl-CS"/>
              </w:rPr>
              <w:t>Фонд СОВО</w:t>
            </w:r>
          </w:p>
        </w:tc>
      </w:tr>
      <w:tr w:rsidR="003B151E" w:rsidRPr="00F5596D" w14:paraId="7C1FECDB" w14:textId="77777777" w:rsidTr="003B151E">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997" w:type="pct"/>
            <w:tcBorders>
              <w:top w:val="single" w:sz="4" w:space="0" w:color="auto"/>
              <w:bottom w:val="single" w:sz="4" w:space="0" w:color="auto"/>
            </w:tcBorders>
            <w:shd w:val="clear" w:color="auto" w:fill="auto"/>
            <w:noWrap/>
            <w:hideMark/>
          </w:tcPr>
          <w:p w14:paraId="39B7E22B" w14:textId="7965338D" w:rsidR="000A6C38" w:rsidRPr="00F5596D" w:rsidRDefault="000A6C38" w:rsidP="003B151E">
            <w:pPr>
              <w:tabs>
                <w:tab w:val="center" w:pos="4680"/>
                <w:tab w:val="right" w:pos="9360"/>
              </w:tabs>
              <w:rPr>
                <w:rFonts w:ascii="Calibri" w:hAnsi="Calibri" w:cs="Calibri"/>
                <w:color w:val="002060"/>
                <w:sz w:val="14"/>
                <w:szCs w:val="14"/>
                <w:lang w:val="sr-Cyrl-CS"/>
              </w:rPr>
            </w:pPr>
            <w:r w:rsidRPr="00F5596D">
              <w:rPr>
                <w:rFonts w:ascii="Calibri" w:hAnsi="Calibri" w:cs="Calibri"/>
                <w:color w:val="002060"/>
                <w:sz w:val="14"/>
                <w:szCs w:val="14"/>
                <w:lang w:val="sr-Cyrl-CS"/>
              </w:rPr>
              <w:t> </w:t>
            </w:r>
          </w:p>
        </w:tc>
        <w:tc>
          <w:tcPr>
            <w:tcW w:w="356" w:type="pct"/>
            <w:tcBorders>
              <w:top w:val="single" w:sz="4" w:space="0" w:color="auto"/>
              <w:bottom w:val="single" w:sz="4" w:space="0" w:color="auto"/>
            </w:tcBorders>
            <w:shd w:val="clear" w:color="auto" w:fill="auto"/>
            <w:hideMark/>
          </w:tcPr>
          <w:p w14:paraId="5E6C4F21"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1=2+3+6+7</w:t>
            </w:r>
          </w:p>
        </w:tc>
        <w:tc>
          <w:tcPr>
            <w:tcW w:w="356" w:type="pct"/>
            <w:tcBorders>
              <w:top w:val="single" w:sz="4" w:space="0" w:color="auto"/>
              <w:bottom w:val="single" w:sz="4" w:space="0" w:color="auto"/>
            </w:tcBorders>
            <w:shd w:val="clear" w:color="auto" w:fill="auto"/>
            <w:hideMark/>
          </w:tcPr>
          <w:p w14:paraId="7C249813"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2</w:t>
            </w:r>
          </w:p>
        </w:tc>
        <w:tc>
          <w:tcPr>
            <w:tcW w:w="360" w:type="pct"/>
            <w:tcBorders>
              <w:top w:val="single" w:sz="4" w:space="0" w:color="auto"/>
              <w:bottom w:val="single" w:sz="4" w:space="0" w:color="auto"/>
            </w:tcBorders>
            <w:shd w:val="clear" w:color="auto" w:fill="auto"/>
            <w:hideMark/>
          </w:tcPr>
          <w:p w14:paraId="22EB111B"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3=4+5</w:t>
            </w:r>
          </w:p>
        </w:tc>
        <w:tc>
          <w:tcPr>
            <w:tcW w:w="348" w:type="pct"/>
            <w:tcBorders>
              <w:top w:val="single" w:sz="4" w:space="0" w:color="auto"/>
              <w:bottom w:val="single" w:sz="4" w:space="0" w:color="auto"/>
            </w:tcBorders>
            <w:shd w:val="clear" w:color="auto" w:fill="auto"/>
            <w:hideMark/>
          </w:tcPr>
          <w:p w14:paraId="2EFC0A8F"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4</w:t>
            </w:r>
          </w:p>
        </w:tc>
        <w:tc>
          <w:tcPr>
            <w:tcW w:w="375" w:type="pct"/>
            <w:tcBorders>
              <w:top w:val="single" w:sz="4" w:space="0" w:color="auto"/>
              <w:bottom w:val="single" w:sz="4" w:space="0" w:color="auto"/>
            </w:tcBorders>
            <w:shd w:val="clear" w:color="auto" w:fill="auto"/>
            <w:noWrap/>
            <w:hideMark/>
          </w:tcPr>
          <w:p w14:paraId="162DC9F2"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5</w:t>
            </w:r>
          </w:p>
        </w:tc>
        <w:tc>
          <w:tcPr>
            <w:tcW w:w="353" w:type="pct"/>
            <w:tcBorders>
              <w:top w:val="single" w:sz="4" w:space="0" w:color="auto"/>
              <w:bottom w:val="single" w:sz="4" w:space="0" w:color="auto"/>
            </w:tcBorders>
            <w:shd w:val="clear" w:color="auto" w:fill="auto"/>
            <w:noWrap/>
            <w:hideMark/>
          </w:tcPr>
          <w:p w14:paraId="75A91304"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6</w:t>
            </w:r>
          </w:p>
        </w:tc>
        <w:tc>
          <w:tcPr>
            <w:tcW w:w="372" w:type="pct"/>
            <w:tcBorders>
              <w:top w:val="single" w:sz="4" w:space="0" w:color="auto"/>
              <w:bottom w:val="single" w:sz="4" w:space="0" w:color="auto"/>
            </w:tcBorders>
            <w:shd w:val="clear" w:color="auto" w:fill="auto"/>
            <w:noWrap/>
            <w:hideMark/>
          </w:tcPr>
          <w:p w14:paraId="724B72F1"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7=8+9+10+11</w:t>
            </w:r>
          </w:p>
        </w:tc>
        <w:tc>
          <w:tcPr>
            <w:tcW w:w="372" w:type="pct"/>
            <w:tcBorders>
              <w:top w:val="single" w:sz="4" w:space="0" w:color="auto"/>
              <w:bottom w:val="single" w:sz="4" w:space="0" w:color="auto"/>
            </w:tcBorders>
            <w:shd w:val="clear" w:color="auto" w:fill="auto"/>
            <w:noWrap/>
            <w:hideMark/>
          </w:tcPr>
          <w:p w14:paraId="5385765E"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8</w:t>
            </w:r>
          </w:p>
        </w:tc>
        <w:tc>
          <w:tcPr>
            <w:tcW w:w="372" w:type="pct"/>
            <w:tcBorders>
              <w:top w:val="single" w:sz="4" w:space="0" w:color="auto"/>
              <w:bottom w:val="single" w:sz="4" w:space="0" w:color="auto"/>
            </w:tcBorders>
            <w:shd w:val="clear" w:color="auto" w:fill="auto"/>
            <w:noWrap/>
            <w:hideMark/>
          </w:tcPr>
          <w:p w14:paraId="421AE6DD" w14:textId="77777777" w:rsidR="000A6C38" w:rsidRPr="00F5596D" w:rsidRDefault="000A6C38" w:rsidP="003B151E">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9</w:t>
            </w:r>
          </w:p>
        </w:tc>
        <w:tc>
          <w:tcPr>
            <w:tcW w:w="372" w:type="pct"/>
            <w:tcBorders>
              <w:top w:val="single" w:sz="4" w:space="0" w:color="auto"/>
              <w:bottom w:val="single" w:sz="4" w:space="0" w:color="auto"/>
            </w:tcBorders>
            <w:shd w:val="clear" w:color="auto" w:fill="auto"/>
            <w:noWrap/>
            <w:hideMark/>
          </w:tcPr>
          <w:p w14:paraId="1D1789A6" w14:textId="77777777" w:rsidR="000A6C38" w:rsidRPr="00F5596D" w:rsidRDefault="000A6C38" w:rsidP="003B151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10</w:t>
            </w:r>
          </w:p>
        </w:tc>
        <w:tc>
          <w:tcPr>
            <w:tcW w:w="368" w:type="pct"/>
            <w:tcBorders>
              <w:top w:val="single" w:sz="4" w:space="0" w:color="auto"/>
              <w:bottom w:val="single" w:sz="4" w:space="0" w:color="auto"/>
            </w:tcBorders>
            <w:shd w:val="clear" w:color="auto" w:fill="auto"/>
            <w:noWrap/>
            <w:hideMark/>
          </w:tcPr>
          <w:p w14:paraId="2B086538" w14:textId="77777777" w:rsidR="000A6C38" w:rsidRPr="00F5596D" w:rsidRDefault="000A6C38" w:rsidP="003B151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CS"/>
              </w:rPr>
            </w:pPr>
            <w:r w:rsidRPr="00F5596D">
              <w:rPr>
                <w:rFonts w:ascii="Calibri" w:hAnsi="Calibri" w:cs="Calibri"/>
                <w:color w:val="002060"/>
                <w:sz w:val="14"/>
                <w:szCs w:val="14"/>
                <w:lang w:val="sr-Cyrl-CS"/>
              </w:rPr>
              <w:t>11</w:t>
            </w:r>
          </w:p>
        </w:tc>
      </w:tr>
      <w:tr w:rsidR="003B151E" w:rsidRPr="00F5596D" w14:paraId="03D79FA9"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single" w:sz="4" w:space="0" w:color="auto"/>
            </w:tcBorders>
            <w:shd w:val="clear" w:color="auto" w:fill="BFBFBF" w:themeFill="background1" w:themeFillShade="BF"/>
            <w:noWrap/>
            <w:vAlign w:val="bottom"/>
            <w:hideMark/>
          </w:tcPr>
          <w:p w14:paraId="6FCE93C1" w14:textId="77777777" w:rsidR="000A6C38" w:rsidRPr="00F5596D" w:rsidRDefault="000A6C38" w:rsidP="003B151E">
            <w:pPr>
              <w:tabs>
                <w:tab w:val="center" w:pos="4680"/>
                <w:tab w:val="right" w:pos="9360"/>
              </w:tabs>
              <w:rPr>
                <w:rFonts w:cstheme="minorHAnsi"/>
                <w:color w:val="002060"/>
                <w:sz w:val="14"/>
                <w:szCs w:val="14"/>
                <w:lang w:val="sr-Cyrl-CS"/>
              </w:rPr>
            </w:pPr>
            <w:r w:rsidRPr="00F5596D">
              <w:rPr>
                <w:rFonts w:cstheme="minorHAnsi"/>
                <w:color w:val="002060"/>
                <w:sz w:val="14"/>
                <w:szCs w:val="14"/>
                <w:lang w:val="sr-Cyrl-CS"/>
              </w:rPr>
              <w:t>Јавни приходи</w:t>
            </w:r>
          </w:p>
        </w:tc>
        <w:tc>
          <w:tcPr>
            <w:tcW w:w="356" w:type="pct"/>
            <w:tcBorders>
              <w:top w:val="single" w:sz="4" w:space="0" w:color="auto"/>
            </w:tcBorders>
            <w:shd w:val="clear" w:color="auto" w:fill="BFBFBF" w:themeFill="background1" w:themeFillShade="BF"/>
            <w:noWrap/>
            <w:hideMark/>
          </w:tcPr>
          <w:p w14:paraId="6307393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4.482,5</w:t>
            </w:r>
          </w:p>
        </w:tc>
        <w:tc>
          <w:tcPr>
            <w:tcW w:w="356" w:type="pct"/>
            <w:tcBorders>
              <w:top w:val="single" w:sz="4" w:space="0" w:color="auto"/>
            </w:tcBorders>
            <w:shd w:val="clear" w:color="auto" w:fill="BFBFBF" w:themeFill="background1" w:themeFillShade="BF"/>
            <w:noWrap/>
            <w:hideMark/>
          </w:tcPr>
          <w:p w14:paraId="272BC92E" w14:textId="12BB7DFD"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2.338,7</w:t>
            </w:r>
          </w:p>
        </w:tc>
        <w:tc>
          <w:tcPr>
            <w:tcW w:w="360" w:type="pct"/>
            <w:tcBorders>
              <w:top w:val="single" w:sz="4" w:space="0" w:color="auto"/>
            </w:tcBorders>
            <w:shd w:val="clear" w:color="auto" w:fill="BFBFBF" w:themeFill="background1" w:themeFillShade="BF"/>
            <w:noWrap/>
            <w:hideMark/>
          </w:tcPr>
          <w:p w14:paraId="55D1B26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534,7</w:t>
            </w:r>
          </w:p>
        </w:tc>
        <w:tc>
          <w:tcPr>
            <w:tcW w:w="348" w:type="pct"/>
            <w:tcBorders>
              <w:top w:val="single" w:sz="4" w:space="0" w:color="auto"/>
            </w:tcBorders>
            <w:shd w:val="clear" w:color="auto" w:fill="BFBFBF" w:themeFill="background1" w:themeFillShade="BF"/>
            <w:noWrap/>
            <w:hideMark/>
          </w:tcPr>
          <w:p w14:paraId="68B58782"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486,0</w:t>
            </w:r>
          </w:p>
        </w:tc>
        <w:tc>
          <w:tcPr>
            <w:tcW w:w="375" w:type="pct"/>
            <w:tcBorders>
              <w:top w:val="single" w:sz="4" w:space="0" w:color="auto"/>
            </w:tcBorders>
            <w:shd w:val="clear" w:color="auto" w:fill="BFBFBF" w:themeFill="background1" w:themeFillShade="BF"/>
            <w:noWrap/>
            <w:hideMark/>
          </w:tcPr>
          <w:p w14:paraId="171C769F" w14:textId="2CBAEDC2"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48,7</w:t>
            </w:r>
          </w:p>
        </w:tc>
        <w:tc>
          <w:tcPr>
            <w:tcW w:w="353" w:type="pct"/>
            <w:tcBorders>
              <w:top w:val="single" w:sz="4" w:space="0" w:color="auto"/>
            </w:tcBorders>
            <w:shd w:val="clear" w:color="auto" w:fill="BFBFBF" w:themeFill="background1" w:themeFillShade="BF"/>
            <w:noWrap/>
            <w:hideMark/>
          </w:tcPr>
          <w:p w14:paraId="39FF76E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83,3</w:t>
            </w:r>
          </w:p>
        </w:tc>
        <w:tc>
          <w:tcPr>
            <w:tcW w:w="372" w:type="pct"/>
            <w:tcBorders>
              <w:top w:val="single" w:sz="4" w:space="0" w:color="auto"/>
            </w:tcBorders>
            <w:shd w:val="clear" w:color="auto" w:fill="BFBFBF" w:themeFill="background1" w:themeFillShade="BF"/>
            <w:noWrap/>
            <w:hideMark/>
          </w:tcPr>
          <w:p w14:paraId="18820850" w14:textId="0C687D10"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1.525,8</w:t>
            </w:r>
          </w:p>
        </w:tc>
        <w:tc>
          <w:tcPr>
            <w:tcW w:w="372" w:type="pct"/>
            <w:tcBorders>
              <w:top w:val="single" w:sz="4" w:space="0" w:color="auto"/>
            </w:tcBorders>
            <w:shd w:val="clear" w:color="auto" w:fill="BFBFBF" w:themeFill="background1" w:themeFillShade="BF"/>
            <w:noWrap/>
            <w:hideMark/>
          </w:tcPr>
          <w:p w14:paraId="4F85B0F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1.029,2</w:t>
            </w:r>
          </w:p>
        </w:tc>
        <w:tc>
          <w:tcPr>
            <w:tcW w:w="372" w:type="pct"/>
            <w:tcBorders>
              <w:top w:val="single" w:sz="4" w:space="0" w:color="auto"/>
            </w:tcBorders>
            <w:shd w:val="clear" w:color="auto" w:fill="BFBFBF" w:themeFill="background1" w:themeFillShade="BF"/>
            <w:noWrap/>
            <w:hideMark/>
          </w:tcPr>
          <w:p w14:paraId="56E2CDA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459,5</w:t>
            </w:r>
          </w:p>
        </w:tc>
        <w:tc>
          <w:tcPr>
            <w:tcW w:w="372" w:type="pct"/>
            <w:tcBorders>
              <w:top w:val="single" w:sz="4" w:space="0" w:color="auto"/>
            </w:tcBorders>
            <w:shd w:val="clear" w:color="auto" w:fill="BFBFBF" w:themeFill="background1" w:themeFillShade="BF"/>
            <w:noWrap/>
            <w:hideMark/>
          </w:tcPr>
          <w:p w14:paraId="55F80B95"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31,9</w:t>
            </w:r>
          </w:p>
        </w:tc>
        <w:tc>
          <w:tcPr>
            <w:tcW w:w="368" w:type="pct"/>
            <w:tcBorders>
              <w:top w:val="single" w:sz="4" w:space="0" w:color="auto"/>
            </w:tcBorders>
            <w:shd w:val="clear" w:color="auto" w:fill="BFBFBF" w:themeFill="background1" w:themeFillShade="BF"/>
            <w:noWrap/>
            <w:hideMark/>
          </w:tcPr>
          <w:p w14:paraId="27E12866"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5,1</w:t>
            </w:r>
          </w:p>
        </w:tc>
      </w:tr>
      <w:tr w:rsidR="003B151E" w:rsidRPr="00F5596D" w14:paraId="2380D6AB"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214B844"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Текући приходи</w:t>
            </w:r>
          </w:p>
        </w:tc>
        <w:tc>
          <w:tcPr>
            <w:tcW w:w="356" w:type="pct"/>
            <w:tcBorders>
              <w:top w:val="nil"/>
            </w:tcBorders>
            <w:shd w:val="clear" w:color="auto" w:fill="FFFFFF" w:themeFill="background1"/>
            <w:noWrap/>
            <w:hideMark/>
          </w:tcPr>
          <w:p w14:paraId="6FEDC01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4.442,1</w:t>
            </w:r>
          </w:p>
        </w:tc>
        <w:tc>
          <w:tcPr>
            <w:tcW w:w="356" w:type="pct"/>
            <w:tcBorders>
              <w:top w:val="nil"/>
            </w:tcBorders>
            <w:shd w:val="clear" w:color="auto" w:fill="FFFFFF" w:themeFill="background1"/>
            <w:noWrap/>
            <w:hideMark/>
          </w:tcPr>
          <w:p w14:paraId="0EEE7BAA" w14:textId="5A225D06"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2.301,7</w:t>
            </w:r>
          </w:p>
        </w:tc>
        <w:tc>
          <w:tcPr>
            <w:tcW w:w="360" w:type="pct"/>
            <w:tcBorders>
              <w:top w:val="nil"/>
            </w:tcBorders>
            <w:shd w:val="clear" w:color="auto" w:fill="FFFFFF" w:themeFill="background1"/>
            <w:noWrap/>
            <w:hideMark/>
          </w:tcPr>
          <w:p w14:paraId="6E0ADC6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531,7</w:t>
            </w:r>
          </w:p>
        </w:tc>
        <w:tc>
          <w:tcPr>
            <w:tcW w:w="348" w:type="pct"/>
            <w:tcBorders>
              <w:top w:val="nil"/>
            </w:tcBorders>
            <w:shd w:val="clear" w:color="auto" w:fill="FFFFFF" w:themeFill="background1"/>
            <w:noWrap/>
            <w:hideMark/>
          </w:tcPr>
          <w:p w14:paraId="31B57B3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483,0</w:t>
            </w:r>
          </w:p>
        </w:tc>
        <w:tc>
          <w:tcPr>
            <w:tcW w:w="375" w:type="pct"/>
            <w:tcBorders>
              <w:top w:val="nil"/>
            </w:tcBorders>
            <w:shd w:val="clear" w:color="auto" w:fill="FFFFFF" w:themeFill="background1"/>
            <w:noWrap/>
            <w:hideMark/>
          </w:tcPr>
          <w:p w14:paraId="1A4497C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48,7</w:t>
            </w:r>
          </w:p>
        </w:tc>
        <w:tc>
          <w:tcPr>
            <w:tcW w:w="353" w:type="pct"/>
            <w:tcBorders>
              <w:top w:val="nil"/>
            </w:tcBorders>
            <w:shd w:val="clear" w:color="auto" w:fill="FFFFFF" w:themeFill="background1"/>
            <w:noWrap/>
            <w:hideMark/>
          </w:tcPr>
          <w:p w14:paraId="547F092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83,3</w:t>
            </w:r>
          </w:p>
        </w:tc>
        <w:tc>
          <w:tcPr>
            <w:tcW w:w="372" w:type="pct"/>
            <w:tcBorders>
              <w:top w:val="nil"/>
            </w:tcBorders>
            <w:shd w:val="clear" w:color="auto" w:fill="FFFFFF" w:themeFill="background1"/>
            <w:noWrap/>
            <w:hideMark/>
          </w:tcPr>
          <w:p w14:paraId="288FEE6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1.525,5</w:t>
            </w:r>
          </w:p>
        </w:tc>
        <w:tc>
          <w:tcPr>
            <w:tcW w:w="372" w:type="pct"/>
            <w:tcBorders>
              <w:top w:val="nil"/>
            </w:tcBorders>
            <w:shd w:val="clear" w:color="auto" w:fill="FFFFFF" w:themeFill="background1"/>
            <w:noWrap/>
            <w:hideMark/>
          </w:tcPr>
          <w:p w14:paraId="34BA6E5E" w14:textId="6E56A12C"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1.029,2</w:t>
            </w:r>
          </w:p>
        </w:tc>
        <w:tc>
          <w:tcPr>
            <w:tcW w:w="372" w:type="pct"/>
            <w:tcBorders>
              <w:top w:val="nil"/>
            </w:tcBorders>
            <w:shd w:val="clear" w:color="auto" w:fill="FFFFFF" w:themeFill="background1"/>
            <w:noWrap/>
            <w:hideMark/>
          </w:tcPr>
          <w:p w14:paraId="6F28CA6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459,4</w:t>
            </w:r>
          </w:p>
        </w:tc>
        <w:tc>
          <w:tcPr>
            <w:tcW w:w="372" w:type="pct"/>
            <w:tcBorders>
              <w:top w:val="nil"/>
            </w:tcBorders>
            <w:shd w:val="clear" w:color="auto" w:fill="FFFFFF" w:themeFill="background1"/>
            <w:noWrap/>
            <w:hideMark/>
          </w:tcPr>
          <w:p w14:paraId="0AEA1C2D"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31,7</w:t>
            </w:r>
          </w:p>
        </w:tc>
        <w:tc>
          <w:tcPr>
            <w:tcW w:w="368" w:type="pct"/>
            <w:tcBorders>
              <w:top w:val="nil"/>
            </w:tcBorders>
            <w:shd w:val="clear" w:color="auto" w:fill="FFFFFF" w:themeFill="background1"/>
            <w:noWrap/>
            <w:hideMark/>
          </w:tcPr>
          <w:p w14:paraId="5247B1E7"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w:t>
            </w:r>
          </w:p>
        </w:tc>
      </w:tr>
      <w:tr w:rsidR="003B151E" w:rsidRPr="00F5596D" w14:paraId="6B3004EE"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0B8193E"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Порески приходи</w:t>
            </w:r>
          </w:p>
        </w:tc>
        <w:tc>
          <w:tcPr>
            <w:tcW w:w="356" w:type="pct"/>
            <w:tcBorders>
              <w:top w:val="nil"/>
            </w:tcBorders>
            <w:shd w:val="clear" w:color="auto" w:fill="FFFFFF" w:themeFill="background1"/>
            <w:noWrap/>
            <w:hideMark/>
          </w:tcPr>
          <w:p w14:paraId="51AD1F10" w14:textId="5DC35616"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4.022,3</w:t>
            </w:r>
          </w:p>
        </w:tc>
        <w:tc>
          <w:tcPr>
            <w:tcW w:w="356" w:type="pct"/>
            <w:tcBorders>
              <w:top w:val="nil"/>
            </w:tcBorders>
            <w:shd w:val="clear" w:color="auto" w:fill="FFFFFF" w:themeFill="background1"/>
            <w:noWrap/>
            <w:hideMark/>
          </w:tcPr>
          <w:p w14:paraId="798D83D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2.086,4</w:t>
            </w:r>
          </w:p>
        </w:tc>
        <w:tc>
          <w:tcPr>
            <w:tcW w:w="360" w:type="pct"/>
            <w:tcBorders>
              <w:top w:val="nil"/>
            </w:tcBorders>
            <w:shd w:val="clear" w:color="auto" w:fill="FFFFFF" w:themeFill="background1"/>
            <w:noWrap/>
            <w:hideMark/>
          </w:tcPr>
          <w:p w14:paraId="4508104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450,8</w:t>
            </w:r>
          </w:p>
        </w:tc>
        <w:tc>
          <w:tcPr>
            <w:tcW w:w="348" w:type="pct"/>
            <w:tcBorders>
              <w:top w:val="nil"/>
            </w:tcBorders>
            <w:shd w:val="clear" w:color="auto" w:fill="FFFFFF" w:themeFill="background1"/>
            <w:noWrap/>
            <w:hideMark/>
          </w:tcPr>
          <w:p w14:paraId="61650B6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408,0</w:t>
            </w:r>
          </w:p>
        </w:tc>
        <w:tc>
          <w:tcPr>
            <w:tcW w:w="375" w:type="pct"/>
            <w:tcBorders>
              <w:top w:val="nil"/>
            </w:tcBorders>
            <w:shd w:val="clear" w:color="auto" w:fill="FFFFFF" w:themeFill="background1"/>
            <w:noWrap/>
            <w:hideMark/>
          </w:tcPr>
          <w:p w14:paraId="7C7303D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42,8</w:t>
            </w:r>
          </w:p>
        </w:tc>
        <w:tc>
          <w:tcPr>
            <w:tcW w:w="353" w:type="pct"/>
            <w:tcBorders>
              <w:top w:val="nil"/>
            </w:tcBorders>
            <w:shd w:val="clear" w:color="auto" w:fill="FFFFFF" w:themeFill="background1"/>
            <w:noWrap/>
          </w:tcPr>
          <w:p w14:paraId="636773B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2CF5C9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1.485,1</w:t>
            </w:r>
          </w:p>
        </w:tc>
        <w:tc>
          <w:tcPr>
            <w:tcW w:w="372" w:type="pct"/>
            <w:tcBorders>
              <w:top w:val="nil"/>
            </w:tcBorders>
            <w:shd w:val="clear" w:color="auto" w:fill="FFFFFF" w:themeFill="background1"/>
            <w:noWrap/>
            <w:hideMark/>
          </w:tcPr>
          <w:p w14:paraId="38200BA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1.029,2</w:t>
            </w:r>
          </w:p>
        </w:tc>
        <w:tc>
          <w:tcPr>
            <w:tcW w:w="372" w:type="pct"/>
            <w:tcBorders>
              <w:top w:val="nil"/>
            </w:tcBorders>
            <w:shd w:val="clear" w:color="auto" w:fill="FFFFFF" w:themeFill="background1"/>
            <w:noWrap/>
            <w:hideMark/>
          </w:tcPr>
          <w:p w14:paraId="406B2C9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420,3</w:t>
            </w:r>
          </w:p>
        </w:tc>
        <w:tc>
          <w:tcPr>
            <w:tcW w:w="372" w:type="pct"/>
            <w:tcBorders>
              <w:top w:val="nil"/>
            </w:tcBorders>
            <w:shd w:val="clear" w:color="auto" w:fill="FFFFFF" w:themeFill="background1"/>
            <w:noWrap/>
            <w:hideMark/>
          </w:tcPr>
          <w:p w14:paraId="6A9A04BA"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30,7</w:t>
            </w:r>
          </w:p>
        </w:tc>
        <w:tc>
          <w:tcPr>
            <w:tcW w:w="368" w:type="pct"/>
            <w:tcBorders>
              <w:top w:val="nil"/>
            </w:tcBorders>
            <w:shd w:val="clear" w:color="auto" w:fill="FFFFFF" w:themeFill="background1"/>
            <w:noWrap/>
            <w:hideMark/>
          </w:tcPr>
          <w:p w14:paraId="31B4410B"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4,9</w:t>
            </w:r>
          </w:p>
        </w:tc>
      </w:tr>
      <w:tr w:rsidR="003B151E" w:rsidRPr="00F5596D" w14:paraId="1585035C"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C3A18AC"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Порез на доходак</w:t>
            </w:r>
          </w:p>
        </w:tc>
        <w:tc>
          <w:tcPr>
            <w:tcW w:w="356" w:type="pct"/>
            <w:tcBorders>
              <w:top w:val="nil"/>
            </w:tcBorders>
            <w:shd w:val="clear" w:color="auto" w:fill="FFFFFF" w:themeFill="background1"/>
            <w:noWrap/>
            <w:hideMark/>
          </w:tcPr>
          <w:p w14:paraId="4BD13BD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466,8</w:t>
            </w:r>
          </w:p>
        </w:tc>
        <w:tc>
          <w:tcPr>
            <w:tcW w:w="356" w:type="pct"/>
            <w:tcBorders>
              <w:top w:val="nil"/>
            </w:tcBorders>
            <w:shd w:val="clear" w:color="auto" w:fill="FFFFFF" w:themeFill="background1"/>
            <w:noWrap/>
            <w:hideMark/>
          </w:tcPr>
          <w:p w14:paraId="34F1EAF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150,4</w:t>
            </w:r>
          </w:p>
        </w:tc>
        <w:tc>
          <w:tcPr>
            <w:tcW w:w="360" w:type="pct"/>
            <w:tcBorders>
              <w:top w:val="nil"/>
            </w:tcBorders>
            <w:shd w:val="clear" w:color="auto" w:fill="FFFFFF" w:themeFill="background1"/>
            <w:noWrap/>
            <w:hideMark/>
          </w:tcPr>
          <w:p w14:paraId="3FCFFE9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316,5</w:t>
            </w:r>
          </w:p>
        </w:tc>
        <w:tc>
          <w:tcPr>
            <w:tcW w:w="348" w:type="pct"/>
            <w:tcBorders>
              <w:top w:val="nil"/>
            </w:tcBorders>
            <w:shd w:val="clear" w:color="auto" w:fill="FFFFFF" w:themeFill="background1"/>
            <w:noWrap/>
            <w:hideMark/>
          </w:tcPr>
          <w:p w14:paraId="2966C02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301,5</w:t>
            </w:r>
          </w:p>
        </w:tc>
        <w:tc>
          <w:tcPr>
            <w:tcW w:w="375" w:type="pct"/>
            <w:tcBorders>
              <w:top w:val="nil"/>
            </w:tcBorders>
            <w:shd w:val="clear" w:color="auto" w:fill="FFFFFF" w:themeFill="background1"/>
            <w:noWrap/>
            <w:hideMark/>
          </w:tcPr>
          <w:p w14:paraId="65E71F3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15,0</w:t>
            </w:r>
          </w:p>
        </w:tc>
        <w:tc>
          <w:tcPr>
            <w:tcW w:w="353" w:type="pct"/>
            <w:tcBorders>
              <w:top w:val="nil"/>
            </w:tcBorders>
            <w:shd w:val="clear" w:color="auto" w:fill="FFFFFF" w:themeFill="background1"/>
            <w:noWrap/>
          </w:tcPr>
          <w:p w14:paraId="6EA65D65" w14:textId="7A6D710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F59DDA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5995A8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7321D6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89E824F"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33F9E9A4"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4CCAD238"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ADE9E8A"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Доприноси</w:t>
            </w:r>
          </w:p>
        </w:tc>
        <w:tc>
          <w:tcPr>
            <w:tcW w:w="356" w:type="pct"/>
            <w:tcBorders>
              <w:top w:val="nil"/>
            </w:tcBorders>
            <w:shd w:val="clear" w:color="auto" w:fill="FFFFFF" w:themeFill="background1"/>
            <w:noWrap/>
            <w:hideMark/>
          </w:tcPr>
          <w:p w14:paraId="3974DDD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1.485,1</w:t>
            </w:r>
          </w:p>
        </w:tc>
        <w:tc>
          <w:tcPr>
            <w:tcW w:w="356" w:type="pct"/>
            <w:tcBorders>
              <w:top w:val="nil"/>
            </w:tcBorders>
            <w:shd w:val="clear" w:color="auto" w:fill="FFFFFF" w:themeFill="background1"/>
            <w:noWrap/>
            <w:hideMark/>
          </w:tcPr>
          <w:p w14:paraId="537036E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12F84BE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5A840DD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1714E5A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17BAEFA4" w14:textId="2DE2CFCD"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988345A" w14:textId="63A9DEBC"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1.485,1</w:t>
            </w:r>
          </w:p>
        </w:tc>
        <w:tc>
          <w:tcPr>
            <w:tcW w:w="372" w:type="pct"/>
            <w:tcBorders>
              <w:top w:val="nil"/>
            </w:tcBorders>
            <w:shd w:val="clear" w:color="auto" w:fill="FFFFFF" w:themeFill="background1"/>
            <w:noWrap/>
            <w:hideMark/>
          </w:tcPr>
          <w:p w14:paraId="794D4F5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1.029,2</w:t>
            </w:r>
          </w:p>
        </w:tc>
        <w:tc>
          <w:tcPr>
            <w:tcW w:w="372" w:type="pct"/>
            <w:tcBorders>
              <w:top w:val="nil"/>
            </w:tcBorders>
            <w:shd w:val="clear" w:color="auto" w:fill="FFFFFF" w:themeFill="background1"/>
            <w:noWrap/>
            <w:hideMark/>
          </w:tcPr>
          <w:p w14:paraId="25EA879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420,3</w:t>
            </w:r>
          </w:p>
        </w:tc>
        <w:tc>
          <w:tcPr>
            <w:tcW w:w="372" w:type="pct"/>
            <w:tcBorders>
              <w:top w:val="nil"/>
            </w:tcBorders>
            <w:shd w:val="clear" w:color="auto" w:fill="FFFFFF" w:themeFill="background1"/>
            <w:noWrap/>
            <w:hideMark/>
          </w:tcPr>
          <w:p w14:paraId="315F84FE"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30,7</w:t>
            </w:r>
          </w:p>
        </w:tc>
        <w:tc>
          <w:tcPr>
            <w:tcW w:w="368" w:type="pct"/>
            <w:tcBorders>
              <w:top w:val="nil"/>
            </w:tcBorders>
            <w:shd w:val="clear" w:color="auto" w:fill="FFFFFF" w:themeFill="background1"/>
            <w:noWrap/>
            <w:hideMark/>
          </w:tcPr>
          <w:p w14:paraId="387DCA68"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4,9</w:t>
            </w:r>
          </w:p>
        </w:tc>
      </w:tr>
      <w:tr w:rsidR="003B151E" w:rsidRPr="00F5596D" w14:paraId="3474219D"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1BEF916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Порез на добит </w:t>
            </w:r>
          </w:p>
        </w:tc>
        <w:tc>
          <w:tcPr>
            <w:tcW w:w="356" w:type="pct"/>
            <w:tcBorders>
              <w:top w:val="nil"/>
            </w:tcBorders>
            <w:shd w:val="clear" w:color="auto" w:fill="FFFFFF" w:themeFill="background1"/>
            <w:noWrap/>
            <w:hideMark/>
          </w:tcPr>
          <w:p w14:paraId="50A9D4D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307,3</w:t>
            </w:r>
          </w:p>
        </w:tc>
        <w:tc>
          <w:tcPr>
            <w:tcW w:w="356" w:type="pct"/>
            <w:tcBorders>
              <w:top w:val="nil"/>
            </w:tcBorders>
            <w:shd w:val="clear" w:color="auto" w:fill="FFFFFF" w:themeFill="background1"/>
            <w:noWrap/>
            <w:hideMark/>
          </w:tcPr>
          <w:p w14:paraId="1E570D5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279,6</w:t>
            </w:r>
          </w:p>
        </w:tc>
        <w:tc>
          <w:tcPr>
            <w:tcW w:w="360" w:type="pct"/>
            <w:tcBorders>
              <w:top w:val="nil"/>
            </w:tcBorders>
            <w:shd w:val="clear" w:color="auto" w:fill="FFFFFF" w:themeFill="background1"/>
            <w:noWrap/>
            <w:hideMark/>
          </w:tcPr>
          <w:p w14:paraId="0CA7257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27,8</w:t>
            </w:r>
          </w:p>
        </w:tc>
        <w:tc>
          <w:tcPr>
            <w:tcW w:w="348" w:type="pct"/>
            <w:tcBorders>
              <w:top w:val="nil"/>
            </w:tcBorders>
            <w:shd w:val="clear" w:color="auto" w:fill="FFFFFF" w:themeFill="background1"/>
            <w:noWrap/>
          </w:tcPr>
          <w:p w14:paraId="0354E07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6A33B20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27,8</w:t>
            </w:r>
          </w:p>
        </w:tc>
        <w:tc>
          <w:tcPr>
            <w:tcW w:w="353" w:type="pct"/>
            <w:tcBorders>
              <w:top w:val="nil"/>
            </w:tcBorders>
            <w:shd w:val="clear" w:color="auto" w:fill="FFFFFF" w:themeFill="background1"/>
            <w:noWrap/>
          </w:tcPr>
          <w:p w14:paraId="5C40D7D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EA506CE" w14:textId="5CF22B76"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C02F369" w14:textId="1F5312EA"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840F68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F3EB51E"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53B72786"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1A14BC74"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63A4705"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ПДВ</w:t>
            </w:r>
          </w:p>
        </w:tc>
        <w:tc>
          <w:tcPr>
            <w:tcW w:w="356" w:type="pct"/>
            <w:tcBorders>
              <w:top w:val="nil"/>
            </w:tcBorders>
            <w:shd w:val="clear" w:color="auto" w:fill="FFFFFF" w:themeFill="background1"/>
            <w:noWrap/>
            <w:hideMark/>
          </w:tcPr>
          <w:p w14:paraId="64C3737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1.096,3</w:t>
            </w:r>
          </w:p>
        </w:tc>
        <w:tc>
          <w:tcPr>
            <w:tcW w:w="356" w:type="pct"/>
            <w:tcBorders>
              <w:top w:val="nil"/>
            </w:tcBorders>
            <w:shd w:val="clear" w:color="auto" w:fill="FFFFFF" w:themeFill="background1"/>
            <w:noWrap/>
            <w:hideMark/>
          </w:tcPr>
          <w:p w14:paraId="3932791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1.096,3</w:t>
            </w:r>
          </w:p>
        </w:tc>
        <w:tc>
          <w:tcPr>
            <w:tcW w:w="360" w:type="pct"/>
            <w:tcBorders>
              <w:top w:val="nil"/>
            </w:tcBorders>
            <w:shd w:val="clear" w:color="auto" w:fill="FFFFFF" w:themeFill="background1"/>
            <w:noWrap/>
          </w:tcPr>
          <w:p w14:paraId="605C832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581F7B0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4ABFA6E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573440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204FB3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42705F6" w14:textId="56D0755F"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81C8E0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A8260D6"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56C9E2F5"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6F6695AA"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88E73C0"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Акцизе</w:t>
            </w:r>
          </w:p>
        </w:tc>
        <w:tc>
          <w:tcPr>
            <w:tcW w:w="356" w:type="pct"/>
            <w:tcBorders>
              <w:top w:val="nil"/>
            </w:tcBorders>
            <w:shd w:val="clear" w:color="auto" w:fill="FFFFFF" w:themeFill="background1"/>
            <w:noWrap/>
            <w:hideMark/>
          </w:tcPr>
          <w:p w14:paraId="7BFB5CC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440,3</w:t>
            </w:r>
          </w:p>
        </w:tc>
        <w:tc>
          <w:tcPr>
            <w:tcW w:w="356" w:type="pct"/>
            <w:tcBorders>
              <w:top w:val="nil"/>
            </w:tcBorders>
            <w:shd w:val="clear" w:color="auto" w:fill="FFFFFF" w:themeFill="background1"/>
            <w:noWrap/>
            <w:hideMark/>
          </w:tcPr>
          <w:p w14:paraId="7522F177" w14:textId="4E329984"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440,3</w:t>
            </w:r>
          </w:p>
        </w:tc>
        <w:tc>
          <w:tcPr>
            <w:tcW w:w="360" w:type="pct"/>
            <w:tcBorders>
              <w:top w:val="nil"/>
            </w:tcBorders>
            <w:shd w:val="clear" w:color="auto" w:fill="FFFFFF" w:themeFill="background1"/>
            <w:noWrap/>
          </w:tcPr>
          <w:p w14:paraId="589664D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1CA709E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4F34E56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B51502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97C905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AB9CE2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5261CE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230DF5A"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07F57A6E"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39C9015D"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4D889471"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Царине</w:t>
            </w:r>
          </w:p>
        </w:tc>
        <w:tc>
          <w:tcPr>
            <w:tcW w:w="356" w:type="pct"/>
            <w:tcBorders>
              <w:top w:val="nil"/>
            </w:tcBorders>
            <w:shd w:val="clear" w:color="auto" w:fill="FFFFFF" w:themeFill="background1"/>
            <w:noWrap/>
            <w:hideMark/>
          </w:tcPr>
          <w:p w14:paraId="0BB38C4B" w14:textId="22A8EA16"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102,7</w:t>
            </w:r>
          </w:p>
        </w:tc>
        <w:tc>
          <w:tcPr>
            <w:tcW w:w="356" w:type="pct"/>
            <w:tcBorders>
              <w:top w:val="nil"/>
            </w:tcBorders>
            <w:shd w:val="clear" w:color="auto" w:fill="FFFFFF" w:themeFill="background1"/>
            <w:noWrap/>
            <w:hideMark/>
          </w:tcPr>
          <w:p w14:paraId="0219D98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102,7</w:t>
            </w:r>
          </w:p>
        </w:tc>
        <w:tc>
          <w:tcPr>
            <w:tcW w:w="360" w:type="pct"/>
            <w:tcBorders>
              <w:top w:val="nil"/>
            </w:tcBorders>
            <w:shd w:val="clear" w:color="auto" w:fill="FFFFFF" w:themeFill="background1"/>
            <w:noWrap/>
          </w:tcPr>
          <w:p w14:paraId="34BB30C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C4A9A7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25136CE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545352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B1405B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A2BDEF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015D7C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104385A"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09F2919E"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624219F1"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F4611A4"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Остали порески приходи</w:t>
            </w:r>
          </w:p>
        </w:tc>
        <w:tc>
          <w:tcPr>
            <w:tcW w:w="356" w:type="pct"/>
            <w:tcBorders>
              <w:top w:val="nil"/>
            </w:tcBorders>
            <w:shd w:val="clear" w:color="auto" w:fill="FFFFFF" w:themeFill="background1"/>
            <w:noWrap/>
            <w:hideMark/>
          </w:tcPr>
          <w:p w14:paraId="6E1FBE0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123,7</w:t>
            </w:r>
          </w:p>
        </w:tc>
        <w:tc>
          <w:tcPr>
            <w:tcW w:w="356" w:type="pct"/>
            <w:tcBorders>
              <w:top w:val="nil"/>
            </w:tcBorders>
            <w:shd w:val="clear" w:color="auto" w:fill="FFFFFF" w:themeFill="background1"/>
            <w:noWrap/>
            <w:hideMark/>
          </w:tcPr>
          <w:p w14:paraId="52C92F4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17,2</w:t>
            </w:r>
          </w:p>
        </w:tc>
        <w:tc>
          <w:tcPr>
            <w:tcW w:w="360" w:type="pct"/>
            <w:tcBorders>
              <w:top w:val="nil"/>
            </w:tcBorders>
            <w:shd w:val="clear" w:color="auto" w:fill="FFFFFF" w:themeFill="background1"/>
            <w:noWrap/>
            <w:hideMark/>
          </w:tcPr>
          <w:p w14:paraId="0B2703C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106,5</w:t>
            </w:r>
          </w:p>
        </w:tc>
        <w:tc>
          <w:tcPr>
            <w:tcW w:w="348" w:type="pct"/>
            <w:tcBorders>
              <w:top w:val="nil"/>
            </w:tcBorders>
            <w:shd w:val="clear" w:color="auto" w:fill="FFFFFF" w:themeFill="background1"/>
            <w:noWrap/>
            <w:hideMark/>
          </w:tcPr>
          <w:p w14:paraId="72C85BA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106,5</w:t>
            </w:r>
          </w:p>
        </w:tc>
        <w:tc>
          <w:tcPr>
            <w:tcW w:w="375" w:type="pct"/>
            <w:tcBorders>
              <w:top w:val="nil"/>
            </w:tcBorders>
            <w:shd w:val="clear" w:color="auto" w:fill="FFFFFF" w:themeFill="background1"/>
            <w:noWrap/>
            <w:hideMark/>
          </w:tcPr>
          <w:p w14:paraId="0B7113A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C0AA1A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EE7D31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E9AE4C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746F5E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853F8C9"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187BD90A"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57085504"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1CEA0D11"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Непорески приходи</w:t>
            </w:r>
          </w:p>
        </w:tc>
        <w:tc>
          <w:tcPr>
            <w:tcW w:w="356" w:type="pct"/>
            <w:tcBorders>
              <w:top w:val="nil"/>
            </w:tcBorders>
            <w:shd w:val="clear" w:color="auto" w:fill="FFFFFF" w:themeFill="background1"/>
            <w:noWrap/>
            <w:hideMark/>
          </w:tcPr>
          <w:p w14:paraId="5A0408D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419,8</w:t>
            </w:r>
          </w:p>
        </w:tc>
        <w:tc>
          <w:tcPr>
            <w:tcW w:w="356" w:type="pct"/>
            <w:tcBorders>
              <w:top w:val="nil"/>
            </w:tcBorders>
            <w:shd w:val="clear" w:color="auto" w:fill="FFFFFF" w:themeFill="background1"/>
            <w:noWrap/>
            <w:hideMark/>
          </w:tcPr>
          <w:p w14:paraId="67D3D46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215,3</w:t>
            </w:r>
          </w:p>
        </w:tc>
        <w:tc>
          <w:tcPr>
            <w:tcW w:w="360" w:type="pct"/>
            <w:tcBorders>
              <w:top w:val="nil"/>
            </w:tcBorders>
            <w:shd w:val="clear" w:color="auto" w:fill="FFFFFF" w:themeFill="background1"/>
            <w:noWrap/>
            <w:hideMark/>
          </w:tcPr>
          <w:p w14:paraId="44886B6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80,9</w:t>
            </w:r>
          </w:p>
        </w:tc>
        <w:tc>
          <w:tcPr>
            <w:tcW w:w="348" w:type="pct"/>
            <w:tcBorders>
              <w:top w:val="nil"/>
            </w:tcBorders>
            <w:shd w:val="clear" w:color="auto" w:fill="FFFFFF" w:themeFill="background1"/>
            <w:noWrap/>
            <w:hideMark/>
          </w:tcPr>
          <w:p w14:paraId="408C3AA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75,0</w:t>
            </w:r>
          </w:p>
        </w:tc>
        <w:tc>
          <w:tcPr>
            <w:tcW w:w="375" w:type="pct"/>
            <w:tcBorders>
              <w:top w:val="nil"/>
            </w:tcBorders>
            <w:shd w:val="clear" w:color="auto" w:fill="FFFFFF" w:themeFill="background1"/>
            <w:noWrap/>
            <w:hideMark/>
          </w:tcPr>
          <w:p w14:paraId="5EB337B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5,9</w:t>
            </w:r>
          </w:p>
        </w:tc>
        <w:tc>
          <w:tcPr>
            <w:tcW w:w="353" w:type="pct"/>
            <w:tcBorders>
              <w:top w:val="nil"/>
            </w:tcBorders>
            <w:shd w:val="clear" w:color="auto" w:fill="FFFFFF" w:themeFill="background1"/>
            <w:noWrap/>
            <w:hideMark/>
          </w:tcPr>
          <w:p w14:paraId="1C6E3F6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83,3</w:t>
            </w:r>
          </w:p>
        </w:tc>
        <w:tc>
          <w:tcPr>
            <w:tcW w:w="372" w:type="pct"/>
            <w:tcBorders>
              <w:top w:val="nil"/>
            </w:tcBorders>
            <w:shd w:val="clear" w:color="auto" w:fill="FFFFFF" w:themeFill="background1"/>
            <w:noWrap/>
            <w:hideMark/>
          </w:tcPr>
          <w:p w14:paraId="4C8321E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40,3</w:t>
            </w:r>
          </w:p>
        </w:tc>
        <w:tc>
          <w:tcPr>
            <w:tcW w:w="372" w:type="pct"/>
            <w:tcBorders>
              <w:top w:val="nil"/>
            </w:tcBorders>
            <w:shd w:val="clear" w:color="auto" w:fill="FFFFFF" w:themeFill="background1"/>
            <w:noWrap/>
          </w:tcPr>
          <w:p w14:paraId="5DB9037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DC7F1C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39,1</w:t>
            </w:r>
          </w:p>
        </w:tc>
        <w:tc>
          <w:tcPr>
            <w:tcW w:w="372" w:type="pct"/>
            <w:tcBorders>
              <w:top w:val="nil"/>
            </w:tcBorders>
            <w:shd w:val="clear" w:color="auto" w:fill="FFFFFF" w:themeFill="background1"/>
            <w:noWrap/>
            <w:hideMark/>
          </w:tcPr>
          <w:p w14:paraId="1A936CE9"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w:t>
            </w:r>
          </w:p>
        </w:tc>
        <w:tc>
          <w:tcPr>
            <w:tcW w:w="368" w:type="pct"/>
            <w:tcBorders>
              <w:top w:val="nil"/>
            </w:tcBorders>
            <w:shd w:val="clear" w:color="auto" w:fill="FFFFFF" w:themeFill="background1"/>
            <w:noWrap/>
            <w:hideMark/>
          </w:tcPr>
          <w:p w14:paraId="24C5E5A9"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r>
      <w:tr w:rsidR="003B151E" w:rsidRPr="00F5596D" w14:paraId="7176C965"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75B2655F"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Донације</w:t>
            </w:r>
          </w:p>
        </w:tc>
        <w:tc>
          <w:tcPr>
            <w:tcW w:w="356" w:type="pct"/>
            <w:tcBorders>
              <w:top w:val="nil"/>
            </w:tcBorders>
            <w:shd w:val="clear" w:color="auto" w:fill="FFFFFF" w:themeFill="background1"/>
            <w:noWrap/>
            <w:hideMark/>
          </w:tcPr>
          <w:p w14:paraId="57E7F56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40,4</w:t>
            </w:r>
          </w:p>
        </w:tc>
        <w:tc>
          <w:tcPr>
            <w:tcW w:w="356" w:type="pct"/>
            <w:tcBorders>
              <w:top w:val="nil"/>
            </w:tcBorders>
            <w:shd w:val="clear" w:color="auto" w:fill="FFFFFF" w:themeFill="background1"/>
            <w:noWrap/>
            <w:hideMark/>
          </w:tcPr>
          <w:p w14:paraId="78BF69F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37,0</w:t>
            </w:r>
          </w:p>
        </w:tc>
        <w:tc>
          <w:tcPr>
            <w:tcW w:w="360" w:type="pct"/>
            <w:tcBorders>
              <w:top w:val="nil"/>
            </w:tcBorders>
            <w:shd w:val="clear" w:color="auto" w:fill="FFFFFF" w:themeFill="background1"/>
            <w:noWrap/>
            <w:hideMark/>
          </w:tcPr>
          <w:p w14:paraId="6251A70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w:t>
            </w:r>
          </w:p>
        </w:tc>
        <w:tc>
          <w:tcPr>
            <w:tcW w:w="348" w:type="pct"/>
            <w:tcBorders>
              <w:top w:val="nil"/>
            </w:tcBorders>
            <w:shd w:val="clear" w:color="auto" w:fill="FFFFFF" w:themeFill="background1"/>
            <w:noWrap/>
            <w:hideMark/>
          </w:tcPr>
          <w:p w14:paraId="7181F0F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3,0</w:t>
            </w:r>
          </w:p>
        </w:tc>
        <w:tc>
          <w:tcPr>
            <w:tcW w:w="375" w:type="pct"/>
            <w:tcBorders>
              <w:top w:val="nil"/>
            </w:tcBorders>
            <w:shd w:val="clear" w:color="auto" w:fill="FFFFFF" w:themeFill="background1"/>
            <w:noWrap/>
          </w:tcPr>
          <w:p w14:paraId="2107094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25FAD97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37524F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0,4</w:t>
            </w:r>
          </w:p>
        </w:tc>
        <w:tc>
          <w:tcPr>
            <w:tcW w:w="372" w:type="pct"/>
            <w:tcBorders>
              <w:top w:val="nil"/>
            </w:tcBorders>
            <w:shd w:val="clear" w:color="auto" w:fill="FFFFFF" w:themeFill="background1"/>
            <w:noWrap/>
          </w:tcPr>
          <w:p w14:paraId="6018BC5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FFDA1C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0,2</w:t>
            </w:r>
          </w:p>
        </w:tc>
        <w:tc>
          <w:tcPr>
            <w:tcW w:w="372" w:type="pct"/>
            <w:tcBorders>
              <w:top w:val="nil"/>
            </w:tcBorders>
            <w:shd w:val="clear" w:color="auto" w:fill="FFFFFF" w:themeFill="background1"/>
            <w:noWrap/>
            <w:hideMark/>
          </w:tcPr>
          <w:p w14:paraId="30334EA4"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0,2</w:t>
            </w:r>
          </w:p>
        </w:tc>
        <w:tc>
          <w:tcPr>
            <w:tcW w:w="368" w:type="pct"/>
            <w:tcBorders>
              <w:top w:val="nil"/>
            </w:tcBorders>
            <w:shd w:val="clear" w:color="auto" w:fill="FFFFFF" w:themeFill="background1"/>
            <w:noWrap/>
            <w:hideMark/>
          </w:tcPr>
          <w:p w14:paraId="3B5CC823"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1090767E" w14:textId="77777777" w:rsidTr="003B151E">
        <w:trPr>
          <w:trHeight w:val="70"/>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BFBFBF" w:themeFill="background1" w:themeFillShade="BF"/>
            <w:noWrap/>
            <w:vAlign w:val="bottom"/>
            <w:hideMark/>
          </w:tcPr>
          <w:p w14:paraId="751909FF" w14:textId="77777777" w:rsidR="000A6C38" w:rsidRPr="00F5596D" w:rsidRDefault="000A6C38" w:rsidP="003B151E">
            <w:pPr>
              <w:tabs>
                <w:tab w:val="center" w:pos="4680"/>
                <w:tab w:val="right" w:pos="9360"/>
              </w:tabs>
              <w:rPr>
                <w:rFonts w:cstheme="minorHAnsi"/>
                <w:color w:val="002060"/>
                <w:sz w:val="14"/>
                <w:szCs w:val="14"/>
                <w:lang w:val="sr-Cyrl-CS"/>
              </w:rPr>
            </w:pPr>
            <w:r w:rsidRPr="00F5596D">
              <w:rPr>
                <w:rFonts w:cstheme="minorHAnsi"/>
                <w:color w:val="002060"/>
                <w:sz w:val="14"/>
                <w:szCs w:val="14"/>
                <w:lang w:val="sr-Cyrl-CS"/>
              </w:rPr>
              <w:t>Јавни расходи</w:t>
            </w:r>
          </w:p>
        </w:tc>
        <w:tc>
          <w:tcPr>
            <w:tcW w:w="356" w:type="pct"/>
            <w:tcBorders>
              <w:top w:val="nil"/>
            </w:tcBorders>
            <w:shd w:val="clear" w:color="auto" w:fill="BFBFBF" w:themeFill="background1" w:themeFillShade="BF"/>
            <w:noWrap/>
            <w:hideMark/>
          </w:tcPr>
          <w:p w14:paraId="5CA1617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4.819,5</w:t>
            </w:r>
          </w:p>
        </w:tc>
        <w:tc>
          <w:tcPr>
            <w:tcW w:w="356" w:type="pct"/>
            <w:tcBorders>
              <w:top w:val="nil"/>
            </w:tcBorders>
            <w:shd w:val="clear" w:color="auto" w:fill="BFBFBF" w:themeFill="background1" w:themeFillShade="BF"/>
            <w:noWrap/>
            <w:hideMark/>
          </w:tcPr>
          <w:p w14:paraId="3624E660" w14:textId="6DE222E6"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2.245,9</w:t>
            </w:r>
          </w:p>
        </w:tc>
        <w:tc>
          <w:tcPr>
            <w:tcW w:w="360" w:type="pct"/>
            <w:tcBorders>
              <w:top w:val="nil"/>
            </w:tcBorders>
            <w:shd w:val="clear" w:color="auto" w:fill="BFBFBF" w:themeFill="background1" w:themeFillShade="BF"/>
            <w:noWrap/>
            <w:hideMark/>
          </w:tcPr>
          <w:p w14:paraId="40A6CA0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557,6</w:t>
            </w:r>
          </w:p>
        </w:tc>
        <w:tc>
          <w:tcPr>
            <w:tcW w:w="348" w:type="pct"/>
            <w:tcBorders>
              <w:top w:val="nil"/>
            </w:tcBorders>
            <w:shd w:val="clear" w:color="auto" w:fill="BFBFBF" w:themeFill="background1" w:themeFillShade="BF"/>
            <w:noWrap/>
            <w:hideMark/>
          </w:tcPr>
          <w:p w14:paraId="59A1C15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508,6</w:t>
            </w:r>
          </w:p>
        </w:tc>
        <w:tc>
          <w:tcPr>
            <w:tcW w:w="375" w:type="pct"/>
            <w:tcBorders>
              <w:top w:val="nil"/>
            </w:tcBorders>
            <w:shd w:val="clear" w:color="auto" w:fill="BFBFBF" w:themeFill="background1" w:themeFillShade="BF"/>
            <w:noWrap/>
            <w:hideMark/>
          </w:tcPr>
          <w:p w14:paraId="2D82188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49,0</w:t>
            </w:r>
          </w:p>
        </w:tc>
        <w:tc>
          <w:tcPr>
            <w:tcW w:w="353" w:type="pct"/>
            <w:tcBorders>
              <w:top w:val="nil"/>
            </w:tcBorders>
            <w:shd w:val="clear" w:color="auto" w:fill="BFBFBF" w:themeFill="background1" w:themeFillShade="BF"/>
            <w:noWrap/>
            <w:hideMark/>
          </w:tcPr>
          <w:p w14:paraId="72F4575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126,5</w:t>
            </w:r>
          </w:p>
        </w:tc>
        <w:tc>
          <w:tcPr>
            <w:tcW w:w="372" w:type="pct"/>
            <w:tcBorders>
              <w:top w:val="nil"/>
            </w:tcBorders>
            <w:shd w:val="clear" w:color="auto" w:fill="BFBFBF" w:themeFill="background1" w:themeFillShade="BF"/>
            <w:noWrap/>
            <w:hideMark/>
          </w:tcPr>
          <w:p w14:paraId="22C7DCC8" w14:textId="5622AAA1"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1.889,6</w:t>
            </w:r>
          </w:p>
        </w:tc>
        <w:tc>
          <w:tcPr>
            <w:tcW w:w="372" w:type="pct"/>
            <w:tcBorders>
              <w:top w:val="nil"/>
            </w:tcBorders>
            <w:shd w:val="clear" w:color="auto" w:fill="BFBFBF" w:themeFill="background1" w:themeFillShade="BF"/>
            <w:noWrap/>
            <w:hideMark/>
          </w:tcPr>
          <w:p w14:paraId="686DAA6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1.192,2</w:t>
            </w:r>
          </w:p>
        </w:tc>
        <w:tc>
          <w:tcPr>
            <w:tcW w:w="372" w:type="pct"/>
            <w:tcBorders>
              <w:top w:val="nil"/>
            </w:tcBorders>
            <w:shd w:val="clear" w:color="auto" w:fill="BFBFBF" w:themeFill="background1" w:themeFillShade="BF"/>
            <w:noWrap/>
            <w:hideMark/>
          </w:tcPr>
          <w:p w14:paraId="522F827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659,8</w:t>
            </w:r>
          </w:p>
        </w:tc>
        <w:tc>
          <w:tcPr>
            <w:tcW w:w="372" w:type="pct"/>
            <w:tcBorders>
              <w:top w:val="nil"/>
            </w:tcBorders>
            <w:shd w:val="clear" w:color="auto" w:fill="BFBFBF" w:themeFill="background1" w:themeFillShade="BF"/>
            <w:noWrap/>
            <w:hideMark/>
          </w:tcPr>
          <w:p w14:paraId="03AD06E5"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27,7</w:t>
            </w:r>
          </w:p>
        </w:tc>
        <w:tc>
          <w:tcPr>
            <w:tcW w:w="368" w:type="pct"/>
            <w:tcBorders>
              <w:top w:val="nil"/>
            </w:tcBorders>
            <w:shd w:val="clear" w:color="auto" w:fill="BFBFBF" w:themeFill="background1" w:themeFillShade="BF"/>
            <w:noWrap/>
            <w:hideMark/>
          </w:tcPr>
          <w:p w14:paraId="1FEE35BE" w14:textId="074D59B8" w:rsidR="000A6C38" w:rsidRPr="00F5596D" w:rsidRDefault="00E907CC" w:rsidP="003B151E">
            <w:pPr>
              <w:jc w:val="right"/>
              <w:cnfStyle w:val="000000000000" w:firstRow="0" w:lastRow="0" w:firstColumn="0" w:lastColumn="0" w:oddVBand="0" w:evenVBand="0" w:oddHBand="0"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9,8</w:t>
            </w:r>
          </w:p>
        </w:tc>
      </w:tr>
      <w:tr w:rsidR="003B151E" w:rsidRPr="00F5596D" w14:paraId="7A6CA700"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111E89A8"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Текући расходи</w:t>
            </w:r>
          </w:p>
        </w:tc>
        <w:tc>
          <w:tcPr>
            <w:tcW w:w="356" w:type="pct"/>
            <w:tcBorders>
              <w:top w:val="nil"/>
            </w:tcBorders>
            <w:shd w:val="clear" w:color="auto" w:fill="FFFFFF" w:themeFill="background1"/>
            <w:noWrap/>
            <w:hideMark/>
          </w:tcPr>
          <w:p w14:paraId="5B93A94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3.998,4</w:t>
            </w:r>
          </w:p>
        </w:tc>
        <w:tc>
          <w:tcPr>
            <w:tcW w:w="356" w:type="pct"/>
            <w:tcBorders>
              <w:top w:val="nil"/>
            </w:tcBorders>
            <w:shd w:val="clear" w:color="auto" w:fill="FFFFFF" w:themeFill="background1"/>
            <w:noWrap/>
            <w:hideMark/>
          </w:tcPr>
          <w:p w14:paraId="4AD0F76F" w14:textId="74C185C4"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1.582,4</w:t>
            </w:r>
          </w:p>
        </w:tc>
        <w:tc>
          <w:tcPr>
            <w:tcW w:w="360" w:type="pct"/>
            <w:tcBorders>
              <w:top w:val="nil"/>
            </w:tcBorders>
            <w:shd w:val="clear" w:color="auto" w:fill="FFFFFF" w:themeFill="background1"/>
            <w:noWrap/>
            <w:hideMark/>
          </w:tcPr>
          <w:p w14:paraId="4DB1287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439,4</w:t>
            </w:r>
          </w:p>
        </w:tc>
        <w:tc>
          <w:tcPr>
            <w:tcW w:w="348" w:type="pct"/>
            <w:tcBorders>
              <w:top w:val="nil"/>
            </w:tcBorders>
            <w:shd w:val="clear" w:color="auto" w:fill="FFFFFF" w:themeFill="background1"/>
            <w:noWrap/>
            <w:hideMark/>
          </w:tcPr>
          <w:p w14:paraId="206AB14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396,8</w:t>
            </w:r>
          </w:p>
        </w:tc>
        <w:tc>
          <w:tcPr>
            <w:tcW w:w="375" w:type="pct"/>
            <w:tcBorders>
              <w:top w:val="nil"/>
            </w:tcBorders>
            <w:shd w:val="clear" w:color="auto" w:fill="FFFFFF" w:themeFill="background1"/>
            <w:noWrap/>
            <w:hideMark/>
          </w:tcPr>
          <w:p w14:paraId="381FCC4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42,6</w:t>
            </w:r>
          </w:p>
        </w:tc>
        <w:tc>
          <w:tcPr>
            <w:tcW w:w="353" w:type="pct"/>
            <w:tcBorders>
              <w:top w:val="nil"/>
            </w:tcBorders>
            <w:shd w:val="clear" w:color="auto" w:fill="FFFFFF" w:themeFill="background1"/>
            <w:noWrap/>
            <w:hideMark/>
          </w:tcPr>
          <w:p w14:paraId="36ECB7A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107,9</w:t>
            </w:r>
          </w:p>
        </w:tc>
        <w:tc>
          <w:tcPr>
            <w:tcW w:w="372" w:type="pct"/>
            <w:tcBorders>
              <w:top w:val="nil"/>
            </w:tcBorders>
            <w:shd w:val="clear" w:color="auto" w:fill="FFFFFF" w:themeFill="background1"/>
            <w:noWrap/>
            <w:hideMark/>
          </w:tcPr>
          <w:p w14:paraId="324F59AA" w14:textId="43AD09C6"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1.868,7</w:t>
            </w:r>
          </w:p>
        </w:tc>
        <w:tc>
          <w:tcPr>
            <w:tcW w:w="372" w:type="pct"/>
            <w:tcBorders>
              <w:top w:val="nil"/>
            </w:tcBorders>
            <w:shd w:val="clear" w:color="auto" w:fill="FFFFFF" w:themeFill="background1"/>
            <w:noWrap/>
            <w:hideMark/>
          </w:tcPr>
          <w:p w14:paraId="292FA53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1.191,5</w:t>
            </w:r>
          </w:p>
        </w:tc>
        <w:tc>
          <w:tcPr>
            <w:tcW w:w="372" w:type="pct"/>
            <w:tcBorders>
              <w:top w:val="nil"/>
            </w:tcBorders>
            <w:shd w:val="clear" w:color="auto" w:fill="FFFFFF" w:themeFill="background1"/>
            <w:noWrap/>
            <w:hideMark/>
          </w:tcPr>
          <w:p w14:paraId="23E26D1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640,2</w:t>
            </w:r>
          </w:p>
        </w:tc>
        <w:tc>
          <w:tcPr>
            <w:tcW w:w="372" w:type="pct"/>
            <w:tcBorders>
              <w:top w:val="nil"/>
            </w:tcBorders>
            <w:shd w:val="clear" w:color="auto" w:fill="FFFFFF" w:themeFill="background1"/>
            <w:noWrap/>
            <w:hideMark/>
          </w:tcPr>
          <w:p w14:paraId="407F44EC"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27,3</w:t>
            </w:r>
          </w:p>
        </w:tc>
        <w:tc>
          <w:tcPr>
            <w:tcW w:w="368" w:type="pct"/>
            <w:tcBorders>
              <w:top w:val="nil"/>
            </w:tcBorders>
            <w:shd w:val="clear" w:color="auto" w:fill="FFFFFF" w:themeFill="background1"/>
            <w:noWrap/>
            <w:hideMark/>
          </w:tcPr>
          <w:p w14:paraId="6D83F576" w14:textId="15C60838" w:rsidR="000A6C38" w:rsidRPr="00F5596D" w:rsidRDefault="00E907CC"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9,7</w:t>
            </w:r>
          </w:p>
        </w:tc>
      </w:tr>
      <w:tr w:rsidR="003B151E" w:rsidRPr="00F5596D" w14:paraId="28666A29"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354FA403"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Расходи за запослене</w:t>
            </w:r>
          </w:p>
        </w:tc>
        <w:tc>
          <w:tcPr>
            <w:tcW w:w="356" w:type="pct"/>
            <w:tcBorders>
              <w:top w:val="nil"/>
            </w:tcBorders>
            <w:shd w:val="clear" w:color="auto" w:fill="FFFFFF" w:themeFill="background1"/>
            <w:noWrap/>
            <w:hideMark/>
          </w:tcPr>
          <w:p w14:paraId="4B53C80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964,1</w:t>
            </w:r>
          </w:p>
        </w:tc>
        <w:tc>
          <w:tcPr>
            <w:tcW w:w="356" w:type="pct"/>
            <w:tcBorders>
              <w:top w:val="nil"/>
            </w:tcBorders>
            <w:shd w:val="clear" w:color="auto" w:fill="FFFFFF" w:themeFill="background1"/>
            <w:noWrap/>
            <w:hideMark/>
          </w:tcPr>
          <w:p w14:paraId="682E8711" w14:textId="65CFC8C2"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557,2</w:t>
            </w:r>
          </w:p>
        </w:tc>
        <w:tc>
          <w:tcPr>
            <w:tcW w:w="360" w:type="pct"/>
            <w:tcBorders>
              <w:top w:val="nil"/>
            </w:tcBorders>
            <w:shd w:val="clear" w:color="auto" w:fill="FFFFFF" w:themeFill="background1"/>
            <w:noWrap/>
            <w:hideMark/>
          </w:tcPr>
          <w:p w14:paraId="5C008A0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108,6</w:t>
            </w:r>
          </w:p>
        </w:tc>
        <w:tc>
          <w:tcPr>
            <w:tcW w:w="348" w:type="pct"/>
            <w:tcBorders>
              <w:top w:val="nil"/>
            </w:tcBorders>
            <w:shd w:val="clear" w:color="auto" w:fill="FFFFFF" w:themeFill="background1"/>
            <w:noWrap/>
            <w:hideMark/>
          </w:tcPr>
          <w:p w14:paraId="1BBC8CE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103,4</w:t>
            </w:r>
          </w:p>
        </w:tc>
        <w:tc>
          <w:tcPr>
            <w:tcW w:w="375" w:type="pct"/>
            <w:tcBorders>
              <w:top w:val="nil"/>
            </w:tcBorders>
            <w:shd w:val="clear" w:color="auto" w:fill="FFFFFF" w:themeFill="background1"/>
            <w:noWrap/>
            <w:hideMark/>
          </w:tcPr>
          <w:p w14:paraId="2B77647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w:t>
            </w:r>
          </w:p>
        </w:tc>
        <w:tc>
          <w:tcPr>
            <w:tcW w:w="353" w:type="pct"/>
            <w:tcBorders>
              <w:top w:val="nil"/>
            </w:tcBorders>
            <w:shd w:val="clear" w:color="auto" w:fill="FFFFFF" w:themeFill="background1"/>
            <w:noWrap/>
            <w:hideMark/>
          </w:tcPr>
          <w:p w14:paraId="1E57346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21,4</w:t>
            </w:r>
          </w:p>
        </w:tc>
        <w:tc>
          <w:tcPr>
            <w:tcW w:w="372" w:type="pct"/>
            <w:tcBorders>
              <w:top w:val="nil"/>
            </w:tcBorders>
            <w:shd w:val="clear" w:color="auto" w:fill="FFFFFF" w:themeFill="background1"/>
            <w:noWrap/>
            <w:hideMark/>
          </w:tcPr>
          <w:p w14:paraId="12822C3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276,9</w:t>
            </w:r>
          </w:p>
        </w:tc>
        <w:tc>
          <w:tcPr>
            <w:tcW w:w="372" w:type="pct"/>
            <w:tcBorders>
              <w:top w:val="nil"/>
            </w:tcBorders>
            <w:shd w:val="clear" w:color="auto" w:fill="FFFFFF" w:themeFill="background1"/>
            <w:noWrap/>
            <w:hideMark/>
          </w:tcPr>
          <w:p w14:paraId="26E6D07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w:t>
            </w:r>
          </w:p>
        </w:tc>
        <w:tc>
          <w:tcPr>
            <w:tcW w:w="372" w:type="pct"/>
            <w:tcBorders>
              <w:top w:val="nil"/>
            </w:tcBorders>
            <w:shd w:val="clear" w:color="auto" w:fill="FFFFFF" w:themeFill="background1"/>
            <w:noWrap/>
            <w:hideMark/>
          </w:tcPr>
          <w:p w14:paraId="7FD8053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269,0</w:t>
            </w:r>
          </w:p>
        </w:tc>
        <w:tc>
          <w:tcPr>
            <w:tcW w:w="372" w:type="pct"/>
            <w:tcBorders>
              <w:top w:val="nil"/>
            </w:tcBorders>
            <w:shd w:val="clear" w:color="auto" w:fill="FFFFFF" w:themeFill="background1"/>
            <w:noWrap/>
            <w:hideMark/>
          </w:tcPr>
          <w:p w14:paraId="1D4D4B0E"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2,6</w:t>
            </w:r>
          </w:p>
        </w:tc>
        <w:tc>
          <w:tcPr>
            <w:tcW w:w="368" w:type="pct"/>
            <w:tcBorders>
              <w:top w:val="nil"/>
            </w:tcBorders>
            <w:shd w:val="clear" w:color="auto" w:fill="FFFFFF" w:themeFill="background1"/>
            <w:noWrap/>
          </w:tcPr>
          <w:p w14:paraId="39450891"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79C3EC03"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7C03654E"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Доприноси на терет послодавца</w:t>
            </w:r>
          </w:p>
        </w:tc>
        <w:tc>
          <w:tcPr>
            <w:tcW w:w="356" w:type="pct"/>
            <w:tcBorders>
              <w:top w:val="nil"/>
            </w:tcBorders>
            <w:shd w:val="clear" w:color="auto" w:fill="FFFFFF" w:themeFill="background1"/>
            <w:noWrap/>
            <w:hideMark/>
          </w:tcPr>
          <w:p w14:paraId="29526D4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143,9</w:t>
            </w:r>
          </w:p>
        </w:tc>
        <w:tc>
          <w:tcPr>
            <w:tcW w:w="356" w:type="pct"/>
            <w:tcBorders>
              <w:top w:val="nil"/>
            </w:tcBorders>
            <w:shd w:val="clear" w:color="auto" w:fill="FFFFFF" w:themeFill="background1"/>
            <w:noWrap/>
            <w:hideMark/>
          </w:tcPr>
          <w:p w14:paraId="5A38088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87,4</w:t>
            </w:r>
          </w:p>
        </w:tc>
        <w:tc>
          <w:tcPr>
            <w:tcW w:w="360" w:type="pct"/>
            <w:tcBorders>
              <w:top w:val="nil"/>
            </w:tcBorders>
            <w:shd w:val="clear" w:color="auto" w:fill="FFFFFF" w:themeFill="background1"/>
            <w:noWrap/>
            <w:hideMark/>
          </w:tcPr>
          <w:p w14:paraId="32AAF51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13,9</w:t>
            </w:r>
          </w:p>
        </w:tc>
        <w:tc>
          <w:tcPr>
            <w:tcW w:w="348" w:type="pct"/>
            <w:tcBorders>
              <w:top w:val="nil"/>
            </w:tcBorders>
            <w:shd w:val="clear" w:color="auto" w:fill="FFFFFF" w:themeFill="background1"/>
            <w:noWrap/>
            <w:hideMark/>
          </w:tcPr>
          <w:p w14:paraId="6388232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13,2</w:t>
            </w:r>
          </w:p>
        </w:tc>
        <w:tc>
          <w:tcPr>
            <w:tcW w:w="375" w:type="pct"/>
            <w:tcBorders>
              <w:top w:val="nil"/>
            </w:tcBorders>
            <w:shd w:val="clear" w:color="auto" w:fill="FFFFFF" w:themeFill="background1"/>
            <w:noWrap/>
            <w:hideMark/>
          </w:tcPr>
          <w:p w14:paraId="78B88B4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0,7</w:t>
            </w:r>
          </w:p>
        </w:tc>
        <w:tc>
          <w:tcPr>
            <w:tcW w:w="353" w:type="pct"/>
            <w:tcBorders>
              <w:top w:val="nil"/>
            </w:tcBorders>
            <w:shd w:val="clear" w:color="auto" w:fill="FFFFFF" w:themeFill="background1"/>
            <w:noWrap/>
            <w:hideMark/>
          </w:tcPr>
          <w:p w14:paraId="5AC4A21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3,7</w:t>
            </w:r>
          </w:p>
        </w:tc>
        <w:tc>
          <w:tcPr>
            <w:tcW w:w="372" w:type="pct"/>
            <w:tcBorders>
              <w:top w:val="nil"/>
            </w:tcBorders>
            <w:shd w:val="clear" w:color="auto" w:fill="FFFFFF" w:themeFill="background1"/>
            <w:noWrap/>
            <w:hideMark/>
          </w:tcPr>
          <w:p w14:paraId="448A870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38,9</w:t>
            </w:r>
          </w:p>
        </w:tc>
        <w:tc>
          <w:tcPr>
            <w:tcW w:w="372" w:type="pct"/>
            <w:tcBorders>
              <w:top w:val="nil"/>
            </w:tcBorders>
            <w:shd w:val="clear" w:color="auto" w:fill="FFFFFF" w:themeFill="background1"/>
            <w:noWrap/>
            <w:hideMark/>
          </w:tcPr>
          <w:p w14:paraId="116BB08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0,9</w:t>
            </w:r>
          </w:p>
        </w:tc>
        <w:tc>
          <w:tcPr>
            <w:tcW w:w="372" w:type="pct"/>
            <w:tcBorders>
              <w:top w:val="nil"/>
            </w:tcBorders>
            <w:shd w:val="clear" w:color="auto" w:fill="FFFFFF" w:themeFill="background1"/>
            <w:noWrap/>
            <w:hideMark/>
          </w:tcPr>
          <w:p w14:paraId="6B5FE45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37,4</w:t>
            </w:r>
          </w:p>
        </w:tc>
        <w:tc>
          <w:tcPr>
            <w:tcW w:w="372" w:type="pct"/>
            <w:tcBorders>
              <w:top w:val="nil"/>
            </w:tcBorders>
            <w:shd w:val="clear" w:color="auto" w:fill="FFFFFF" w:themeFill="background1"/>
            <w:noWrap/>
            <w:hideMark/>
          </w:tcPr>
          <w:p w14:paraId="58C89BE6"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0,5</w:t>
            </w:r>
          </w:p>
        </w:tc>
        <w:tc>
          <w:tcPr>
            <w:tcW w:w="368" w:type="pct"/>
            <w:tcBorders>
              <w:top w:val="nil"/>
            </w:tcBorders>
            <w:shd w:val="clear" w:color="auto" w:fill="FFFFFF" w:themeFill="background1"/>
            <w:noWrap/>
          </w:tcPr>
          <w:p w14:paraId="2311B7C6"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720C4807"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C421B0F"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Куповина роба и услуга</w:t>
            </w:r>
          </w:p>
        </w:tc>
        <w:tc>
          <w:tcPr>
            <w:tcW w:w="356" w:type="pct"/>
            <w:tcBorders>
              <w:top w:val="nil"/>
            </w:tcBorders>
            <w:shd w:val="clear" w:color="auto" w:fill="FFFFFF" w:themeFill="background1"/>
            <w:noWrap/>
            <w:hideMark/>
          </w:tcPr>
          <w:p w14:paraId="3F1504E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826,7</w:t>
            </w:r>
          </w:p>
        </w:tc>
        <w:tc>
          <w:tcPr>
            <w:tcW w:w="356" w:type="pct"/>
            <w:tcBorders>
              <w:top w:val="nil"/>
            </w:tcBorders>
            <w:shd w:val="clear" w:color="auto" w:fill="FFFFFF" w:themeFill="background1"/>
            <w:noWrap/>
            <w:hideMark/>
          </w:tcPr>
          <w:p w14:paraId="246A3F3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227,2</w:t>
            </w:r>
          </w:p>
        </w:tc>
        <w:tc>
          <w:tcPr>
            <w:tcW w:w="360" w:type="pct"/>
            <w:tcBorders>
              <w:top w:val="nil"/>
            </w:tcBorders>
            <w:shd w:val="clear" w:color="auto" w:fill="FFFFFF" w:themeFill="background1"/>
            <w:noWrap/>
            <w:hideMark/>
          </w:tcPr>
          <w:p w14:paraId="1B08731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209,8</w:t>
            </w:r>
          </w:p>
        </w:tc>
        <w:tc>
          <w:tcPr>
            <w:tcW w:w="348" w:type="pct"/>
            <w:tcBorders>
              <w:top w:val="nil"/>
            </w:tcBorders>
            <w:shd w:val="clear" w:color="auto" w:fill="FFFFFF" w:themeFill="background1"/>
            <w:noWrap/>
            <w:hideMark/>
          </w:tcPr>
          <w:p w14:paraId="2E33AC6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205,0</w:t>
            </w:r>
          </w:p>
        </w:tc>
        <w:tc>
          <w:tcPr>
            <w:tcW w:w="375" w:type="pct"/>
            <w:tcBorders>
              <w:top w:val="nil"/>
            </w:tcBorders>
            <w:shd w:val="clear" w:color="auto" w:fill="FFFFFF" w:themeFill="background1"/>
            <w:noWrap/>
            <w:hideMark/>
          </w:tcPr>
          <w:p w14:paraId="0F69684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4,8</w:t>
            </w:r>
          </w:p>
        </w:tc>
        <w:tc>
          <w:tcPr>
            <w:tcW w:w="353" w:type="pct"/>
            <w:tcBorders>
              <w:top w:val="nil"/>
            </w:tcBorders>
            <w:shd w:val="clear" w:color="auto" w:fill="FFFFFF" w:themeFill="background1"/>
            <w:noWrap/>
            <w:hideMark/>
          </w:tcPr>
          <w:p w14:paraId="59D2072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77,6</w:t>
            </w:r>
          </w:p>
        </w:tc>
        <w:tc>
          <w:tcPr>
            <w:tcW w:w="372" w:type="pct"/>
            <w:tcBorders>
              <w:top w:val="nil"/>
            </w:tcBorders>
            <w:shd w:val="clear" w:color="auto" w:fill="FFFFFF" w:themeFill="background1"/>
            <w:noWrap/>
            <w:hideMark/>
          </w:tcPr>
          <w:p w14:paraId="6968D56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312,2</w:t>
            </w:r>
          </w:p>
        </w:tc>
        <w:tc>
          <w:tcPr>
            <w:tcW w:w="372" w:type="pct"/>
            <w:tcBorders>
              <w:top w:val="nil"/>
            </w:tcBorders>
            <w:shd w:val="clear" w:color="auto" w:fill="FFFFFF" w:themeFill="background1"/>
            <w:noWrap/>
            <w:hideMark/>
          </w:tcPr>
          <w:p w14:paraId="75CEDA4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5,9</w:t>
            </w:r>
          </w:p>
        </w:tc>
        <w:tc>
          <w:tcPr>
            <w:tcW w:w="372" w:type="pct"/>
            <w:tcBorders>
              <w:top w:val="nil"/>
            </w:tcBorders>
            <w:shd w:val="clear" w:color="auto" w:fill="FFFFFF" w:themeFill="background1"/>
            <w:noWrap/>
            <w:hideMark/>
          </w:tcPr>
          <w:p w14:paraId="1B97DEA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296,7</w:t>
            </w:r>
          </w:p>
        </w:tc>
        <w:tc>
          <w:tcPr>
            <w:tcW w:w="372" w:type="pct"/>
            <w:tcBorders>
              <w:top w:val="nil"/>
            </w:tcBorders>
            <w:shd w:val="clear" w:color="auto" w:fill="FFFFFF" w:themeFill="background1"/>
            <w:noWrap/>
            <w:hideMark/>
          </w:tcPr>
          <w:p w14:paraId="2C45B45D"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2,4</w:t>
            </w:r>
          </w:p>
        </w:tc>
        <w:tc>
          <w:tcPr>
            <w:tcW w:w="368" w:type="pct"/>
            <w:tcBorders>
              <w:top w:val="nil"/>
            </w:tcBorders>
            <w:shd w:val="clear" w:color="auto" w:fill="FFFFFF" w:themeFill="background1"/>
            <w:noWrap/>
          </w:tcPr>
          <w:p w14:paraId="09252BC1"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7,2</w:t>
            </w:r>
          </w:p>
        </w:tc>
      </w:tr>
      <w:tr w:rsidR="003B151E" w:rsidRPr="00F5596D" w14:paraId="16DE63D2"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C34283B"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Отплата камата</w:t>
            </w:r>
          </w:p>
        </w:tc>
        <w:tc>
          <w:tcPr>
            <w:tcW w:w="356" w:type="pct"/>
            <w:tcBorders>
              <w:top w:val="nil"/>
            </w:tcBorders>
            <w:shd w:val="clear" w:color="auto" w:fill="FFFFFF" w:themeFill="background1"/>
            <w:noWrap/>
            <w:hideMark/>
          </w:tcPr>
          <w:p w14:paraId="57F84AA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232,3</w:t>
            </w:r>
          </w:p>
        </w:tc>
        <w:tc>
          <w:tcPr>
            <w:tcW w:w="356" w:type="pct"/>
            <w:tcBorders>
              <w:top w:val="nil"/>
            </w:tcBorders>
            <w:shd w:val="clear" w:color="auto" w:fill="FFFFFF" w:themeFill="background1"/>
            <w:noWrap/>
            <w:hideMark/>
          </w:tcPr>
          <w:p w14:paraId="6B54E618" w14:textId="3146F44A"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229,9</w:t>
            </w:r>
          </w:p>
        </w:tc>
        <w:tc>
          <w:tcPr>
            <w:tcW w:w="360" w:type="pct"/>
            <w:tcBorders>
              <w:top w:val="nil"/>
            </w:tcBorders>
            <w:shd w:val="clear" w:color="auto" w:fill="FFFFFF" w:themeFill="background1"/>
            <w:noWrap/>
            <w:hideMark/>
          </w:tcPr>
          <w:p w14:paraId="330C297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w:t>
            </w:r>
          </w:p>
        </w:tc>
        <w:tc>
          <w:tcPr>
            <w:tcW w:w="348" w:type="pct"/>
            <w:tcBorders>
              <w:top w:val="nil"/>
            </w:tcBorders>
            <w:shd w:val="clear" w:color="auto" w:fill="FFFFFF" w:themeFill="background1"/>
            <w:noWrap/>
            <w:hideMark/>
          </w:tcPr>
          <w:p w14:paraId="749FB91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w:t>
            </w:r>
          </w:p>
        </w:tc>
        <w:tc>
          <w:tcPr>
            <w:tcW w:w="375" w:type="pct"/>
            <w:tcBorders>
              <w:top w:val="nil"/>
            </w:tcBorders>
            <w:shd w:val="clear" w:color="auto" w:fill="FFFFFF" w:themeFill="background1"/>
            <w:noWrap/>
            <w:hideMark/>
          </w:tcPr>
          <w:p w14:paraId="2E8C485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c>
          <w:tcPr>
            <w:tcW w:w="353" w:type="pct"/>
            <w:tcBorders>
              <w:top w:val="nil"/>
            </w:tcBorders>
            <w:shd w:val="clear" w:color="auto" w:fill="FFFFFF" w:themeFill="background1"/>
            <w:noWrap/>
            <w:hideMark/>
          </w:tcPr>
          <w:p w14:paraId="56BF6EF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0,1</w:t>
            </w:r>
          </w:p>
        </w:tc>
        <w:tc>
          <w:tcPr>
            <w:tcW w:w="372" w:type="pct"/>
            <w:tcBorders>
              <w:top w:val="nil"/>
            </w:tcBorders>
            <w:shd w:val="clear" w:color="auto" w:fill="FFFFFF" w:themeFill="background1"/>
            <w:noWrap/>
          </w:tcPr>
          <w:p w14:paraId="0911F41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0CF07A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1665D7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F1BEA4D"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6CF890F8"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2419CF0F"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CA82E2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Субвенције</w:t>
            </w:r>
          </w:p>
        </w:tc>
        <w:tc>
          <w:tcPr>
            <w:tcW w:w="356" w:type="pct"/>
            <w:tcBorders>
              <w:top w:val="nil"/>
            </w:tcBorders>
            <w:shd w:val="clear" w:color="auto" w:fill="FFFFFF" w:themeFill="background1"/>
            <w:noWrap/>
            <w:hideMark/>
          </w:tcPr>
          <w:p w14:paraId="0AFF773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247,5</w:t>
            </w:r>
          </w:p>
        </w:tc>
        <w:tc>
          <w:tcPr>
            <w:tcW w:w="356" w:type="pct"/>
            <w:tcBorders>
              <w:top w:val="nil"/>
            </w:tcBorders>
            <w:shd w:val="clear" w:color="auto" w:fill="FFFFFF" w:themeFill="background1"/>
            <w:noWrap/>
            <w:hideMark/>
          </w:tcPr>
          <w:p w14:paraId="058D6C4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195,9</w:t>
            </w:r>
          </w:p>
        </w:tc>
        <w:tc>
          <w:tcPr>
            <w:tcW w:w="360" w:type="pct"/>
            <w:tcBorders>
              <w:top w:val="nil"/>
            </w:tcBorders>
            <w:shd w:val="clear" w:color="auto" w:fill="FFFFFF" w:themeFill="background1"/>
            <w:noWrap/>
            <w:hideMark/>
          </w:tcPr>
          <w:p w14:paraId="1D8067F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51,6</w:t>
            </w:r>
          </w:p>
        </w:tc>
        <w:tc>
          <w:tcPr>
            <w:tcW w:w="348" w:type="pct"/>
            <w:tcBorders>
              <w:top w:val="nil"/>
            </w:tcBorders>
            <w:shd w:val="clear" w:color="auto" w:fill="FFFFFF" w:themeFill="background1"/>
            <w:noWrap/>
            <w:hideMark/>
          </w:tcPr>
          <w:p w14:paraId="6222409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34,9</w:t>
            </w:r>
          </w:p>
        </w:tc>
        <w:tc>
          <w:tcPr>
            <w:tcW w:w="375" w:type="pct"/>
            <w:tcBorders>
              <w:top w:val="nil"/>
            </w:tcBorders>
            <w:shd w:val="clear" w:color="auto" w:fill="FFFFFF" w:themeFill="background1"/>
            <w:noWrap/>
            <w:hideMark/>
          </w:tcPr>
          <w:p w14:paraId="57146EA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16,7</w:t>
            </w:r>
          </w:p>
        </w:tc>
        <w:tc>
          <w:tcPr>
            <w:tcW w:w="353" w:type="pct"/>
            <w:tcBorders>
              <w:top w:val="nil"/>
            </w:tcBorders>
            <w:shd w:val="clear" w:color="auto" w:fill="FFFFFF" w:themeFill="background1"/>
            <w:noWrap/>
          </w:tcPr>
          <w:p w14:paraId="45E5739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E90B59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093F34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6E8707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E303DC2"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5BBE06DA"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15EDE1CA"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D294194"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Социјална помоћ и трансфери</w:t>
            </w:r>
          </w:p>
        </w:tc>
        <w:tc>
          <w:tcPr>
            <w:tcW w:w="356" w:type="pct"/>
            <w:tcBorders>
              <w:top w:val="nil"/>
            </w:tcBorders>
            <w:shd w:val="clear" w:color="auto" w:fill="FFFFFF" w:themeFill="background1"/>
            <w:noWrap/>
            <w:hideMark/>
          </w:tcPr>
          <w:p w14:paraId="02C5770D" w14:textId="3663F0D3"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1.459,7</w:t>
            </w:r>
          </w:p>
        </w:tc>
        <w:tc>
          <w:tcPr>
            <w:tcW w:w="356" w:type="pct"/>
            <w:tcBorders>
              <w:top w:val="nil"/>
            </w:tcBorders>
            <w:shd w:val="clear" w:color="auto" w:fill="FFFFFF" w:themeFill="background1"/>
            <w:noWrap/>
            <w:hideMark/>
          </w:tcPr>
          <w:p w14:paraId="6C74EE9C" w14:textId="5C35DCC5"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215,7</w:t>
            </w:r>
          </w:p>
        </w:tc>
        <w:tc>
          <w:tcPr>
            <w:tcW w:w="360" w:type="pct"/>
            <w:tcBorders>
              <w:top w:val="nil"/>
            </w:tcBorders>
            <w:shd w:val="clear" w:color="auto" w:fill="FFFFFF" w:themeFill="background1"/>
            <w:noWrap/>
            <w:hideMark/>
          </w:tcPr>
          <w:p w14:paraId="5CF2BC0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7,1</w:t>
            </w:r>
          </w:p>
        </w:tc>
        <w:tc>
          <w:tcPr>
            <w:tcW w:w="348" w:type="pct"/>
            <w:tcBorders>
              <w:top w:val="nil"/>
            </w:tcBorders>
            <w:shd w:val="clear" w:color="auto" w:fill="FFFFFF" w:themeFill="background1"/>
            <w:noWrap/>
            <w:hideMark/>
          </w:tcPr>
          <w:p w14:paraId="6725265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6,7</w:t>
            </w:r>
          </w:p>
        </w:tc>
        <w:tc>
          <w:tcPr>
            <w:tcW w:w="375" w:type="pct"/>
            <w:tcBorders>
              <w:top w:val="nil"/>
            </w:tcBorders>
            <w:shd w:val="clear" w:color="auto" w:fill="FFFFFF" w:themeFill="background1"/>
            <w:noWrap/>
            <w:hideMark/>
          </w:tcPr>
          <w:p w14:paraId="173D063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0,4</w:t>
            </w:r>
          </w:p>
        </w:tc>
        <w:tc>
          <w:tcPr>
            <w:tcW w:w="353" w:type="pct"/>
            <w:tcBorders>
              <w:top w:val="nil"/>
            </w:tcBorders>
            <w:shd w:val="clear" w:color="auto" w:fill="FFFFFF" w:themeFill="background1"/>
            <w:noWrap/>
          </w:tcPr>
          <w:p w14:paraId="1B2341D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2A0DBB9" w14:textId="48FE0AD0"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1.236,9</w:t>
            </w:r>
          </w:p>
        </w:tc>
        <w:tc>
          <w:tcPr>
            <w:tcW w:w="372" w:type="pct"/>
            <w:tcBorders>
              <w:top w:val="nil"/>
            </w:tcBorders>
            <w:shd w:val="clear" w:color="auto" w:fill="FFFFFF" w:themeFill="background1"/>
            <w:noWrap/>
          </w:tcPr>
          <w:p w14:paraId="601A182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1.178,0</w:t>
            </w:r>
          </w:p>
        </w:tc>
        <w:tc>
          <w:tcPr>
            <w:tcW w:w="372" w:type="pct"/>
            <w:tcBorders>
              <w:top w:val="nil"/>
            </w:tcBorders>
            <w:shd w:val="clear" w:color="auto" w:fill="FFFFFF" w:themeFill="background1"/>
            <w:noWrap/>
          </w:tcPr>
          <w:p w14:paraId="641D891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35,1</w:t>
            </w:r>
          </w:p>
        </w:tc>
        <w:tc>
          <w:tcPr>
            <w:tcW w:w="372" w:type="pct"/>
            <w:tcBorders>
              <w:top w:val="nil"/>
            </w:tcBorders>
            <w:shd w:val="clear" w:color="auto" w:fill="FFFFFF" w:themeFill="background1"/>
            <w:noWrap/>
          </w:tcPr>
          <w:p w14:paraId="5C218ABA"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21,4</w:t>
            </w:r>
          </w:p>
        </w:tc>
        <w:tc>
          <w:tcPr>
            <w:tcW w:w="368" w:type="pct"/>
            <w:tcBorders>
              <w:top w:val="nil"/>
            </w:tcBorders>
            <w:shd w:val="clear" w:color="auto" w:fill="FFFFFF" w:themeFill="background1"/>
            <w:noWrap/>
          </w:tcPr>
          <w:p w14:paraId="0DD3EB13" w14:textId="7AEA11BA" w:rsidR="000A6C38" w:rsidRPr="00F5596D" w:rsidRDefault="00E907CC"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2,4</w:t>
            </w:r>
          </w:p>
        </w:tc>
      </w:tr>
      <w:tr w:rsidR="003B151E" w:rsidRPr="00F5596D" w14:paraId="69BFDA54"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1FBCA76"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i/>
                <w:iCs/>
                <w:color w:val="002060"/>
                <w:sz w:val="14"/>
                <w:szCs w:val="14"/>
                <w:lang w:val="sr-Cyrl-CS"/>
              </w:rPr>
              <w:t xml:space="preserve">             </w:t>
            </w:r>
            <w:r w:rsidRPr="00F5596D">
              <w:rPr>
                <w:rFonts w:cstheme="minorHAnsi"/>
                <w:b w:val="0"/>
                <w:iCs/>
                <w:color w:val="002060"/>
                <w:sz w:val="14"/>
                <w:szCs w:val="14"/>
                <w:lang w:val="sr-Cyrl-CS"/>
              </w:rPr>
              <w:t>oд чега пензије</w:t>
            </w:r>
          </w:p>
        </w:tc>
        <w:tc>
          <w:tcPr>
            <w:tcW w:w="356" w:type="pct"/>
            <w:tcBorders>
              <w:top w:val="nil"/>
            </w:tcBorders>
            <w:shd w:val="clear" w:color="auto" w:fill="FFFFFF" w:themeFill="background1"/>
            <w:noWrap/>
            <w:hideMark/>
          </w:tcPr>
          <w:p w14:paraId="1393070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1.130,0</w:t>
            </w:r>
          </w:p>
        </w:tc>
        <w:tc>
          <w:tcPr>
            <w:tcW w:w="356" w:type="pct"/>
            <w:tcBorders>
              <w:top w:val="nil"/>
            </w:tcBorders>
            <w:shd w:val="clear" w:color="auto" w:fill="FFFFFF" w:themeFill="background1"/>
            <w:noWrap/>
          </w:tcPr>
          <w:p w14:paraId="0A81828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tcPr>
          <w:p w14:paraId="2579D0A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4D46A5C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2A52C0F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tcPr>
          <w:p w14:paraId="43C0F53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C8BBE4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1.130,0</w:t>
            </w:r>
          </w:p>
        </w:tc>
        <w:tc>
          <w:tcPr>
            <w:tcW w:w="372" w:type="pct"/>
            <w:tcBorders>
              <w:top w:val="nil"/>
            </w:tcBorders>
            <w:shd w:val="clear" w:color="auto" w:fill="FFFFFF" w:themeFill="background1"/>
            <w:noWrap/>
            <w:hideMark/>
          </w:tcPr>
          <w:p w14:paraId="78109E2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1.130,0</w:t>
            </w:r>
          </w:p>
        </w:tc>
        <w:tc>
          <w:tcPr>
            <w:tcW w:w="372" w:type="pct"/>
            <w:tcBorders>
              <w:top w:val="nil"/>
            </w:tcBorders>
            <w:shd w:val="clear" w:color="auto" w:fill="FFFFFF" w:themeFill="background1"/>
            <w:noWrap/>
          </w:tcPr>
          <w:p w14:paraId="309167D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54952D5"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78FBAA44"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4AD703B8"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027AA73"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Остали текући расходи</w:t>
            </w:r>
          </w:p>
        </w:tc>
        <w:tc>
          <w:tcPr>
            <w:tcW w:w="356" w:type="pct"/>
            <w:tcBorders>
              <w:top w:val="nil"/>
            </w:tcBorders>
            <w:shd w:val="clear" w:color="auto" w:fill="FFFFFF" w:themeFill="background1"/>
            <w:noWrap/>
            <w:hideMark/>
          </w:tcPr>
          <w:p w14:paraId="0CC2C0C4" w14:textId="5ED011B4"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124,1</w:t>
            </w:r>
          </w:p>
        </w:tc>
        <w:tc>
          <w:tcPr>
            <w:tcW w:w="356" w:type="pct"/>
            <w:tcBorders>
              <w:top w:val="nil"/>
            </w:tcBorders>
            <w:shd w:val="clear" w:color="auto" w:fill="FFFFFF" w:themeFill="background1"/>
            <w:noWrap/>
            <w:hideMark/>
          </w:tcPr>
          <w:p w14:paraId="2669E185" w14:textId="6A307E1D"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69,1</w:t>
            </w:r>
          </w:p>
        </w:tc>
        <w:tc>
          <w:tcPr>
            <w:tcW w:w="360" w:type="pct"/>
            <w:tcBorders>
              <w:top w:val="nil"/>
            </w:tcBorders>
            <w:shd w:val="clear" w:color="auto" w:fill="FFFFFF" w:themeFill="background1"/>
            <w:noWrap/>
            <w:hideMark/>
          </w:tcPr>
          <w:p w14:paraId="46FD63A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46,1</w:t>
            </w:r>
          </w:p>
        </w:tc>
        <w:tc>
          <w:tcPr>
            <w:tcW w:w="348" w:type="pct"/>
            <w:tcBorders>
              <w:top w:val="nil"/>
            </w:tcBorders>
            <w:shd w:val="clear" w:color="auto" w:fill="FFFFFF" w:themeFill="background1"/>
            <w:noWrap/>
            <w:hideMark/>
          </w:tcPr>
          <w:p w14:paraId="01E4DF0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31,7</w:t>
            </w:r>
          </w:p>
        </w:tc>
        <w:tc>
          <w:tcPr>
            <w:tcW w:w="375" w:type="pct"/>
            <w:tcBorders>
              <w:top w:val="nil"/>
            </w:tcBorders>
            <w:shd w:val="clear" w:color="auto" w:fill="FFFFFF" w:themeFill="background1"/>
            <w:noWrap/>
            <w:hideMark/>
          </w:tcPr>
          <w:p w14:paraId="444D4AD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14,4</w:t>
            </w:r>
          </w:p>
        </w:tc>
        <w:tc>
          <w:tcPr>
            <w:tcW w:w="353" w:type="pct"/>
            <w:tcBorders>
              <w:top w:val="nil"/>
            </w:tcBorders>
            <w:shd w:val="clear" w:color="auto" w:fill="FFFFFF" w:themeFill="background1"/>
            <w:noWrap/>
            <w:hideMark/>
          </w:tcPr>
          <w:p w14:paraId="643DDE0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w:t>
            </w:r>
          </w:p>
        </w:tc>
        <w:tc>
          <w:tcPr>
            <w:tcW w:w="372" w:type="pct"/>
            <w:tcBorders>
              <w:top w:val="nil"/>
            </w:tcBorders>
            <w:shd w:val="clear" w:color="auto" w:fill="FFFFFF" w:themeFill="background1"/>
            <w:noWrap/>
            <w:hideMark/>
          </w:tcPr>
          <w:p w14:paraId="347B5F9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3,9</w:t>
            </w:r>
          </w:p>
        </w:tc>
        <w:tc>
          <w:tcPr>
            <w:tcW w:w="372" w:type="pct"/>
            <w:tcBorders>
              <w:top w:val="nil"/>
            </w:tcBorders>
            <w:shd w:val="clear" w:color="auto" w:fill="FFFFFF" w:themeFill="background1"/>
            <w:noWrap/>
            <w:hideMark/>
          </w:tcPr>
          <w:p w14:paraId="7C0E6A9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w:t>
            </w:r>
          </w:p>
        </w:tc>
        <w:tc>
          <w:tcPr>
            <w:tcW w:w="372" w:type="pct"/>
            <w:tcBorders>
              <w:top w:val="nil"/>
            </w:tcBorders>
            <w:shd w:val="clear" w:color="auto" w:fill="FFFFFF" w:themeFill="background1"/>
            <w:noWrap/>
          </w:tcPr>
          <w:p w14:paraId="501CC53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w:t>
            </w:r>
          </w:p>
        </w:tc>
        <w:tc>
          <w:tcPr>
            <w:tcW w:w="372" w:type="pct"/>
            <w:tcBorders>
              <w:top w:val="nil"/>
            </w:tcBorders>
            <w:shd w:val="clear" w:color="auto" w:fill="FFFFFF" w:themeFill="background1"/>
            <w:noWrap/>
          </w:tcPr>
          <w:p w14:paraId="7AC63055"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c>
          <w:tcPr>
            <w:tcW w:w="368" w:type="pct"/>
            <w:tcBorders>
              <w:top w:val="nil"/>
            </w:tcBorders>
            <w:shd w:val="clear" w:color="auto" w:fill="FFFFFF" w:themeFill="background1"/>
            <w:noWrap/>
          </w:tcPr>
          <w:p w14:paraId="203921EB"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0,1</w:t>
            </w:r>
          </w:p>
        </w:tc>
      </w:tr>
      <w:tr w:rsidR="003B151E" w:rsidRPr="00F5596D" w14:paraId="1881DE87"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35B69165"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Капитални расходи</w:t>
            </w:r>
          </w:p>
        </w:tc>
        <w:tc>
          <w:tcPr>
            <w:tcW w:w="356" w:type="pct"/>
            <w:tcBorders>
              <w:top w:val="nil"/>
            </w:tcBorders>
            <w:shd w:val="clear" w:color="auto" w:fill="FFFFFF" w:themeFill="background1"/>
            <w:noWrap/>
            <w:hideMark/>
          </w:tcPr>
          <w:p w14:paraId="37F4AA9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774,6</w:t>
            </w:r>
          </w:p>
        </w:tc>
        <w:tc>
          <w:tcPr>
            <w:tcW w:w="356" w:type="pct"/>
            <w:tcBorders>
              <w:top w:val="nil"/>
            </w:tcBorders>
            <w:shd w:val="clear" w:color="auto" w:fill="FFFFFF" w:themeFill="background1"/>
            <w:noWrap/>
            <w:hideMark/>
          </w:tcPr>
          <w:p w14:paraId="4040D64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616,9</w:t>
            </w:r>
          </w:p>
        </w:tc>
        <w:tc>
          <w:tcPr>
            <w:tcW w:w="360" w:type="pct"/>
            <w:tcBorders>
              <w:top w:val="nil"/>
            </w:tcBorders>
            <w:shd w:val="clear" w:color="auto" w:fill="FFFFFF" w:themeFill="background1"/>
            <w:noWrap/>
            <w:hideMark/>
          </w:tcPr>
          <w:p w14:paraId="1268DB2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118,2</w:t>
            </w:r>
          </w:p>
        </w:tc>
        <w:tc>
          <w:tcPr>
            <w:tcW w:w="348" w:type="pct"/>
            <w:tcBorders>
              <w:top w:val="nil"/>
            </w:tcBorders>
            <w:shd w:val="clear" w:color="auto" w:fill="FFFFFF" w:themeFill="background1"/>
            <w:noWrap/>
            <w:hideMark/>
          </w:tcPr>
          <w:p w14:paraId="5BAB2E1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111,8</w:t>
            </w:r>
          </w:p>
        </w:tc>
        <w:tc>
          <w:tcPr>
            <w:tcW w:w="375" w:type="pct"/>
            <w:tcBorders>
              <w:top w:val="nil"/>
            </w:tcBorders>
            <w:shd w:val="clear" w:color="auto" w:fill="FFFFFF" w:themeFill="background1"/>
            <w:noWrap/>
            <w:hideMark/>
          </w:tcPr>
          <w:p w14:paraId="511435E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6,4</w:t>
            </w:r>
          </w:p>
        </w:tc>
        <w:tc>
          <w:tcPr>
            <w:tcW w:w="353" w:type="pct"/>
            <w:tcBorders>
              <w:top w:val="nil"/>
            </w:tcBorders>
            <w:shd w:val="clear" w:color="auto" w:fill="FFFFFF" w:themeFill="background1"/>
            <w:noWrap/>
            <w:hideMark/>
          </w:tcPr>
          <w:p w14:paraId="0F64709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18,6</w:t>
            </w:r>
          </w:p>
        </w:tc>
        <w:tc>
          <w:tcPr>
            <w:tcW w:w="372" w:type="pct"/>
            <w:tcBorders>
              <w:top w:val="nil"/>
            </w:tcBorders>
            <w:shd w:val="clear" w:color="auto" w:fill="FFFFFF" w:themeFill="background1"/>
            <w:noWrap/>
            <w:hideMark/>
          </w:tcPr>
          <w:p w14:paraId="1B4098B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20,8</w:t>
            </w:r>
          </w:p>
        </w:tc>
        <w:tc>
          <w:tcPr>
            <w:tcW w:w="372" w:type="pct"/>
            <w:tcBorders>
              <w:top w:val="nil"/>
            </w:tcBorders>
            <w:shd w:val="clear" w:color="auto" w:fill="FFFFFF" w:themeFill="background1"/>
            <w:noWrap/>
            <w:hideMark/>
          </w:tcPr>
          <w:p w14:paraId="182E827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0,7</w:t>
            </w:r>
          </w:p>
        </w:tc>
        <w:tc>
          <w:tcPr>
            <w:tcW w:w="372" w:type="pct"/>
            <w:tcBorders>
              <w:top w:val="nil"/>
            </w:tcBorders>
            <w:shd w:val="clear" w:color="auto" w:fill="FFFFFF" w:themeFill="background1"/>
            <w:noWrap/>
            <w:hideMark/>
          </w:tcPr>
          <w:p w14:paraId="4B50B42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19,6</w:t>
            </w:r>
          </w:p>
        </w:tc>
        <w:tc>
          <w:tcPr>
            <w:tcW w:w="372" w:type="pct"/>
            <w:tcBorders>
              <w:top w:val="nil"/>
            </w:tcBorders>
            <w:shd w:val="clear" w:color="auto" w:fill="FFFFFF" w:themeFill="background1"/>
            <w:noWrap/>
            <w:hideMark/>
          </w:tcPr>
          <w:p w14:paraId="721B0ABC"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0,4</w:t>
            </w:r>
          </w:p>
        </w:tc>
        <w:tc>
          <w:tcPr>
            <w:tcW w:w="368" w:type="pct"/>
            <w:tcBorders>
              <w:top w:val="nil"/>
            </w:tcBorders>
            <w:shd w:val="clear" w:color="auto" w:fill="FFFFFF" w:themeFill="background1"/>
            <w:noWrap/>
            <w:hideMark/>
          </w:tcPr>
          <w:p w14:paraId="1277C9B5" w14:textId="77777777" w:rsidR="000A6C38" w:rsidRPr="00F5596D" w:rsidRDefault="000A6C38" w:rsidP="003B151E">
            <w:pPr>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0,1</w:t>
            </w:r>
          </w:p>
        </w:tc>
      </w:tr>
      <w:tr w:rsidR="003B151E" w:rsidRPr="00F5596D" w14:paraId="60812A14"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4942963E"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Нето буџетске позајмице</w:t>
            </w:r>
          </w:p>
        </w:tc>
        <w:tc>
          <w:tcPr>
            <w:tcW w:w="356" w:type="pct"/>
            <w:tcBorders>
              <w:top w:val="nil"/>
            </w:tcBorders>
            <w:shd w:val="clear" w:color="auto" w:fill="FFFFFF" w:themeFill="background1"/>
            <w:noWrap/>
            <w:hideMark/>
          </w:tcPr>
          <w:p w14:paraId="1A8AA10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23,5</w:t>
            </w:r>
          </w:p>
        </w:tc>
        <w:tc>
          <w:tcPr>
            <w:tcW w:w="356" w:type="pct"/>
            <w:tcBorders>
              <w:top w:val="nil"/>
            </w:tcBorders>
            <w:shd w:val="clear" w:color="auto" w:fill="FFFFFF" w:themeFill="background1"/>
            <w:noWrap/>
            <w:hideMark/>
          </w:tcPr>
          <w:p w14:paraId="534FDDC9" w14:textId="7BB8525E"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23,5</w:t>
            </w:r>
          </w:p>
        </w:tc>
        <w:tc>
          <w:tcPr>
            <w:tcW w:w="360" w:type="pct"/>
            <w:tcBorders>
              <w:top w:val="nil"/>
            </w:tcBorders>
            <w:shd w:val="clear" w:color="auto" w:fill="FFFFFF" w:themeFill="background1"/>
            <w:noWrap/>
          </w:tcPr>
          <w:p w14:paraId="39FC3EDD" w14:textId="14C8D488"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1D046BC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4DA722F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1FF5DCC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623F08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BD0096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1706308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3817387"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7839E7DE" w14:textId="77777777" w:rsidR="000A6C38" w:rsidRPr="00F5596D" w:rsidRDefault="000A6C38" w:rsidP="003B151E">
            <w:pPr>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220D118C"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63839F9"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 xml:space="preserve">    Активиране гаранције</w:t>
            </w:r>
          </w:p>
        </w:tc>
        <w:tc>
          <w:tcPr>
            <w:tcW w:w="356" w:type="pct"/>
            <w:tcBorders>
              <w:top w:val="nil"/>
            </w:tcBorders>
            <w:shd w:val="clear" w:color="auto" w:fill="FFFFFF" w:themeFill="background1"/>
            <w:noWrap/>
            <w:hideMark/>
          </w:tcPr>
          <w:p w14:paraId="4614F73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23,0</w:t>
            </w:r>
          </w:p>
        </w:tc>
        <w:tc>
          <w:tcPr>
            <w:tcW w:w="356" w:type="pct"/>
            <w:tcBorders>
              <w:top w:val="nil"/>
            </w:tcBorders>
            <w:shd w:val="clear" w:color="auto" w:fill="FFFFFF" w:themeFill="background1"/>
            <w:noWrap/>
            <w:hideMark/>
          </w:tcPr>
          <w:p w14:paraId="2D5C2F0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23,0</w:t>
            </w:r>
          </w:p>
        </w:tc>
        <w:tc>
          <w:tcPr>
            <w:tcW w:w="360" w:type="pct"/>
            <w:tcBorders>
              <w:top w:val="nil"/>
            </w:tcBorders>
            <w:shd w:val="clear" w:color="auto" w:fill="FFFFFF" w:themeFill="background1"/>
            <w:noWrap/>
          </w:tcPr>
          <w:p w14:paraId="4484EEA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3AC4E8C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2F228E7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BBFDD8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AA207F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5176D1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EC1ACB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70C487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2D43EDF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022B5556" w14:textId="77777777" w:rsidTr="003B151E">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BFBFBF" w:themeFill="background1" w:themeFillShade="BF"/>
            <w:noWrap/>
            <w:vAlign w:val="bottom"/>
            <w:hideMark/>
          </w:tcPr>
          <w:p w14:paraId="6A66E227" w14:textId="77777777" w:rsidR="000A6C38" w:rsidRPr="00F5596D" w:rsidRDefault="000A6C38" w:rsidP="003B151E">
            <w:pPr>
              <w:tabs>
                <w:tab w:val="center" w:pos="4680"/>
                <w:tab w:val="right" w:pos="9360"/>
              </w:tabs>
              <w:rPr>
                <w:rFonts w:cstheme="minorHAnsi"/>
                <w:color w:val="002060"/>
                <w:sz w:val="14"/>
                <w:szCs w:val="14"/>
                <w:lang w:val="sr-Cyrl-CS"/>
              </w:rPr>
            </w:pPr>
            <w:r w:rsidRPr="00F5596D">
              <w:rPr>
                <w:rFonts w:cstheme="minorHAnsi"/>
                <w:color w:val="002060"/>
                <w:sz w:val="14"/>
                <w:szCs w:val="14"/>
                <w:lang w:val="sr-Cyrl-CS"/>
              </w:rPr>
              <w:t>Фискални резултат искљ. трансфере</w:t>
            </w:r>
          </w:p>
        </w:tc>
        <w:tc>
          <w:tcPr>
            <w:tcW w:w="356" w:type="pct"/>
            <w:tcBorders>
              <w:top w:val="nil"/>
            </w:tcBorders>
            <w:shd w:val="clear" w:color="auto" w:fill="BFBFBF" w:themeFill="background1" w:themeFillShade="BF"/>
            <w:noWrap/>
            <w:hideMark/>
          </w:tcPr>
          <w:p w14:paraId="07FED82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-337,0</w:t>
            </w:r>
          </w:p>
        </w:tc>
        <w:tc>
          <w:tcPr>
            <w:tcW w:w="356" w:type="pct"/>
            <w:tcBorders>
              <w:top w:val="nil"/>
            </w:tcBorders>
            <w:shd w:val="clear" w:color="auto" w:fill="BFBFBF" w:themeFill="background1" w:themeFillShade="BF"/>
            <w:noWrap/>
            <w:hideMark/>
          </w:tcPr>
          <w:p w14:paraId="56B6E572" w14:textId="75AE04F8"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92,8</w:t>
            </w:r>
          </w:p>
        </w:tc>
        <w:tc>
          <w:tcPr>
            <w:tcW w:w="360" w:type="pct"/>
            <w:tcBorders>
              <w:top w:val="nil"/>
            </w:tcBorders>
            <w:shd w:val="clear" w:color="auto" w:fill="BFBFBF" w:themeFill="background1" w:themeFillShade="BF"/>
            <w:noWrap/>
            <w:hideMark/>
          </w:tcPr>
          <w:p w14:paraId="418D36BB" w14:textId="60813DF2"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-22,9</w:t>
            </w:r>
          </w:p>
        </w:tc>
        <w:tc>
          <w:tcPr>
            <w:tcW w:w="348" w:type="pct"/>
            <w:tcBorders>
              <w:top w:val="nil"/>
            </w:tcBorders>
            <w:shd w:val="clear" w:color="auto" w:fill="BFBFBF" w:themeFill="background1" w:themeFillShade="BF"/>
            <w:noWrap/>
            <w:hideMark/>
          </w:tcPr>
          <w:p w14:paraId="6179887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-22,6</w:t>
            </w:r>
          </w:p>
        </w:tc>
        <w:tc>
          <w:tcPr>
            <w:tcW w:w="375" w:type="pct"/>
            <w:tcBorders>
              <w:top w:val="nil"/>
            </w:tcBorders>
            <w:shd w:val="clear" w:color="auto" w:fill="BFBFBF" w:themeFill="background1" w:themeFillShade="BF"/>
            <w:noWrap/>
            <w:hideMark/>
          </w:tcPr>
          <w:p w14:paraId="0E75F41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-0,3</w:t>
            </w:r>
          </w:p>
        </w:tc>
        <w:tc>
          <w:tcPr>
            <w:tcW w:w="353" w:type="pct"/>
            <w:tcBorders>
              <w:top w:val="nil"/>
            </w:tcBorders>
            <w:shd w:val="clear" w:color="auto" w:fill="BFBFBF" w:themeFill="background1" w:themeFillShade="BF"/>
            <w:noWrap/>
            <w:hideMark/>
          </w:tcPr>
          <w:p w14:paraId="5E22A1B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-43,2</w:t>
            </w:r>
          </w:p>
        </w:tc>
        <w:tc>
          <w:tcPr>
            <w:tcW w:w="372" w:type="pct"/>
            <w:tcBorders>
              <w:top w:val="nil"/>
            </w:tcBorders>
            <w:shd w:val="clear" w:color="auto" w:fill="BFBFBF" w:themeFill="background1" w:themeFillShade="BF"/>
            <w:noWrap/>
            <w:hideMark/>
          </w:tcPr>
          <w:p w14:paraId="71A22D76" w14:textId="3C33A065"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-363,7</w:t>
            </w:r>
          </w:p>
        </w:tc>
        <w:tc>
          <w:tcPr>
            <w:tcW w:w="372" w:type="pct"/>
            <w:tcBorders>
              <w:top w:val="nil"/>
            </w:tcBorders>
            <w:shd w:val="clear" w:color="auto" w:fill="BFBFBF" w:themeFill="background1" w:themeFillShade="BF"/>
            <w:noWrap/>
            <w:hideMark/>
          </w:tcPr>
          <w:p w14:paraId="75B6F51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-163,0</w:t>
            </w:r>
          </w:p>
        </w:tc>
        <w:tc>
          <w:tcPr>
            <w:tcW w:w="372" w:type="pct"/>
            <w:tcBorders>
              <w:top w:val="nil"/>
            </w:tcBorders>
            <w:shd w:val="clear" w:color="auto" w:fill="BFBFBF" w:themeFill="background1" w:themeFillShade="BF"/>
            <w:noWrap/>
            <w:hideMark/>
          </w:tcPr>
          <w:p w14:paraId="06E62D1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-200,3</w:t>
            </w:r>
          </w:p>
        </w:tc>
        <w:tc>
          <w:tcPr>
            <w:tcW w:w="372" w:type="pct"/>
            <w:tcBorders>
              <w:top w:val="nil"/>
            </w:tcBorders>
            <w:shd w:val="clear" w:color="auto" w:fill="BFBFBF" w:themeFill="background1" w:themeFillShade="BF"/>
            <w:noWrap/>
            <w:hideMark/>
          </w:tcPr>
          <w:p w14:paraId="475C467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4,3</w:t>
            </w:r>
          </w:p>
        </w:tc>
        <w:tc>
          <w:tcPr>
            <w:tcW w:w="368" w:type="pct"/>
            <w:tcBorders>
              <w:top w:val="nil"/>
            </w:tcBorders>
            <w:shd w:val="clear" w:color="auto" w:fill="BFBFBF" w:themeFill="background1" w:themeFillShade="BF"/>
            <w:noWrap/>
            <w:hideMark/>
          </w:tcPr>
          <w:p w14:paraId="3A08E44E" w14:textId="0BB854F3"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-4,7</w:t>
            </w:r>
          </w:p>
        </w:tc>
      </w:tr>
      <w:tr w:rsidR="003B151E" w:rsidRPr="00F5596D" w14:paraId="4EE23364"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375854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Трансфери од других нивоа власти</w:t>
            </w:r>
          </w:p>
        </w:tc>
        <w:tc>
          <w:tcPr>
            <w:tcW w:w="356" w:type="pct"/>
            <w:tcBorders>
              <w:top w:val="nil"/>
            </w:tcBorders>
            <w:shd w:val="clear" w:color="auto" w:fill="FFFFFF" w:themeFill="background1"/>
            <w:noWrap/>
            <w:hideMark/>
          </w:tcPr>
          <w:p w14:paraId="5E86E81C" w14:textId="1C7F7347"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681,7</w:t>
            </w:r>
          </w:p>
        </w:tc>
        <w:tc>
          <w:tcPr>
            <w:tcW w:w="356" w:type="pct"/>
            <w:tcBorders>
              <w:top w:val="nil"/>
            </w:tcBorders>
            <w:shd w:val="clear" w:color="auto" w:fill="FFFFFF" w:themeFill="background1"/>
            <w:noWrap/>
            <w:hideMark/>
          </w:tcPr>
          <w:p w14:paraId="7883598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52,0</w:t>
            </w:r>
          </w:p>
        </w:tc>
        <w:tc>
          <w:tcPr>
            <w:tcW w:w="360" w:type="pct"/>
            <w:tcBorders>
              <w:top w:val="nil"/>
            </w:tcBorders>
            <w:shd w:val="clear" w:color="auto" w:fill="FFFFFF" w:themeFill="background1"/>
            <w:noWrap/>
            <w:hideMark/>
          </w:tcPr>
          <w:p w14:paraId="620F7F3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92,2</w:t>
            </w:r>
          </w:p>
        </w:tc>
        <w:tc>
          <w:tcPr>
            <w:tcW w:w="348" w:type="pct"/>
            <w:tcBorders>
              <w:top w:val="nil"/>
            </w:tcBorders>
            <w:shd w:val="clear" w:color="auto" w:fill="FFFFFF" w:themeFill="background1"/>
            <w:noWrap/>
            <w:hideMark/>
          </w:tcPr>
          <w:p w14:paraId="078F562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78,0</w:t>
            </w:r>
          </w:p>
        </w:tc>
        <w:tc>
          <w:tcPr>
            <w:tcW w:w="375" w:type="pct"/>
            <w:tcBorders>
              <w:top w:val="nil"/>
            </w:tcBorders>
            <w:shd w:val="clear" w:color="auto" w:fill="FFFFFF" w:themeFill="background1"/>
            <w:noWrap/>
            <w:hideMark/>
          </w:tcPr>
          <w:p w14:paraId="20E866A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14,2</w:t>
            </w:r>
          </w:p>
        </w:tc>
        <w:tc>
          <w:tcPr>
            <w:tcW w:w="353" w:type="pct"/>
            <w:tcBorders>
              <w:top w:val="nil"/>
            </w:tcBorders>
            <w:shd w:val="clear" w:color="auto" w:fill="FFFFFF" w:themeFill="background1"/>
            <w:noWrap/>
            <w:hideMark/>
          </w:tcPr>
          <w:p w14:paraId="0EB75B7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43,2</w:t>
            </w:r>
          </w:p>
        </w:tc>
        <w:tc>
          <w:tcPr>
            <w:tcW w:w="372" w:type="pct"/>
            <w:tcBorders>
              <w:top w:val="nil"/>
            </w:tcBorders>
            <w:shd w:val="clear" w:color="auto" w:fill="FFFFFF" w:themeFill="background1"/>
            <w:noWrap/>
            <w:hideMark/>
          </w:tcPr>
          <w:p w14:paraId="2B3C46DC" w14:textId="447BF440"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494,4</w:t>
            </w:r>
          </w:p>
        </w:tc>
        <w:tc>
          <w:tcPr>
            <w:tcW w:w="372" w:type="pct"/>
            <w:tcBorders>
              <w:top w:val="nil"/>
            </w:tcBorders>
            <w:shd w:val="clear" w:color="auto" w:fill="FFFFFF" w:themeFill="background1"/>
            <w:noWrap/>
            <w:hideMark/>
          </w:tcPr>
          <w:p w14:paraId="427737F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280,5</w:t>
            </w:r>
          </w:p>
        </w:tc>
        <w:tc>
          <w:tcPr>
            <w:tcW w:w="372" w:type="pct"/>
            <w:tcBorders>
              <w:top w:val="nil"/>
            </w:tcBorders>
            <w:shd w:val="clear" w:color="auto" w:fill="FFFFFF" w:themeFill="background1"/>
            <w:noWrap/>
            <w:hideMark/>
          </w:tcPr>
          <w:p w14:paraId="72AAFAF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208,3</w:t>
            </w:r>
          </w:p>
        </w:tc>
        <w:tc>
          <w:tcPr>
            <w:tcW w:w="372" w:type="pct"/>
            <w:tcBorders>
              <w:top w:val="nil"/>
            </w:tcBorders>
            <w:shd w:val="clear" w:color="auto" w:fill="FFFFFF" w:themeFill="background1"/>
            <w:noWrap/>
            <w:hideMark/>
          </w:tcPr>
          <w:p w14:paraId="246A8F5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0,9</w:t>
            </w:r>
          </w:p>
        </w:tc>
        <w:tc>
          <w:tcPr>
            <w:tcW w:w="368" w:type="pct"/>
            <w:tcBorders>
              <w:top w:val="nil"/>
            </w:tcBorders>
            <w:shd w:val="clear" w:color="auto" w:fill="FFFFFF" w:themeFill="background1"/>
            <w:noWrap/>
            <w:hideMark/>
          </w:tcPr>
          <w:p w14:paraId="270A3D66" w14:textId="60DFF71A"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4,7</w:t>
            </w:r>
          </w:p>
        </w:tc>
      </w:tr>
      <w:tr w:rsidR="003B151E" w:rsidRPr="00F5596D" w14:paraId="20F5CD2F"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6DA6C2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hideMark/>
          </w:tcPr>
          <w:p w14:paraId="1473F26E" w14:textId="57F57F12"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481,8</w:t>
            </w:r>
          </w:p>
        </w:tc>
        <w:tc>
          <w:tcPr>
            <w:tcW w:w="356" w:type="pct"/>
            <w:tcBorders>
              <w:top w:val="nil"/>
            </w:tcBorders>
            <w:shd w:val="clear" w:color="auto" w:fill="FFFFFF" w:themeFill="background1"/>
            <w:noWrap/>
            <w:hideMark/>
          </w:tcPr>
          <w:p w14:paraId="3F282CC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034A4DF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83,8</w:t>
            </w:r>
          </w:p>
        </w:tc>
        <w:tc>
          <w:tcPr>
            <w:tcW w:w="348" w:type="pct"/>
            <w:tcBorders>
              <w:top w:val="nil"/>
            </w:tcBorders>
            <w:shd w:val="clear" w:color="auto" w:fill="FFFFFF" w:themeFill="background1"/>
            <w:noWrap/>
            <w:hideMark/>
          </w:tcPr>
          <w:p w14:paraId="549EED9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69,6</w:t>
            </w:r>
          </w:p>
        </w:tc>
        <w:tc>
          <w:tcPr>
            <w:tcW w:w="375" w:type="pct"/>
            <w:tcBorders>
              <w:top w:val="nil"/>
            </w:tcBorders>
            <w:shd w:val="clear" w:color="auto" w:fill="FFFFFF" w:themeFill="background1"/>
            <w:noWrap/>
            <w:hideMark/>
          </w:tcPr>
          <w:p w14:paraId="700E0F1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14,2</w:t>
            </w:r>
          </w:p>
        </w:tc>
        <w:tc>
          <w:tcPr>
            <w:tcW w:w="353" w:type="pct"/>
            <w:tcBorders>
              <w:top w:val="nil"/>
            </w:tcBorders>
            <w:shd w:val="clear" w:color="auto" w:fill="FFFFFF" w:themeFill="background1"/>
            <w:noWrap/>
            <w:hideMark/>
          </w:tcPr>
          <w:p w14:paraId="6666475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43,2</w:t>
            </w:r>
          </w:p>
        </w:tc>
        <w:tc>
          <w:tcPr>
            <w:tcW w:w="372" w:type="pct"/>
            <w:tcBorders>
              <w:top w:val="nil"/>
            </w:tcBorders>
            <w:shd w:val="clear" w:color="auto" w:fill="FFFFFF" w:themeFill="background1"/>
            <w:noWrap/>
            <w:hideMark/>
          </w:tcPr>
          <w:p w14:paraId="7CCBA7D9" w14:textId="67367383"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354,8</w:t>
            </w:r>
          </w:p>
        </w:tc>
        <w:tc>
          <w:tcPr>
            <w:tcW w:w="372" w:type="pct"/>
            <w:tcBorders>
              <w:top w:val="nil"/>
            </w:tcBorders>
            <w:shd w:val="clear" w:color="auto" w:fill="FFFFFF" w:themeFill="background1"/>
            <w:noWrap/>
            <w:hideMark/>
          </w:tcPr>
          <w:p w14:paraId="2BF3287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268,9</w:t>
            </w:r>
          </w:p>
        </w:tc>
        <w:tc>
          <w:tcPr>
            <w:tcW w:w="372" w:type="pct"/>
            <w:tcBorders>
              <w:top w:val="nil"/>
            </w:tcBorders>
            <w:shd w:val="clear" w:color="auto" w:fill="FFFFFF" w:themeFill="background1"/>
            <w:noWrap/>
            <w:hideMark/>
          </w:tcPr>
          <w:p w14:paraId="2A64482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84,7</w:t>
            </w:r>
          </w:p>
        </w:tc>
        <w:tc>
          <w:tcPr>
            <w:tcW w:w="372" w:type="pct"/>
            <w:tcBorders>
              <w:top w:val="nil"/>
            </w:tcBorders>
            <w:shd w:val="clear" w:color="auto" w:fill="FFFFFF" w:themeFill="background1"/>
            <w:noWrap/>
            <w:hideMark/>
          </w:tcPr>
          <w:p w14:paraId="6430E1B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0,9</w:t>
            </w:r>
          </w:p>
        </w:tc>
        <w:tc>
          <w:tcPr>
            <w:tcW w:w="368" w:type="pct"/>
            <w:tcBorders>
              <w:top w:val="nil"/>
            </w:tcBorders>
            <w:shd w:val="clear" w:color="auto" w:fill="FFFFFF" w:themeFill="background1"/>
            <w:noWrap/>
            <w:hideMark/>
          </w:tcPr>
          <w:p w14:paraId="42506314" w14:textId="726143DC"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r>
      <w:tr w:rsidR="003B151E" w:rsidRPr="00F5596D" w14:paraId="2C30F86D"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10CD528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tcPr>
          <w:p w14:paraId="2FE3BF5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55,4</w:t>
            </w:r>
          </w:p>
        </w:tc>
        <w:tc>
          <w:tcPr>
            <w:tcW w:w="356" w:type="pct"/>
            <w:tcBorders>
              <w:top w:val="nil"/>
            </w:tcBorders>
            <w:shd w:val="clear" w:color="auto" w:fill="FFFFFF" w:themeFill="background1"/>
            <w:noWrap/>
            <w:hideMark/>
          </w:tcPr>
          <w:p w14:paraId="4F302C3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52,0</w:t>
            </w:r>
          </w:p>
        </w:tc>
        <w:tc>
          <w:tcPr>
            <w:tcW w:w="360" w:type="pct"/>
            <w:tcBorders>
              <w:top w:val="nil"/>
            </w:tcBorders>
            <w:shd w:val="clear" w:color="auto" w:fill="FFFFFF" w:themeFill="background1"/>
            <w:noWrap/>
            <w:hideMark/>
          </w:tcPr>
          <w:p w14:paraId="061D425B" w14:textId="27B92651"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2B8740A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7EC804D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A6F3C9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8756B5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3,4</w:t>
            </w:r>
          </w:p>
        </w:tc>
        <w:tc>
          <w:tcPr>
            <w:tcW w:w="372" w:type="pct"/>
            <w:tcBorders>
              <w:top w:val="nil"/>
            </w:tcBorders>
            <w:shd w:val="clear" w:color="auto" w:fill="FFFFFF" w:themeFill="background1"/>
            <w:noWrap/>
            <w:hideMark/>
          </w:tcPr>
          <w:p w14:paraId="4BA4B33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87B219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3,4</w:t>
            </w:r>
          </w:p>
        </w:tc>
        <w:tc>
          <w:tcPr>
            <w:tcW w:w="372" w:type="pct"/>
            <w:tcBorders>
              <w:top w:val="nil"/>
            </w:tcBorders>
            <w:shd w:val="clear" w:color="auto" w:fill="FFFFFF" w:themeFill="background1"/>
            <w:noWrap/>
            <w:hideMark/>
          </w:tcPr>
          <w:p w14:paraId="76C3651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4109B35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2602D675"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DB74ACE"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AП Војводина</w:t>
            </w:r>
          </w:p>
        </w:tc>
        <w:tc>
          <w:tcPr>
            <w:tcW w:w="356" w:type="pct"/>
            <w:tcBorders>
              <w:top w:val="nil"/>
            </w:tcBorders>
            <w:shd w:val="clear" w:color="auto" w:fill="FFFFFF" w:themeFill="background1"/>
            <w:noWrap/>
          </w:tcPr>
          <w:p w14:paraId="2BBDBF8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13,9</w:t>
            </w:r>
          </w:p>
        </w:tc>
        <w:tc>
          <w:tcPr>
            <w:tcW w:w="356" w:type="pct"/>
            <w:tcBorders>
              <w:top w:val="nil"/>
            </w:tcBorders>
            <w:shd w:val="clear" w:color="auto" w:fill="FFFFFF" w:themeFill="background1"/>
            <w:noWrap/>
            <w:hideMark/>
          </w:tcPr>
          <w:p w14:paraId="2969F0F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604E19C8" w14:textId="0E0AEF5A"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w:t>
            </w:r>
          </w:p>
        </w:tc>
        <w:tc>
          <w:tcPr>
            <w:tcW w:w="348" w:type="pct"/>
            <w:tcBorders>
              <w:top w:val="nil"/>
            </w:tcBorders>
            <w:shd w:val="clear" w:color="auto" w:fill="FFFFFF" w:themeFill="background1"/>
            <w:noWrap/>
            <w:hideMark/>
          </w:tcPr>
          <w:p w14:paraId="2F3FF6A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w:t>
            </w:r>
          </w:p>
        </w:tc>
        <w:tc>
          <w:tcPr>
            <w:tcW w:w="375" w:type="pct"/>
            <w:tcBorders>
              <w:top w:val="nil"/>
            </w:tcBorders>
            <w:shd w:val="clear" w:color="auto" w:fill="FFFFFF" w:themeFill="background1"/>
            <w:noWrap/>
            <w:hideMark/>
          </w:tcPr>
          <w:p w14:paraId="43E56AA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533AA08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B2C420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w:t>
            </w:r>
          </w:p>
        </w:tc>
        <w:tc>
          <w:tcPr>
            <w:tcW w:w="372" w:type="pct"/>
            <w:tcBorders>
              <w:top w:val="nil"/>
            </w:tcBorders>
            <w:shd w:val="clear" w:color="auto" w:fill="FFFFFF" w:themeFill="background1"/>
            <w:noWrap/>
            <w:hideMark/>
          </w:tcPr>
          <w:p w14:paraId="3BEE56E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18954A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w:t>
            </w:r>
          </w:p>
        </w:tc>
        <w:tc>
          <w:tcPr>
            <w:tcW w:w="372" w:type="pct"/>
            <w:tcBorders>
              <w:top w:val="nil"/>
            </w:tcBorders>
            <w:shd w:val="clear" w:color="auto" w:fill="FFFFFF" w:themeFill="background1"/>
            <w:noWrap/>
            <w:hideMark/>
          </w:tcPr>
          <w:p w14:paraId="4C8272D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437CCE4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6C66042F"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5EA1DB8"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Фонд ПИО</w:t>
            </w:r>
          </w:p>
        </w:tc>
        <w:tc>
          <w:tcPr>
            <w:tcW w:w="356" w:type="pct"/>
            <w:tcBorders>
              <w:top w:val="nil"/>
            </w:tcBorders>
            <w:shd w:val="clear" w:color="auto" w:fill="FFFFFF" w:themeFill="background1"/>
            <w:noWrap/>
            <w:hideMark/>
          </w:tcPr>
          <w:p w14:paraId="1183062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117,5</w:t>
            </w:r>
          </w:p>
        </w:tc>
        <w:tc>
          <w:tcPr>
            <w:tcW w:w="356" w:type="pct"/>
            <w:tcBorders>
              <w:top w:val="nil"/>
            </w:tcBorders>
            <w:shd w:val="clear" w:color="auto" w:fill="FFFFFF" w:themeFill="background1"/>
            <w:noWrap/>
            <w:hideMark/>
          </w:tcPr>
          <w:p w14:paraId="6A906FC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421DA63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67EACA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44B160B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63D96B6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6FB585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117,5</w:t>
            </w:r>
          </w:p>
        </w:tc>
        <w:tc>
          <w:tcPr>
            <w:tcW w:w="372" w:type="pct"/>
            <w:tcBorders>
              <w:top w:val="nil"/>
            </w:tcBorders>
            <w:shd w:val="clear" w:color="auto" w:fill="FFFFFF" w:themeFill="background1"/>
            <w:noWrap/>
          </w:tcPr>
          <w:p w14:paraId="1377F0D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B5F6B0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113,2</w:t>
            </w:r>
          </w:p>
        </w:tc>
        <w:tc>
          <w:tcPr>
            <w:tcW w:w="372" w:type="pct"/>
            <w:tcBorders>
              <w:top w:val="nil"/>
            </w:tcBorders>
            <w:shd w:val="clear" w:color="auto" w:fill="FFFFFF" w:themeFill="background1"/>
            <w:noWrap/>
          </w:tcPr>
          <w:p w14:paraId="1698EBB8" w14:textId="2EEA80DF"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0397AA1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w:t>
            </w:r>
          </w:p>
        </w:tc>
      </w:tr>
      <w:tr w:rsidR="003B151E" w:rsidRPr="00F5596D" w14:paraId="0B2AD499"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0BB5D43"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РФЗО</w:t>
            </w:r>
          </w:p>
        </w:tc>
        <w:tc>
          <w:tcPr>
            <w:tcW w:w="356" w:type="pct"/>
            <w:tcBorders>
              <w:top w:val="nil"/>
            </w:tcBorders>
            <w:shd w:val="clear" w:color="auto" w:fill="FFFFFF" w:themeFill="background1"/>
            <w:noWrap/>
            <w:hideMark/>
          </w:tcPr>
          <w:p w14:paraId="4EF5934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w:t>
            </w:r>
          </w:p>
        </w:tc>
        <w:tc>
          <w:tcPr>
            <w:tcW w:w="356" w:type="pct"/>
            <w:tcBorders>
              <w:top w:val="nil"/>
            </w:tcBorders>
            <w:shd w:val="clear" w:color="auto" w:fill="FFFFFF" w:themeFill="background1"/>
            <w:noWrap/>
            <w:hideMark/>
          </w:tcPr>
          <w:p w14:paraId="3E1EFC2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45BB5DD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400B275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06F11D9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6B08A2F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5609C4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w:t>
            </w:r>
          </w:p>
        </w:tc>
        <w:tc>
          <w:tcPr>
            <w:tcW w:w="372" w:type="pct"/>
            <w:tcBorders>
              <w:top w:val="nil"/>
            </w:tcBorders>
            <w:shd w:val="clear" w:color="auto" w:fill="FFFFFF" w:themeFill="background1"/>
            <w:noWrap/>
            <w:hideMark/>
          </w:tcPr>
          <w:p w14:paraId="2658DCD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w:t>
            </w:r>
          </w:p>
        </w:tc>
        <w:tc>
          <w:tcPr>
            <w:tcW w:w="372" w:type="pct"/>
            <w:tcBorders>
              <w:top w:val="nil"/>
            </w:tcBorders>
            <w:shd w:val="clear" w:color="auto" w:fill="FFFFFF" w:themeFill="background1"/>
            <w:noWrap/>
          </w:tcPr>
          <w:p w14:paraId="3A1DC82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0,0</w:t>
            </w:r>
          </w:p>
        </w:tc>
        <w:tc>
          <w:tcPr>
            <w:tcW w:w="372" w:type="pct"/>
            <w:tcBorders>
              <w:top w:val="nil"/>
            </w:tcBorders>
            <w:shd w:val="clear" w:color="auto" w:fill="FFFFFF" w:themeFill="background1"/>
            <w:noWrap/>
          </w:tcPr>
          <w:p w14:paraId="2395418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300000C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27493C71"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52AA031"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НСЗ</w:t>
            </w:r>
          </w:p>
        </w:tc>
        <w:tc>
          <w:tcPr>
            <w:tcW w:w="356" w:type="pct"/>
            <w:tcBorders>
              <w:top w:val="nil"/>
            </w:tcBorders>
            <w:shd w:val="clear" w:color="auto" w:fill="FFFFFF" w:themeFill="background1"/>
            <w:noWrap/>
            <w:hideMark/>
          </w:tcPr>
          <w:p w14:paraId="4F502A8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w:t>
            </w:r>
          </w:p>
        </w:tc>
        <w:tc>
          <w:tcPr>
            <w:tcW w:w="356" w:type="pct"/>
            <w:tcBorders>
              <w:top w:val="nil"/>
            </w:tcBorders>
            <w:shd w:val="clear" w:color="auto" w:fill="FFFFFF" w:themeFill="background1"/>
            <w:noWrap/>
            <w:hideMark/>
          </w:tcPr>
          <w:p w14:paraId="517C55C2"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29F2CFB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631769F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1448CAF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479F8CA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EE470A2"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w:t>
            </w:r>
          </w:p>
        </w:tc>
        <w:tc>
          <w:tcPr>
            <w:tcW w:w="372" w:type="pct"/>
            <w:tcBorders>
              <w:top w:val="nil"/>
            </w:tcBorders>
            <w:shd w:val="clear" w:color="auto" w:fill="FFFFFF" w:themeFill="background1"/>
            <w:noWrap/>
            <w:hideMark/>
          </w:tcPr>
          <w:p w14:paraId="2CC1E20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3,7</w:t>
            </w:r>
          </w:p>
        </w:tc>
        <w:tc>
          <w:tcPr>
            <w:tcW w:w="372" w:type="pct"/>
            <w:tcBorders>
              <w:top w:val="nil"/>
            </w:tcBorders>
            <w:shd w:val="clear" w:color="auto" w:fill="FFFFFF" w:themeFill="background1"/>
            <w:noWrap/>
            <w:hideMark/>
          </w:tcPr>
          <w:p w14:paraId="2507EA1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w:t>
            </w:r>
          </w:p>
        </w:tc>
        <w:tc>
          <w:tcPr>
            <w:tcW w:w="372" w:type="pct"/>
            <w:tcBorders>
              <w:top w:val="nil"/>
            </w:tcBorders>
            <w:shd w:val="clear" w:color="auto" w:fill="FFFFFF" w:themeFill="background1"/>
            <w:noWrap/>
          </w:tcPr>
          <w:p w14:paraId="3BACA19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68BFF5E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1D127AC2"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3FA08442"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Фонд СОВО</w:t>
            </w:r>
          </w:p>
        </w:tc>
        <w:tc>
          <w:tcPr>
            <w:tcW w:w="356" w:type="pct"/>
            <w:tcBorders>
              <w:top w:val="nil"/>
            </w:tcBorders>
            <w:shd w:val="clear" w:color="auto" w:fill="FFFFFF" w:themeFill="background1"/>
            <w:noWrap/>
          </w:tcPr>
          <w:p w14:paraId="0BFE9D3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41E1F42A"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1460B70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5D5AD4E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00A736D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9F0303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E76CB2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E5D8C3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5D852B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6EA670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497EB5D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79D1EAAE"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8FC17CD"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tcPr>
          <w:p w14:paraId="2A29FD9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6" w:type="pct"/>
            <w:tcBorders>
              <w:top w:val="nil"/>
            </w:tcBorders>
            <w:shd w:val="clear" w:color="auto" w:fill="FFFFFF" w:themeFill="background1"/>
            <w:noWrap/>
            <w:hideMark/>
          </w:tcPr>
          <w:p w14:paraId="27F1ABA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7D53B2F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hideMark/>
          </w:tcPr>
          <w:p w14:paraId="0F055A2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5B60CC2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2B84FEA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8298078"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B32397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0D4253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5A54AC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4133C32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60F2CB05"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52514AB"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Трансфери другим нивоима власти</w:t>
            </w:r>
          </w:p>
        </w:tc>
        <w:tc>
          <w:tcPr>
            <w:tcW w:w="356" w:type="pct"/>
            <w:tcBorders>
              <w:top w:val="nil"/>
            </w:tcBorders>
            <w:shd w:val="clear" w:color="auto" w:fill="FFFFFF" w:themeFill="background1"/>
            <w:noWrap/>
            <w:hideMark/>
          </w:tcPr>
          <w:p w14:paraId="7A96968B" w14:textId="4264C0A9"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681,7</w:t>
            </w:r>
          </w:p>
        </w:tc>
        <w:tc>
          <w:tcPr>
            <w:tcW w:w="356" w:type="pct"/>
            <w:tcBorders>
              <w:top w:val="nil"/>
            </w:tcBorders>
            <w:shd w:val="clear" w:color="auto" w:fill="FFFFFF" w:themeFill="background1"/>
            <w:noWrap/>
            <w:hideMark/>
          </w:tcPr>
          <w:p w14:paraId="7E1A5C10" w14:textId="11DD44FA" w:rsidR="000A6C38" w:rsidRPr="00F5596D" w:rsidRDefault="00E907CC"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481,8</w:t>
            </w:r>
          </w:p>
        </w:tc>
        <w:tc>
          <w:tcPr>
            <w:tcW w:w="360" w:type="pct"/>
            <w:tcBorders>
              <w:top w:val="nil"/>
            </w:tcBorders>
            <w:shd w:val="clear" w:color="auto" w:fill="FFFFFF" w:themeFill="background1"/>
            <w:noWrap/>
            <w:hideMark/>
          </w:tcPr>
          <w:p w14:paraId="544ABE8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69,3</w:t>
            </w:r>
          </w:p>
        </w:tc>
        <w:tc>
          <w:tcPr>
            <w:tcW w:w="348" w:type="pct"/>
            <w:tcBorders>
              <w:top w:val="nil"/>
            </w:tcBorders>
            <w:shd w:val="clear" w:color="auto" w:fill="FFFFFF" w:themeFill="background1"/>
            <w:noWrap/>
            <w:hideMark/>
          </w:tcPr>
          <w:p w14:paraId="527C56D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55,4</w:t>
            </w:r>
          </w:p>
        </w:tc>
        <w:tc>
          <w:tcPr>
            <w:tcW w:w="375" w:type="pct"/>
            <w:tcBorders>
              <w:top w:val="nil"/>
            </w:tcBorders>
            <w:shd w:val="clear" w:color="auto" w:fill="FFFFFF" w:themeFill="background1"/>
            <w:noWrap/>
          </w:tcPr>
          <w:p w14:paraId="071BBA5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13,9</w:t>
            </w:r>
          </w:p>
        </w:tc>
        <w:tc>
          <w:tcPr>
            <w:tcW w:w="353" w:type="pct"/>
            <w:tcBorders>
              <w:top w:val="nil"/>
            </w:tcBorders>
            <w:shd w:val="clear" w:color="auto" w:fill="FFFFFF" w:themeFill="background1"/>
            <w:noWrap/>
          </w:tcPr>
          <w:p w14:paraId="4DC76AD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65AF43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130,6</w:t>
            </w:r>
          </w:p>
        </w:tc>
        <w:tc>
          <w:tcPr>
            <w:tcW w:w="372" w:type="pct"/>
            <w:tcBorders>
              <w:top w:val="nil"/>
            </w:tcBorders>
            <w:shd w:val="clear" w:color="auto" w:fill="FFFFFF" w:themeFill="background1"/>
            <w:noWrap/>
            <w:hideMark/>
          </w:tcPr>
          <w:p w14:paraId="1A58366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117,5</w:t>
            </w:r>
          </w:p>
        </w:tc>
        <w:tc>
          <w:tcPr>
            <w:tcW w:w="372" w:type="pct"/>
            <w:tcBorders>
              <w:top w:val="nil"/>
            </w:tcBorders>
            <w:shd w:val="clear" w:color="auto" w:fill="FFFFFF" w:themeFill="background1"/>
            <w:noWrap/>
            <w:hideMark/>
          </w:tcPr>
          <w:p w14:paraId="452BE57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w:t>
            </w:r>
          </w:p>
        </w:tc>
        <w:tc>
          <w:tcPr>
            <w:tcW w:w="372" w:type="pct"/>
            <w:tcBorders>
              <w:top w:val="nil"/>
            </w:tcBorders>
            <w:shd w:val="clear" w:color="auto" w:fill="FFFFFF" w:themeFill="background1"/>
            <w:noWrap/>
            <w:hideMark/>
          </w:tcPr>
          <w:p w14:paraId="400EA3C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5,1</w:t>
            </w:r>
          </w:p>
        </w:tc>
        <w:tc>
          <w:tcPr>
            <w:tcW w:w="368" w:type="pct"/>
            <w:tcBorders>
              <w:top w:val="nil"/>
            </w:tcBorders>
            <w:shd w:val="clear" w:color="auto" w:fill="FFFFFF" w:themeFill="background1"/>
            <w:noWrap/>
          </w:tcPr>
          <w:p w14:paraId="0CACEC5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55D0E4EF"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5D6378B9"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Буџет Републике</w:t>
            </w:r>
          </w:p>
        </w:tc>
        <w:tc>
          <w:tcPr>
            <w:tcW w:w="356" w:type="pct"/>
            <w:tcBorders>
              <w:top w:val="nil"/>
            </w:tcBorders>
            <w:shd w:val="clear" w:color="auto" w:fill="FFFFFF" w:themeFill="background1"/>
            <w:noWrap/>
            <w:hideMark/>
          </w:tcPr>
          <w:p w14:paraId="4C1B3F5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52,0</w:t>
            </w:r>
          </w:p>
        </w:tc>
        <w:tc>
          <w:tcPr>
            <w:tcW w:w="356" w:type="pct"/>
            <w:tcBorders>
              <w:top w:val="nil"/>
            </w:tcBorders>
            <w:shd w:val="clear" w:color="auto" w:fill="FFFFFF" w:themeFill="background1"/>
            <w:noWrap/>
            <w:hideMark/>
          </w:tcPr>
          <w:p w14:paraId="4C5A39F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0" w:type="pct"/>
            <w:tcBorders>
              <w:top w:val="nil"/>
            </w:tcBorders>
            <w:shd w:val="clear" w:color="auto" w:fill="FFFFFF" w:themeFill="background1"/>
            <w:noWrap/>
            <w:hideMark/>
          </w:tcPr>
          <w:p w14:paraId="3C6F4DA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52,0</w:t>
            </w:r>
          </w:p>
        </w:tc>
        <w:tc>
          <w:tcPr>
            <w:tcW w:w="348" w:type="pct"/>
            <w:tcBorders>
              <w:top w:val="nil"/>
            </w:tcBorders>
            <w:shd w:val="clear" w:color="auto" w:fill="FFFFFF" w:themeFill="background1"/>
            <w:noWrap/>
            <w:hideMark/>
          </w:tcPr>
          <w:p w14:paraId="150359C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52,0</w:t>
            </w:r>
          </w:p>
        </w:tc>
        <w:tc>
          <w:tcPr>
            <w:tcW w:w="375" w:type="pct"/>
            <w:tcBorders>
              <w:top w:val="nil"/>
            </w:tcBorders>
            <w:shd w:val="clear" w:color="auto" w:fill="FFFFFF" w:themeFill="background1"/>
            <w:noWrap/>
            <w:hideMark/>
          </w:tcPr>
          <w:p w14:paraId="3C98447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388872C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5A7664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20B778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CF63A2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3D22EE5F" w14:textId="73D20506"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001F8F8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26DCF52A"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49EB90F2"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Градови и општине</w:t>
            </w:r>
          </w:p>
        </w:tc>
        <w:tc>
          <w:tcPr>
            <w:tcW w:w="356" w:type="pct"/>
            <w:tcBorders>
              <w:top w:val="nil"/>
            </w:tcBorders>
            <w:shd w:val="clear" w:color="auto" w:fill="FFFFFF" w:themeFill="background1"/>
            <w:noWrap/>
            <w:hideMark/>
          </w:tcPr>
          <w:p w14:paraId="6D24804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78,0</w:t>
            </w:r>
          </w:p>
        </w:tc>
        <w:tc>
          <w:tcPr>
            <w:tcW w:w="356" w:type="pct"/>
            <w:tcBorders>
              <w:top w:val="nil"/>
            </w:tcBorders>
            <w:shd w:val="clear" w:color="auto" w:fill="FFFFFF" w:themeFill="background1"/>
            <w:noWrap/>
            <w:hideMark/>
          </w:tcPr>
          <w:p w14:paraId="2C5956D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69,6</w:t>
            </w:r>
          </w:p>
        </w:tc>
        <w:tc>
          <w:tcPr>
            <w:tcW w:w="360" w:type="pct"/>
            <w:tcBorders>
              <w:top w:val="nil"/>
            </w:tcBorders>
            <w:shd w:val="clear" w:color="auto" w:fill="FFFFFF" w:themeFill="background1"/>
            <w:noWrap/>
            <w:hideMark/>
          </w:tcPr>
          <w:p w14:paraId="7A65617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w:t>
            </w:r>
          </w:p>
        </w:tc>
        <w:tc>
          <w:tcPr>
            <w:tcW w:w="348" w:type="pct"/>
            <w:tcBorders>
              <w:top w:val="nil"/>
            </w:tcBorders>
            <w:shd w:val="clear" w:color="auto" w:fill="FFFFFF" w:themeFill="background1"/>
            <w:noWrap/>
          </w:tcPr>
          <w:p w14:paraId="1E596A5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hideMark/>
          </w:tcPr>
          <w:p w14:paraId="6750C64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w:t>
            </w:r>
          </w:p>
        </w:tc>
        <w:tc>
          <w:tcPr>
            <w:tcW w:w="353" w:type="pct"/>
            <w:tcBorders>
              <w:top w:val="nil"/>
            </w:tcBorders>
            <w:shd w:val="clear" w:color="auto" w:fill="FFFFFF" w:themeFill="background1"/>
            <w:noWrap/>
            <w:hideMark/>
          </w:tcPr>
          <w:p w14:paraId="20D42AC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679CD9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09D1D82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25E1B0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7F3F7A4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4142485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6D51AAAE"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5B60668"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AП Војводина</w:t>
            </w:r>
          </w:p>
        </w:tc>
        <w:tc>
          <w:tcPr>
            <w:tcW w:w="356" w:type="pct"/>
            <w:tcBorders>
              <w:top w:val="nil"/>
            </w:tcBorders>
            <w:shd w:val="clear" w:color="auto" w:fill="FFFFFF" w:themeFill="background1"/>
            <w:noWrap/>
            <w:hideMark/>
          </w:tcPr>
          <w:p w14:paraId="3320757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14,2</w:t>
            </w:r>
          </w:p>
        </w:tc>
        <w:tc>
          <w:tcPr>
            <w:tcW w:w="356" w:type="pct"/>
            <w:tcBorders>
              <w:top w:val="nil"/>
            </w:tcBorders>
            <w:shd w:val="clear" w:color="auto" w:fill="FFFFFF" w:themeFill="background1"/>
            <w:noWrap/>
            <w:hideMark/>
          </w:tcPr>
          <w:p w14:paraId="7F46F3C0"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14,2</w:t>
            </w:r>
          </w:p>
        </w:tc>
        <w:tc>
          <w:tcPr>
            <w:tcW w:w="360" w:type="pct"/>
            <w:tcBorders>
              <w:top w:val="nil"/>
            </w:tcBorders>
            <w:shd w:val="clear" w:color="auto" w:fill="FFFFFF" w:themeFill="background1"/>
            <w:noWrap/>
            <w:hideMark/>
          </w:tcPr>
          <w:p w14:paraId="6001FC5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47399B1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tcPr>
          <w:p w14:paraId="07FFE89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F8AF93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1889A3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08FF52F"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DBDEC6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A24286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hideMark/>
          </w:tcPr>
          <w:p w14:paraId="482FD02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5B1D47C3"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710DC3BA"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Фонд ПИО</w:t>
            </w:r>
          </w:p>
        </w:tc>
        <w:tc>
          <w:tcPr>
            <w:tcW w:w="356" w:type="pct"/>
            <w:tcBorders>
              <w:top w:val="nil"/>
            </w:tcBorders>
            <w:shd w:val="clear" w:color="auto" w:fill="FFFFFF" w:themeFill="background1"/>
            <w:noWrap/>
            <w:hideMark/>
          </w:tcPr>
          <w:p w14:paraId="381AB3C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280,5</w:t>
            </w:r>
          </w:p>
        </w:tc>
        <w:tc>
          <w:tcPr>
            <w:tcW w:w="356" w:type="pct"/>
            <w:tcBorders>
              <w:top w:val="nil"/>
            </w:tcBorders>
            <w:shd w:val="clear" w:color="auto" w:fill="FFFFFF" w:themeFill="background1"/>
            <w:noWrap/>
            <w:hideMark/>
          </w:tcPr>
          <w:p w14:paraId="736FA0D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268,9</w:t>
            </w:r>
          </w:p>
        </w:tc>
        <w:tc>
          <w:tcPr>
            <w:tcW w:w="360" w:type="pct"/>
            <w:tcBorders>
              <w:top w:val="nil"/>
            </w:tcBorders>
            <w:shd w:val="clear" w:color="auto" w:fill="FFFFFF" w:themeFill="background1"/>
            <w:noWrap/>
            <w:hideMark/>
          </w:tcPr>
          <w:p w14:paraId="1C7A909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25095F6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tcPr>
          <w:p w14:paraId="739D998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017C93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2B8E9EC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11,6</w:t>
            </w:r>
          </w:p>
        </w:tc>
        <w:tc>
          <w:tcPr>
            <w:tcW w:w="372" w:type="pct"/>
            <w:tcBorders>
              <w:top w:val="nil"/>
            </w:tcBorders>
            <w:shd w:val="clear" w:color="auto" w:fill="FFFFFF" w:themeFill="background1"/>
            <w:noWrap/>
          </w:tcPr>
          <w:p w14:paraId="196E8F7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4183894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8,0</w:t>
            </w:r>
          </w:p>
        </w:tc>
        <w:tc>
          <w:tcPr>
            <w:tcW w:w="372" w:type="pct"/>
            <w:tcBorders>
              <w:top w:val="nil"/>
            </w:tcBorders>
            <w:shd w:val="clear" w:color="auto" w:fill="FFFFFF" w:themeFill="background1"/>
            <w:noWrap/>
            <w:hideMark/>
          </w:tcPr>
          <w:p w14:paraId="6E370F1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3,7</w:t>
            </w:r>
          </w:p>
        </w:tc>
        <w:tc>
          <w:tcPr>
            <w:tcW w:w="368" w:type="pct"/>
            <w:tcBorders>
              <w:top w:val="nil"/>
            </w:tcBorders>
            <w:shd w:val="clear" w:color="auto" w:fill="FFFFFF" w:themeFill="background1"/>
            <w:noWrap/>
          </w:tcPr>
          <w:p w14:paraId="514B919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6DB6CF6A"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D56F1FD"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РФЗО</w:t>
            </w:r>
          </w:p>
        </w:tc>
        <w:tc>
          <w:tcPr>
            <w:tcW w:w="356" w:type="pct"/>
            <w:tcBorders>
              <w:top w:val="nil"/>
            </w:tcBorders>
            <w:shd w:val="clear" w:color="auto" w:fill="FFFFFF" w:themeFill="background1"/>
            <w:noWrap/>
            <w:hideMark/>
          </w:tcPr>
          <w:p w14:paraId="5B8E2AD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208,3</w:t>
            </w:r>
          </w:p>
        </w:tc>
        <w:tc>
          <w:tcPr>
            <w:tcW w:w="356" w:type="pct"/>
            <w:tcBorders>
              <w:top w:val="nil"/>
            </w:tcBorders>
            <w:shd w:val="clear" w:color="auto" w:fill="FFFFFF" w:themeFill="background1"/>
            <w:noWrap/>
            <w:hideMark/>
          </w:tcPr>
          <w:p w14:paraId="780E28D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84,7</w:t>
            </w:r>
          </w:p>
        </w:tc>
        <w:tc>
          <w:tcPr>
            <w:tcW w:w="360" w:type="pct"/>
            <w:tcBorders>
              <w:top w:val="nil"/>
            </w:tcBorders>
            <w:shd w:val="clear" w:color="auto" w:fill="FFFFFF" w:themeFill="background1"/>
            <w:noWrap/>
            <w:hideMark/>
          </w:tcPr>
          <w:p w14:paraId="524266F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8,9</w:t>
            </w:r>
          </w:p>
        </w:tc>
        <w:tc>
          <w:tcPr>
            <w:tcW w:w="348" w:type="pct"/>
            <w:tcBorders>
              <w:top w:val="nil"/>
            </w:tcBorders>
            <w:shd w:val="clear" w:color="auto" w:fill="FFFFFF" w:themeFill="background1"/>
            <w:noWrap/>
            <w:hideMark/>
          </w:tcPr>
          <w:p w14:paraId="587448D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3,4</w:t>
            </w:r>
          </w:p>
        </w:tc>
        <w:tc>
          <w:tcPr>
            <w:tcW w:w="375" w:type="pct"/>
            <w:tcBorders>
              <w:top w:val="nil"/>
            </w:tcBorders>
            <w:shd w:val="clear" w:color="auto" w:fill="FFFFFF" w:themeFill="background1"/>
            <w:noWrap/>
            <w:hideMark/>
          </w:tcPr>
          <w:p w14:paraId="001AAA9C"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5,5</w:t>
            </w:r>
          </w:p>
        </w:tc>
        <w:tc>
          <w:tcPr>
            <w:tcW w:w="353" w:type="pct"/>
            <w:tcBorders>
              <w:top w:val="nil"/>
            </w:tcBorders>
            <w:shd w:val="clear" w:color="auto" w:fill="FFFFFF" w:themeFill="background1"/>
            <w:noWrap/>
            <w:hideMark/>
          </w:tcPr>
          <w:p w14:paraId="1A0FE1F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6E5D6D0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114,6</w:t>
            </w:r>
          </w:p>
        </w:tc>
        <w:tc>
          <w:tcPr>
            <w:tcW w:w="372" w:type="pct"/>
            <w:tcBorders>
              <w:top w:val="nil"/>
            </w:tcBorders>
            <w:shd w:val="clear" w:color="auto" w:fill="FFFFFF" w:themeFill="background1"/>
            <w:noWrap/>
            <w:hideMark/>
          </w:tcPr>
          <w:p w14:paraId="112D27C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113,2</w:t>
            </w:r>
          </w:p>
        </w:tc>
        <w:tc>
          <w:tcPr>
            <w:tcW w:w="372" w:type="pct"/>
            <w:tcBorders>
              <w:top w:val="nil"/>
            </w:tcBorders>
            <w:shd w:val="clear" w:color="auto" w:fill="FFFFFF" w:themeFill="background1"/>
            <w:noWrap/>
          </w:tcPr>
          <w:p w14:paraId="0C5CC99A"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EAEE28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1,5</w:t>
            </w:r>
          </w:p>
        </w:tc>
        <w:tc>
          <w:tcPr>
            <w:tcW w:w="368" w:type="pct"/>
            <w:tcBorders>
              <w:top w:val="nil"/>
            </w:tcBorders>
            <w:shd w:val="clear" w:color="auto" w:fill="FFFFFF" w:themeFill="background1"/>
            <w:noWrap/>
          </w:tcPr>
          <w:p w14:paraId="763516C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035D1E0D"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19400587"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НСЗ</w:t>
            </w:r>
          </w:p>
        </w:tc>
        <w:tc>
          <w:tcPr>
            <w:tcW w:w="356" w:type="pct"/>
            <w:tcBorders>
              <w:top w:val="nil"/>
            </w:tcBorders>
            <w:shd w:val="clear" w:color="auto" w:fill="FFFFFF" w:themeFill="background1"/>
            <w:noWrap/>
            <w:hideMark/>
          </w:tcPr>
          <w:p w14:paraId="4820D4C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0,9</w:t>
            </w:r>
          </w:p>
        </w:tc>
        <w:tc>
          <w:tcPr>
            <w:tcW w:w="356" w:type="pct"/>
            <w:tcBorders>
              <w:top w:val="nil"/>
            </w:tcBorders>
            <w:shd w:val="clear" w:color="auto" w:fill="FFFFFF" w:themeFill="background1"/>
            <w:noWrap/>
            <w:hideMark/>
          </w:tcPr>
          <w:p w14:paraId="2E907E4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0,9</w:t>
            </w:r>
          </w:p>
        </w:tc>
        <w:tc>
          <w:tcPr>
            <w:tcW w:w="360" w:type="pct"/>
            <w:tcBorders>
              <w:top w:val="nil"/>
            </w:tcBorders>
            <w:shd w:val="clear" w:color="auto" w:fill="FFFFFF" w:themeFill="background1"/>
            <w:noWrap/>
            <w:hideMark/>
          </w:tcPr>
          <w:p w14:paraId="7848963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13B8DAC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tcPr>
          <w:p w14:paraId="35AE1A13"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32B288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59BFF819"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349DC48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38A3D8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0967118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5218255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64E034C8"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265688FA"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Фонд СОВО</w:t>
            </w:r>
          </w:p>
        </w:tc>
        <w:tc>
          <w:tcPr>
            <w:tcW w:w="356" w:type="pct"/>
            <w:tcBorders>
              <w:top w:val="nil"/>
            </w:tcBorders>
            <w:shd w:val="clear" w:color="auto" w:fill="FFFFFF" w:themeFill="background1"/>
            <w:noWrap/>
            <w:hideMark/>
          </w:tcPr>
          <w:p w14:paraId="60D1B7C2" w14:textId="2F61D1A7"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4,7</w:t>
            </w:r>
          </w:p>
        </w:tc>
        <w:tc>
          <w:tcPr>
            <w:tcW w:w="356" w:type="pct"/>
            <w:tcBorders>
              <w:top w:val="nil"/>
            </w:tcBorders>
            <w:shd w:val="clear" w:color="auto" w:fill="FFFFFF" w:themeFill="background1"/>
            <w:noWrap/>
            <w:hideMark/>
          </w:tcPr>
          <w:p w14:paraId="68837E9E" w14:textId="25A4D3D3"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c>
          <w:tcPr>
            <w:tcW w:w="360" w:type="pct"/>
            <w:tcBorders>
              <w:top w:val="nil"/>
            </w:tcBorders>
            <w:shd w:val="clear" w:color="auto" w:fill="FFFFFF" w:themeFill="background1"/>
            <w:noWrap/>
            <w:hideMark/>
          </w:tcPr>
          <w:p w14:paraId="179D57E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0A411C7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tcPr>
          <w:p w14:paraId="7EEDF73D"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0A32E29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hideMark/>
          </w:tcPr>
          <w:p w14:paraId="5D2B5F0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w:t>
            </w:r>
          </w:p>
        </w:tc>
        <w:tc>
          <w:tcPr>
            <w:tcW w:w="372" w:type="pct"/>
            <w:tcBorders>
              <w:top w:val="nil"/>
            </w:tcBorders>
            <w:shd w:val="clear" w:color="auto" w:fill="FFFFFF" w:themeFill="background1"/>
            <w:noWrap/>
            <w:hideMark/>
          </w:tcPr>
          <w:p w14:paraId="63EA1EEE"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4,4</w:t>
            </w:r>
          </w:p>
        </w:tc>
        <w:tc>
          <w:tcPr>
            <w:tcW w:w="372" w:type="pct"/>
            <w:tcBorders>
              <w:top w:val="nil"/>
            </w:tcBorders>
            <w:shd w:val="clear" w:color="auto" w:fill="FFFFFF" w:themeFill="background1"/>
            <w:noWrap/>
          </w:tcPr>
          <w:p w14:paraId="27B18CEB"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6177E1E5"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4F21F5D1"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p>
        </w:tc>
      </w:tr>
      <w:tr w:rsidR="003B151E" w:rsidRPr="00F5596D" w14:paraId="6AD7759B" w14:textId="77777777" w:rsidTr="003B15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0855BF0A"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Остали нивои</w:t>
            </w:r>
          </w:p>
        </w:tc>
        <w:tc>
          <w:tcPr>
            <w:tcW w:w="356" w:type="pct"/>
            <w:tcBorders>
              <w:top w:val="nil"/>
            </w:tcBorders>
            <w:shd w:val="clear" w:color="auto" w:fill="FFFFFF" w:themeFill="background1"/>
            <w:noWrap/>
            <w:hideMark/>
          </w:tcPr>
          <w:p w14:paraId="5C8EA910"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43,2</w:t>
            </w:r>
          </w:p>
        </w:tc>
        <w:tc>
          <w:tcPr>
            <w:tcW w:w="356" w:type="pct"/>
            <w:tcBorders>
              <w:top w:val="nil"/>
            </w:tcBorders>
            <w:shd w:val="clear" w:color="auto" w:fill="FFFFFF" w:themeFill="background1"/>
            <w:noWrap/>
            <w:hideMark/>
          </w:tcPr>
          <w:p w14:paraId="67F8C11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43,2</w:t>
            </w:r>
          </w:p>
        </w:tc>
        <w:tc>
          <w:tcPr>
            <w:tcW w:w="360" w:type="pct"/>
            <w:tcBorders>
              <w:top w:val="nil"/>
            </w:tcBorders>
            <w:shd w:val="clear" w:color="auto" w:fill="FFFFFF" w:themeFill="background1"/>
            <w:noWrap/>
            <w:hideMark/>
          </w:tcPr>
          <w:p w14:paraId="4D15BB3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48" w:type="pct"/>
            <w:tcBorders>
              <w:top w:val="nil"/>
            </w:tcBorders>
            <w:shd w:val="clear" w:color="auto" w:fill="FFFFFF" w:themeFill="background1"/>
            <w:noWrap/>
          </w:tcPr>
          <w:p w14:paraId="55BB4D7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5" w:type="pct"/>
            <w:tcBorders>
              <w:top w:val="nil"/>
            </w:tcBorders>
            <w:shd w:val="clear" w:color="auto" w:fill="FFFFFF" w:themeFill="background1"/>
            <w:noWrap/>
          </w:tcPr>
          <w:p w14:paraId="0D96F7E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53" w:type="pct"/>
            <w:tcBorders>
              <w:top w:val="nil"/>
            </w:tcBorders>
            <w:shd w:val="clear" w:color="auto" w:fill="FFFFFF" w:themeFill="background1"/>
            <w:noWrap/>
            <w:hideMark/>
          </w:tcPr>
          <w:p w14:paraId="73B19C4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7FC4580E"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2A730766"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9EFA6B4"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72" w:type="pct"/>
            <w:tcBorders>
              <w:top w:val="nil"/>
            </w:tcBorders>
            <w:shd w:val="clear" w:color="auto" w:fill="FFFFFF" w:themeFill="background1"/>
            <w:noWrap/>
          </w:tcPr>
          <w:p w14:paraId="19DB084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c>
          <w:tcPr>
            <w:tcW w:w="368" w:type="pct"/>
            <w:tcBorders>
              <w:top w:val="nil"/>
            </w:tcBorders>
            <w:shd w:val="clear" w:color="auto" w:fill="FFFFFF" w:themeFill="background1"/>
            <w:noWrap/>
          </w:tcPr>
          <w:p w14:paraId="02D9712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p>
        </w:tc>
      </w:tr>
      <w:tr w:rsidR="003B151E" w:rsidRPr="00F5596D" w14:paraId="4BC556E8" w14:textId="77777777" w:rsidTr="003B151E">
        <w:trPr>
          <w:trHeight w:val="136"/>
        </w:trPr>
        <w:tc>
          <w:tcPr>
            <w:cnfStyle w:val="001000000000" w:firstRow="0" w:lastRow="0" w:firstColumn="1" w:lastColumn="0" w:oddVBand="0" w:evenVBand="0" w:oddHBand="0" w:evenHBand="0" w:firstRowFirstColumn="0" w:firstRowLastColumn="0" w:lastRowFirstColumn="0" w:lastRowLastColumn="0"/>
            <w:tcW w:w="997" w:type="pct"/>
            <w:tcBorders>
              <w:top w:val="nil"/>
            </w:tcBorders>
            <w:shd w:val="clear" w:color="auto" w:fill="FFFFFF" w:themeFill="background1"/>
            <w:noWrap/>
            <w:vAlign w:val="bottom"/>
            <w:hideMark/>
          </w:tcPr>
          <w:p w14:paraId="66C7A63B" w14:textId="77777777" w:rsidR="000A6C38" w:rsidRPr="00F5596D" w:rsidRDefault="000A6C38" w:rsidP="003B151E">
            <w:pPr>
              <w:tabs>
                <w:tab w:val="center" w:pos="4680"/>
                <w:tab w:val="right" w:pos="9360"/>
              </w:tabs>
              <w:rPr>
                <w:rFonts w:cstheme="minorHAnsi"/>
                <w:b w:val="0"/>
                <w:color w:val="002060"/>
                <w:sz w:val="14"/>
                <w:szCs w:val="14"/>
                <w:lang w:val="sr-Cyrl-CS"/>
              </w:rPr>
            </w:pPr>
            <w:r w:rsidRPr="00F5596D">
              <w:rPr>
                <w:rFonts w:cstheme="minorHAnsi"/>
                <w:b w:val="0"/>
                <w:color w:val="002060"/>
                <w:sz w:val="14"/>
                <w:szCs w:val="14"/>
                <w:lang w:val="sr-Cyrl-CS"/>
              </w:rPr>
              <w:t>Нето трансфери другим нивоима власти</w:t>
            </w:r>
          </w:p>
        </w:tc>
        <w:tc>
          <w:tcPr>
            <w:tcW w:w="356" w:type="pct"/>
            <w:tcBorders>
              <w:top w:val="nil"/>
            </w:tcBorders>
            <w:shd w:val="clear" w:color="auto" w:fill="FFFFFF" w:themeFill="background1"/>
            <w:noWrap/>
          </w:tcPr>
          <w:p w14:paraId="14411DFF" w14:textId="1BD45601"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0,0</w:t>
            </w:r>
          </w:p>
        </w:tc>
        <w:tc>
          <w:tcPr>
            <w:tcW w:w="356" w:type="pct"/>
            <w:tcBorders>
              <w:top w:val="nil"/>
            </w:tcBorders>
            <w:shd w:val="clear" w:color="auto" w:fill="FFFFFF" w:themeFill="background1"/>
            <w:noWrap/>
            <w:hideMark/>
          </w:tcPr>
          <w:p w14:paraId="21287D15" w14:textId="263E7B93"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-429,9</w:t>
            </w:r>
          </w:p>
        </w:tc>
        <w:tc>
          <w:tcPr>
            <w:tcW w:w="360" w:type="pct"/>
            <w:tcBorders>
              <w:top w:val="nil"/>
            </w:tcBorders>
            <w:shd w:val="clear" w:color="auto" w:fill="FFFFFF" w:themeFill="background1"/>
            <w:noWrap/>
            <w:hideMark/>
          </w:tcPr>
          <w:p w14:paraId="29534002"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23,0</w:t>
            </w:r>
          </w:p>
        </w:tc>
        <w:tc>
          <w:tcPr>
            <w:tcW w:w="348" w:type="pct"/>
            <w:tcBorders>
              <w:top w:val="nil"/>
            </w:tcBorders>
            <w:shd w:val="clear" w:color="auto" w:fill="FFFFFF" w:themeFill="background1"/>
            <w:noWrap/>
            <w:hideMark/>
          </w:tcPr>
          <w:p w14:paraId="79CB5B19"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22,6</w:t>
            </w:r>
          </w:p>
        </w:tc>
        <w:tc>
          <w:tcPr>
            <w:tcW w:w="375" w:type="pct"/>
            <w:tcBorders>
              <w:top w:val="nil"/>
            </w:tcBorders>
            <w:shd w:val="clear" w:color="auto" w:fill="FFFFFF" w:themeFill="background1"/>
            <w:noWrap/>
            <w:hideMark/>
          </w:tcPr>
          <w:p w14:paraId="0972CE23"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0,3</w:t>
            </w:r>
          </w:p>
        </w:tc>
        <w:tc>
          <w:tcPr>
            <w:tcW w:w="353" w:type="pct"/>
            <w:tcBorders>
              <w:top w:val="nil"/>
            </w:tcBorders>
            <w:shd w:val="clear" w:color="auto" w:fill="FFFFFF" w:themeFill="background1"/>
            <w:noWrap/>
            <w:hideMark/>
          </w:tcPr>
          <w:p w14:paraId="145AD887"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43,2</w:t>
            </w:r>
          </w:p>
        </w:tc>
        <w:tc>
          <w:tcPr>
            <w:tcW w:w="372" w:type="pct"/>
            <w:tcBorders>
              <w:top w:val="nil"/>
            </w:tcBorders>
            <w:shd w:val="clear" w:color="auto" w:fill="FFFFFF" w:themeFill="background1"/>
            <w:noWrap/>
            <w:hideMark/>
          </w:tcPr>
          <w:p w14:paraId="7C317547" w14:textId="2E268BF7"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363,7</w:t>
            </w:r>
          </w:p>
        </w:tc>
        <w:tc>
          <w:tcPr>
            <w:tcW w:w="372" w:type="pct"/>
            <w:tcBorders>
              <w:top w:val="nil"/>
            </w:tcBorders>
            <w:shd w:val="clear" w:color="auto" w:fill="FFFFFF" w:themeFill="background1"/>
            <w:noWrap/>
            <w:hideMark/>
          </w:tcPr>
          <w:p w14:paraId="106D1484"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163,0</w:t>
            </w:r>
          </w:p>
        </w:tc>
        <w:tc>
          <w:tcPr>
            <w:tcW w:w="372" w:type="pct"/>
            <w:tcBorders>
              <w:top w:val="nil"/>
            </w:tcBorders>
            <w:shd w:val="clear" w:color="auto" w:fill="FFFFFF" w:themeFill="background1"/>
            <w:noWrap/>
            <w:hideMark/>
          </w:tcPr>
          <w:p w14:paraId="43B8B8D6" w14:textId="77777777"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200,3</w:t>
            </w:r>
          </w:p>
        </w:tc>
        <w:tc>
          <w:tcPr>
            <w:tcW w:w="372" w:type="pct"/>
            <w:tcBorders>
              <w:top w:val="nil"/>
            </w:tcBorders>
            <w:shd w:val="clear" w:color="auto" w:fill="FFFFFF" w:themeFill="background1"/>
            <w:noWrap/>
            <w:hideMark/>
          </w:tcPr>
          <w:p w14:paraId="2097BC04" w14:textId="35DE4E3D" w:rsidR="000A6C38" w:rsidRPr="00F5596D" w:rsidRDefault="000A6C38"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-4,3</w:t>
            </w:r>
          </w:p>
        </w:tc>
        <w:tc>
          <w:tcPr>
            <w:tcW w:w="368" w:type="pct"/>
            <w:tcBorders>
              <w:top w:val="nil"/>
            </w:tcBorders>
            <w:shd w:val="clear" w:color="auto" w:fill="FFFFFF" w:themeFill="background1"/>
            <w:noWrap/>
            <w:hideMark/>
          </w:tcPr>
          <w:p w14:paraId="7814A9DC" w14:textId="5A0F51AA" w:rsidR="000A6C38" w:rsidRPr="00F5596D" w:rsidRDefault="00E907CC" w:rsidP="003B151E">
            <w:pPr>
              <w:tabs>
                <w:tab w:val="center" w:pos="4680"/>
                <w:tab w:val="right" w:pos="9360"/>
              </w:tabs>
              <w:jc w:val="right"/>
              <w:cnfStyle w:val="000000000000" w:firstRow="0" w:lastRow="0" w:firstColumn="0" w:lastColumn="0" w:oddVBand="0" w:evenVBand="0" w:oddHBand="0"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4,7</w:t>
            </w:r>
          </w:p>
        </w:tc>
      </w:tr>
      <w:tr w:rsidR="003B151E" w:rsidRPr="00F5596D" w14:paraId="43AE57C0" w14:textId="77777777" w:rsidTr="003B151E">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997" w:type="pct"/>
            <w:tcBorders>
              <w:top w:val="nil"/>
              <w:bottom w:val="single" w:sz="4" w:space="0" w:color="auto"/>
            </w:tcBorders>
            <w:shd w:val="clear" w:color="auto" w:fill="BFBFBF" w:themeFill="background1" w:themeFillShade="BF"/>
            <w:noWrap/>
            <w:vAlign w:val="bottom"/>
            <w:hideMark/>
          </w:tcPr>
          <w:p w14:paraId="6CA3D107" w14:textId="77777777" w:rsidR="000A6C38" w:rsidRPr="00F5596D" w:rsidRDefault="000A6C38" w:rsidP="003B151E">
            <w:pPr>
              <w:tabs>
                <w:tab w:val="center" w:pos="4680"/>
                <w:tab w:val="right" w:pos="9360"/>
              </w:tabs>
              <w:rPr>
                <w:rFonts w:cstheme="minorHAnsi"/>
                <w:color w:val="002060"/>
                <w:sz w:val="14"/>
                <w:szCs w:val="14"/>
                <w:lang w:val="sr-Cyrl-CS"/>
              </w:rPr>
            </w:pPr>
            <w:r w:rsidRPr="00F5596D">
              <w:rPr>
                <w:rFonts w:cstheme="minorHAnsi"/>
                <w:color w:val="002060"/>
                <w:sz w:val="14"/>
                <w:szCs w:val="14"/>
                <w:lang w:val="sr-Cyrl-CS"/>
              </w:rPr>
              <w:t>Фискални резултат</w:t>
            </w:r>
          </w:p>
        </w:tc>
        <w:tc>
          <w:tcPr>
            <w:tcW w:w="356" w:type="pct"/>
            <w:tcBorders>
              <w:top w:val="nil"/>
              <w:bottom w:val="single" w:sz="4" w:space="0" w:color="auto"/>
            </w:tcBorders>
            <w:shd w:val="clear" w:color="auto" w:fill="BFBFBF" w:themeFill="background1" w:themeFillShade="BF"/>
            <w:noWrap/>
            <w:hideMark/>
          </w:tcPr>
          <w:p w14:paraId="6396F61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-337,0</w:t>
            </w:r>
          </w:p>
        </w:tc>
        <w:tc>
          <w:tcPr>
            <w:tcW w:w="356" w:type="pct"/>
            <w:tcBorders>
              <w:top w:val="nil"/>
              <w:bottom w:val="single" w:sz="4" w:space="0" w:color="auto"/>
            </w:tcBorders>
            <w:shd w:val="clear" w:color="auto" w:fill="BFBFBF" w:themeFill="background1" w:themeFillShade="BF"/>
            <w:noWrap/>
            <w:hideMark/>
          </w:tcPr>
          <w:p w14:paraId="316B0C8C"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color w:val="002060"/>
                <w:sz w:val="14"/>
                <w:szCs w:val="14"/>
                <w:lang w:val="sr-Cyrl-CS"/>
              </w:rPr>
            </w:pPr>
            <w:r w:rsidRPr="00F5596D">
              <w:rPr>
                <w:rFonts w:cstheme="minorHAnsi"/>
                <w:color w:val="002060"/>
                <w:sz w:val="14"/>
                <w:szCs w:val="14"/>
                <w:lang w:val="sr-Cyrl-CS"/>
              </w:rPr>
              <w:t>-337,0</w:t>
            </w:r>
          </w:p>
        </w:tc>
        <w:tc>
          <w:tcPr>
            <w:tcW w:w="360" w:type="pct"/>
            <w:tcBorders>
              <w:top w:val="nil"/>
              <w:bottom w:val="single" w:sz="4" w:space="0" w:color="auto"/>
            </w:tcBorders>
            <w:shd w:val="clear" w:color="auto" w:fill="BFBFBF" w:themeFill="background1" w:themeFillShade="BF"/>
            <w:noWrap/>
            <w:hideMark/>
          </w:tcPr>
          <w:p w14:paraId="72CD21EF"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48" w:type="pct"/>
            <w:tcBorders>
              <w:top w:val="nil"/>
              <w:bottom w:val="single" w:sz="4" w:space="0" w:color="auto"/>
            </w:tcBorders>
            <w:shd w:val="clear" w:color="auto" w:fill="BFBFBF" w:themeFill="background1" w:themeFillShade="BF"/>
            <w:noWrap/>
            <w:hideMark/>
          </w:tcPr>
          <w:p w14:paraId="429BCE2D"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75" w:type="pct"/>
            <w:tcBorders>
              <w:top w:val="nil"/>
              <w:bottom w:val="single" w:sz="4" w:space="0" w:color="auto"/>
            </w:tcBorders>
            <w:shd w:val="clear" w:color="auto" w:fill="BFBFBF" w:themeFill="background1" w:themeFillShade="BF"/>
            <w:noWrap/>
            <w:hideMark/>
          </w:tcPr>
          <w:p w14:paraId="6E417407"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53" w:type="pct"/>
            <w:tcBorders>
              <w:top w:val="nil"/>
              <w:bottom w:val="single" w:sz="4" w:space="0" w:color="auto"/>
            </w:tcBorders>
            <w:shd w:val="clear" w:color="auto" w:fill="BFBFBF" w:themeFill="background1" w:themeFillShade="BF"/>
            <w:noWrap/>
            <w:hideMark/>
          </w:tcPr>
          <w:p w14:paraId="600D2F05"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74D1C408"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2E5A525B"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5A1632D1"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72" w:type="pct"/>
            <w:tcBorders>
              <w:top w:val="nil"/>
              <w:bottom w:val="single" w:sz="4" w:space="0" w:color="auto"/>
            </w:tcBorders>
            <w:shd w:val="clear" w:color="auto" w:fill="BFBFBF" w:themeFill="background1" w:themeFillShade="BF"/>
            <w:noWrap/>
            <w:hideMark/>
          </w:tcPr>
          <w:p w14:paraId="20A859E3" w14:textId="6D95C6E6"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c>
          <w:tcPr>
            <w:tcW w:w="368" w:type="pct"/>
            <w:tcBorders>
              <w:top w:val="nil"/>
              <w:bottom w:val="single" w:sz="4" w:space="0" w:color="auto"/>
            </w:tcBorders>
            <w:shd w:val="clear" w:color="auto" w:fill="BFBFBF" w:themeFill="background1" w:themeFillShade="BF"/>
            <w:noWrap/>
            <w:hideMark/>
          </w:tcPr>
          <w:p w14:paraId="758D2AC2" w14:textId="77777777" w:rsidR="000A6C38" w:rsidRPr="00F5596D" w:rsidRDefault="000A6C38" w:rsidP="003B151E">
            <w:pPr>
              <w:tabs>
                <w:tab w:val="center" w:pos="4680"/>
                <w:tab w:val="right" w:pos="9360"/>
              </w:tabs>
              <w:jc w:val="right"/>
              <w:cnfStyle w:val="000000100000" w:firstRow="0" w:lastRow="0" w:firstColumn="0" w:lastColumn="0" w:oddVBand="0" w:evenVBand="0" w:oddHBand="1" w:evenHBand="0" w:firstRowFirstColumn="0" w:firstRowLastColumn="0" w:lastRowFirstColumn="0" w:lastRowLastColumn="0"/>
              <w:rPr>
                <w:rFonts w:cstheme="minorHAnsi"/>
                <w:b/>
                <w:color w:val="002060"/>
                <w:sz w:val="14"/>
                <w:szCs w:val="14"/>
                <w:lang w:val="sr-Cyrl-CS"/>
              </w:rPr>
            </w:pPr>
            <w:r w:rsidRPr="00F5596D">
              <w:rPr>
                <w:rFonts w:cstheme="minorHAnsi"/>
                <w:b/>
                <w:color w:val="002060"/>
                <w:sz w:val="14"/>
                <w:szCs w:val="14"/>
                <w:lang w:val="sr-Cyrl-CS"/>
              </w:rPr>
              <w:t>0,0</w:t>
            </w:r>
          </w:p>
        </w:tc>
      </w:tr>
    </w:tbl>
    <w:bookmarkStart w:id="86" w:name="_Toc200095595"/>
    <w:bookmarkStart w:id="87" w:name="_Toc200101394"/>
    <w:bookmarkStart w:id="88" w:name="_Toc200105178"/>
    <w:bookmarkStart w:id="89" w:name="_Toc200105712"/>
    <w:bookmarkStart w:id="90" w:name="_Toc200106490"/>
    <w:bookmarkStart w:id="91" w:name="_Toc200107260"/>
    <w:bookmarkStart w:id="92" w:name="_Toc200107705"/>
    <w:bookmarkStart w:id="93" w:name="_Toc200118004"/>
    <w:p w14:paraId="005D72C1" w14:textId="7962D15F" w:rsidR="00C20380" w:rsidRPr="00F5596D" w:rsidRDefault="00E6758B" w:rsidP="00C20380">
      <w:pPr>
        <w:keepNext/>
        <w:keepLines/>
        <w:spacing w:after="120"/>
        <w:outlineLvl w:val="0"/>
        <w:rPr>
          <w:sz w:val="16"/>
          <w:szCs w:val="16"/>
          <w:lang w:val="sr-Cyrl-CS"/>
        </w:rPr>
      </w:pPr>
      <w:r w:rsidRPr="00F5596D">
        <w:rPr>
          <w:noProof/>
          <w:sz w:val="16"/>
          <w:szCs w:val="16"/>
        </w:rPr>
        <mc:AlternateContent>
          <mc:Choice Requires="wps">
            <w:drawing>
              <wp:anchor distT="45720" distB="45720" distL="114300" distR="114300" simplePos="0" relativeHeight="251707904" behindDoc="0" locked="0" layoutInCell="1" allowOverlap="1" wp14:anchorId="73361E76" wp14:editId="07F7C68A">
                <wp:simplePos x="0" y="0"/>
                <wp:positionH relativeFrom="margin">
                  <wp:posOffset>330820</wp:posOffset>
                </wp:positionH>
                <wp:positionV relativeFrom="paragraph">
                  <wp:posOffset>5751489</wp:posOffset>
                </wp:positionV>
                <wp:extent cx="8719742" cy="520390"/>
                <wp:effectExtent l="0" t="0" r="0" b="0"/>
                <wp:wrapNone/>
                <wp:docPr id="5517324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9742" cy="520390"/>
                        </a:xfrm>
                        <a:prstGeom prst="rect">
                          <a:avLst/>
                        </a:prstGeom>
                        <a:noFill/>
                        <a:ln w="9525">
                          <a:noFill/>
                          <a:miter lim="800000"/>
                          <a:headEnd/>
                          <a:tailEnd/>
                        </a:ln>
                      </wps:spPr>
                      <wps:txbx>
                        <w:txbxContent>
                          <w:p w14:paraId="42F8C300" w14:textId="38F200A2" w:rsidR="00F5596D" w:rsidRPr="000A6C38" w:rsidRDefault="00F5596D" w:rsidP="00E6758B">
                            <w:pPr>
                              <w:tabs>
                                <w:tab w:val="center" w:pos="4680"/>
                                <w:tab w:val="right" w:pos="9360"/>
                              </w:tabs>
                              <w:spacing w:before="40" w:after="60" w:line="240" w:lineRule="auto"/>
                              <w:ind w:right="340"/>
                              <w:rPr>
                                <w:rFonts w:cstheme="minorHAnsi"/>
                                <w:sz w:val="16"/>
                                <w:szCs w:val="16"/>
                                <w:lang w:val="sr-Cyrl-CS"/>
                              </w:rPr>
                            </w:pPr>
                            <w:r w:rsidRPr="000A6C38">
                              <w:rPr>
                                <w:rFonts w:cstheme="minorHAnsi"/>
                                <w:sz w:val="16"/>
                                <w:szCs w:val="16"/>
                                <w:lang w:val="sr-Cyrl-CS"/>
                              </w:rPr>
                              <w:t>У табели је приказан оквирни износ прихода и расхода у 2026.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18D157A6" w14:textId="2F4303B5" w:rsidR="00F5596D" w:rsidRPr="00E6758B" w:rsidRDefault="00F5596D">
                            <w:pPr>
                              <w:rPr>
                                <w:lang w:val="sr-Cyrl-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361E76" id="_x0000_t202" coordsize="21600,21600" o:spt="202" path="m,l,21600r21600,l21600,xe">
                <v:stroke joinstyle="miter"/>
                <v:path gradientshapeok="t" o:connecttype="rect"/>
              </v:shapetype>
              <v:shape id="Text Box 2" o:spid="_x0000_s1027" type="#_x0000_t202" style="position:absolute;left:0;text-align:left;margin-left:26.05pt;margin-top:452.85pt;width:686.6pt;height:41pt;z-index:251707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" filled="f" stroked="f">
                <v:textbox>
                  <w:txbxContent>
                    <w:p w14:paraId="42F8C300" w14:textId="38F200A2" w:rsidR="00F5596D" w:rsidRPr="000A6C38" w:rsidRDefault="00F5596D" w:rsidP="00E6758B">
                      <w:pPr>
                        <w:tabs>
                          <w:tab w:val="center" w:pos="4680"/>
                          <w:tab w:val="right" w:pos="9360"/>
                        </w:tabs>
                        <w:spacing w:before="40" w:after="60" w:line="240" w:lineRule="auto"/>
                        <w:ind w:right="340"/>
                        <w:rPr>
                          <w:rFonts w:cstheme="minorHAnsi"/>
                          <w:sz w:val="16"/>
                          <w:szCs w:val="16"/>
                          <w:lang w:val="sr-Cyrl-CS"/>
                        </w:rPr>
                      </w:pPr>
                      <w:r w:rsidRPr="000A6C38">
                        <w:rPr>
                          <w:rFonts w:cstheme="minorHAnsi"/>
                          <w:sz w:val="16"/>
                          <w:szCs w:val="16"/>
                          <w:lang w:val="sr-Cyrl-CS"/>
                        </w:rPr>
                        <w:t>У табели је приказан оквирни износ прихода и расхода у 2026.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18D157A6" w14:textId="2F4303B5" w:rsidR="00F5596D" w:rsidRPr="00E6758B" w:rsidRDefault="00F5596D">
                      <w:pPr>
                        <w:rPr>
                          <w:lang w:val="sr-Cyrl-CS"/>
                        </w:rPr>
                      </w:pPr>
                    </w:p>
                  </w:txbxContent>
                </v:textbox>
                <w10:wrap anchorx="margin"/>
              </v:shape>
            </w:pict>
          </mc:Fallback>
        </mc:AlternateContent>
      </w:r>
      <w:bookmarkEnd w:id="86"/>
      <w:bookmarkEnd w:id="87"/>
      <w:bookmarkEnd w:id="88"/>
      <w:bookmarkEnd w:id="89"/>
      <w:bookmarkEnd w:id="90"/>
      <w:bookmarkEnd w:id="91"/>
      <w:bookmarkEnd w:id="92"/>
      <w:r w:rsidR="00C20380" w:rsidRPr="00F5596D">
        <w:rPr>
          <w:sz w:val="26"/>
          <w:szCs w:val="26"/>
          <w:lang w:val="sr-Cyrl-CS"/>
        </w:rPr>
        <w:t>Прилог 2 – Фискални оквир сектора државе у 2026. години</w:t>
      </w:r>
      <w:bookmarkEnd w:id="93"/>
    </w:p>
    <w:p w14:paraId="2858115C" w14:textId="159B58E6" w:rsidR="00C20380" w:rsidRPr="00F5596D" w:rsidRDefault="00C20380" w:rsidP="00C20380">
      <w:pPr>
        <w:tabs>
          <w:tab w:val="left" w:pos="1754"/>
        </w:tabs>
        <w:rPr>
          <w:sz w:val="16"/>
          <w:szCs w:val="16"/>
          <w:lang w:val="sr-Cyrl-CS"/>
        </w:rPr>
      </w:pPr>
      <w:r w:rsidRPr="00F5596D">
        <w:rPr>
          <w:sz w:val="16"/>
          <w:szCs w:val="16"/>
          <w:lang w:val="sr-Cyrl-CS"/>
        </w:rPr>
        <w:tab/>
      </w:r>
    </w:p>
    <w:p w14:paraId="3867CB19" w14:textId="6F6B401B" w:rsidR="004277D3" w:rsidRPr="00F5596D" w:rsidRDefault="00C20380" w:rsidP="00C20380">
      <w:pPr>
        <w:tabs>
          <w:tab w:val="left" w:pos="1754"/>
        </w:tabs>
        <w:rPr>
          <w:sz w:val="16"/>
          <w:szCs w:val="16"/>
          <w:lang w:val="sr-Cyrl-CS"/>
        </w:rPr>
        <w:sectPr w:rsidR="004277D3" w:rsidRPr="00F5596D" w:rsidSect="000A6C38">
          <w:headerReference w:type="even" r:id="rId236"/>
          <w:footerReference w:type="even" r:id="rId237"/>
          <w:footerReference w:type="default" r:id="rId238"/>
          <w:headerReference w:type="first" r:id="rId239"/>
          <w:footerReference w:type="first" r:id="rId240"/>
          <w:type w:val="continuous"/>
          <w:pgSz w:w="15840" w:h="12240" w:orient="landscape" w:code="1"/>
          <w:pgMar w:top="720" w:right="720" w:bottom="720" w:left="720" w:header="720" w:footer="720" w:gutter="0"/>
          <w:cols w:space="720"/>
          <w:docGrid w:linePitch="360"/>
        </w:sectPr>
      </w:pPr>
      <w:r w:rsidRPr="00F5596D">
        <w:rPr>
          <w:sz w:val="16"/>
          <w:szCs w:val="16"/>
          <w:lang w:val="sr-Cyrl-CS"/>
        </w:rPr>
        <w:tab/>
      </w:r>
    </w:p>
    <w:p w14:paraId="1E1152E5" w14:textId="4BC04E2A" w:rsidR="004277D3" w:rsidRPr="00F5596D" w:rsidRDefault="004277D3" w:rsidP="004277D3">
      <w:pPr>
        <w:pStyle w:val="Heading1"/>
        <w:spacing w:after="160"/>
        <w:rPr>
          <w:rFonts w:asciiTheme="minorHAnsi" w:hAnsiTheme="minorHAnsi" w:cstheme="minorHAnsi"/>
          <w:color w:val="44546A" w:themeColor="text2"/>
          <w:sz w:val="24"/>
          <w:szCs w:val="26"/>
          <w:lang w:val="sr-Cyrl-CS"/>
        </w:rPr>
      </w:pPr>
      <w:bookmarkStart w:id="94" w:name="_Toc200118005"/>
      <w:r w:rsidRPr="00F5596D">
        <w:rPr>
          <w:rFonts w:asciiTheme="minorHAnsi" w:hAnsiTheme="minorHAnsi" w:cstheme="minorHAnsi"/>
          <w:color w:val="44546A" w:themeColor="text2"/>
          <w:sz w:val="24"/>
          <w:szCs w:val="26"/>
          <w:lang w:val="sr-Cyrl-CS"/>
        </w:rPr>
        <w:lastRenderedPageBreak/>
        <w:t>Прилог 3 – Преглед инвестиционих пројеката у републичком буџету – издаци за нефинансијску имовину (изнад 20 милиона евра)</w:t>
      </w:r>
      <w:bookmarkEnd w:id="94"/>
    </w:p>
    <w:tbl>
      <w:tblPr>
        <w:tblStyle w:val="GridTable1Light-Accent1"/>
        <w:tblW w:w="0" w:type="auto"/>
        <w:tblLook w:val="04A0" w:firstRow="1" w:lastRow="0" w:firstColumn="1" w:lastColumn="0" w:noHBand="0" w:noVBand="1"/>
      </w:tblPr>
      <w:tblGrid>
        <w:gridCol w:w="459"/>
        <w:gridCol w:w="972"/>
        <w:gridCol w:w="3741"/>
        <w:gridCol w:w="1374"/>
        <w:gridCol w:w="1533"/>
        <w:gridCol w:w="1540"/>
        <w:gridCol w:w="1540"/>
        <w:gridCol w:w="1540"/>
        <w:gridCol w:w="1691"/>
      </w:tblGrid>
      <w:tr w:rsidR="00714AD2" w:rsidRPr="00F5596D" w14:paraId="02F6E94F" w14:textId="77777777" w:rsidTr="00714AD2">
        <w:trPr>
          <w:cnfStyle w:val="100000000000" w:firstRow="1" w:lastRow="0" w:firstColumn="0" w:lastColumn="0" w:oddVBand="0" w:evenVBand="0" w:oddHBand="0" w:evenHBand="0" w:firstRowFirstColumn="0" w:firstRowLastColumn="0" w:lastRowFirstColumn="0" w:lastRowLastColumn="0"/>
          <w:trHeight w:val="795"/>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98238E" w14:textId="77777777" w:rsidR="00714AD2" w:rsidRPr="00F5596D" w:rsidRDefault="00714AD2" w:rsidP="00592961">
            <w:pPr>
              <w:jc w:val="center"/>
              <w:rPr>
                <w:i/>
                <w:iCs/>
                <w:sz w:val="16"/>
                <w:szCs w:val="16"/>
                <w:lang w:val="sr-Cyrl-CS"/>
              </w:rPr>
            </w:pPr>
            <w:r w:rsidRPr="00F5596D">
              <w:rPr>
                <w:i/>
                <w:iCs/>
                <w:sz w:val="16"/>
                <w:szCs w:val="16"/>
                <w:lang w:val="sr-Cyrl-CS"/>
              </w:rPr>
              <w:t>Р. Бр.</w:t>
            </w:r>
          </w:p>
        </w:tc>
        <w:tc>
          <w:tcPr>
            <w:tcW w:w="0" w:type="auto"/>
            <w:vAlign w:val="center"/>
            <w:hideMark/>
          </w:tcPr>
          <w:p w14:paraId="5598E7A2"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Шифра пројекта</w:t>
            </w:r>
          </w:p>
        </w:tc>
        <w:tc>
          <w:tcPr>
            <w:tcW w:w="0" w:type="auto"/>
            <w:vAlign w:val="center"/>
            <w:hideMark/>
          </w:tcPr>
          <w:p w14:paraId="65FB2504"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Назив капиталног пројекта</w:t>
            </w:r>
          </w:p>
        </w:tc>
        <w:tc>
          <w:tcPr>
            <w:tcW w:w="0" w:type="auto"/>
            <w:vAlign w:val="center"/>
            <w:hideMark/>
          </w:tcPr>
          <w:p w14:paraId="6EC7EB42"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Трошак до 2025. год.</w:t>
            </w:r>
          </w:p>
        </w:tc>
        <w:tc>
          <w:tcPr>
            <w:tcW w:w="0" w:type="auto"/>
            <w:vAlign w:val="center"/>
            <w:hideMark/>
          </w:tcPr>
          <w:p w14:paraId="069936E5"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Пројектовани трошак у 2025 год.</w:t>
            </w:r>
          </w:p>
        </w:tc>
        <w:tc>
          <w:tcPr>
            <w:tcW w:w="0" w:type="auto"/>
            <w:vAlign w:val="center"/>
            <w:hideMark/>
          </w:tcPr>
          <w:p w14:paraId="3EDBA2AB"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Пројектовани трошак у 2026. год.</w:t>
            </w:r>
          </w:p>
        </w:tc>
        <w:tc>
          <w:tcPr>
            <w:tcW w:w="0" w:type="auto"/>
            <w:vAlign w:val="center"/>
            <w:hideMark/>
          </w:tcPr>
          <w:p w14:paraId="0AFC4BCC"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Пројектовани трошак у 2027. год.</w:t>
            </w:r>
          </w:p>
        </w:tc>
        <w:tc>
          <w:tcPr>
            <w:tcW w:w="0" w:type="auto"/>
            <w:vAlign w:val="center"/>
            <w:hideMark/>
          </w:tcPr>
          <w:p w14:paraId="0BF48424"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Пројектовани трошак у 2028. год.</w:t>
            </w:r>
          </w:p>
        </w:tc>
        <w:tc>
          <w:tcPr>
            <w:tcW w:w="0" w:type="auto"/>
            <w:vAlign w:val="center"/>
            <w:hideMark/>
          </w:tcPr>
          <w:p w14:paraId="3E7E00F1" w14:textId="77777777" w:rsidR="00714AD2" w:rsidRPr="00F5596D" w:rsidRDefault="00714AD2" w:rsidP="00714AD2">
            <w:pPr>
              <w:jc w:val="center"/>
              <w:cnfStyle w:val="100000000000" w:firstRow="1" w:lastRow="0" w:firstColumn="0" w:lastColumn="0" w:oddVBand="0" w:evenVBand="0" w:oddHBand="0" w:evenHBand="0" w:firstRowFirstColumn="0" w:firstRowLastColumn="0" w:lastRowFirstColumn="0" w:lastRowLastColumn="0"/>
              <w:rPr>
                <w:i/>
                <w:iCs/>
                <w:sz w:val="16"/>
                <w:szCs w:val="16"/>
                <w:lang w:val="sr-Cyrl-CS"/>
              </w:rPr>
            </w:pPr>
            <w:r w:rsidRPr="00F5596D">
              <w:rPr>
                <w:i/>
                <w:iCs/>
                <w:sz w:val="16"/>
                <w:szCs w:val="16"/>
                <w:lang w:val="sr-Cyrl-CS"/>
              </w:rPr>
              <w:t>Процењена укупна вредност пројекта</w:t>
            </w:r>
          </w:p>
        </w:tc>
      </w:tr>
      <w:tr w:rsidR="00714AD2" w:rsidRPr="00F5596D" w14:paraId="4ACE092D"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55612150" w14:textId="77777777" w:rsidR="00714AD2" w:rsidRPr="00F5596D" w:rsidRDefault="00714AD2" w:rsidP="00592961">
            <w:pPr>
              <w:jc w:val="center"/>
              <w:rPr>
                <w:sz w:val="16"/>
                <w:szCs w:val="16"/>
                <w:lang w:val="sr-Cyrl-CS"/>
              </w:rPr>
            </w:pPr>
            <w:r w:rsidRPr="00F5596D">
              <w:rPr>
                <w:sz w:val="16"/>
                <w:szCs w:val="16"/>
                <w:lang w:val="sr-Cyrl-CS"/>
              </w:rPr>
              <w:t>1</w:t>
            </w:r>
          </w:p>
        </w:tc>
        <w:tc>
          <w:tcPr>
            <w:tcW w:w="0" w:type="auto"/>
            <w:hideMark/>
          </w:tcPr>
          <w:p w14:paraId="0A47DAF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5001</w:t>
            </w:r>
          </w:p>
        </w:tc>
        <w:tc>
          <w:tcPr>
            <w:tcW w:w="0" w:type="auto"/>
            <w:hideMark/>
          </w:tcPr>
          <w:p w14:paraId="01A7617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Набавка опреме,изградња хангара и пратећих објеката</w:t>
            </w:r>
          </w:p>
        </w:tc>
        <w:tc>
          <w:tcPr>
            <w:tcW w:w="0" w:type="auto"/>
            <w:noWrap/>
            <w:vAlign w:val="center"/>
            <w:hideMark/>
          </w:tcPr>
          <w:p w14:paraId="0D51D24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2,852,269,436</w:t>
            </w:r>
          </w:p>
        </w:tc>
        <w:tc>
          <w:tcPr>
            <w:tcW w:w="0" w:type="auto"/>
            <w:noWrap/>
            <w:vAlign w:val="center"/>
            <w:hideMark/>
          </w:tcPr>
          <w:p w14:paraId="16FC469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5,119,050,378</w:t>
            </w:r>
          </w:p>
        </w:tc>
        <w:tc>
          <w:tcPr>
            <w:tcW w:w="0" w:type="auto"/>
            <w:noWrap/>
            <w:vAlign w:val="center"/>
            <w:hideMark/>
          </w:tcPr>
          <w:p w14:paraId="672D8DB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379,113,000</w:t>
            </w:r>
          </w:p>
        </w:tc>
        <w:tc>
          <w:tcPr>
            <w:tcW w:w="0" w:type="auto"/>
            <w:noWrap/>
            <w:vAlign w:val="center"/>
            <w:hideMark/>
          </w:tcPr>
          <w:p w14:paraId="59A2D97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2,200,000</w:t>
            </w:r>
          </w:p>
        </w:tc>
        <w:tc>
          <w:tcPr>
            <w:tcW w:w="0" w:type="auto"/>
            <w:noWrap/>
            <w:vAlign w:val="center"/>
            <w:hideMark/>
          </w:tcPr>
          <w:p w14:paraId="577EB2DB" w14:textId="2C372D0A"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2A04D9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8,352,632,814</w:t>
            </w:r>
          </w:p>
        </w:tc>
      </w:tr>
      <w:tr w:rsidR="00714AD2" w:rsidRPr="00F5596D" w14:paraId="20AB5462"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5D42E354" w14:textId="77777777" w:rsidR="00714AD2" w:rsidRPr="00F5596D" w:rsidRDefault="00714AD2" w:rsidP="00592961">
            <w:pPr>
              <w:jc w:val="center"/>
              <w:rPr>
                <w:sz w:val="16"/>
                <w:szCs w:val="16"/>
                <w:lang w:val="sr-Cyrl-CS"/>
              </w:rPr>
            </w:pPr>
            <w:r w:rsidRPr="00F5596D">
              <w:rPr>
                <w:sz w:val="16"/>
                <w:szCs w:val="16"/>
                <w:lang w:val="sr-Cyrl-CS"/>
              </w:rPr>
              <w:t>2</w:t>
            </w:r>
          </w:p>
        </w:tc>
        <w:tc>
          <w:tcPr>
            <w:tcW w:w="0" w:type="auto"/>
            <w:hideMark/>
          </w:tcPr>
          <w:p w14:paraId="6A18018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5073</w:t>
            </w:r>
          </w:p>
        </w:tc>
        <w:tc>
          <w:tcPr>
            <w:tcW w:w="0" w:type="auto"/>
            <w:hideMark/>
          </w:tcPr>
          <w:p w14:paraId="35FE929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Националног фудбалског стадиона</w:t>
            </w:r>
          </w:p>
        </w:tc>
        <w:tc>
          <w:tcPr>
            <w:tcW w:w="0" w:type="auto"/>
            <w:noWrap/>
            <w:vAlign w:val="center"/>
            <w:hideMark/>
          </w:tcPr>
          <w:p w14:paraId="024ABE2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33,233,034,614</w:t>
            </w:r>
          </w:p>
        </w:tc>
        <w:tc>
          <w:tcPr>
            <w:tcW w:w="0" w:type="auto"/>
            <w:noWrap/>
            <w:vAlign w:val="center"/>
            <w:hideMark/>
          </w:tcPr>
          <w:p w14:paraId="086E2F2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18,530,000,000</w:t>
            </w:r>
          </w:p>
        </w:tc>
        <w:tc>
          <w:tcPr>
            <w:tcW w:w="0" w:type="auto"/>
            <w:noWrap/>
            <w:vAlign w:val="center"/>
            <w:hideMark/>
          </w:tcPr>
          <w:p w14:paraId="061368C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15,736,965,386</w:t>
            </w:r>
          </w:p>
        </w:tc>
        <w:tc>
          <w:tcPr>
            <w:tcW w:w="0" w:type="auto"/>
            <w:noWrap/>
            <w:vAlign w:val="center"/>
            <w:hideMark/>
          </w:tcPr>
          <w:p w14:paraId="31A7459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7925A25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3D22A3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67,500,000,000</w:t>
            </w:r>
          </w:p>
        </w:tc>
      </w:tr>
      <w:tr w:rsidR="00714AD2" w:rsidRPr="00F5596D" w14:paraId="772F1C81"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7D0EE7E" w14:textId="77777777" w:rsidR="00714AD2" w:rsidRPr="00F5596D" w:rsidRDefault="00714AD2" w:rsidP="00592961">
            <w:pPr>
              <w:jc w:val="center"/>
              <w:rPr>
                <w:sz w:val="16"/>
                <w:szCs w:val="16"/>
                <w:lang w:val="sr-Cyrl-CS"/>
              </w:rPr>
            </w:pPr>
            <w:r w:rsidRPr="00F5596D">
              <w:rPr>
                <w:sz w:val="16"/>
                <w:szCs w:val="16"/>
                <w:lang w:val="sr-Cyrl-CS"/>
              </w:rPr>
              <w:t>3</w:t>
            </w:r>
          </w:p>
        </w:tc>
        <w:tc>
          <w:tcPr>
            <w:tcW w:w="0" w:type="auto"/>
            <w:hideMark/>
          </w:tcPr>
          <w:p w14:paraId="555A4F2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5088</w:t>
            </w:r>
          </w:p>
        </w:tc>
        <w:tc>
          <w:tcPr>
            <w:tcW w:w="0" w:type="auto"/>
            <w:hideMark/>
          </w:tcPr>
          <w:p w14:paraId="049AB2C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Линијска инфраструктура</w:t>
            </w:r>
          </w:p>
        </w:tc>
        <w:tc>
          <w:tcPr>
            <w:tcW w:w="0" w:type="auto"/>
            <w:noWrap/>
            <w:vAlign w:val="center"/>
            <w:hideMark/>
          </w:tcPr>
          <w:p w14:paraId="3DC8631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16,475,692,568</w:t>
            </w:r>
          </w:p>
        </w:tc>
        <w:tc>
          <w:tcPr>
            <w:tcW w:w="0" w:type="auto"/>
            <w:noWrap/>
            <w:vAlign w:val="center"/>
            <w:hideMark/>
          </w:tcPr>
          <w:p w14:paraId="4B8D4B8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12,224,307,432</w:t>
            </w:r>
          </w:p>
        </w:tc>
        <w:tc>
          <w:tcPr>
            <w:tcW w:w="0" w:type="auto"/>
            <w:noWrap/>
            <w:vAlign w:val="center"/>
            <w:hideMark/>
          </w:tcPr>
          <w:p w14:paraId="0698724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11,800,000,000</w:t>
            </w:r>
          </w:p>
        </w:tc>
        <w:tc>
          <w:tcPr>
            <w:tcW w:w="0" w:type="auto"/>
            <w:noWrap/>
            <w:vAlign w:val="center"/>
            <w:hideMark/>
          </w:tcPr>
          <w:p w14:paraId="2164287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A722D7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945D5F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40,500,000,000</w:t>
            </w:r>
          </w:p>
        </w:tc>
      </w:tr>
      <w:tr w:rsidR="00714AD2" w:rsidRPr="00F5596D" w14:paraId="7DEF1B56" w14:textId="77777777" w:rsidTr="00E35ADF">
        <w:trPr>
          <w:trHeight w:val="788"/>
        </w:trPr>
        <w:tc>
          <w:tcPr>
            <w:cnfStyle w:val="001000000000" w:firstRow="0" w:lastRow="0" w:firstColumn="1" w:lastColumn="0" w:oddVBand="0" w:evenVBand="0" w:oddHBand="0" w:evenHBand="0" w:firstRowFirstColumn="0" w:firstRowLastColumn="0" w:lastRowFirstColumn="0" w:lastRowLastColumn="0"/>
            <w:tcW w:w="0" w:type="auto"/>
            <w:noWrap/>
            <w:hideMark/>
          </w:tcPr>
          <w:p w14:paraId="656579A5" w14:textId="77777777" w:rsidR="00714AD2" w:rsidRPr="00F5596D" w:rsidRDefault="00714AD2" w:rsidP="00592961">
            <w:pPr>
              <w:jc w:val="center"/>
              <w:rPr>
                <w:sz w:val="16"/>
                <w:szCs w:val="16"/>
                <w:lang w:val="sr-Cyrl-CS"/>
              </w:rPr>
            </w:pPr>
            <w:r w:rsidRPr="00F5596D">
              <w:rPr>
                <w:sz w:val="16"/>
                <w:szCs w:val="16"/>
                <w:lang w:val="sr-Cyrl-CS"/>
              </w:rPr>
              <w:t>4</w:t>
            </w:r>
          </w:p>
        </w:tc>
        <w:tc>
          <w:tcPr>
            <w:tcW w:w="0" w:type="auto"/>
            <w:hideMark/>
          </w:tcPr>
          <w:p w14:paraId="00F8A7A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5081</w:t>
            </w:r>
          </w:p>
        </w:tc>
        <w:tc>
          <w:tcPr>
            <w:tcW w:w="0" w:type="auto"/>
            <w:hideMark/>
          </w:tcPr>
          <w:p w14:paraId="5E447D0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EXPO Београд 2027 - Београдски сајам, Зона Б (форум, изложбени простори, паркинг, уређење), Пословна зона Е, топлотни извор</w:t>
            </w:r>
          </w:p>
        </w:tc>
        <w:tc>
          <w:tcPr>
            <w:tcW w:w="0" w:type="auto"/>
            <w:noWrap/>
            <w:vAlign w:val="center"/>
            <w:hideMark/>
          </w:tcPr>
          <w:p w14:paraId="047E04D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46,092,787,755</w:t>
            </w:r>
          </w:p>
        </w:tc>
        <w:tc>
          <w:tcPr>
            <w:tcW w:w="0" w:type="auto"/>
            <w:noWrap/>
            <w:vAlign w:val="center"/>
            <w:hideMark/>
          </w:tcPr>
          <w:p w14:paraId="718D468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46,000,000,000</w:t>
            </w:r>
          </w:p>
        </w:tc>
        <w:tc>
          <w:tcPr>
            <w:tcW w:w="0" w:type="auto"/>
            <w:noWrap/>
            <w:vAlign w:val="center"/>
            <w:hideMark/>
          </w:tcPr>
          <w:p w14:paraId="53D6DA3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47,500,000,000</w:t>
            </w:r>
          </w:p>
        </w:tc>
        <w:tc>
          <w:tcPr>
            <w:tcW w:w="0" w:type="auto"/>
            <w:noWrap/>
            <w:vAlign w:val="center"/>
            <w:hideMark/>
          </w:tcPr>
          <w:p w14:paraId="747E6CE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124127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4FE421B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139,592,787,755</w:t>
            </w:r>
          </w:p>
        </w:tc>
      </w:tr>
      <w:tr w:rsidR="00714AD2" w:rsidRPr="00F5596D" w14:paraId="57067845"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58F89D9D" w14:textId="77777777" w:rsidR="00714AD2" w:rsidRPr="00F5596D" w:rsidRDefault="00714AD2" w:rsidP="00592961">
            <w:pPr>
              <w:jc w:val="center"/>
              <w:rPr>
                <w:sz w:val="16"/>
                <w:szCs w:val="16"/>
                <w:lang w:val="sr-Cyrl-CS"/>
              </w:rPr>
            </w:pPr>
            <w:r w:rsidRPr="00F5596D">
              <w:rPr>
                <w:sz w:val="16"/>
                <w:szCs w:val="16"/>
                <w:lang w:val="sr-Cyrl-CS"/>
              </w:rPr>
              <w:t>5</w:t>
            </w:r>
          </w:p>
        </w:tc>
        <w:tc>
          <w:tcPr>
            <w:tcW w:w="0" w:type="auto"/>
            <w:hideMark/>
          </w:tcPr>
          <w:p w14:paraId="54C3751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5086</w:t>
            </w:r>
          </w:p>
        </w:tc>
        <w:tc>
          <w:tcPr>
            <w:tcW w:w="0" w:type="auto"/>
            <w:hideMark/>
          </w:tcPr>
          <w:p w14:paraId="6970B4A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Тунел од Карађорђеве улице до Дунавске падине</w:t>
            </w:r>
          </w:p>
        </w:tc>
        <w:tc>
          <w:tcPr>
            <w:tcW w:w="0" w:type="auto"/>
            <w:noWrap/>
            <w:vAlign w:val="center"/>
            <w:hideMark/>
          </w:tcPr>
          <w:p w14:paraId="23CF195A" w14:textId="46A0BB3A"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5B0C4B6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6,000,000,000</w:t>
            </w:r>
          </w:p>
        </w:tc>
        <w:tc>
          <w:tcPr>
            <w:tcW w:w="0" w:type="auto"/>
            <w:noWrap/>
            <w:vAlign w:val="center"/>
            <w:hideMark/>
          </w:tcPr>
          <w:p w14:paraId="01B50FE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5,000,000,000</w:t>
            </w:r>
          </w:p>
        </w:tc>
        <w:tc>
          <w:tcPr>
            <w:tcW w:w="0" w:type="auto"/>
            <w:noWrap/>
            <w:vAlign w:val="center"/>
            <w:hideMark/>
          </w:tcPr>
          <w:p w14:paraId="1A30AD5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5,000,000,000</w:t>
            </w:r>
          </w:p>
        </w:tc>
        <w:tc>
          <w:tcPr>
            <w:tcW w:w="0" w:type="auto"/>
            <w:noWrap/>
            <w:vAlign w:val="center"/>
            <w:hideMark/>
          </w:tcPr>
          <w:p w14:paraId="5876F64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10,000,000,000</w:t>
            </w:r>
          </w:p>
        </w:tc>
        <w:tc>
          <w:tcPr>
            <w:tcW w:w="0" w:type="auto"/>
            <w:noWrap/>
            <w:vAlign w:val="center"/>
            <w:hideMark/>
          </w:tcPr>
          <w:p w14:paraId="66D3663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26,000,000,000</w:t>
            </w:r>
          </w:p>
        </w:tc>
      </w:tr>
      <w:tr w:rsidR="00714AD2" w:rsidRPr="00F5596D" w14:paraId="30579CCA"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E40D2CC" w14:textId="77777777" w:rsidR="00714AD2" w:rsidRPr="00F5596D" w:rsidRDefault="00714AD2" w:rsidP="00592961">
            <w:pPr>
              <w:jc w:val="center"/>
              <w:rPr>
                <w:sz w:val="16"/>
                <w:szCs w:val="16"/>
                <w:lang w:val="sr-Cyrl-CS"/>
              </w:rPr>
            </w:pPr>
            <w:r w:rsidRPr="00F5596D">
              <w:rPr>
                <w:sz w:val="16"/>
                <w:szCs w:val="16"/>
                <w:lang w:val="sr-Cyrl-CS"/>
              </w:rPr>
              <w:t>6</w:t>
            </w:r>
          </w:p>
        </w:tc>
        <w:tc>
          <w:tcPr>
            <w:tcW w:w="0" w:type="auto"/>
            <w:hideMark/>
          </w:tcPr>
          <w:p w14:paraId="07E3ACE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5008</w:t>
            </w:r>
          </w:p>
        </w:tc>
        <w:tc>
          <w:tcPr>
            <w:tcW w:w="0" w:type="auto"/>
            <w:hideMark/>
          </w:tcPr>
          <w:p w14:paraId="446C2C9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Брза саобраћајница Iб реда Нови Сад-Рума</w:t>
            </w:r>
          </w:p>
        </w:tc>
        <w:tc>
          <w:tcPr>
            <w:tcW w:w="0" w:type="auto"/>
            <w:noWrap/>
            <w:vAlign w:val="center"/>
            <w:hideMark/>
          </w:tcPr>
          <w:p w14:paraId="04F7C2E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44,846,509,398</w:t>
            </w:r>
          </w:p>
        </w:tc>
        <w:tc>
          <w:tcPr>
            <w:tcW w:w="0" w:type="auto"/>
            <w:noWrap/>
            <w:vAlign w:val="center"/>
            <w:hideMark/>
          </w:tcPr>
          <w:p w14:paraId="2FFCB8D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15,800,000,000</w:t>
            </w:r>
          </w:p>
        </w:tc>
        <w:tc>
          <w:tcPr>
            <w:tcW w:w="0" w:type="auto"/>
            <w:noWrap/>
            <w:vAlign w:val="center"/>
            <w:hideMark/>
          </w:tcPr>
          <w:p w14:paraId="0D4AD37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13,708,334,564</w:t>
            </w:r>
          </w:p>
        </w:tc>
        <w:tc>
          <w:tcPr>
            <w:tcW w:w="0" w:type="auto"/>
            <w:noWrap/>
            <w:vAlign w:val="center"/>
            <w:hideMark/>
          </w:tcPr>
          <w:p w14:paraId="0A9E3B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73556A49" w14:textId="055D4EA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EDB5BA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74,354,843,962</w:t>
            </w:r>
          </w:p>
        </w:tc>
      </w:tr>
      <w:tr w:rsidR="00714AD2" w:rsidRPr="00F5596D" w14:paraId="3ECD1687"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C26AEAD" w14:textId="77777777" w:rsidR="00714AD2" w:rsidRPr="00F5596D" w:rsidRDefault="00714AD2" w:rsidP="00592961">
            <w:pPr>
              <w:jc w:val="center"/>
              <w:rPr>
                <w:sz w:val="16"/>
                <w:szCs w:val="16"/>
                <w:lang w:val="sr-Cyrl-CS"/>
              </w:rPr>
            </w:pPr>
            <w:r w:rsidRPr="00F5596D">
              <w:rPr>
                <w:sz w:val="16"/>
                <w:szCs w:val="16"/>
                <w:lang w:val="sr-Cyrl-CS"/>
              </w:rPr>
              <w:t>7</w:t>
            </w:r>
          </w:p>
        </w:tc>
        <w:tc>
          <w:tcPr>
            <w:tcW w:w="0" w:type="auto"/>
            <w:hideMark/>
          </w:tcPr>
          <w:p w14:paraId="6307ECA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5015</w:t>
            </w:r>
          </w:p>
        </w:tc>
        <w:tc>
          <w:tcPr>
            <w:tcW w:w="0" w:type="auto"/>
            <w:hideMark/>
          </w:tcPr>
          <w:p w14:paraId="420E994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Пројекат мађарско - српске железнице</w:t>
            </w:r>
          </w:p>
        </w:tc>
        <w:tc>
          <w:tcPr>
            <w:tcW w:w="0" w:type="auto"/>
            <w:noWrap/>
            <w:vAlign w:val="center"/>
            <w:hideMark/>
          </w:tcPr>
          <w:p w14:paraId="451B5E7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130,944,069,643</w:t>
            </w:r>
          </w:p>
        </w:tc>
        <w:tc>
          <w:tcPr>
            <w:tcW w:w="0" w:type="auto"/>
            <w:noWrap/>
            <w:vAlign w:val="center"/>
            <w:hideMark/>
          </w:tcPr>
          <w:p w14:paraId="46039FA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17,989,622,000</w:t>
            </w:r>
          </w:p>
        </w:tc>
        <w:tc>
          <w:tcPr>
            <w:tcW w:w="0" w:type="auto"/>
            <w:noWrap/>
            <w:vAlign w:val="center"/>
            <w:hideMark/>
          </w:tcPr>
          <w:p w14:paraId="1410616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6,235,552,000</w:t>
            </w:r>
          </w:p>
        </w:tc>
        <w:tc>
          <w:tcPr>
            <w:tcW w:w="0" w:type="auto"/>
            <w:noWrap/>
            <w:vAlign w:val="center"/>
            <w:hideMark/>
          </w:tcPr>
          <w:p w14:paraId="537635F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305,371,432</w:t>
            </w:r>
          </w:p>
        </w:tc>
        <w:tc>
          <w:tcPr>
            <w:tcW w:w="0" w:type="auto"/>
            <w:noWrap/>
            <w:vAlign w:val="center"/>
          </w:tcPr>
          <w:p w14:paraId="79011460" w14:textId="679F2D2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977AA4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155,474,615,075</w:t>
            </w:r>
          </w:p>
        </w:tc>
      </w:tr>
      <w:tr w:rsidR="00714AD2" w:rsidRPr="00F5596D" w14:paraId="438DA02D" w14:textId="77777777" w:rsidTr="00E35ADF">
        <w:trPr>
          <w:trHeight w:val="788"/>
        </w:trPr>
        <w:tc>
          <w:tcPr>
            <w:cnfStyle w:val="001000000000" w:firstRow="0" w:lastRow="0" w:firstColumn="1" w:lastColumn="0" w:oddVBand="0" w:evenVBand="0" w:oddHBand="0" w:evenHBand="0" w:firstRowFirstColumn="0" w:firstRowLastColumn="0" w:lastRowFirstColumn="0" w:lastRowLastColumn="0"/>
            <w:tcW w:w="0" w:type="auto"/>
            <w:noWrap/>
            <w:hideMark/>
          </w:tcPr>
          <w:p w14:paraId="5CE6089E" w14:textId="77777777" w:rsidR="00714AD2" w:rsidRPr="00F5596D" w:rsidRDefault="00714AD2" w:rsidP="00592961">
            <w:pPr>
              <w:jc w:val="center"/>
              <w:rPr>
                <w:sz w:val="16"/>
                <w:szCs w:val="16"/>
                <w:lang w:val="sr-Cyrl-CS"/>
              </w:rPr>
            </w:pPr>
            <w:r w:rsidRPr="00F5596D">
              <w:rPr>
                <w:sz w:val="16"/>
                <w:szCs w:val="16"/>
                <w:lang w:val="sr-Cyrl-CS"/>
              </w:rPr>
              <w:t>8</w:t>
            </w:r>
          </w:p>
        </w:tc>
        <w:tc>
          <w:tcPr>
            <w:tcW w:w="0" w:type="auto"/>
            <w:hideMark/>
          </w:tcPr>
          <w:p w14:paraId="7FE56B7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5019</w:t>
            </w:r>
          </w:p>
        </w:tc>
        <w:tc>
          <w:tcPr>
            <w:tcW w:w="0" w:type="auto"/>
            <w:hideMark/>
          </w:tcPr>
          <w:p w14:paraId="1F598F4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београдске обилазнице на аутопуту E-70/E-75, деоница: Мост преко реке Саве код Остружнице-Бубањ Поток (сектори 4, 5 и 6)</w:t>
            </w:r>
          </w:p>
        </w:tc>
        <w:tc>
          <w:tcPr>
            <w:tcW w:w="0" w:type="auto"/>
            <w:noWrap/>
            <w:vAlign w:val="center"/>
            <w:hideMark/>
          </w:tcPr>
          <w:p w14:paraId="49DB3E3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43,939,813,915</w:t>
            </w:r>
          </w:p>
        </w:tc>
        <w:tc>
          <w:tcPr>
            <w:tcW w:w="0" w:type="auto"/>
            <w:noWrap/>
            <w:vAlign w:val="center"/>
            <w:hideMark/>
          </w:tcPr>
          <w:p w14:paraId="7AEF65A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431,137,304</w:t>
            </w:r>
          </w:p>
        </w:tc>
        <w:tc>
          <w:tcPr>
            <w:tcW w:w="0" w:type="auto"/>
            <w:noWrap/>
            <w:vAlign w:val="center"/>
            <w:hideMark/>
          </w:tcPr>
          <w:p w14:paraId="4D1B9A0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355,474,241</w:t>
            </w:r>
          </w:p>
        </w:tc>
        <w:tc>
          <w:tcPr>
            <w:tcW w:w="0" w:type="auto"/>
            <w:noWrap/>
            <w:vAlign w:val="center"/>
            <w:hideMark/>
          </w:tcPr>
          <w:p w14:paraId="36F1AB3B" w14:textId="643C0BA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7042CD59" w14:textId="60939B10"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4DCCC42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44,726,425,460</w:t>
            </w:r>
          </w:p>
        </w:tc>
      </w:tr>
      <w:tr w:rsidR="00714AD2" w:rsidRPr="00F5596D" w14:paraId="0B6A7DF0"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B46A4EF" w14:textId="77777777" w:rsidR="00714AD2" w:rsidRPr="00F5596D" w:rsidRDefault="00714AD2" w:rsidP="00592961">
            <w:pPr>
              <w:jc w:val="center"/>
              <w:rPr>
                <w:sz w:val="16"/>
                <w:szCs w:val="16"/>
                <w:lang w:val="sr-Cyrl-CS"/>
              </w:rPr>
            </w:pPr>
            <w:r w:rsidRPr="00F5596D">
              <w:rPr>
                <w:sz w:val="16"/>
                <w:szCs w:val="16"/>
                <w:lang w:val="sr-Cyrl-CS"/>
              </w:rPr>
              <w:t>9</w:t>
            </w:r>
          </w:p>
        </w:tc>
        <w:tc>
          <w:tcPr>
            <w:tcW w:w="0" w:type="auto"/>
            <w:hideMark/>
          </w:tcPr>
          <w:p w14:paraId="50321C5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5027</w:t>
            </w:r>
          </w:p>
        </w:tc>
        <w:tc>
          <w:tcPr>
            <w:tcW w:w="0" w:type="auto"/>
            <w:hideMark/>
          </w:tcPr>
          <w:p w14:paraId="2D764CA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Реконструкција железничке пруге Ниш - Димитровград</w:t>
            </w:r>
          </w:p>
        </w:tc>
        <w:tc>
          <w:tcPr>
            <w:tcW w:w="0" w:type="auto"/>
            <w:noWrap/>
            <w:vAlign w:val="center"/>
            <w:hideMark/>
          </w:tcPr>
          <w:p w14:paraId="2E67D06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4,603,127,991</w:t>
            </w:r>
          </w:p>
        </w:tc>
        <w:tc>
          <w:tcPr>
            <w:tcW w:w="0" w:type="auto"/>
            <w:noWrap/>
            <w:vAlign w:val="center"/>
            <w:hideMark/>
          </w:tcPr>
          <w:p w14:paraId="5FB3C80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13,000,000,000</w:t>
            </w:r>
          </w:p>
        </w:tc>
        <w:tc>
          <w:tcPr>
            <w:tcW w:w="0" w:type="auto"/>
            <w:noWrap/>
            <w:vAlign w:val="center"/>
            <w:hideMark/>
          </w:tcPr>
          <w:p w14:paraId="0F0E8E7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13,556,285,275</w:t>
            </w:r>
          </w:p>
        </w:tc>
        <w:tc>
          <w:tcPr>
            <w:tcW w:w="0" w:type="auto"/>
            <w:noWrap/>
            <w:vAlign w:val="center"/>
            <w:hideMark/>
          </w:tcPr>
          <w:p w14:paraId="3C7D1D3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12,998,293,000</w:t>
            </w:r>
          </w:p>
        </w:tc>
        <w:tc>
          <w:tcPr>
            <w:tcW w:w="0" w:type="auto"/>
            <w:noWrap/>
            <w:vAlign w:val="center"/>
            <w:hideMark/>
          </w:tcPr>
          <w:p w14:paraId="26D7801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2,579,939,054</w:t>
            </w:r>
          </w:p>
        </w:tc>
        <w:tc>
          <w:tcPr>
            <w:tcW w:w="0" w:type="auto"/>
            <w:noWrap/>
            <w:vAlign w:val="center"/>
            <w:hideMark/>
          </w:tcPr>
          <w:p w14:paraId="345A689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46,737,645,320</w:t>
            </w:r>
          </w:p>
        </w:tc>
      </w:tr>
      <w:tr w:rsidR="00714AD2" w:rsidRPr="00F5596D" w14:paraId="16E999B8"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0F6E0BF3" w14:textId="77777777" w:rsidR="00714AD2" w:rsidRPr="00F5596D" w:rsidRDefault="00714AD2" w:rsidP="00592961">
            <w:pPr>
              <w:jc w:val="center"/>
              <w:rPr>
                <w:sz w:val="16"/>
                <w:szCs w:val="16"/>
                <w:lang w:val="sr-Cyrl-CS"/>
              </w:rPr>
            </w:pPr>
            <w:r w:rsidRPr="00F5596D">
              <w:rPr>
                <w:sz w:val="16"/>
                <w:szCs w:val="16"/>
                <w:lang w:val="sr-Cyrl-CS"/>
              </w:rPr>
              <w:t>10</w:t>
            </w:r>
          </w:p>
        </w:tc>
        <w:tc>
          <w:tcPr>
            <w:tcW w:w="0" w:type="auto"/>
            <w:hideMark/>
          </w:tcPr>
          <w:p w14:paraId="0BCD1FC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5034</w:t>
            </w:r>
          </w:p>
        </w:tc>
        <w:tc>
          <w:tcPr>
            <w:tcW w:w="0" w:type="auto"/>
            <w:hideMark/>
          </w:tcPr>
          <w:p w14:paraId="5747E49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Е-763, деоница: Прељина - Пожега</w:t>
            </w:r>
          </w:p>
        </w:tc>
        <w:tc>
          <w:tcPr>
            <w:tcW w:w="0" w:type="auto"/>
            <w:noWrap/>
            <w:vAlign w:val="center"/>
            <w:hideMark/>
          </w:tcPr>
          <w:p w14:paraId="7C1A290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56,476,138,798</w:t>
            </w:r>
          </w:p>
        </w:tc>
        <w:tc>
          <w:tcPr>
            <w:tcW w:w="0" w:type="auto"/>
            <w:noWrap/>
            <w:vAlign w:val="center"/>
            <w:hideMark/>
          </w:tcPr>
          <w:p w14:paraId="12A51B7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13,816,539,022</w:t>
            </w:r>
          </w:p>
        </w:tc>
        <w:tc>
          <w:tcPr>
            <w:tcW w:w="0" w:type="auto"/>
            <w:noWrap/>
            <w:vAlign w:val="center"/>
            <w:hideMark/>
          </w:tcPr>
          <w:p w14:paraId="631C160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2,935,052,699</w:t>
            </w:r>
          </w:p>
        </w:tc>
        <w:tc>
          <w:tcPr>
            <w:tcW w:w="0" w:type="auto"/>
            <w:noWrap/>
            <w:vAlign w:val="center"/>
            <w:hideMark/>
          </w:tcPr>
          <w:p w14:paraId="4785C3F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1,200,000,000</w:t>
            </w:r>
          </w:p>
        </w:tc>
        <w:tc>
          <w:tcPr>
            <w:tcW w:w="0" w:type="auto"/>
            <w:noWrap/>
            <w:vAlign w:val="center"/>
          </w:tcPr>
          <w:p w14:paraId="71BAAD45" w14:textId="4AEB7EE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1961D2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74,427,730,519</w:t>
            </w:r>
          </w:p>
        </w:tc>
      </w:tr>
      <w:tr w:rsidR="00714AD2" w:rsidRPr="00F5596D" w14:paraId="26D64A46"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ABAE9EF" w14:textId="77777777" w:rsidR="00714AD2" w:rsidRPr="00F5596D" w:rsidRDefault="00714AD2" w:rsidP="00592961">
            <w:pPr>
              <w:jc w:val="center"/>
              <w:rPr>
                <w:sz w:val="16"/>
                <w:szCs w:val="16"/>
                <w:lang w:val="sr-Cyrl-CS"/>
              </w:rPr>
            </w:pPr>
            <w:r w:rsidRPr="00F5596D">
              <w:rPr>
                <w:sz w:val="16"/>
                <w:szCs w:val="16"/>
                <w:lang w:val="sr-Cyrl-CS"/>
              </w:rPr>
              <w:t>11</w:t>
            </w:r>
          </w:p>
        </w:tc>
        <w:tc>
          <w:tcPr>
            <w:tcW w:w="0" w:type="auto"/>
            <w:hideMark/>
          </w:tcPr>
          <w:p w14:paraId="0FAD313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5035</w:t>
            </w:r>
          </w:p>
        </w:tc>
        <w:tc>
          <w:tcPr>
            <w:tcW w:w="0" w:type="auto"/>
            <w:hideMark/>
          </w:tcPr>
          <w:p w14:paraId="0246F2F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Е-761, деоница: Појате - Прељина</w:t>
            </w:r>
          </w:p>
        </w:tc>
        <w:tc>
          <w:tcPr>
            <w:tcW w:w="0" w:type="auto"/>
            <w:noWrap/>
            <w:vAlign w:val="center"/>
            <w:hideMark/>
          </w:tcPr>
          <w:p w14:paraId="76E2ABB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180,544,401,297</w:t>
            </w:r>
          </w:p>
        </w:tc>
        <w:tc>
          <w:tcPr>
            <w:tcW w:w="0" w:type="auto"/>
            <w:noWrap/>
            <w:vAlign w:val="center"/>
            <w:hideMark/>
          </w:tcPr>
          <w:p w14:paraId="70E3679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30,000,000,000</w:t>
            </w:r>
          </w:p>
        </w:tc>
        <w:tc>
          <w:tcPr>
            <w:tcW w:w="0" w:type="auto"/>
            <w:noWrap/>
            <w:vAlign w:val="center"/>
            <w:hideMark/>
          </w:tcPr>
          <w:p w14:paraId="5F0A45C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26,372,291,146</w:t>
            </w:r>
          </w:p>
        </w:tc>
        <w:tc>
          <w:tcPr>
            <w:tcW w:w="0" w:type="auto"/>
            <w:noWrap/>
            <w:vAlign w:val="center"/>
            <w:hideMark/>
          </w:tcPr>
          <w:p w14:paraId="2822C9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15,123,666,218</w:t>
            </w:r>
          </w:p>
        </w:tc>
        <w:tc>
          <w:tcPr>
            <w:tcW w:w="0" w:type="auto"/>
            <w:noWrap/>
            <w:vAlign w:val="center"/>
          </w:tcPr>
          <w:p w14:paraId="599D7755" w14:textId="476FDFB9"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8F7D5E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252,040,358,661</w:t>
            </w:r>
          </w:p>
        </w:tc>
      </w:tr>
      <w:tr w:rsidR="00714AD2" w:rsidRPr="00F5596D" w14:paraId="35F59A86"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05EC3839" w14:textId="77777777" w:rsidR="00714AD2" w:rsidRPr="00F5596D" w:rsidRDefault="00714AD2" w:rsidP="00592961">
            <w:pPr>
              <w:jc w:val="center"/>
              <w:rPr>
                <w:sz w:val="16"/>
                <w:szCs w:val="16"/>
                <w:lang w:val="sr-Cyrl-CS"/>
              </w:rPr>
            </w:pPr>
            <w:r w:rsidRPr="00F5596D">
              <w:rPr>
                <w:sz w:val="16"/>
                <w:szCs w:val="16"/>
                <w:lang w:val="sr-Cyrl-CS"/>
              </w:rPr>
              <w:t>12</w:t>
            </w:r>
          </w:p>
        </w:tc>
        <w:tc>
          <w:tcPr>
            <w:tcW w:w="0" w:type="auto"/>
            <w:hideMark/>
          </w:tcPr>
          <w:p w14:paraId="52359F8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5042</w:t>
            </w:r>
          </w:p>
        </w:tc>
        <w:tc>
          <w:tcPr>
            <w:tcW w:w="0" w:type="auto"/>
            <w:hideMark/>
          </w:tcPr>
          <w:p w14:paraId="6E36AA9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Вађење потонуле немачке флоте из Другог светског рата</w:t>
            </w:r>
          </w:p>
        </w:tc>
        <w:tc>
          <w:tcPr>
            <w:tcW w:w="0" w:type="auto"/>
            <w:noWrap/>
            <w:vAlign w:val="center"/>
            <w:hideMark/>
          </w:tcPr>
          <w:p w14:paraId="423ADF1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919,312,536</w:t>
            </w:r>
          </w:p>
        </w:tc>
        <w:tc>
          <w:tcPr>
            <w:tcW w:w="0" w:type="auto"/>
            <w:noWrap/>
            <w:vAlign w:val="center"/>
            <w:hideMark/>
          </w:tcPr>
          <w:p w14:paraId="678E0C0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527,400,000</w:t>
            </w:r>
          </w:p>
        </w:tc>
        <w:tc>
          <w:tcPr>
            <w:tcW w:w="0" w:type="auto"/>
            <w:noWrap/>
            <w:vAlign w:val="center"/>
            <w:hideMark/>
          </w:tcPr>
          <w:p w14:paraId="4F6FBCE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1,016,782,373</w:t>
            </w:r>
          </w:p>
        </w:tc>
        <w:tc>
          <w:tcPr>
            <w:tcW w:w="0" w:type="auto"/>
            <w:noWrap/>
            <w:vAlign w:val="center"/>
            <w:hideMark/>
          </w:tcPr>
          <w:p w14:paraId="0CB0019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540,000,000</w:t>
            </w:r>
          </w:p>
        </w:tc>
        <w:tc>
          <w:tcPr>
            <w:tcW w:w="0" w:type="auto"/>
            <w:noWrap/>
            <w:vAlign w:val="center"/>
            <w:hideMark/>
          </w:tcPr>
          <w:p w14:paraId="573A568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1,103,461,090</w:t>
            </w:r>
          </w:p>
        </w:tc>
        <w:tc>
          <w:tcPr>
            <w:tcW w:w="0" w:type="auto"/>
            <w:noWrap/>
            <w:vAlign w:val="center"/>
            <w:hideMark/>
          </w:tcPr>
          <w:p w14:paraId="74171E6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4,106,955,999</w:t>
            </w:r>
          </w:p>
        </w:tc>
      </w:tr>
      <w:tr w:rsidR="00714AD2" w:rsidRPr="00F5596D" w14:paraId="384F86D2"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A35E983" w14:textId="77777777" w:rsidR="00714AD2" w:rsidRPr="00F5596D" w:rsidRDefault="00714AD2" w:rsidP="00592961">
            <w:pPr>
              <w:jc w:val="center"/>
              <w:rPr>
                <w:sz w:val="16"/>
                <w:szCs w:val="16"/>
                <w:lang w:val="sr-Cyrl-CS"/>
              </w:rPr>
            </w:pPr>
            <w:r w:rsidRPr="00F5596D">
              <w:rPr>
                <w:sz w:val="16"/>
                <w:szCs w:val="16"/>
                <w:lang w:val="sr-Cyrl-CS"/>
              </w:rPr>
              <w:t>13</w:t>
            </w:r>
          </w:p>
        </w:tc>
        <w:tc>
          <w:tcPr>
            <w:tcW w:w="0" w:type="auto"/>
            <w:hideMark/>
          </w:tcPr>
          <w:p w14:paraId="714C107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5043</w:t>
            </w:r>
          </w:p>
        </w:tc>
        <w:tc>
          <w:tcPr>
            <w:tcW w:w="0" w:type="auto"/>
            <w:hideMark/>
          </w:tcPr>
          <w:p w14:paraId="0E20A92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Е-761 Београд-Сарајево</w:t>
            </w:r>
          </w:p>
        </w:tc>
        <w:tc>
          <w:tcPr>
            <w:tcW w:w="0" w:type="auto"/>
            <w:noWrap/>
            <w:vAlign w:val="center"/>
            <w:hideMark/>
          </w:tcPr>
          <w:p w14:paraId="16071E9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34,601,087,019</w:t>
            </w:r>
          </w:p>
        </w:tc>
        <w:tc>
          <w:tcPr>
            <w:tcW w:w="0" w:type="auto"/>
            <w:noWrap/>
            <w:vAlign w:val="center"/>
            <w:hideMark/>
          </w:tcPr>
          <w:p w14:paraId="2A2DF26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7,800,000,000</w:t>
            </w:r>
          </w:p>
        </w:tc>
        <w:tc>
          <w:tcPr>
            <w:tcW w:w="0" w:type="auto"/>
            <w:noWrap/>
            <w:vAlign w:val="center"/>
            <w:hideMark/>
          </w:tcPr>
          <w:p w14:paraId="3FBA42C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5,598,912,981</w:t>
            </w:r>
          </w:p>
        </w:tc>
        <w:tc>
          <w:tcPr>
            <w:tcW w:w="0" w:type="auto"/>
            <w:noWrap/>
            <w:vAlign w:val="center"/>
          </w:tcPr>
          <w:p w14:paraId="67A167F8" w14:textId="0E40F95A"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361E8975" w14:textId="49990426"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4C8C2AB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48,000,000,000</w:t>
            </w:r>
          </w:p>
        </w:tc>
      </w:tr>
      <w:tr w:rsidR="00714AD2" w:rsidRPr="00F5596D" w14:paraId="7F99A4F4"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5DF4060C" w14:textId="77777777" w:rsidR="00714AD2" w:rsidRPr="00F5596D" w:rsidRDefault="00714AD2" w:rsidP="00592961">
            <w:pPr>
              <w:jc w:val="center"/>
              <w:rPr>
                <w:sz w:val="16"/>
                <w:szCs w:val="16"/>
                <w:lang w:val="sr-Cyrl-CS"/>
              </w:rPr>
            </w:pPr>
            <w:r w:rsidRPr="00F5596D">
              <w:rPr>
                <w:sz w:val="16"/>
                <w:szCs w:val="16"/>
                <w:lang w:val="sr-Cyrl-CS"/>
              </w:rPr>
              <w:t>14</w:t>
            </w:r>
          </w:p>
        </w:tc>
        <w:tc>
          <w:tcPr>
            <w:tcW w:w="0" w:type="auto"/>
            <w:hideMark/>
          </w:tcPr>
          <w:p w14:paraId="7598D97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5045</w:t>
            </w:r>
          </w:p>
        </w:tc>
        <w:tc>
          <w:tcPr>
            <w:tcW w:w="0" w:type="auto"/>
            <w:hideMark/>
          </w:tcPr>
          <w:p w14:paraId="03DAB12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саобраћајнице Рума - Шабац - Лозница</w:t>
            </w:r>
          </w:p>
        </w:tc>
        <w:tc>
          <w:tcPr>
            <w:tcW w:w="0" w:type="auto"/>
            <w:noWrap/>
            <w:vAlign w:val="center"/>
            <w:hideMark/>
          </w:tcPr>
          <w:p w14:paraId="77CAC44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89,565,112,050</w:t>
            </w:r>
          </w:p>
        </w:tc>
        <w:tc>
          <w:tcPr>
            <w:tcW w:w="0" w:type="auto"/>
            <w:noWrap/>
            <w:vAlign w:val="center"/>
            <w:hideMark/>
          </w:tcPr>
          <w:p w14:paraId="38D826C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15,900,000,000</w:t>
            </w:r>
          </w:p>
        </w:tc>
        <w:tc>
          <w:tcPr>
            <w:tcW w:w="0" w:type="auto"/>
            <w:noWrap/>
            <w:vAlign w:val="center"/>
            <w:hideMark/>
          </w:tcPr>
          <w:p w14:paraId="5754F55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1,104,887,950</w:t>
            </w:r>
          </w:p>
        </w:tc>
        <w:tc>
          <w:tcPr>
            <w:tcW w:w="0" w:type="auto"/>
            <w:noWrap/>
            <w:vAlign w:val="center"/>
          </w:tcPr>
          <w:p w14:paraId="7153E76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3AE18FD2" w14:textId="6DAAB979"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7A573BA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106,570,000,000</w:t>
            </w:r>
          </w:p>
        </w:tc>
      </w:tr>
      <w:tr w:rsidR="00714AD2" w:rsidRPr="00F5596D" w14:paraId="4E2893F1"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445A128F" w14:textId="77777777" w:rsidR="00714AD2" w:rsidRPr="00F5596D" w:rsidRDefault="00714AD2" w:rsidP="00592961">
            <w:pPr>
              <w:jc w:val="center"/>
              <w:rPr>
                <w:sz w:val="16"/>
                <w:szCs w:val="16"/>
                <w:lang w:val="sr-Cyrl-CS"/>
              </w:rPr>
            </w:pPr>
            <w:r w:rsidRPr="00F5596D">
              <w:rPr>
                <w:sz w:val="16"/>
                <w:szCs w:val="16"/>
                <w:lang w:val="sr-Cyrl-CS"/>
              </w:rPr>
              <w:t>15</w:t>
            </w:r>
          </w:p>
        </w:tc>
        <w:tc>
          <w:tcPr>
            <w:tcW w:w="0" w:type="auto"/>
            <w:hideMark/>
          </w:tcPr>
          <w:p w14:paraId="4E86E3C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5046</w:t>
            </w:r>
          </w:p>
        </w:tc>
        <w:tc>
          <w:tcPr>
            <w:tcW w:w="0" w:type="auto"/>
            <w:hideMark/>
          </w:tcPr>
          <w:p w14:paraId="27DCE50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Реализација пројеката железничке инфраструктуре</w:t>
            </w:r>
          </w:p>
        </w:tc>
        <w:tc>
          <w:tcPr>
            <w:tcW w:w="0" w:type="auto"/>
            <w:noWrap/>
            <w:vAlign w:val="center"/>
            <w:hideMark/>
          </w:tcPr>
          <w:p w14:paraId="604AAC3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11,396,535,367</w:t>
            </w:r>
          </w:p>
        </w:tc>
        <w:tc>
          <w:tcPr>
            <w:tcW w:w="0" w:type="auto"/>
            <w:noWrap/>
            <w:vAlign w:val="center"/>
            <w:hideMark/>
          </w:tcPr>
          <w:p w14:paraId="2BBE553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1,385,122,996</w:t>
            </w:r>
          </w:p>
        </w:tc>
        <w:tc>
          <w:tcPr>
            <w:tcW w:w="0" w:type="auto"/>
            <w:noWrap/>
            <w:vAlign w:val="center"/>
            <w:hideMark/>
          </w:tcPr>
          <w:p w14:paraId="3FD7C32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3,699,823,000</w:t>
            </w:r>
          </w:p>
        </w:tc>
        <w:tc>
          <w:tcPr>
            <w:tcW w:w="0" w:type="auto"/>
            <w:noWrap/>
            <w:vAlign w:val="center"/>
            <w:hideMark/>
          </w:tcPr>
          <w:p w14:paraId="53673E8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3,032,705,047</w:t>
            </w:r>
          </w:p>
        </w:tc>
        <w:tc>
          <w:tcPr>
            <w:tcW w:w="0" w:type="auto"/>
            <w:noWrap/>
            <w:vAlign w:val="center"/>
            <w:hideMark/>
          </w:tcPr>
          <w:p w14:paraId="3AD7CA0B" w14:textId="66126295"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36ED68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19,514,186,411</w:t>
            </w:r>
          </w:p>
        </w:tc>
      </w:tr>
      <w:tr w:rsidR="00714AD2" w:rsidRPr="00F5596D" w14:paraId="4F42425F"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05C06669" w14:textId="77777777" w:rsidR="00714AD2" w:rsidRPr="00F5596D" w:rsidRDefault="00714AD2" w:rsidP="00592961">
            <w:pPr>
              <w:jc w:val="center"/>
              <w:rPr>
                <w:sz w:val="16"/>
                <w:szCs w:val="16"/>
                <w:lang w:val="sr-Cyrl-CS"/>
              </w:rPr>
            </w:pPr>
            <w:r w:rsidRPr="00F5596D">
              <w:rPr>
                <w:sz w:val="16"/>
                <w:szCs w:val="16"/>
                <w:lang w:val="sr-Cyrl-CS"/>
              </w:rPr>
              <w:t>16</w:t>
            </w:r>
          </w:p>
        </w:tc>
        <w:tc>
          <w:tcPr>
            <w:tcW w:w="0" w:type="auto"/>
            <w:hideMark/>
          </w:tcPr>
          <w:p w14:paraId="4125862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5050</w:t>
            </w:r>
          </w:p>
        </w:tc>
        <w:tc>
          <w:tcPr>
            <w:tcW w:w="0" w:type="auto"/>
            <w:hideMark/>
          </w:tcPr>
          <w:p w14:paraId="5798BFB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Ниш-Мердаре, деоница: Ниш-Плочник</w:t>
            </w:r>
          </w:p>
        </w:tc>
        <w:tc>
          <w:tcPr>
            <w:tcW w:w="0" w:type="auto"/>
            <w:noWrap/>
            <w:vAlign w:val="center"/>
            <w:hideMark/>
          </w:tcPr>
          <w:p w14:paraId="19FEB94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2,808,996,355</w:t>
            </w:r>
          </w:p>
        </w:tc>
        <w:tc>
          <w:tcPr>
            <w:tcW w:w="0" w:type="auto"/>
            <w:noWrap/>
            <w:vAlign w:val="center"/>
            <w:hideMark/>
          </w:tcPr>
          <w:p w14:paraId="5C159ED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1,000,000</w:t>
            </w:r>
          </w:p>
        </w:tc>
        <w:tc>
          <w:tcPr>
            <w:tcW w:w="0" w:type="auto"/>
            <w:noWrap/>
            <w:vAlign w:val="center"/>
            <w:hideMark/>
          </w:tcPr>
          <w:p w14:paraId="447ABE9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2,000,000,000</w:t>
            </w:r>
          </w:p>
        </w:tc>
        <w:tc>
          <w:tcPr>
            <w:tcW w:w="0" w:type="auto"/>
            <w:noWrap/>
            <w:vAlign w:val="center"/>
            <w:hideMark/>
          </w:tcPr>
          <w:p w14:paraId="33EDD08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2,700,000,000</w:t>
            </w:r>
          </w:p>
        </w:tc>
        <w:tc>
          <w:tcPr>
            <w:tcW w:w="0" w:type="auto"/>
            <w:noWrap/>
            <w:vAlign w:val="center"/>
            <w:hideMark/>
          </w:tcPr>
          <w:p w14:paraId="45660E6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5,000,000,000</w:t>
            </w:r>
          </w:p>
        </w:tc>
        <w:tc>
          <w:tcPr>
            <w:tcW w:w="0" w:type="auto"/>
            <w:noWrap/>
            <w:vAlign w:val="center"/>
            <w:hideMark/>
          </w:tcPr>
          <w:p w14:paraId="77428DA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37,310,000,000</w:t>
            </w:r>
          </w:p>
        </w:tc>
      </w:tr>
      <w:tr w:rsidR="00714AD2" w:rsidRPr="00F5596D" w14:paraId="114875F8"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3BF92196" w14:textId="77777777" w:rsidR="00714AD2" w:rsidRPr="00F5596D" w:rsidRDefault="00714AD2" w:rsidP="00592961">
            <w:pPr>
              <w:jc w:val="center"/>
              <w:rPr>
                <w:sz w:val="16"/>
                <w:szCs w:val="16"/>
                <w:lang w:val="sr-Cyrl-CS"/>
              </w:rPr>
            </w:pPr>
            <w:r w:rsidRPr="00F5596D">
              <w:rPr>
                <w:sz w:val="16"/>
                <w:szCs w:val="16"/>
                <w:lang w:val="sr-Cyrl-CS"/>
              </w:rPr>
              <w:t>17</w:t>
            </w:r>
          </w:p>
        </w:tc>
        <w:tc>
          <w:tcPr>
            <w:tcW w:w="0" w:type="auto"/>
            <w:hideMark/>
          </w:tcPr>
          <w:p w14:paraId="5F8A409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5054</w:t>
            </w:r>
          </w:p>
        </w:tc>
        <w:tc>
          <w:tcPr>
            <w:tcW w:w="0" w:type="auto"/>
            <w:hideMark/>
          </w:tcPr>
          <w:p w14:paraId="55DDF86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Унапређење услова за превођење бродова у оквиру бране на Тиси код Новог Бечеја</w:t>
            </w:r>
          </w:p>
        </w:tc>
        <w:tc>
          <w:tcPr>
            <w:tcW w:w="0" w:type="auto"/>
            <w:noWrap/>
            <w:vAlign w:val="center"/>
            <w:hideMark/>
          </w:tcPr>
          <w:p w14:paraId="3F8EEBF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76,487,776</w:t>
            </w:r>
          </w:p>
        </w:tc>
        <w:tc>
          <w:tcPr>
            <w:tcW w:w="0" w:type="auto"/>
            <w:noWrap/>
            <w:vAlign w:val="center"/>
            <w:hideMark/>
          </w:tcPr>
          <w:p w14:paraId="69005D0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21,000,000</w:t>
            </w:r>
          </w:p>
        </w:tc>
        <w:tc>
          <w:tcPr>
            <w:tcW w:w="0" w:type="auto"/>
            <w:noWrap/>
            <w:vAlign w:val="center"/>
            <w:hideMark/>
          </w:tcPr>
          <w:p w14:paraId="4DFE4CC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1,039,400,000</w:t>
            </w:r>
          </w:p>
        </w:tc>
        <w:tc>
          <w:tcPr>
            <w:tcW w:w="0" w:type="auto"/>
            <w:noWrap/>
            <w:vAlign w:val="center"/>
            <w:hideMark/>
          </w:tcPr>
          <w:p w14:paraId="2FD5649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3,045,155,000</w:t>
            </w:r>
          </w:p>
        </w:tc>
        <w:tc>
          <w:tcPr>
            <w:tcW w:w="0" w:type="auto"/>
            <w:noWrap/>
            <w:vAlign w:val="center"/>
            <w:hideMark/>
          </w:tcPr>
          <w:p w14:paraId="287FA71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2,720,769,588</w:t>
            </w:r>
          </w:p>
        </w:tc>
        <w:tc>
          <w:tcPr>
            <w:tcW w:w="0" w:type="auto"/>
            <w:noWrap/>
            <w:vAlign w:val="center"/>
            <w:hideMark/>
          </w:tcPr>
          <w:p w14:paraId="443A728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9,599,325,000</w:t>
            </w:r>
          </w:p>
        </w:tc>
      </w:tr>
      <w:tr w:rsidR="00714AD2" w:rsidRPr="00F5596D" w14:paraId="6F217BCC"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3E2652A" w14:textId="77777777" w:rsidR="00714AD2" w:rsidRPr="00F5596D" w:rsidRDefault="00714AD2" w:rsidP="00592961">
            <w:pPr>
              <w:jc w:val="center"/>
              <w:rPr>
                <w:sz w:val="16"/>
                <w:szCs w:val="16"/>
                <w:lang w:val="sr-Cyrl-CS"/>
              </w:rPr>
            </w:pPr>
            <w:r w:rsidRPr="00F5596D">
              <w:rPr>
                <w:sz w:val="16"/>
                <w:szCs w:val="16"/>
                <w:lang w:val="sr-Cyrl-CS"/>
              </w:rPr>
              <w:t>18</w:t>
            </w:r>
          </w:p>
        </w:tc>
        <w:tc>
          <w:tcPr>
            <w:tcW w:w="0" w:type="auto"/>
            <w:hideMark/>
          </w:tcPr>
          <w:p w14:paraId="3F4FCD5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5055</w:t>
            </w:r>
          </w:p>
        </w:tc>
        <w:tc>
          <w:tcPr>
            <w:tcW w:w="0" w:type="auto"/>
            <w:hideMark/>
          </w:tcPr>
          <w:p w14:paraId="7384FDE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нове Луке у Београду</w:t>
            </w:r>
          </w:p>
        </w:tc>
        <w:tc>
          <w:tcPr>
            <w:tcW w:w="0" w:type="auto"/>
            <w:noWrap/>
            <w:vAlign w:val="center"/>
            <w:hideMark/>
          </w:tcPr>
          <w:p w14:paraId="500CB6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5,576,981</w:t>
            </w:r>
          </w:p>
        </w:tc>
        <w:tc>
          <w:tcPr>
            <w:tcW w:w="0" w:type="auto"/>
            <w:noWrap/>
            <w:vAlign w:val="center"/>
            <w:hideMark/>
          </w:tcPr>
          <w:p w14:paraId="12BA4A5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300,000,000</w:t>
            </w:r>
          </w:p>
        </w:tc>
        <w:tc>
          <w:tcPr>
            <w:tcW w:w="0" w:type="auto"/>
            <w:noWrap/>
            <w:vAlign w:val="center"/>
            <w:hideMark/>
          </w:tcPr>
          <w:p w14:paraId="0FC3B9F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2,499,335,000</w:t>
            </w:r>
          </w:p>
        </w:tc>
        <w:tc>
          <w:tcPr>
            <w:tcW w:w="0" w:type="auto"/>
            <w:noWrap/>
            <w:vAlign w:val="center"/>
            <w:hideMark/>
          </w:tcPr>
          <w:p w14:paraId="62C0F21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2,773,600,000</w:t>
            </w:r>
          </w:p>
        </w:tc>
        <w:tc>
          <w:tcPr>
            <w:tcW w:w="0" w:type="auto"/>
            <w:noWrap/>
            <w:vAlign w:val="center"/>
            <w:hideMark/>
          </w:tcPr>
          <w:p w14:paraId="1F146E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3,122,935,000</w:t>
            </w:r>
          </w:p>
        </w:tc>
        <w:tc>
          <w:tcPr>
            <w:tcW w:w="0" w:type="auto"/>
            <w:noWrap/>
            <w:vAlign w:val="center"/>
            <w:hideMark/>
          </w:tcPr>
          <w:p w14:paraId="6DE46C7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11,376,111,981</w:t>
            </w:r>
          </w:p>
        </w:tc>
      </w:tr>
      <w:tr w:rsidR="00714AD2" w:rsidRPr="00F5596D" w14:paraId="5AA7A8C5"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72974368" w14:textId="77777777" w:rsidR="00714AD2" w:rsidRPr="00F5596D" w:rsidRDefault="00714AD2" w:rsidP="00592961">
            <w:pPr>
              <w:jc w:val="center"/>
              <w:rPr>
                <w:sz w:val="16"/>
                <w:szCs w:val="16"/>
                <w:lang w:val="sr-Cyrl-CS"/>
              </w:rPr>
            </w:pPr>
            <w:r w:rsidRPr="00F5596D">
              <w:rPr>
                <w:sz w:val="16"/>
                <w:szCs w:val="16"/>
                <w:lang w:val="sr-Cyrl-CS"/>
              </w:rPr>
              <w:t>19</w:t>
            </w:r>
          </w:p>
        </w:tc>
        <w:tc>
          <w:tcPr>
            <w:tcW w:w="0" w:type="auto"/>
            <w:hideMark/>
          </w:tcPr>
          <w:p w14:paraId="3001E83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5056</w:t>
            </w:r>
          </w:p>
        </w:tc>
        <w:tc>
          <w:tcPr>
            <w:tcW w:w="0" w:type="auto"/>
            <w:hideMark/>
          </w:tcPr>
          <w:p w14:paraId="5435599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Проширење капацитета Луке Сремска Митровица</w:t>
            </w:r>
          </w:p>
        </w:tc>
        <w:tc>
          <w:tcPr>
            <w:tcW w:w="0" w:type="auto"/>
            <w:noWrap/>
            <w:vAlign w:val="center"/>
            <w:hideMark/>
          </w:tcPr>
          <w:p w14:paraId="1DBA119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27,137,507</w:t>
            </w:r>
          </w:p>
        </w:tc>
        <w:tc>
          <w:tcPr>
            <w:tcW w:w="0" w:type="auto"/>
            <w:noWrap/>
            <w:vAlign w:val="center"/>
            <w:hideMark/>
          </w:tcPr>
          <w:p w14:paraId="0642197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300,000,000</w:t>
            </w:r>
          </w:p>
        </w:tc>
        <w:tc>
          <w:tcPr>
            <w:tcW w:w="0" w:type="auto"/>
            <w:noWrap/>
            <w:vAlign w:val="center"/>
            <w:hideMark/>
          </w:tcPr>
          <w:p w14:paraId="30D6A50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2,554,100,000</w:t>
            </w:r>
          </w:p>
        </w:tc>
        <w:tc>
          <w:tcPr>
            <w:tcW w:w="0" w:type="auto"/>
            <w:noWrap/>
            <w:vAlign w:val="center"/>
            <w:hideMark/>
          </w:tcPr>
          <w:p w14:paraId="358587A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1,200,000,000</w:t>
            </w:r>
          </w:p>
        </w:tc>
        <w:tc>
          <w:tcPr>
            <w:tcW w:w="0" w:type="auto"/>
            <w:noWrap/>
            <w:vAlign w:val="center"/>
            <w:hideMark/>
          </w:tcPr>
          <w:p w14:paraId="5EB225E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1,688,857,481</w:t>
            </w:r>
          </w:p>
        </w:tc>
        <w:tc>
          <w:tcPr>
            <w:tcW w:w="0" w:type="auto"/>
            <w:noWrap/>
            <w:vAlign w:val="center"/>
            <w:hideMark/>
          </w:tcPr>
          <w:p w14:paraId="7363E72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6,626,400,000</w:t>
            </w:r>
          </w:p>
        </w:tc>
      </w:tr>
      <w:tr w:rsidR="00714AD2" w:rsidRPr="00F5596D" w14:paraId="73DC3DB4"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D027318" w14:textId="77777777" w:rsidR="00714AD2" w:rsidRPr="00F5596D" w:rsidRDefault="00714AD2" w:rsidP="00592961">
            <w:pPr>
              <w:jc w:val="center"/>
              <w:rPr>
                <w:sz w:val="16"/>
                <w:szCs w:val="16"/>
                <w:lang w:val="sr-Cyrl-CS"/>
              </w:rPr>
            </w:pPr>
            <w:r w:rsidRPr="00F5596D">
              <w:rPr>
                <w:sz w:val="16"/>
                <w:szCs w:val="16"/>
                <w:lang w:val="sr-Cyrl-CS"/>
              </w:rPr>
              <w:t>20</w:t>
            </w:r>
          </w:p>
        </w:tc>
        <w:tc>
          <w:tcPr>
            <w:tcW w:w="0" w:type="auto"/>
            <w:hideMark/>
          </w:tcPr>
          <w:p w14:paraId="12063E4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5057</w:t>
            </w:r>
          </w:p>
        </w:tc>
        <w:tc>
          <w:tcPr>
            <w:tcW w:w="0" w:type="auto"/>
            <w:hideMark/>
          </w:tcPr>
          <w:p w14:paraId="14900CA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Проширење капацитета Луке Богојево</w:t>
            </w:r>
          </w:p>
        </w:tc>
        <w:tc>
          <w:tcPr>
            <w:tcW w:w="0" w:type="auto"/>
            <w:noWrap/>
            <w:vAlign w:val="center"/>
            <w:hideMark/>
          </w:tcPr>
          <w:p w14:paraId="7541200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230,373,220</w:t>
            </w:r>
          </w:p>
        </w:tc>
        <w:tc>
          <w:tcPr>
            <w:tcW w:w="0" w:type="auto"/>
            <w:noWrap/>
            <w:vAlign w:val="center"/>
            <w:hideMark/>
          </w:tcPr>
          <w:p w14:paraId="5E75A3F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400,000,000</w:t>
            </w:r>
          </w:p>
        </w:tc>
        <w:tc>
          <w:tcPr>
            <w:tcW w:w="0" w:type="auto"/>
            <w:noWrap/>
            <w:vAlign w:val="center"/>
            <w:hideMark/>
          </w:tcPr>
          <w:p w14:paraId="621F762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3,532,000,000</w:t>
            </w:r>
          </w:p>
        </w:tc>
        <w:tc>
          <w:tcPr>
            <w:tcW w:w="0" w:type="auto"/>
            <w:noWrap/>
            <w:vAlign w:val="center"/>
            <w:hideMark/>
          </w:tcPr>
          <w:p w14:paraId="6C05481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1,200,000,000</w:t>
            </w:r>
          </w:p>
        </w:tc>
        <w:tc>
          <w:tcPr>
            <w:tcW w:w="0" w:type="auto"/>
            <w:noWrap/>
            <w:vAlign w:val="center"/>
            <w:hideMark/>
          </w:tcPr>
          <w:p w14:paraId="21AC10A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1,600,000,000</w:t>
            </w:r>
          </w:p>
        </w:tc>
        <w:tc>
          <w:tcPr>
            <w:tcW w:w="0" w:type="auto"/>
            <w:noWrap/>
            <w:vAlign w:val="center"/>
            <w:hideMark/>
          </w:tcPr>
          <w:p w14:paraId="610765E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7,896,476,900</w:t>
            </w:r>
          </w:p>
        </w:tc>
      </w:tr>
      <w:tr w:rsidR="00714AD2" w:rsidRPr="00F5596D" w14:paraId="6D6061F0"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33821D8" w14:textId="77777777" w:rsidR="00714AD2" w:rsidRPr="00F5596D" w:rsidRDefault="00714AD2" w:rsidP="00592961">
            <w:pPr>
              <w:jc w:val="center"/>
              <w:rPr>
                <w:sz w:val="16"/>
                <w:szCs w:val="16"/>
                <w:lang w:val="sr-Cyrl-CS"/>
              </w:rPr>
            </w:pPr>
            <w:r w:rsidRPr="00F5596D">
              <w:rPr>
                <w:sz w:val="16"/>
                <w:szCs w:val="16"/>
                <w:lang w:val="sr-Cyrl-CS"/>
              </w:rPr>
              <w:t>21</w:t>
            </w:r>
          </w:p>
        </w:tc>
        <w:tc>
          <w:tcPr>
            <w:tcW w:w="0" w:type="auto"/>
            <w:hideMark/>
          </w:tcPr>
          <w:p w14:paraId="7B77344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5058</w:t>
            </w:r>
          </w:p>
        </w:tc>
        <w:tc>
          <w:tcPr>
            <w:tcW w:w="0" w:type="auto"/>
            <w:hideMark/>
          </w:tcPr>
          <w:p w14:paraId="271CAB2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Проширење капацитета Луке Прахово</w:t>
            </w:r>
          </w:p>
        </w:tc>
        <w:tc>
          <w:tcPr>
            <w:tcW w:w="0" w:type="auto"/>
            <w:noWrap/>
            <w:vAlign w:val="center"/>
            <w:hideMark/>
          </w:tcPr>
          <w:p w14:paraId="11DFF06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856,368,146</w:t>
            </w:r>
          </w:p>
        </w:tc>
        <w:tc>
          <w:tcPr>
            <w:tcW w:w="0" w:type="auto"/>
            <w:noWrap/>
            <w:vAlign w:val="center"/>
            <w:hideMark/>
          </w:tcPr>
          <w:p w14:paraId="57179B4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1,200,000,000</w:t>
            </w:r>
          </w:p>
        </w:tc>
        <w:tc>
          <w:tcPr>
            <w:tcW w:w="0" w:type="auto"/>
            <w:noWrap/>
            <w:vAlign w:val="center"/>
            <w:hideMark/>
          </w:tcPr>
          <w:p w14:paraId="3FADD60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1,924,686,000</w:t>
            </w:r>
          </w:p>
        </w:tc>
        <w:tc>
          <w:tcPr>
            <w:tcW w:w="0" w:type="auto"/>
            <w:noWrap/>
            <w:vAlign w:val="center"/>
            <w:hideMark/>
          </w:tcPr>
          <w:p w14:paraId="0AF8AA7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1,300,000,000</w:t>
            </w:r>
          </w:p>
        </w:tc>
        <w:tc>
          <w:tcPr>
            <w:tcW w:w="0" w:type="auto"/>
            <w:noWrap/>
            <w:vAlign w:val="center"/>
            <w:hideMark/>
          </w:tcPr>
          <w:p w14:paraId="00AFEAC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123,945,854</w:t>
            </w:r>
          </w:p>
        </w:tc>
        <w:tc>
          <w:tcPr>
            <w:tcW w:w="0" w:type="auto"/>
            <w:noWrap/>
            <w:vAlign w:val="center"/>
            <w:hideMark/>
          </w:tcPr>
          <w:p w14:paraId="77CF78F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5,405,000,000</w:t>
            </w:r>
          </w:p>
        </w:tc>
      </w:tr>
      <w:tr w:rsidR="00714AD2" w:rsidRPr="00F5596D" w14:paraId="6DC7F880"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59A2136" w14:textId="77777777" w:rsidR="00714AD2" w:rsidRPr="00F5596D" w:rsidRDefault="00714AD2" w:rsidP="00592961">
            <w:pPr>
              <w:jc w:val="center"/>
              <w:rPr>
                <w:sz w:val="16"/>
                <w:szCs w:val="16"/>
                <w:lang w:val="sr-Cyrl-CS"/>
              </w:rPr>
            </w:pPr>
            <w:r w:rsidRPr="00F5596D">
              <w:rPr>
                <w:sz w:val="16"/>
                <w:szCs w:val="16"/>
                <w:lang w:val="sr-Cyrl-CS"/>
              </w:rPr>
              <w:lastRenderedPageBreak/>
              <w:t>22</w:t>
            </w:r>
          </w:p>
        </w:tc>
        <w:tc>
          <w:tcPr>
            <w:tcW w:w="0" w:type="auto"/>
            <w:hideMark/>
          </w:tcPr>
          <w:p w14:paraId="24F8D32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5059</w:t>
            </w:r>
          </w:p>
        </w:tc>
        <w:tc>
          <w:tcPr>
            <w:tcW w:w="0" w:type="auto"/>
            <w:hideMark/>
          </w:tcPr>
          <w:p w14:paraId="78CA7F3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Адаптација бродске преводнице у саставу ХЕПС „Ђердап 2”</w:t>
            </w:r>
          </w:p>
        </w:tc>
        <w:tc>
          <w:tcPr>
            <w:tcW w:w="0" w:type="auto"/>
            <w:noWrap/>
            <w:vAlign w:val="center"/>
            <w:hideMark/>
          </w:tcPr>
          <w:p w14:paraId="0B80978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3,639,709,454</w:t>
            </w:r>
          </w:p>
        </w:tc>
        <w:tc>
          <w:tcPr>
            <w:tcW w:w="0" w:type="auto"/>
            <w:noWrap/>
            <w:vAlign w:val="center"/>
            <w:hideMark/>
          </w:tcPr>
          <w:p w14:paraId="5F42422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799,457,237</w:t>
            </w:r>
          </w:p>
        </w:tc>
        <w:tc>
          <w:tcPr>
            <w:tcW w:w="0" w:type="auto"/>
            <w:noWrap/>
            <w:vAlign w:val="center"/>
            <w:hideMark/>
          </w:tcPr>
          <w:p w14:paraId="0BF0B4C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513,718,403</w:t>
            </w:r>
          </w:p>
        </w:tc>
        <w:tc>
          <w:tcPr>
            <w:tcW w:w="0" w:type="auto"/>
            <w:noWrap/>
            <w:vAlign w:val="center"/>
          </w:tcPr>
          <w:p w14:paraId="2C53EB45" w14:textId="4E20986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2A7579A7" w14:textId="0B120A4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77C8CF5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4,952,885,094</w:t>
            </w:r>
          </w:p>
        </w:tc>
      </w:tr>
      <w:tr w:rsidR="00714AD2" w:rsidRPr="00F5596D" w14:paraId="43CA8EEC"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B953EE9" w14:textId="77777777" w:rsidR="00714AD2" w:rsidRPr="00F5596D" w:rsidRDefault="00714AD2" w:rsidP="00592961">
            <w:pPr>
              <w:jc w:val="center"/>
              <w:rPr>
                <w:sz w:val="16"/>
                <w:szCs w:val="16"/>
                <w:lang w:val="sr-Cyrl-CS"/>
              </w:rPr>
            </w:pPr>
            <w:r w:rsidRPr="00F5596D">
              <w:rPr>
                <w:sz w:val="16"/>
                <w:szCs w:val="16"/>
                <w:lang w:val="sr-Cyrl-CS"/>
              </w:rPr>
              <w:t>23</w:t>
            </w:r>
          </w:p>
        </w:tc>
        <w:tc>
          <w:tcPr>
            <w:tcW w:w="0" w:type="auto"/>
            <w:hideMark/>
          </w:tcPr>
          <w:p w14:paraId="179B469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5061</w:t>
            </w:r>
          </w:p>
        </w:tc>
        <w:tc>
          <w:tcPr>
            <w:tcW w:w="0" w:type="auto"/>
            <w:hideMark/>
          </w:tcPr>
          <w:p w14:paraId="3AEFCF7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Реконструкција и доградња граничног прелаза Хоргош</w:t>
            </w:r>
          </w:p>
        </w:tc>
        <w:tc>
          <w:tcPr>
            <w:tcW w:w="0" w:type="auto"/>
            <w:noWrap/>
            <w:vAlign w:val="center"/>
            <w:hideMark/>
          </w:tcPr>
          <w:p w14:paraId="1CF611E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2,489,209,751</w:t>
            </w:r>
          </w:p>
        </w:tc>
        <w:tc>
          <w:tcPr>
            <w:tcW w:w="0" w:type="auto"/>
            <w:noWrap/>
            <w:vAlign w:val="center"/>
            <w:hideMark/>
          </w:tcPr>
          <w:p w14:paraId="271A457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380,000,000</w:t>
            </w:r>
          </w:p>
        </w:tc>
        <w:tc>
          <w:tcPr>
            <w:tcW w:w="0" w:type="auto"/>
            <w:noWrap/>
            <w:vAlign w:val="center"/>
            <w:hideMark/>
          </w:tcPr>
          <w:p w14:paraId="35E842B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176,590,249</w:t>
            </w:r>
          </w:p>
        </w:tc>
        <w:tc>
          <w:tcPr>
            <w:tcW w:w="0" w:type="auto"/>
            <w:noWrap/>
            <w:vAlign w:val="center"/>
          </w:tcPr>
          <w:p w14:paraId="2A5562AB" w14:textId="5F96606C"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28B70653" w14:textId="5382E4F5"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07A6D9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3,045,800,000</w:t>
            </w:r>
          </w:p>
        </w:tc>
      </w:tr>
      <w:tr w:rsidR="00714AD2" w:rsidRPr="00F5596D" w14:paraId="06E43DF7"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4CD9CA80" w14:textId="77777777" w:rsidR="00714AD2" w:rsidRPr="00F5596D" w:rsidRDefault="00714AD2" w:rsidP="00592961">
            <w:pPr>
              <w:jc w:val="center"/>
              <w:rPr>
                <w:sz w:val="16"/>
                <w:szCs w:val="16"/>
                <w:lang w:val="sr-Cyrl-CS"/>
              </w:rPr>
            </w:pPr>
            <w:r w:rsidRPr="00F5596D">
              <w:rPr>
                <w:sz w:val="16"/>
                <w:szCs w:val="16"/>
                <w:lang w:val="sr-Cyrl-CS"/>
              </w:rPr>
              <w:t>24</w:t>
            </w:r>
          </w:p>
        </w:tc>
        <w:tc>
          <w:tcPr>
            <w:tcW w:w="0" w:type="auto"/>
            <w:hideMark/>
          </w:tcPr>
          <w:p w14:paraId="5A3A776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5062</w:t>
            </w:r>
          </w:p>
        </w:tc>
        <w:tc>
          <w:tcPr>
            <w:tcW w:w="0" w:type="auto"/>
            <w:hideMark/>
          </w:tcPr>
          <w:p w14:paraId="100286C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деоница: Београд - Зрењанин</w:t>
            </w:r>
          </w:p>
        </w:tc>
        <w:tc>
          <w:tcPr>
            <w:tcW w:w="0" w:type="auto"/>
            <w:noWrap/>
            <w:vAlign w:val="center"/>
            <w:hideMark/>
          </w:tcPr>
          <w:p w14:paraId="4BF93F28" w14:textId="7DF1254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3F8CA9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12,013,000,000</w:t>
            </w:r>
          </w:p>
        </w:tc>
        <w:tc>
          <w:tcPr>
            <w:tcW w:w="0" w:type="auto"/>
            <w:noWrap/>
            <w:vAlign w:val="center"/>
            <w:hideMark/>
          </w:tcPr>
          <w:p w14:paraId="6A8082E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12,000,000,000</w:t>
            </w:r>
          </w:p>
        </w:tc>
        <w:tc>
          <w:tcPr>
            <w:tcW w:w="0" w:type="auto"/>
            <w:noWrap/>
            <w:vAlign w:val="center"/>
            <w:hideMark/>
          </w:tcPr>
          <w:p w14:paraId="5F2BC54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12,045,000,000</w:t>
            </w:r>
          </w:p>
        </w:tc>
        <w:tc>
          <w:tcPr>
            <w:tcW w:w="0" w:type="auto"/>
            <w:noWrap/>
            <w:vAlign w:val="center"/>
            <w:hideMark/>
          </w:tcPr>
          <w:p w14:paraId="2D3BB5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22,100,000,000</w:t>
            </w:r>
          </w:p>
        </w:tc>
        <w:tc>
          <w:tcPr>
            <w:tcW w:w="0" w:type="auto"/>
            <w:noWrap/>
            <w:vAlign w:val="center"/>
            <w:hideMark/>
          </w:tcPr>
          <w:p w14:paraId="66B3482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187,600,000,000</w:t>
            </w:r>
          </w:p>
        </w:tc>
      </w:tr>
      <w:tr w:rsidR="00714AD2" w:rsidRPr="00F5596D" w14:paraId="7F3E3CFD"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7D29E3E0" w14:textId="77777777" w:rsidR="00714AD2" w:rsidRPr="00F5596D" w:rsidRDefault="00714AD2" w:rsidP="00592961">
            <w:pPr>
              <w:jc w:val="center"/>
              <w:rPr>
                <w:sz w:val="16"/>
                <w:szCs w:val="16"/>
                <w:lang w:val="sr-Cyrl-CS"/>
              </w:rPr>
            </w:pPr>
            <w:r w:rsidRPr="00F5596D">
              <w:rPr>
                <w:sz w:val="16"/>
                <w:szCs w:val="16"/>
                <w:lang w:val="sr-Cyrl-CS"/>
              </w:rPr>
              <w:t>25</w:t>
            </w:r>
          </w:p>
        </w:tc>
        <w:tc>
          <w:tcPr>
            <w:tcW w:w="0" w:type="auto"/>
            <w:hideMark/>
          </w:tcPr>
          <w:p w14:paraId="4B17FC9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5064</w:t>
            </w:r>
          </w:p>
        </w:tc>
        <w:tc>
          <w:tcPr>
            <w:tcW w:w="0" w:type="auto"/>
            <w:hideMark/>
          </w:tcPr>
          <w:p w14:paraId="7241FC3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новог моста преко реке Саве у Београду</w:t>
            </w:r>
          </w:p>
        </w:tc>
        <w:tc>
          <w:tcPr>
            <w:tcW w:w="0" w:type="auto"/>
            <w:noWrap/>
            <w:vAlign w:val="center"/>
            <w:hideMark/>
          </w:tcPr>
          <w:p w14:paraId="68753E7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3,962,667,573</w:t>
            </w:r>
          </w:p>
        </w:tc>
        <w:tc>
          <w:tcPr>
            <w:tcW w:w="0" w:type="auto"/>
            <w:noWrap/>
            <w:vAlign w:val="center"/>
            <w:hideMark/>
          </w:tcPr>
          <w:p w14:paraId="74E9501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2,160,000,000</w:t>
            </w:r>
          </w:p>
        </w:tc>
        <w:tc>
          <w:tcPr>
            <w:tcW w:w="0" w:type="auto"/>
            <w:noWrap/>
            <w:vAlign w:val="center"/>
            <w:hideMark/>
          </w:tcPr>
          <w:p w14:paraId="35B2506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2,261,000,000</w:t>
            </w:r>
          </w:p>
        </w:tc>
        <w:tc>
          <w:tcPr>
            <w:tcW w:w="0" w:type="auto"/>
            <w:noWrap/>
            <w:vAlign w:val="center"/>
            <w:hideMark/>
          </w:tcPr>
          <w:p w14:paraId="14C470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1,355,000,000</w:t>
            </w:r>
          </w:p>
        </w:tc>
        <w:tc>
          <w:tcPr>
            <w:tcW w:w="0" w:type="auto"/>
            <w:noWrap/>
            <w:vAlign w:val="center"/>
            <w:hideMark/>
          </w:tcPr>
          <w:p w14:paraId="4F14A90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2,261,332,427</w:t>
            </w:r>
          </w:p>
        </w:tc>
        <w:tc>
          <w:tcPr>
            <w:tcW w:w="0" w:type="auto"/>
            <w:noWrap/>
            <w:vAlign w:val="center"/>
            <w:hideMark/>
          </w:tcPr>
          <w:p w14:paraId="66A5BC8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12,000,000,000</w:t>
            </w:r>
          </w:p>
        </w:tc>
      </w:tr>
      <w:tr w:rsidR="00714AD2" w:rsidRPr="00F5596D" w14:paraId="7335D429"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1B6ADB9" w14:textId="77777777" w:rsidR="00714AD2" w:rsidRPr="00F5596D" w:rsidRDefault="00714AD2" w:rsidP="00592961">
            <w:pPr>
              <w:jc w:val="center"/>
              <w:rPr>
                <w:sz w:val="16"/>
                <w:szCs w:val="16"/>
                <w:lang w:val="sr-Cyrl-CS"/>
              </w:rPr>
            </w:pPr>
            <w:r w:rsidRPr="00F5596D">
              <w:rPr>
                <w:sz w:val="16"/>
                <w:szCs w:val="16"/>
                <w:lang w:val="sr-Cyrl-CS"/>
              </w:rPr>
              <w:t>26</w:t>
            </w:r>
          </w:p>
        </w:tc>
        <w:tc>
          <w:tcPr>
            <w:tcW w:w="0" w:type="auto"/>
            <w:hideMark/>
          </w:tcPr>
          <w:p w14:paraId="283356C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5066</w:t>
            </w:r>
          </w:p>
        </w:tc>
        <w:tc>
          <w:tcPr>
            <w:tcW w:w="0" w:type="auto"/>
            <w:hideMark/>
          </w:tcPr>
          <w:p w14:paraId="54947EC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брзе саобраћајнице, деоница: Иверак-Лајковац</w:t>
            </w:r>
          </w:p>
        </w:tc>
        <w:tc>
          <w:tcPr>
            <w:tcW w:w="0" w:type="auto"/>
            <w:noWrap/>
            <w:vAlign w:val="center"/>
            <w:hideMark/>
          </w:tcPr>
          <w:p w14:paraId="5FCFC55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21,821,128,074</w:t>
            </w:r>
          </w:p>
        </w:tc>
        <w:tc>
          <w:tcPr>
            <w:tcW w:w="0" w:type="auto"/>
            <w:noWrap/>
            <w:vAlign w:val="center"/>
            <w:hideMark/>
          </w:tcPr>
          <w:p w14:paraId="40D2BE4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5,211,340,244</w:t>
            </w:r>
          </w:p>
        </w:tc>
        <w:tc>
          <w:tcPr>
            <w:tcW w:w="0" w:type="auto"/>
            <w:noWrap/>
            <w:vAlign w:val="center"/>
            <w:hideMark/>
          </w:tcPr>
          <w:p w14:paraId="6FD96BB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5,630,478,677</w:t>
            </w:r>
          </w:p>
        </w:tc>
        <w:tc>
          <w:tcPr>
            <w:tcW w:w="0" w:type="auto"/>
            <w:noWrap/>
            <w:vAlign w:val="center"/>
          </w:tcPr>
          <w:p w14:paraId="030592B0" w14:textId="3C6D1D1C"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07D929B5" w14:textId="2B60D236"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121A7F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32,662,946,996</w:t>
            </w:r>
          </w:p>
        </w:tc>
      </w:tr>
      <w:tr w:rsidR="00714AD2" w:rsidRPr="00F5596D" w14:paraId="11B88295"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73191C3E" w14:textId="77777777" w:rsidR="00714AD2" w:rsidRPr="00F5596D" w:rsidRDefault="00714AD2" w:rsidP="00592961">
            <w:pPr>
              <w:jc w:val="center"/>
              <w:rPr>
                <w:sz w:val="16"/>
                <w:szCs w:val="16"/>
                <w:lang w:val="sr-Cyrl-CS"/>
              </w:rPr>
            </w:pPr>
            <w:r w:rsidRPr="00F5596D">
              <w:rPr>
                <w:sz w:val="16"/>
                <w:szCs w:val="16"/>
                <w:lang w:val="sr-Cyrl-CS"/>
              </w:rPr>
              <w:t>27</w:t>
            </w:r>
          </w:p>
        </w:tc>
        <w:tc>
          <w:tcPr>
            <w:tcW w:w="0" w:type="auto"/>
            <w:hideMark/>
          </w:tcPr>
          <w:p w14:paraId="255D7BF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5067</w:t>
            </w:r>
          </w:p>
        </w:tc>
        <w:tc>
          <w:tcPr>
            <w:tcW w:w="0" w:type="auto"/>
            <w:hideMark/>
          </w:tcPr>
          <w:p w14:paraId="0E69C64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моста - обилазнице око Новог Сада са приступним саобраћајницама</w:t>
            </w:r>
          </w:p>
        </w:tc>
        <w:tc>
          <w:tcPr>
            <w:tcW w:w="0" w:type="auto"/>
            <w:noWrap/>
            <w:vAlign w:val="center"/>
            <w:hideMark/>
          </w:tcPr>
          <w:p w14:paraId="0AE7EB2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4,514,198,853</w:t>
            </w:r>
          </w:p>
        </w:tc>
        <w:tc>
          <w:tcPr>
            <w:tcW w:w="0" w:type="auto"/>
            <w:noWrap/>
            <w:vAlign w:val="center"/>
            <w:hideMark/>
          </w:tcPr>
          <w:p w14:paraId="7E34355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3,101,579,437</w:t>
            </w:r>
          </w:p>
        </w:tc>
        <w:tc>
          <w:tcPr>
            <w:tcW w:w="0" w:type="auto"/>
            <w:noWrap/>
            <w:vAlign w:val="center"/>
            <w:hideMark/>
          </w:tcPr>
          <w:p w14:paraId="33EE469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12,025,000,000</w:t>
            </w:r>
          </w:p>
        </w:tc>
        <w:tc>
          <w:tcPr>
            <w:tcW w:w="0" w:type="auto"/>
            <w:noWrap/>
            <w:vAlign w:val="center"/>
            <w:hideMark/>
          </w:tcPr>
          <w:p w14:paraId="57169A2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5,104,221,710</w:t>
            </w:r>
          </w:p>
        </w:tc>
        <w:tc>
          <w:tcPr>
            <w:tcW w:w="0" w:type="auto"/>
            <w:noWrap/>
            <w:vAlign w:val="center"/>
            <w:hideMark/>
          </w:tcPr>
          <w:p w14:paraId="19254DDF" w14:textId="53E2A13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47292D3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24,745,000,000</w:t>
            </w:r>
          </w:p>
        </w:tc>
      </w:tr>
      <w:tr w:rsidR="00714AD2" w:rsidRPr="00F5596D" w14:paraId="2FB9A759"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E763B4F" w14:textId="77777777" w:rsidR="00714AD2" w:rsidRPr="00F5596D" w:rsidRDefault="00714AD2" w:rsidP="00592961">
            <w:pPr>
              <w:jc w:val="center"/>
              <w:rPr>
                <w:sz w:val="16"/>
                <w:szCs w:val="16"/>
                <w:lang w:val="sr-Cyrl-CS"/>
              </w:rPr>
            </w:pPr>
            <w:r w:rsidRPr="00F5596D">
              <w:rPr>
                <w:sz w:val="16"/>
                <w:szCs w:val="16"/>
                <w:lang w:val="sr-Cyrl-CS"/>
              </w:rPr>
              <w:t>28</w:t>
            </w:r>
          </w:p>
        </w:tc>
        <w:tc>
          <w:tcPr>
            <w:tcW w:w="0" w:type="auto"/>
            <w:hideMark/>
          </w:tcPr>
          <w:p w14:paraId="48CE33D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5069</w:t>
            </w:r>
          </w:p>
        </w:tc>
        <w:tc>
          <w:tcPr>
            <w:tcW w:w="0" w:type="auto"/>
            <w:hideMark/>
          </w:tcPr>
          <w:p w14:paraId="29A7BFE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Пројекат изградње обилазница и тунела</w:t>
            </w:r>
          </w:p>
        </w:tc>
        <w:tc>
          <w:tcPr>
            <w:tcW w:w="0" w:type="auto"/>
            <w:noWrap/>
            <w:vAlign w:val="center"/>
            <w:hideMark/>
          </w:tcPr>
          <w:p w14:paraId="237A0A5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5,570,131,319</w:t>
            </w:r>
          </w:p>
        </w:tc>
        <w:tc>
          <w:tcPr>
            <w:tcW w:w="0" w:type="auto"/>
            <w:noWrap/>
            <w:vAlign w:val="center"/>
            <w:hideMark/>
          </w:tcPr>
          <w:p w14:paraId="1BEB640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2,554,000,000</w:t>
            </w:r>
          </w:p>
        </w:tc>
        <w:tc>
          <w:tcPr>
            <w:tcW w:w="0" w:type="auto"/>
            <w:noWrap/>
            <w:vAlign w:val="center"/>
            <w:hideMark/>
          </w:tcPr>
          <w:p w14:paraId="306931C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2,600,000,000</w:t>
            </w:r>
          </w:p>
        </w:tc>
        <w:tc>
          <w:tcPr>
            <w:tcW w:w="0" w:type="auto"/>
            <w:noWrap/>
            <w:vAlign w:val="center"/>
            <w:hideMark/>
          </w:tcPr>
          <w:p w14:paraId="4EA7022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5,275,868,681</w:t>
            </w:r>
          </w:p>
        </w:tc>
        <w:tc>
          <w:tcPr>
            <w:tcW w:w="0" w:type="auto"/>
            <w:noWrap/>
            <w:vAlign w:val="center"/>
            <w:hideMark/>
          </w:tcPr>
          <w:p w14:paraId="780A2C6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955E83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16,000,000,000</w:t>
            </w:r>
          </w:p>
        </w:tc>
      </w:tr>
      <w:tr w:rsidR="00714AD2" w:rsidRPr="00F5596D" w14:paraId="73DD5168" w14:textId="77777777" w:rsidTr="00E35ADF">
        <w:trPr>
          <w:trHeight w:val="788"/>
        </w:trPr>
        <w:tc>
          <w:tcPr>
            <w:cnfStyle w:val="001000000000" w:firstRow="0" w:lastRow="0" w:firstColumn="1" w:lastColumn="0" w:oddVBand="0" w:evenVBand="0" w:oddHBand="0" w:evenHBand="0" w:firstRowFirstColumn="0" w:firstRowLastColumn="0" w:lastRowFirstColumn="0" w:lastRowLastColumn="0"/>
            <w:tcW w:w="0" w:type="auto"/>
            <w:noWrap/>
            <w:hideMark/>
          </w:tcPr>
          <w:p w14:paraId="0055CB5E" w14:textId="77777777" w:rsidR="00714AD2" w:rsidRPr="00F5596D" w:rsidRDefault="00714AD2" w:rsidP="00592961">
            <w:pPr>
              <w:jc w:val="center"/>
              <w:rPr>
                <w:sz w:val="16"/>
                <w:szCs w:val="16"/>
                <w:lang w:val="sr-Cyrl-CS"/>
              </w:rPr>
            </w:pPr>
            <w:r w:rsidRPr="00F5596D">
              <w:rPr>
                <w:sz w:val="16"/>
                <w:szCs w:val="16"/>
                <w:lang w:val="sr-Cyrl-CS"/>
              </w:rPr>
              <w:t>29</w:t>
            </w:r>
          </w:p>
        </w:tc>
        <w:tc>
          <w:tcPr>
            <w:tcW w:w="0" w:type="auto"/>
            <w:hideMark/>
          </w:tcPr>
          <w:p w14:paraId="766773F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5070</w:t>
            </w:r>
          </w:p>
        </w:tc>
        <w:tc>
          <w:tcPr>
            <w:tcW w:w="0" w:type="auto"/>
            <w:hideMark/>
          </w:tcPr>
          <w:p w14:paraId="79D7D77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Пројекат изградње комуналне (канализационе) инфраструктуре и инфраструктуре за одлагање комуналног чврстог отпада у Републици Србији</w:t>
            </w:r>
          </w:p>
        </w:tc>
        <w:tc>
          <w:tcPr>
            <w:tcW w:w="0" w:type="auto"/>
            <w:noWrap/>
            <w:vAlign w:val="center"/>
            <w:hideMark/>
          </w:tcPr>
          <w:p w14:paraId="6872D70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39,502,204,651</w:t>
            </w:r>
          </w:p>
        </w:tc>
        <w:tc>
          <w:tcPr>
            <w:tcW w:w="0" w:type="auto"/>
            <w:noWrap/>
            <w:vAlign w:val="center"/>
            <w:hideMark/>
          </w:tcPr>
          <w:p w14:paraId="18B1560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11,267,123,763</w:t>
            </w:r>
          </w:p>
        </w:tc>
        <w:tc>
          <w:tcPr>
            <w:tcW w:w="0" w:type="auto"/>
            <w:noWrap/>
            <w:vAlign w:val="center"/>
            <w:hideMark/>
          </w:tcPr>
          <w:p w14:paraId="663D525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10,027,149,000</w:t>
            </w:r>
          </w:p>
        </w:tc>
        <w:tc>
          <w:tcPr>
            <w:tcW w:w="0" w:type="auto"/>
            <w:noWrap/>
            <w:vAlign w:val="center"/>
            <w:hideMark/>
          </w:tcPr>
          <w:p w14:paraId="598D5FC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10,054,575,000</w:t>
            </w:r>
          </w:p>
        </w:tc>
        <w:tc>
          <w:tcPr>
            <w:tcW w:w="0" w:type="auto"/>
            <w:noWrap/>
            <w:vAlign w:val="center"/>
            <w:hideMark/>
          </w:tcPr>
          <w:p w14:paraId="1FA00C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11,000,000,000</w:t>
            </w:r>
          </w:p>
        </w:tc>
        <w:tc>
          <w:tcPr>
            <w:tcW w:w="0" w:type="auto"/>
            <w:noWrap/>
            <w:vAlign w:val="center"/>
            <w:hideMark/>
          </w:tcPr>
          <w:p w14:paraId="5A04592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367,895,069,040</w:t>
            </w:r>
          </w:p>
        </w:tc>
      </w:tr>
      <w:tr w:rsidR="00714AD2" w:rsidRPr="00F5596D" w14:paraId="02C96651"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0C8908FB" w14:textId="77777777" w:rsidR="00714AD2" w:rsidRPr="00F5596D" w:rsidRDefault="00714AD2" w:rsidP="00592961">
            <w:pPr>
              <w:jc w:val="center"/>
              <w:rPr>
                <w:sz w:val="16"/>
                <w:szCs w:val="16"/>
                <w:lang w:val="sr-Cyrl-CS"/>
              </w:rPr>
            </w:pPr>
            <w:r w:rsidRPr="00F5596D">
              <w:rPr>
                <w:sz w:val="16"/>
                <w:szCs w:val="16"/>
                <w:lang w:val="sr-Cyrl-CS"/>
              </w:rPr>
              <w:t>30</w:t>
            </w:r>
          </w:p>
        </w:tc>
        <w:tc>
          <w:tcPr>
            <w:tcW w:w="0" w:type="auto"/>
            <w:hideMark/>
          </w:tcPr>
          <w:p w14:paraId="002A44F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5071</w:t>
            </w:r>
          </w:p>
        </w:tc>
        <w:tc>
          <w:tcPr>
            <w:tcW w:w="0" w:type="auto"/>
            <w:hideMark/>
          </w:tcPr>
          <w:p w14:paraId="70A3E7D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Пројекат сакупљања и пречишћавања отпадних вода Централног канализационог система Града Београда</w:t>
            </w:r>
          </w:p>
        </w:tc>
        <w:tc>
          <w:tcPr>
            <w:tcW w:w="0" w:type="auto"/>
            <w:noWrap/>
            <w:vAlign w:val="center"/>
            <w:hideMark/>
          </w:tcPr>
          <w:p w14:paraId="5B02A4A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846,095,280</w:t>
            </w:r>
          </w:p>
        </w:tc>
        <w:tc>
          <w:tcPr>
            <w:tcW w:w="0" w:type="auto"/>
            <w:noWrap/>
            <w:vAlign w:val="center"/>
            <w:hideMark/>
          </w:tcPr>
          <w:p w14:paraId="0F72CE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5,000,000,000</w:t>
            </w:r>
          </w:p>
        </w:tc>
        <w:tc>
          <w:tcPr>
            <w:tcW w:w="0" w:type="auto"/>
            <w:noWrap/>
            <w:vAlign w:val="center"/>
            <w:hideMark/>
          </w:tcPr>
          <w:p w14:paraId="426D4F3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6,700,000,000</w:t>
            </w:r>
          </w:p>
        </w:tc>
        <w:tc>
          <w:tcPr>
            <w:tcW w:w="0" w:type="auto"/>
            <w:noWrap/>
            <w:vAlign w:val="center"/>
            <w:hideMark/>
          </w:tcPr>
          <w:p w14:paraId="7685370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6,700,000,000</w:t>
            </w:r>
          </w:p>
        </w:tc>
        <w:tc>
          <w:tcPr>
            <w:tcW w:w="0" w:type="auto"/>
            <w:noWrap/>
            <w:vAlign w:val="center"/>
            <w:hideMark/>
          </w:tcPr>
          <w:p w14:paraId="6F9C713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6,700,000,000</w:t>
            </w:r>
          </w:p>
        </w:tc>
        <w:tc>
          <w:tcPr>
            <w:tcW w:w="0" w:type="auto"/>
            <w:noWrap/>
            <w:vAlign w:val="center"/>
            <w:hideMark/>
          </w:tcPr>
          <w:p w14:paraId="5FB0200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32,604,000,000</w:t>
            </w:r>
          </w:p>
        </w:tc>
      </w:tr>
      <w:tr w:rsidR="00714AD2" w:rsidRPr="00F5596D" w14:paraId="3916E6A0"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0366E6A1" w14:textId="77777777" w:rsidR="00714AD2" w:rsidRPr="00F5596D" w:rsidRDefault="00714AD2" w:rsidP="00592961">
            <w:pPr>
              <w:jc w:val="center"/>
              <w:rPr>
                <w:sz w:val="16"/>
                <w:szCs w:val="16"/>
                <w:lang w:val="sr-Cyrl-CS"/>
              </w:rPr>
            </w:pPr>
            <w:r w:rsidRPr="00F5596D">
              <w:rPr>
                <w:sz w:val="16"/>
                <w:szCs w:val="16"/>
                <w:lang w:val="sr-Cyrl-CS"/>
              </w:rPr>
              <w:t>31</w:t>
            </w:r>
          </w:p>
        </w:tc>
        <w:tc>
          <w:tcPr>
            <w:tcW w:w="0" w:type="auto"/>
            <w:hideMark/>
          </w:tcPr>
          <w:p w14:paraId="1DAA609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5072</w:t>
            </w:r>
          </w:p>
        </w:tc>
        <w:tc>
          <w:tcPr>
            <w:tcW w:w="0" w:type="auto"/>
            <w:hideMark/>
          </w:tcPr>
          <w:p w14:paraId="2C496BB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београдског метроа (Линија 1 - фазе 1 и 2)</w:t>
            </w:r>
          </w:p>
        </w:tc>
        <w:tc>
          <w:tcPr>
            <w:tcW w:w="0" w:type="auto"/>
            <w:noWrap/>
            <w:vAlign w:val="center"/>
            <w:hideMark/>
          </w:tcPr>
          <w:p w14:paraId="17B67D1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12,130,658,443</w:t>
            </w:r>
          </w:p>
        </w:tc>
        <w:tc>
          <w:tcPr>
            <w:tcW w:w="0" w:type="auto"/>
            <w:noWrap/>
            <w:vAlign w:val="center"/>
            <w:hideMark/>
          </w:tcPr>
          <w:p w14:paraId="4EEA04F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6,452,356,000</w:t>
            </w:r>
          </w:p>
        </w:tc>
        <w:tc>
          <w:tcPr>
            <w:tcW w:w="0" w:type="auto"/>
            <w:noWrap/>
            <w:vAlign w:val="center"/>
            <w:hideMark/>
          </w:tcPr>
          <w:p w14:paraId="02CCF72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6,500,000,000</w:t>
            </w:r>
          </w:p>
        </w:tc>
        <w:tc>
          <w:tcPr>
            <w:tcW w:w="0" w:type="auto"/>
            <w:noWrap/>
            <w:vAlign w:val="center"/>
            <w:hideMark/>
          </w:tcPr>
          <w:p w14:paraId="0C330BC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6,474,770,000</w:t>
            </w:r>
          </w:p>
        </w:tc>
        <w:tc>
          <w:tcPr>
            <w:tcW w:w="0" w:type="auto"/>
            <w:noWrap/>
            <w:vAlign w:val="center"/>
            <w:hideMark/>
          </w:tcPr>
          <w:p w14:paraId="1D57C55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6,696,111,000</w:t>
            </w:r>
          </w:p>
        </w:tc>
        <w:tc>
          <w:tcPr>
            <w:tcW w:w="0" w:type="auto"/>
            <w:noWrap/>
            <w:vAlign w:val="center"/>
            <w:hideMark/>
          </w:tcPr>
          <w:p w14:paraId="4B3B32C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72,850,000,000</w:t>
            </w:r>
          </w:p>
        </w:tc>
      </w:tr>
      <w:tr w:rsidR="00714AD2" w:rsidRPr="00F5596D" w14:paraId="7B8BB1CA"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3E9A5574" w14:textId="77777777" w:rsidR="00714AD2" w:rsidRPr="00F5596D" w:rsidRDefault="00714AD2" w:rsidP="00592961">
            <w:pPr>
              <w:jc w:val="center"/>
              <w:rPr>
                <w:sz w:val="16"/>
                <w:szCs w:val="16"/>
                <w:lang w:val="sr-Cyrl-CS"/>
              </w:rPr>
            </w:pPr>
            <w:r w:rsidRPr="00F5596D">
              <w:rPr>
                <w:sz w:val="16"/>
                <w:szCs w:val="16"/>
                <w:lang w:val="sr-Cyrl-CS"/>
              </w:rPr>
              <w:t>32</w:t>
            </w:r>
          </w:p>
        </w:tc>
        <w:tc>
          <w:tcPr>
            <w:tcW w:w="0" w:type="auto"/>
            <w:hideMark/>
          </w:tcPr>
          <w:p w14:paraId="41CD080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5074</w:t>
            </w:r>
          </w:p>
        </w:tc>
        <w:tc>
          <w:tcPr>
            <w:tcW w:w="0" w:type="auto"/>
            <w:hideMark/>
          </w:tcPr>
          <w:p w14:paraId="71B8BF1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северне обилазнице око Крагујевца</w:t>
            </w:r>
          </w:p>
        </w:tc>
        <w:tc>
          <w:tcPr>
            <w:tcW w:w="0" w:type="auto"/>
            <w:noWrap/>
            <w:vAlign w:val="center"/>
            <w:hideMark/>
          </w:tcPr>
          <w:p w14:paraId="5786CB9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5,559,509,191</w:t>
            </w:r>
          </w:p>
        </w:tc>
        <w:tc>
          <w:tcPr>
            <w:tcW w:w="0" w:type="auto"/>
            <w:noWrap/>
            <w:vAlign w:val="center"/>
            <w:hideMark/>
          </w:tcPr>
          <w:p w14:paraId="693C2BC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10,000,000,000</w:t>
            </w:r>
          </w:p>
        </w:tc>
        <w:tc>
          <w:tcPr>
            <w:tcW w:w="0" w:type="auto"/>
            <w:noWrap/>
            <w:vAlign w:val="center"/>
            <w:hideMark/>
          </w:tcPr>
          <w:p w14:paraId="4469452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12,522,000,000</w:t>
            </w:r>
          </w:p>
        </w:tc>
        <w:tc>
          <w:tcPr>
            <w:tcW w:w="0" w:type="auto"/>
            <w:noWrap/>
            <w:vAlign w:val="center"/>
            <w:hideMark/>
          </w:tcPr>
          <w:p w14:paraId="158F597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11,658,490,809</w:t>
            </w:r>
          </w:p>
        </w:tc>
        <w:tc>
          <w:tcPr>
            <w:tcW w:w="0" w:type="auto"/>
            <w:noWrap/>
            <w:vAlign w:val="center"/>
            <w:hideMark/>
          </w:tcPr>
          <w:p w14:paraId="3767F1B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460,000,000</w:t>
            </w:r>
          </w:p>
        </w:tc>
        <w:tc>
          <w:tcPr>
            <w:tcW w:w="0" w:type="auto"/>
            <w:noWrap/>
            <w:vAlign w:val="center"/>
            <w:hideMark/>
          </w:tcPr>
          <w:p w14:paraId="29B0B7E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40,200,000,000</w:t>
            </w:r>
          </w:p>
        </w:tc>
      </w:tr>
      <w:tr w:rsidR="00714AD2" w:rsidRPr="00F5596D" w14:paraId="071E77E2"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39309E46" w14:textId="77777777" w:rsidR="00714AD2" w:rsidRPr="00F5596D" w:rsidRDefault="00714AD2" w:rsidP="00592961">
            <w:pPr>
              <w:jc w:val="center"/>
              <w:rPr>
                <w:sz w:val="16"/>
                <w:szCs w:val="16"/>
                <w:lang w:val="sr-Cyrl-CS"/>
              </w:rPr>
            </w:pPr>
            <w:r w:rsidRPr="00F5596D">
              <w:rPr>
                <w:sz w:val="16"/>
                <w:szCs w:val="16"/>
                <w:lang w:val="sr-Cyrl-CS"/>
              </w:rPr>
              <w:t>33</w:t>
            </w:r>
          </w:p>
        </w:tc>
        <w:tc>
          <w:tcPr>
            <w:tcW w:w="0" w:type="auto"/>
            <w:hideMark/>
          </w:tcPr>
          <w:p w14:paraId="1934C21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5076</w:t>
            </w:r>
          </w:p>
        </w:tc>
        <w:tc>
          <w:tcPr>
            <w:tcW w:w="0" w:type="auto"/>
            <w:hideMark/>
          </w:tcPr>
          <w:p w14:paraId="1805C97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Брза саобраћајница Е-75, петља Пожаревац - Голубац</w:t>
            </w:r>
          </w:p>
        </w:tc>
        <w:tc>
          <w:tcPr>
            <w:tcW w:w="0" w:type="auto"/>
            <w:noWrap/>
            <w:vAlign w:val="center"/>
            <w:hideMark/>
          </w:tcPr>
          <w:p w14:paraId="310E920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35,709,853,455</w:t>
            </w:r>
          </w:p>
        </w:tc>
        <w:tc>
          <w:tcPr>
            <w:tcW w:w="0" w:type="auto"/>
            <w:noWrap/>
            <w:vAlign w:val="center"/>
            <w:hideMark/>
          </w:tcPr>
          <w:p w14:paraId="1705E2E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9,870,000,000</w:t>
            </w:r>
          </w:p>
        </w:tc>
        <w:tc>
          <w:tcPr>
            <w:tcW w:w="0" w:type="auto"/>
            <w:noWrap/>
            <w:vAlign w:val="center"/>
            <w:hideMark/>
          </w:tcPr>
          <w:p w14:paraId="57DF6EA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12,600,000,000</w:t>
            </w:r>
          </w:p>
        </w:tc>
        <w:tc>
          <w:tcPr>
            <w:tcW w:w="0" w:type="auto"/>
            <w:noWrap/>
            <w:vAlign w:val="center"/>
            <w:hideMark/>
          </w:tcPr>
          <w:p w14:paraId="31A493E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3,320,146,545</w:t>
            </w:r>
          </w:p>
        </w:tc>
        <w:tc>
          <w:tcPr>
            <w:tcW w:w="0" w:type="auto"/>
            <w:noWrap/>
            <w:vAlign w:val="center"/>
            <w:hideMark/>
          </w:tcPr>
          <w:p w14:paraId="11CA9DDF" w14:textId="77399F8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5173A2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61,500,000,000</w:t>
            </w:r>
          </w:p>
        </w:tc>
      </w:tr>
      <w:tr w:rsidR="00714AD2" w:rsidRPr="00F5596D" w14:paraId="3B02A79F"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36E9D5CB" w14:textId="77777777" w:rsidR="00714AD2" w:rsidRPr="00F5596D" w:rsidRDefault="00714AD2" w:rsidP="00592961">
            <w:pPr>
              <w:jc w:val="center"/>
              <w:rPr>
                <w:sz w:val="16"/>
                <w:szCs w:val="16"/>
                <w:lang w:val="sr-Cyrl-CS"/>
              </w:rPr>
            </w:pPr>
            <w:r w:rsidRPr="00F5596D">
              <w:rPr>
                <w:sz w:val="16"/>
                <w:szCs w:val="16"/>
                <w:lang w:val="sr-Cyrl-CS"/>
              </w:rPr>
              <w:t>34</w:t>
            </w:r>
          </w:p>
        </w:tc>
        <w:tc>
          <w:tcPr>
            <w:tcW w:w="0" w:type="auto"/>
            <w:hideMark/>
          </w:tcPr>
          <w:p w14:paraId="43BBAB8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5077</w:t>
            </w:r>
          </w:p>
        </w:tc>
        <w:tc>
          <w:tcPr>
            <w:tcW w:w="0" w:type="auto"/>
            <w:hideMark/>
          </w:tcPr>
          <w:p w14:paraId="11B051A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центра за обуку чланова посаде бродова</w:t>
            </w:r>
          </w:p>
        </w:tc>
        <w:tc>
          <w:tcPr>
            <w:tcW w:w="0" w:type="auto"/>
            <w:noWrap/>
            <w:vAlign w:val="center"/>
            <w:hideMark/>
          </w:tcPr>
          <w:p w14:paraId="3438636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55,503,664</w:t>
            </w:r>
          </w:p>
        </w:tc>
        <w:tc>
          <w:tcPr>
            <w:tcW w:w="0" w:type="auto"/>
            <w:noWrap/>
            <w:vAlign w:val="center"/>
            <w:hideMark/>
          </w:tcPr>
          <w:p w14:paraId="724B59E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1,160,144,000</w:t>
            </w:r>
          </w:p>
        </w:tc>
        <w:tc>
          <w:tcPr>
            <w:tcW w:w="0" w:type="auto"/>
            <w:noWrap/>
            <w:vAlign w:val="center"/>
            <w:hideMark/>
          </w:tcPr>
          <w:p w14:paraId="4FC52F8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1,500,000,000</w:t>
            </w:r>
          </w:p>
        </w:tc>
        <w:tc>
          <w:tcPr>
            <w:tcW w:w="0" w:type="auto"/>
            <w:noWrap/>
            <w:vAlign w:val="center"/>
            <w:hideMark/>
          </w:tcPr>
          <w:p w14:paraId="5ABC95C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1,000,000,000</w:t>
            </w:r>
          </w:p>
        </w:tc>
        <w:tc>
          <w:tcPr>
            <w:tcW w:w="0" w:type="auto"/>
            <w:noWrap/>
            <w:vAlign w:val="center"/>
            <w:hideMark/>
          </w:tcPr>
          <w:p w14:paraId="0FCA96F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406,702,336</w:t>
            </w:r>
          </w:p>
        </w:tc>
        <w:tc>
          <w:tcPr>
            <w:tcW w:w="0" w:type="auto"/>
            <w:noWrap/>
            <w:vAlign w:val="center"/>
            <w:hideMark/>
          </w:tcPr>
          <w:p w14:paraId="6A0E208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5,195,350,000</w:t>
            </w:r>
          </w:p>
        </w:tc>
      </w:tr>
      <w:tr w:rsidR="00714AD2" w:rsidRPr="00F5596D" w14:paraId="33EC727C"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FE54AA9" w14:textId="77777777" w:rsidR="00714AD2" w:rsidRPr="00F5596D" w:rsidRDefault="00714AD2" w:rsidP="00592961">
            <w:pPr>
              <w:jc w:val="center"/>
              <w:rPr>
                <w:sz w:val="16"/>
                <w:szCs w:val="16"/>
                <w:lang w:val="sr-Cyrl-CS"/>
              </w:rPr>
            </w:pPr>
            <w:r w:rsidRPr="00F5596D">
              <w:rPr>
                <w:sz w:val="16"/>
                <w:szCs w:val="16"/>
                <w:lang w:val="sr-Cyrl-CS"/>
              </w:rPr>
              <w:t>35</w:t>
            </w:r>
          </w:p>
        </w:tc>
        <w:tc>
          <w:tcPr>
            <w:tcW w:w="0" w:type="auto"/>
            <w:hideMark/>
          </w:tcPr>
          <w:p w14:paraId="4A6E35A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5078</w:t>
            </w:r>
          </w:p>
        </w:tc>
        <w:tc>
          <w:tcPr>
            <w:tcW w:w="0" w:type="auto"/>
            <w:hideMark/>
          </w:tcPr>
          <w:p w14:paraId="010DE02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Модернизација железничког сектора у Србији</w:t>
            </w:r>
          </w:p>
        </w:tc>
        <w:tc>
          <w:tcPr>
            <w:tcW w:w="0" w:type="auto"/>
            <w:noWrap/>
            <w:vAlign w:val="center"/>
            <w:hideMark/>
          </w:tcPr>
          <w:p w14:paraId="0C5C00E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404,018,018</w:t>
            </w:r>
          </w:p>
        </w:tc>
        <w:tc>
          <w:tcPr>
            <w:tcW w:w="0" w:type="auto"/>
            <w:noWrap/>
            <w:vAlign w:val="center"/>
            <w:hideMark/>
          </w:tcPr>
          <w:p w14:paraId="409B1FC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2,390,031,000</w:t>
            </w:r>
          </w:p>
        </w:tc>
        <w:tc>
          <w:tcPr>
            <w:tcW w:w="0" w:type="auto"/>
            <w:noWrap/>
            <w:vAlign w:val="center"/>
            <w:hideMark/>
          </w:tcPr>
          <w:p w14:paraId="1A1F827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7,000,000,000</w:t>
            </w:r>
          </w:p>
        </w:tc>
        <w:tc>
          <w:tcPr>
            <w:tcW w:w="0" w:type="auto"/>
            <w:noWrap/>
            <w:vAlign w:val="center"/>
            <w:hideMark/>
          </w:tcPr>
          <w:p w14:paraId="45DD6EA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2,241,950,982</w:t>
            </w:r>
          </w:p>
        </w:tc>
        <w:tc>
          <w:tcPr>
            <w:tcW w:w="0" w:type="auto"/>
            <w:noWrap/>
            <w:vAlign w:val="center"/>
            <w:hideMark/>
          </w:tcPr>
          <w:p w14:paraId="5AEB629F" w14:textId="2BF1CF51"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333591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12,036,000,000</w:t>
            </w:r>
          </w:p>
        </w:tc>
      </w:tr>
      <w:tr w:rsidR="00714AD2" w:rsidRPr="00F5596D" w14:paraId="63BB512D"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0F0D751" w14:textId="77777777" w:rsidR="00714AD2" w:rsidRPr="00F5596D" w:rsidRDefault="00714AD2" w:rsidP="00592961">
            <w:pPr>
              <w:jc w:val="center"/>
              <w:rPr>
                <w:sz w:val="16"/>
                <w:szCs w:val="16"/>
                <w:lang w:val="sr-Cyrl-CS"/>
              </w:rPr>
            </w:pPr>
            <w:r w:rsidRPr="00F5596D">
              <w:rPr>
                <w:sz w:val="16"/>
                <w:szCs w:val="16"/>
                <w:lang w:val="sr-Cyrl-CS"/>
              </w:rPr>
              <w:t>36</w:t>
            </w:r>
          </w:p>
        </w:tc>
        <w:tc>
          <w:tcPr>
            <w:tcW w:w="0" w:type="auto"/>
            <w:hideMark/>
          </w:tcPr>
          <w:p w14:paraId="0280F0D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5038</w:t>
            </w:r>
          </w:p>
        </w:tc>
        <w:tc>
          <w:tcPr>
            <w:tcW w:w="0" w:type="auto"/>
            <w:hideMark/>
          </w:tcPr>
          <w:p w14:paraId="27A4BE6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Адаптација бродске преводнице у саставу ХЕПС „Ђердап 1”</w:t>
            </w:r>
          </w:p>
        </w:tc>
        <w:tc>
          <w:tcPr>
            <w:tcW w:w="0" w:type="auto"/>
            <w:noWrap/>
            <w:vAlign w:val="center"/>
            <w:hideMark/>
          </w:tcPr>
          <w:p w14:paraId="76293BC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3,522,888,965</w:t>
            </w:r>
          </w:p>
        </w:tc>
        <w:tc>
          <w:tcPr>
            <w:tcW w:w="0" w:type="auto"/>
            <w:noWrap/>
            <w:vAlign w:val="center"/>
          </w:tcPr>
          <w:p w14:paraId="26E72147" w14:textId="0984447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0BF46E7F" w14:textId="2E04CEF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3B3FBF7A" w14:textId="4BEF14FB"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17A16DC9" w14:textId="3EA49B85"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6FD6FE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3,522,888,965</w:t>
            </w:r>
          </w:p>
        </w:tc>
      </w:tr>
      <w:tr w:rsidR="00714AD2" w:rsidRPr="00F5596D" w14:paraId="59BC576C"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4261E24" w14:textId="77777777" w:rsidR="00714AD2" w:rsidRPr="00F5596D" w:rsidRDefault="00714AD2" w:rsidP="00592961">
            <w:pPr>
              <w:jc w:val="center"/>
              <w:rPr>
                <w:sz w:val="16"/>
                <w:szCs w:val="16"/>
                <w:lang w:val="sr-Cyrl-CS"/>
              </w:rPr>
            </w:pPr>
            <w:r w:rsidRPr="00F5596D">
              <w:rPr>
                <w:sz w:val="16"/>
                <w:szCs w:val="16"/>
                <w:lang w:val="sr-Cyrl-CS"/>
              </w:rPr>
              <w:t>37</w:t>
            </w:r>
          </w:p>
        </w:tc>
        <w:tc>
          <w:tcPr>
            <w:tcW w:w="0" w:type="auto"/>
            <w:hideMark/>
          </w:tcPr>
          <w:p w14:paraId="655F090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5048</w:t>
            </w:r>
          </w:p>
        </w:tc>
        <w:tc>
          <w:tcPr>
            <w:tcW w:w="0" w:type="auto"/>
            <w:hideMark/>
          </w:tcPr>
          <w:p w14:paraId="09EACD2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аутопута Е-763, деоница: Нови Београд-Сурчин</w:t>
            </w:r>
          </w:p>
        </w:tc>
        <w:tc>
          <w:tcPr>
            <w:tcW w:w="0" w:type="auto"/>
            <w:noWrap/>
            <w:vAlign w:val="center"/>
            <w:hideMark/>
          </w:tcPr>
          <w:p w14:paraId="0FCD291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10,061,069,170</w:t>
            </w:r>
          </w:p>
        </w:tc>
        <w:tc>
          <w:tcPr>
            <w:tcW w:w="0" w:type="auto"/>
            <w:noWrap/>
            <w:vAlign w:val="center"/>
            <w:hideMark/>
          </w:tcPr>
          <w:p w14:paraId="4CAD00C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600,000,000</w:t>
            </w:r>
          </w:p>
        </w:tc>
        <w:tc>
          <w:tcPr>
            <w:tcW w:w="0" w:type="auto"/>
            <w:noWrap/>
            <w:vAlign w:val="center"/>
            <w:hideMark/>
          </w:tcPr>
          <w:p w14:paraId="24030A4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852,347,438</w:t>
            </w:r>
          </w:p>
        </w:tc>
        <w:tc>
          <w:tcPr>
            <w:tcW w:w="0" w:type="auto"/>
            <w:noWrap/>
            <w:vAlign w:val="center"/>
            <w:hideMark/>
          </w:tcPr>
          <w:p w14:paraId="23AE7D5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400,000,000</w:t>
            </w:r>
          </w:p>
        </w:tc>
        <w:tc>
          <w:tcPr>
            <w:tcW w:w="0" w:type="auto"/>
            <w:noWrap/>
            <w:vAlign w:val="center"/>
            <w:hideMark/>
          </w:tcPr>
          <w:p w14:paraId="780C59BC" w14:textId="6FDDC8A6"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CDB72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11,913,416,608</w:t>
            </w:r>
          </w:p>
        </w:tc>
      </w:tr>
      <w:tr w:rsidR="00714AD2" w:rsidRPr="00F5596D" w14:paraId="58531FA6"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972C292" w14:textId="77777777" w:rsidR="00714AD2" w:rsidRPr="00F5596D" w:rsidRDefault="00714AD2" w:rsidP="00592961">
            <w:pPr>
              <w:jc w:val="center"/>
              <w:rPr>
                <w:sz w:val="16"/>
                <w:szCs w:val="16"/>
                <w:lang w:val="sr-Cyrl-CS"/>
              </w:rPr>
            </w:pPr>
            <w:r w:rsidRPr="00F5596D">
              <w:rPr>
                <w:sz w:val="16"/>
                <w:szCs w:val="16"/>
                <w:lang w:val="sr-Cyrl-CS"/>
              </w:rPr>
              <w:t>38</w:t>
            </w:r>
          </w:p>
        </w:tc>
        <w:tc>
          <w:tcPr>
            <w:tcW w:w="0" w:type="auto"/>
            <w:hideMark/>
          </w:tcPr>
          <w:p w14:paraId="329F29F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5082</w:t>
            </w:r>
          </w:p>
        </w:tc>
        <w:tc>
          <w:tcPr>
            <w:tcW w:w="0" w:type="auto"/>
            <w:hideMark/>
          </w:tcPr>
          <w:p w14:paraId="1F18C04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пруге између Земун поља и Националног стадиона</w:t>
            </w:r>
          </w:p>
        </w:tc>
        <w:tc>
          <w:tcPr>
            <w:tcW w:w="0" w:type="auto"/>
            <w:noWrap/>
            <w:vAlign w:val="center"/>
            <w:hideMark/>
          </w:tcPr>
          <w:p w14:paraId="1395CA8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11,768,461,559</w:t>
            </w:r>
          </w:p>
        </w:tc>
        <w:tc>
          <w:tcPr>
            <w:tcW w:w="0" w:type="auto"/>
            <w:noWrap/>
            <w:vAlign w:val="center"/>
            <w:hideMark/>
          </w:tcPr>
          <w:p w14:paraId="74864E6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18,000,000,000</w:t>
            </w:r>
          </w:p>
        </w:tc>
        <w:tc>
          <w:tcPr>
            <w:tcW w:w="0" w:type="auto"/>
            <w:noWrap/>
            <w:vAlign w:val="center"/>
            <w:hideMark/>
          </w:tcPr>
          <w:p w14:paraId="5F7A2D8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15,028,765,681</w:t>
            </w:r>
          </w:p>
        </w:tc>
        <w:tc>
          <w:tcPr>
            <w:tcW w:w="0" w:type="auto"/>
            <w:noWrap/>
            <w:vAlign w:val="center"/>
            <w:hideMark/>
          </w:tcPr>
          <w:p w14:paraId="6D30FD0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2,357,760,424</w:t>
            </w:r>
          </w:p>
        </w:tc>
        <w:tc>
          <w:tcPr>
            <w:tcW w:w="0" w:type="auto"/>
            <w:noWrap/>
            <w:vAlign w:val="center"/>
            <w:hideMark/>
          </w:tcPr>
          <w:p w14:paraId="0B684B8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B26BDF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47,154,987,664</w:t>
            </w:r>
          </w:p>
        </w:tc>
      </w:tr>
      <w:tr w:rsidR="00714AD2" w:rsidRPr="00F5596D" w14:paraId="07B06258"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07F1F880" w14:textId="77777777" w:rsidR="00714AD2" w:rsidRPr="00F5596D" w:rsidRDefault="00714AD2" w:rsidP="00592961">
            <w:pPr>
              <w:jc w:val="center"/>
              <w:rPr>
                <w:sz w:val="16"/>
                <w:szCs w:val="16"/>
                <w:lang w:val="sr-Cyrl-CS"/>
              </w:rPr>
            </w:pPr>
            <w:r w:rsidRPr="00F5596D">
              <w:rPr>
                <w:sz w:val="16"/>
                <w:szCs w:val="16"/>
                <w:lang w:val="sr-Cyrl-CS"/>
              </w:rPr>
              <w:t>39</w:t>
            </w:r>
          </w:p>
        </w:tc>
        <w:tc>
          <w:tcPr>
            <w:tcW w:w="0" w:type="auto"/>
            <w:hideMark/>
          </w:tcPr>
          <w:p w14:paraId="68D70E2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5084</w:t>
            </w:r>
          </w:p>
        </w:tc>
        <w:tc>
          <w:tcPr>
            <w:tcW w:w="0" w:type="auto"/>
            <w:hideMark/>
          </w:tcPr>
          <w:p w14:paraId="1D45FAB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Реконструкција и модернизација деонице пруге Београд – Ниш</w:t>
            </w:r>
          </w:p>
        </w:tc>
        <w:tc>
          <w:tcPr>
            <w:tcW w:w="0" w:type="auto"/>
            <w:noWrap/>
            <w:vAlign w:val="center"/>
          </w:tcPr>
          <w:p w14:paraId="20AFA8C1" w14:textId="56A81F3D"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0DE9B408" w14:textId="25700CCF"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59AC480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10,000,000,000</w:t>
            </w:r>
          </w:p>
        </w:tc>
        <w:tc>
          <w:tcPr>
            <w:tcW w:w="0" w:type="auto"/>
            <w:noWrap/>
            <w:vAlign w:val="center"/>
            <w:hideMark/>
          </w:tcPr>
          <w:p w14:paraId="4155474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30,000,000,000</w:t>
            </w:r>
          </w:p>
        </w:tc>
        <w:tc>
          <w:tcPr>
            <w:tcW w:w="0" w:type="auto"/>
            <w:noWrap/>
            <w:vAlign w:val="center"/>
            <w:hideMark/>
          </w:tcPr>
          <w:p w14:paraId="7F9C7B3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48,260,360,000</w:t>
            </w:r>
          </w:p>
        </w:tc>
        <w:tc>
          <w:tcPr>
            <w:tcW w:w="0" w:type="auto"/>
            <w:noWrap/>
            <w:vAlign w:val="center"/>
            <w:hideMark/>
          </w:tcPr>
          <w:p w14:paraId="312F893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208,618,748,882</w:t>
            </w:r>
          </w:p>
        </w:tc>
      </w:tr>
      <w:tr w:rsidR="00714AD2" w:rsidRPr="00F5596D" w14:paraId="4AEEC06C"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14B98F81" w14:textId="77777777" w:rsidR="00714AD2" w:rsidRPr="00F5596D" w:rsidRDefault="00714AD2" w:rsidP="00592961">
            <w:pPr>
              <w:jc w:val="center"/>
              <w:rPr>
                <w:sz w:val="16"/>
                <w:szCs w:val="16"/>
                <w:lang w:val="sr-Cyrl-CS"/>
              </w:rPr>
            </w:pPr>
            <w:r w:rsidRPr="00F5596D">
              <w:rPr>
                <w:sz w:val="16"/>
                <w:szCs w:val="16"/>
                <w:lang w:val="sr-Cyrl-CS"/>
              </w:rPr>
              <w:t>40</w:t>
            </w:r>
          </w:p>
        </w:tc>
        <w:tc>
          <w:tcPr>
            <w:tcW w:w="0" w:type="auto"/>
            <w:hideMark/>
          </w:tcPr>
          <w:p w14:paraId="2DC310E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5085</w:t>
            </w:r>
          </w:p>
        </w:tc>
        <w:tc>
          <w:tcPr>
            <w:tcW w:w="0" w:type="auto"/>
            <w:hideMark/>
          </w:tcPr>
          <w:p w14:paraId="2F6CE50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пешачко-бициклистичког моста на стубовима старог моста у Новом Саду</w:t>
            </w:r>
          </w:p>
        </w:tc>
        <w:tc>
          <w:tcPr>
            <w:tcW w:w="0" w:type="auto"/>
            <w:noWrap/>
            <w:vAlign w:val="center"/>
            <w:hideMark/>
          </w:tcPr>
          <w:p w14:paraId="7F9B3FB1" w14:textId="58E7142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1E756B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22F5CBF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4A9FCD9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5,000,000,000</w:t>
            </w:r>
          </w:p>
        </w:tc>
        <w:tc>
          <w:tcPr>
            <w:tcW w:w="0" w:type="auto"/>
            <w:noWrap/>
            <w:vAlign w:val="center"/>
            <w:hideMark/>
          </w:tcPr>
          <w:p w14:paraId="6F9F873A" w14:textId="622B09C9"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5613A6B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6,000,000,000</w:t>
            </w:r>
          </w:p>
        </w:tc>
      </w:tr>
      <w:tr w:rsidR="00714AD2" w:rsidRPr="00F5596D" w14:paraId="2625B91A"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4458CD32" w14:textId="77777777" w:rsidR="00714AD2" w:rsidRPr="00F5596D" w:rsidRDefault="00714AD2" w:rsidP="00592961">
            <w:pPr>
              <w:jc w:val="center"/>
              <w:rPr>
                <w:sz w:val="16"/>
                <w:szCs w:val="16"/>
                <w:lang w:val="sr-Cyrl-CS"/>
              </w:rPr>
            </w:pPr>
            <w:r w:rsidRPr="00F5596D">
              <w:rPr>
                <w:sz w:val="16"/>
                <w:szCs w:val="16"/>
                <w:lang w:val="sr-Cyrl-CS"/>
              </w:rPr>
              <w:t>41</w:t>
            </w:r>
          </w:p>
        </w:tc>
        <w:tc>
          <w:tcPr>
            <w:tcW w:w="0" w:type="auto"/>
            <w:hideMark/>
          </w:tcPr>
          <w:p w14:paraId="1DC4C87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5001</w:t>
            </w:r>
          </w:p>
        </w:tc>
        <w:tc>
          <w:tcPr>
            <w:tcW w:w="0" w:type="auto"/>
            <w:hideMark/>
          </w:tcPr>
          <w:p w14:paraId="214B33C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система за наводњавање - прва фаза</w:t>
            </w:r>
          </w:p>
        </w:tc>
        <w:tc>
          <w:tcPr>
            <w:tcW w:w="0" w:type="auto"/>
            <w:noWrap/>
            <w:vAlign w:val="center"/>
            <w:hideMark/>
          </w:tcPr>
          <w:p w14:paraId="5D0E3C1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9,620,176,502</w:t>
            </w:r>
          </w:p>
        </w:tc>
        <w:tc>
          <w:tcPr>
            <w:tcW w:w="0" w:type="auto"/>
            <w:noWrap/>
            <w:vAlign w:val="center"/>
            <w:hideMark/>
          </w:tcPr>
          <w:p w14:paraId="0625618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417,466,000</w:t>
            </w:r>
          </w:p>
        </w:tc>
        <w:tc>
          <w:tcPr>
            <w:tcW w:w="0" w:type="auto"/>
            <w:noWrap/>
            <w:vAlign w:val="center"/>
            <w:hideMark/>
          </w:tcPr>
          <w:p w14:paraId="631A6F7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98,357,498</w:t>
            </w:r>
          </w:p>
        </w:tc>
        <w:tc>
          <w:tcPr>
            <w:tcW w:w="0" w:type="auto"/>
            <w:noWrap/>
            <w:vAlign w:val="center"/>
            <w:hideMark/>
          </w:tcPr>
          <w:p w14:paraId="0832639A" w14:textId="448D3216"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023AFBD" w14:textId="2F2CB0A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4419A04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10,136,000,000</w:t>
            </w:r>
          </w:p>
        </w:tc>
      </w:tr>
      <w:tr w:rsidR="00714AD2" w:rsidRPr="00F5596D" w14:paraId="4EEE8E75"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03AEBF8" w14:textId="77777777" w:rsidR="00714AD2" w:rsidRPr="00F5596D" w:rsidRDefault="00714AD2" w:rsidP="00592961">
            <w:pPr>
              <w:jc w:val="center"/>
              <w:rPr>
                <w:sz w:val="16"/>
                <w:szCs w:val="16"/>
                <w:lang w:val="sr-Cyrl-CS"/>
              </w:rPr>
            </w:pPr>
            <w:r w:rsidRPr="00F5596D">
              <w:rPr>
                <w:sz w:val="16"/>
                <w:szCs w:val="16"/>
                <w:lang w:val="sr-Cyrl-CS"/>
              </w:rPr>
              <w:t>42</w:t>
            </w:r>
          </w:p>
        </w:tc>
        <w:tc>
          <w:tcPr>
            <w:tcW w:w="0" w:type="auto"/>
            <w:hideMark/>
          </w:tcPr>
          <w:p w14:paraId="3F7B548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5003</w:t>
            </w:r>
          </w:p>
        </w:tc>
        <w:tc>
          <w:tcPr>
            <w:tcW w:w="0" w:type="auto"/>
            <w:hideMark/>
          </w:tcPr>
          <w:p w14:paraId="7967555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Брана са акумулацијом „АРИЉЕ” профил „СВРАЧКОВО” Ариље</w:t>
            </w:r>
          </w:p>
        </w:tc>
        <w:tc>
          <w:tcPr>
            <w:tcW w:w="0" w:type="auto"/>
            <w:noWrap/>
            <w:vAlign w:val="center"/>
            <w:hideMark/>
          </w:tcPr>
          <w:p w14:paraId="0C41428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6,505,486,755</w:t>
            </w:r>
          </w:p>
        </w:tc>
        <w:tc>
          <w:tcPr>
            <w:tcW w:w="0" w:type="auto"/>
            <w:noWrap/>
            <w:vAlign w:val="center"/>
            <w:hideMark/>
          </w:tcPr>
          <w:p w14:paraId="3EA1BB6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701,209,000</w:t>
            </w:r>
          </w:p>
        </w:tc>
        <w:tc>
          <w:tcPr>
            <w:tcW w:w="0" w:type="auto"/>
            <w:noWrap/>
            <w:vAlign w:val="center"/>
            <w:hideMark/>
          </w:tcPr>
          <w:p w14:paraId="5D9F95D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701,209,000</w:t>
            </w:r>
          </w:p>
        </w:tc>
        <w:tc>
          <w:tcPr>
            <w:tcW w:w="0" w:type="auto"/>
            <w:noWrap/>
            <w:vAlign w:val="center"/>
            <w:hideMark/>
          </w:tcPr>
          <w:p w14:paraId="4E444C1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1,523,330,000</w:t>
            </w:r>
          </w:p>
        </w:tc>
        <w:tc>
          <w:tcPr>
            <w:tcW w:w="0" w:type="auto"/>
            <w:noWrap/>
            <w:vAlign w:val="center"/>
            <w:hideMark/>
          </w:tcPr>
          <w:p w14:paraId="2D29142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1,523,330,000</w:t>
            </w:r>
          </w:p>
        </w:tc>
        <w:tc>
          <w:tcPr>
            <w:tcW w:w="0" w:type="auto"/>
            <w:noWrap/>
            <w:vAlign w:val="center"/>
            <w:hideMark/>
          </w:tcPr>
          <w:p w14:paraId="1BF6322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19,111,000,000</w:t>
            </w:r>
          </w:p>
        </w:tc>
      </w:tr>
      <w:tr w:rsidR="00714AD2" w:rsidRPr="00F5596D" w14:paraId="2A7CFE64"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30DBF040" w14:textId="77777777" w:rsidR="00714AD2" w:rsidRPr="00F5596D" w:rsidRDefault="00714AD2" w:rsidP="00592961">
            <w:pPr>
              <w:jc w:val="center"/>
              <w:rPr>
                <w:sz w:val="16"/>
                <w:szCs w:val="16"/>
                <w:lang w:val="sr-Cyrl-CS"/>
              </w:rPr>
            </w:pPr>
            <w:r w:rsidRPr="00F5596D">
              <w:rPr>
                <w:sz w:val="16"/>
                <w:szCs w:val="16"/>
                <w:lang w:val="sr-Cyrl-CS"/>
              </w:rPr>
              <w:lastRenderedPageBreak/>
              <w:t>43</w:t>
            </w:r>
          </w:p>
        </w:tc>
        <w:tc>
          <w:tcPr>
            <w:tcW w:w="0" w:type="auto"/>
            <w:hideMark/>
          </w:tcPr>
          <w:p w14:paraId="009CA79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5003</w:t>
            </w:r>
          </w:p>
        </w:tc>
        <w:tc>
          <w:tcPr>
            <w:tcW w:w="0" w:type="auto"/>
            <w:hideMark/>
          </w:tcPr>
          <w:p w14:paraId="14D6D5C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Набавка опреме за сакупљање и рециклажу</w:t>
            </w:r>
          </w:p>
        </w:tc>
        <w:tc>
          <w:tcPr>
            <w:tcW w:w="0" w:type="auto"/>
            <w:noWrap/>
            <w:vAlign w:val="center"/>
            <w:hideMark/>
          </w:tcPr>
          <w:p w14:paraId="10D3FF6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1,848,694,304</w:t>
            </w:r>
          </w:p>
        </w:tc>
        <w:tc>
          <w:tcPr>
            <w:tcW w:w="0" w:type="auto"/>
            <w:noWrap/>
            <w:vAlign w:val="center"/>
            <w:hideMark/>
          </w:tcPr>
          <w:p w14:paraId="2FFAA63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3DC680B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0345366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1143D81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183,538,464</w:t>
            </w:r>
          </w:p>
        </w:tc>
        <w:tc>
          <w:tcPr>
            <w:tcW w:w="0" w:type="auto"/>
            <w:noWrap/>
            <w:vAlign w:val="center"/>
            <w:hideMark/>
          </w:tcPr>
          <w:p w14:paraId="72C5D4A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3,532,232,768</w:t>
            </w:r>
          </w:p>
        </w:tc>
      </w:tr>
      <w:tr w:rsidR="00714AD2" w:rsidRPr="00F5596D" w14:paraId="32F92FBD"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837FA74" w14:textId="77777777" w:rsidR="00714AD2" w:rsidRPr="00F5596D" w:rsidRDefault="00714AD2" w:rsidP="00592961">
            <w:pPr>
              <w:jc w:val="center"/>
              <w:rPr>
                <w:sz w:val="16"/>
                <w:szCs w:val="16"/>
                <w:lang w:val="sr-Cyrl-CS"/>
              </w:rPr>
            </w:pPr>
            <w:r w:rsidRPr="00F5596D">
              <w:rPr>
                <w:sz w:val="16"/>
                <w:szCs w:val="16"/>
                <w:lang w:val="sr-Cyrl-CS"/>
              </w:rPr>
              <w:t>44</w:t>
            </w:r>
          </w:p>
        </w:tc>
        <w:tc>
          <w:tcPr>
            <w:tcW w:w="0" w:type="auto"/>
            <w:hideMark/>
          </w:tcPr>
          <w:p w14:paraId="368FE97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5002</w:t>
            </w:r>
          </w:p>
        </w:tc>
        <w:tc>
          <w:tcPr>
            <w:tcW w:w="0" w:type="auto"/>
            <w:hideMark/>
          </w:tcPr>
          <w:p w14:paraId="49FD46D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образовно-научних центара</w:t>
            </w:r>
          </w:p>
        </w:tc>
        <w:tc>
          <w:tcPr>
            <w:tcW w:w="0" w:type="auto"/>
            <w:noWrap/>
            <w:vAlign w:val="center"/>
            <w:hideMark/>
          </w:tcPr>
          <w:p w14:paraId="14936533" w14:textId="24B42F9E"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759E06C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233,109,000</w:t>
            </w:r>
          </w:p>
        </w:tc>
        <w:tc>
          <w:tcPr>
            <w:tcW w:w="0" w:type="auto"/>
            <w:noWrap/>
            <w:vAlign w:val="center"/>
            <w:hideMark/>
          </w:tcPr>
          <w:p w14:paraId="4A7600E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1,955,360,000</w:t>
            </w:r>
          </w:p>
        </w:tc>
        <w:tc>
          <w:tcPr>
            <w:tcW w:w="0" w:type="auto"/>
            <w:noWrap/>
            <w:vAlign w:val="center"/>
            <w:hideMark/>
          </w:tcPr>
          <w:p w14:paraId="2C0DF2F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1,955,360,000</w:t>
            </w:r>
          </w:p>
        </w:tc>
        <w:tc>
          <w:tcPr>
            <w:tcW w:w="0" w:type="auto"/>
            <w:noWrap/>
            <w:vAlign w:val="center"/>
            <w:hideMark/>
          </w:tcPr>
          <w:p w14:paraId="2E2DCA8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385,224,000</w:t>
            </w:r>
          </w:p>
        </w:tc>
        <w:tc>
          <w:tcPr>
            <w:tcW w:w="0" w:type="auto"/>
            <w:noWrap/>
            <w:vAlign w:val="center"/>
            <w:hideMark/>
          </w:tcPr>
          <w:p w14:paraId="2DBFD27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4,751,304,000</w:t>
            </w:r>
          </w:p>
        </w:tc>
      </w:tr>
      <w:tr w:rsidR="00714AD2" w:rsidRPr="00F5596D" w14:paraId="595351CA"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1CA934B6" w14:textId="77777777" w:rsidR="00714AD2" w:rsidRPr="00F5596D" w:rsidRDefault="00714AD2" w:rsidP="00592961">
            <w:pPr>
              <w:jc w:val="center"/>
              <w:rPr>
                <w:sz w:val="16"/>
                <w:szCs w:val="16"/>
                <w:lang w:val="sr-Cyrl-CS"/>
              </w:rPr>
            </w:pPr>
            <w:r w:rsidRPr="00F5596D">
              <w:rPr>
                <w:sz w:val="16"/>
                <w:szCs w:val="16"/>
                <w:lang w:val="sr-Cyrl-CS"/>
              </w:rPr>
              <w:t>45</w:t>
            </w:r>
          </w:p>
        </w:tc>
        <w:tc>
          <w:tcPr>
            <w:tcW w:w="0" w:type="auto"/>
            <w:hideMark/>
          </w:tcPr>
          <w:p w14:paraId="2257F5C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5001</w:t>
            </w:r>
          </w:p>
        </w:tc>
        <w:tc>
          <w:tcPr>
            <w:tcW w:w="0" w:type="auto"/>
            <w:hideMark/>
          </w:tcPr>
          <w:p w14:paraId="237D581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Реконструкција Универзитетског клиничког центра Србије, Београд</w:t>
            </w:r>
          </w:p>
        </w:tc>
        <w:tc>
          <w:tcPr>
            <w:tcW w:w="0" w:type="auto"/>
            <w:noWrap/>
            <w:vAlign w:val="center"/>
            <w:hideMark/>
          </w:tcPr>
          <w:p w14:paraId="1AAA5BE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14,359,133,063</w:t>
            </w:r>
          </w:p>
        </w:tc>
        <w:tc>
          <w:tcPr>
            <w:tcW w:w="0" w:type="auto"/>
            <w:noWrap/>
            <w:vAlign w:val="center"/>
            <w:hideMark/>
          </w:tcPr>
          <w:p w14:paraId="1494811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20281BF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820,315,034</w:t>
            </w:r>
          </w:p>
        </w:tc>
        <w:tc>
          <w:tcPr>
            <w:tcW w:w="0" w:type="auto"/>
            <w:noWrap/>
            <w:vAlign w:val="center"/>
          </w:tcPr>
          <w:p w14:paraId="3DC62581" w14:textId="6CAB43F9"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75999DFA" w14:textId="6F2EACE2"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14E710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15,679,448,097</w:t>
            </w:r>
          </w:p>
        </w:tc>
      </w:tr>
      <w:tr w:rsidR="00714AD2" w:rsidRPr="00F5596D" w14:paraId="03BDA4DA"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C75A552" w14:textId="77777777" w:rsidR="00714AD2" w:rsidRPr="00F5596D" w:rsidRDefault="00714AD2" w:rsidP="00592961">
            <w:pPr>
              <w:jc w:val="center"/>
              <w:rPr>
                <w:sz w:val="16"/>
                <w:szCs w:val="16"/>
                <w:lang w:val="sr-Cyrl-CS"/>
              </w:rPr>
            </w:pPr>
            <w:r w:rsidRPr="00F5596D">
              <w:rPr>
                <w:sz w:val="16"/>
                <w:szCs w:val="16"/>
                <w:lang w:val="sr-Cyrl-CS"/>
              </w:rPr>
              <w:t>46</w:t>
            </w:r>
          </w:p>
        </w:tc>
        <w:tc>
          <w:tcPr>
            <w:tcW w:w="0" w:type="auto"/>
            <w:hideMark/>
          </w:tcPr>
          <w:p w14:paraId="78542D0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5003</w:t>
            </w:r>
          </w:p>
        </w:tc>
        <w:tc>
          <w:tcPr>
            <w:tcW w:w="0" w:type="auto"/>
            <w:hideMark/>
          </w:tcPr>
          <w:p w14:paraId="50514C1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Набавка опреме за УКЦ Војводине, Нови Сад</w:t>
            </w:r>
          </w:p>
        </w:tc>
        <w:tc>
          <w:tcPr>
            <w:tcW w:w="0" w:type="auto"/>
            <w:noWrap/>
            <w:vAlign w:val="center"/>
            <w:hideMark/>
          </w:tcPr>
          <w:p w14:paraId="59E0549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3,697,511,435</w:t>
            </w:r>
          </w:p>
        </w:tc>
        <w:tc>
          <w:tcPr>
            <w:tcW w:w="0" w:type="auto"/>
            <w:noWrap/>
            <w:vAlign w:val="center"/>
            <w:hideMark/>
          </w:tcPr>
          <w:p w14:paraId="0E19D69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1,699,200,000</w:t>
            </w:r>
          </w:p>
        </w:tc>
        <w:tc>
          <w:tcPr>
            <w:tcW w:w="0" w:type="auto"/>
            <w:noWrap/>
            <w:vAlign w:val="center"/>
            <w:hideMark/>
          </w:tcPr>
          <w:p w14:paraId="104AE98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203,288,565</w:t>
            </w:r>
          </w:p>
        </w:tc>
        <w:tc>
          <w:tcPr>
            <w:tcW w:w="0" w:type="auto"/>
            <w:noWrap/>
            <w:vAlign w:val="center"/>
          </w:tcPr>
          <w:p w14:paraId="24EDA521" w14:textId="3247A6A5"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4BE4A899" w14:textId="015B9AA0"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E24C59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5,600,000,000</w:t>
            </w:r>
          </w:p>
        </w:tc>
      </w:tr>
      <w:tr w:rsidR="00714AD2" w:rsidRPr="00F5596D" w14:paraId="4D57F861"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1D69F4FF" w14:textId="77777777" w:rsidR="00714AD2" w:rsidRPr="00F5596D" w:rsidRDefault="00714AD2" w:rsidP="00592961">
            <w:pPr>
              <w:jc w:val="center"/>
              <w:rPr>
                <w:sz w:val="16"/>
                <w:szCs w:val="16"/>
                <w:lang w:val="sr-Cyrl-CS"/>
              </w:rPr>
            </w:pPr>
            <w:r w:rsidRPr="00F5596D">
              <w:rPr>
                <w:sz w:val="16"/>
                <w:szCs w:val="16"/>
                <w:lang w:val="sr-Cyrl-CS"/>
              </w:rPr>
              <w:t>47</w:t>
            </w:r>
          </w:p>
        </w:tc>
        <w:tc>
          <w:tcPr>
            <w:tcW w:w="0" w:type="auto"/>
            <w:hideMark/>
          </w:tcPr>
          <w:p w14:paraId="04E89E2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5001</w:t>
            </w:r>
          </w:p>
        </w:tc>
        <w:tc>
          <w:tcPr>
            <w:tcW w:w="0" w:type="auto"/>
            <w:hideMark/>
          </w:tcPr>
          <w:p w14:paraId="6B07E48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резервоара у складишту деривата нафте у Смедереву</w:t>
            </w:r>
          </w:p>
        </w:tc>
        <w:tc>
          <w:tcPr>
            <w:tcW w:w="0" w:type="auto"/>
            <w:noWrap/>
            <w:vAlign w:val="center"/>
            <w:hideMark/>
          </w:tcPr>
          <w:p w14:paraId="28D70F3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2,884,999,646</w:t>
            </w:r>
          </w:p>
        </w:tc>
        <w:tc>
          <w:tcPr>
            <w:tcW w:w="0" w:type="auto"/>
            <w:noWrap/>
            <w:vAlign w:val="center"/>
            <w:hideMark/>
          </w:tcPr>
          <w:p w14:paraId="5D70B5A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16,420,000</w:t>
            </w:r>
          </w:p>
        </w:tc>
        <w:tc>
          <w:tcPr>
            <w:tcW w:w="0" w:type="auto"/>
            <w:noWrap/>
            <w:vAlign w:val="center"/>
            <w:hideMark/>
          </w:tcPr>
          <w:p w14:paraId="47F4E836" w14:textId="2FAEBE3A"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197D29B9" w14:textId="44A67C0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71B66A55" w14:textId="01D0DC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7E1A2DB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2,901,419,646</w:t>
            </w:r>
          </w:p>
        </w:tc>
      </w:tr>
      <w:tr w:rsidR="00714AD2" w:rsidRPr="00F5596D" w14:paraId="53270E27"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42E07EAD" w14:textId="77777777" w:rsidR="00714AD2" w:rsidRPr="00F5596D" w:rsidRDefault="00714AD2" w:rsidP="00592961">
            <w:pPr>
              <w:jc w:val="center"/>
              <w:rPr>
                <w:sz w:val="16"/>
                <w:szCs w:val="16"/>
                <w:lang w:val="sr-Cyrl-CS"/>
              </w:rPr>
            </w:pPr>
            <w:r w:rsidRPr="00F5596D">
              <w:rPr>
                <w:sz w:val="16"/>
                <w:szCs w:val="16"/>
                <w:lang w:val="sr-Cyrl-CS"/>
              </w:rPr>
              <w:t>48</w:t>
            </w:r>
          </w:p>
        </w:tc>
        <w:tc>
          <w:tcPr>
            <w:tcW w:w="0" w:type="auto"/>
            <w:hideMark/>
          </w:tcPr>
          <w:p w14:paraId="396879B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5008</w:t>
            </w:r>
          </w:p>
        </w:tc>
        <w:tc>
          <w:tcPr>
            <w:tcW w:w="0" w:type="auto"/>
            <w:hideMark/>
          </w:tcPr>
          <w:p w14:paraId="7812CE5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нове зграде Природњачког музеја</w:t>
            </w:r>
          </w:p>
        </w:tc>
        <w:tc>
          <w:tcPr>
            <w:tcW w:w="0" w:type="auto"/>
            <w:noWrap/>
            <w:vAlign w:val="center"/>
            <w:hideMark/>
          </w:tcPr>
          <w:p w14:paraId="04824CBA" w14:textId="4730592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5C637B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450,000,000</w:t>
            </w:r>
          </w:p>
        </w:tc>
        <w:tc>
          <w:tcPr>
            <w:tcW w:w="0" w:type="auto"/>
            <w:noWrap/>
            <w:vAlign w:val="center"/>
            <w:hideMark/>
          </w:tcPr>
          <w:p w14:paraId="7055220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9,600,000,000</w:t>
            </w:r>
          </w:p>
        </w:tc>
        <w:tc>
          <w:tcPr>
            <w:tcW w:w="0" w:type="auto"/>
            <w:noWrap/>
            <w:vAlign w:val="center"/>
            <w:hideMark/>
          </w:tcPr>
          <w:p w14:paraId="0D0754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769,000,000</w:t>
            </w:r>
          </w:p>
        </w:tc>
        <w:tc>
          <w:tcPr>
            <w:tcW w:w="0" w:type="auto"/>
            <w:noWrap/>
            <w:vAlign w:val="center"/>
            <w:hideMark/>
          </w:tcPr>
          <w:p w14:paraId="6D45DE6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2C73022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10,819,000,000</w:t>
            </w:r>
          </w:p>
        </w:tc>
      </w:tr>
      <w:tr w:rsidR="00714AD2" w:rsidRPr="00F5596D" w14:paraId="2C26C243"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1C56C28A" w14:textId="77777777" w:rsidR="00714AD2" w:rsidRPr="00F5596D" w:rsidRDefault="00714AD2" w:rsidP="00592961">
            <w:pPr>
              <w:jc w:val="center"/>
              <w:rPr>
                <w:sz w:val="16"/>
                <w:szCs w:val="16"/>
                <w:lang w:val="sr-Cyrl-CS"/>
              </w:rPr>
            </w:pPr>
            <w:r w:rsidRPr="00F5596D">
              <w:rPr>
                <w:sz w:val="16"/>
                <w:szCs w:val="16"/>
                <w:lang w:val="sr-Cyrl-CS"/>
              </w:rPr>
              <w:t>49</w:t>
            </w:r>
          </w:p>
        </w:tc>
        <w:tc>
          <w:tcPr>
            <w:tcW w:w="0" w:type="auto"/>
            <w:hideMark/>
          </w:tcPr>
          <w:p w14:paraId="4771EFD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5004</w:t>
            </w:r>
          </w:p>
        </w:tc>
        <w:tc>
          <w:tcPr>
            <w:tcW w:w="0" w:type="auto"/>
            <w:hideMark/>
          </w:tcPr>
          <w:p w14:paraId="790ADE6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и уређење туристичке инфраструктуре и супраструктуре на подручју Подунавља</w:t>
            </w:r>
          </w:p>
        </w:tc>
        <w:tc>
          <w:tcPr>
            <w:tcW w:w="0" w:type="auto"/>
            <w:noWrap/>
            <w:vAlign w:val="center"/>
            <w:hideMark/>
          </w:tcPr>
          <w:p w14:paraId="3103D4D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2,284,696,256</w:t>
            </w:r>
          </w:p>
        </w:tc>
        <w:tc>
          <w:tcPr>
            <w:tcW w:w="0" w:type="auto"/>
            <w:noWrap/>
            <w:vAlign w:val="center"/>
            <w:hideMark/>
          </w:tcPr>
          <w:p w14:paraId="7B08FC7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1,282,500,000</w:t>
            </w:r>
          </w:p>
        </w:tc>
        <w:tc>
          <w:tcPr>
            <w:tcW w:w="0" w:type="auto"/>
            <w:noWrap/>
            <w:vAlign w:val="center"/>
            <w:hideMark/>
          </w:tcPr>
          <w:p w14:paraId="22CA628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599,714,524</w:t>
            </w:r>
          </w:p>
        </w:tc>
        <w:tc>
          <w:tcPr>
            <w:tcW w:w="0" w:type="auto"/>
            <w:noWrap/>
            <w:vAlign w:val="center"/>
            <w:hideMark/>
          </w:tcPr>
          <w:p w14:paraId="4933CF3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209,861,613</w:t>
            </w:r>
          </w:p>
        </w:tc>
        <w:tc>
          <w:tcPr>
            <w:tcW w:w="0" w:type="auto"/>
            <w:noWrap/>
            <w:vAlign w:val="center"/>
            <w:hideMark/>
          </w:tcPr>
          <w:p w14:paraId="63A0F420" w14:textId="64ED344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0C2619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4,376,772,393</w:t>
            </w:r>
          </w:p>
        </w:tc>
      </w:tr>
      <w:tr w:rsidR="00714AD2" w:rsidRPr="00F5596D" w14:paraId="162F5D5E"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5F74719" w14:textId="77777777" w:rsidR="00714AD2" w:rsidRPr="00F5596D" w:rsidRDefault="00714AD2" w:rsidP="00592961">
            <w:pPr>
              <w:jc w:val="center"/>
              <w:rPr>
                <w:sz w:val="16"/>
                <w:szCs w:val="16"/>
                <w:lang w:val="sr-Cyrl-CS"/>
              </w:rPr>
            </w:pPr>
            <w:r w:rsidRPr="00F5596D">
              <w:rPr>
                <w:sz w:val="16"/>
                <w:szCs w:val="16"/>
                <w:lang w:val="sr-Cyrl-CS"/>
              </w:rPr>
              <w:t>50</w:t>
            </w:r>
          </w:p>
        </w:tc>
        <w:tc>
          <w:tcPr>
            <w:tcW w:w="0" w:type="auto"/>
            <w:hideMark/>
          </w:tcPr>
          <w:p w14:paraId="5A6F843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5006</w:t>
            </w:r>
          </w:p>
        </w:tc>
        <w:tc>
          <w:tcPr>
            <w:tcW w:w="0" w:type="auto"/>
            <w:hideMark/>
          </w:tcPr>
          <w:p w14:paraId="03300EA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Прибављање објеката у својину Републике Србије</w:t>
            </w:r>
          </w:p>
        </w:tc>
        <w:tc>
          <w:tcPr>
            <w:tcW w:w="0" w:type="auto"/>
            <w:noWrap/>
            <w:vAlign w:val="center"/>
            <w:hideMark/>
          </w:tcPr>
          <w:p w14:paraId="65AF840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2,519,235,959</w:t>
            </w:r>
          </w:p>
        </w:tc>
        <w:tc>
          <w:tcPr>
            <w:tcW w:w="0" w:type="auto"/>
            <w:noWrap/>
            <w:vAlign w:val="center"/>
            <w:hideMark/>
          </w:tcPr>
          <w:p w14:paraId="1969969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1,342,198,000</w:t>
            </w:r>
          </w:p>
        </w:tc>
        <w:tc>
          <w:tcPr>
            <w:tcW w:w="0" w:type="auto"/>
            <w:noWrap/>
            <w:vAlign w:val="center"/>
            <w:hideMark/>
          </w:tcPr>
          <w:p w14:paraId="02C3856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1,358,566,041</w:t>
            </w:r>
          </w:p>
        </w:tc>
        <w:tc>
          <w:tcPr>
            <w:tcW w:w="0" w:type="auto"/>
            <w:noWrap/>
            <w:vAlign w:val="center"/>
          </w:tcPr>
          <w:p w14:paraId="21E1E377" w14:textId="5EC4C05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71E0094C" w14:textId="25378A63"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3AD19AE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5,220,000,000</w:t>
            </w:r>
          </w:p>
        </w:tc>
      </w:tr>
      <w:tr w:rsidR="00714AD2" w:rsidRPr="00F5596D" w14:paraId="639A6D68"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321D9865" w14:textId="77777777" w:rsidR="00714AD2" w:rsidRPr="00F5596D" w:rsidRDefault="00714AD2" w:rsidP="00592961">
            <w:pPr>
              <w:jc w:val="center"/>
              <w:rPr>
                <w:sz w:val="16"/>
                <w:szCs w:val="16"/>
                <w:lang w:val="sr-Cyrl-CS"/>
              </w:rPr>
            </w:pPr>
            <w:r w:rsidRPr="00F5596D">
              <w:rPr>
                <w:sz w:val="16"/>
                <w:szCs w:val="16"/>
                <w:lang w:val="sr-Cyrl-CS"/>
              </w:rPr>
              <w:t>51</w:t>
            </w:r>
          </w:p>
        </w:tc>
        <w:tc>
          <w:tcPr>
            <w:tcW w:w="0" w:type="auto"/>
            <w:hideMark/>
          </w:tcPr>
          <w:p w14:paraId="346C2BD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5007</w:t>
            </w:r>
          </w:p>
        </w:tc>
        <w:tc>
          <w:tcPr>
            <w:tcW w:w="0" w:type="auto"/>
            <w:hideMark/>
          </w:tcPr>
          <w:p w14:paraId="34DAA61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граничног прелаза Сремска Рача</w:t>
            </w:r>
          </w:p>
        </w:tc>
        <w:tc>
          <w:tcPr>
            <w:tcW w:w="0" w:type="auto"/>
            <w:noWrap/>
            <w:vAlign w:val="center"/>
            <w:hideMark/>
          </w:tcPr>
          <w:p w14:paraId="4322385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800,000,000</w:t>
            </w:r>
          </w:p>
        </w:tc>
        <w:tc>
          <w:tcPr>
            <w:tcW w:w="0" w:type="auto"/>
            <w:noWrap/>
            <w:vAlign w:val="center"/>
            <w:hideMark/>
          </w:tcPr>
          <w:p w14:paraId="12D82AB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2,500,000,000</w:t>
            </w:r>
          </w:p>
        </w:tc>
        <w:tc>
          <w:tcPr>
            <w:tcW w:w="0" w:type="auto"/>
            <w:noWrap/>
            <w:vAlign w:val="center"/>
            <w:hideMark/>
          </w:tcPr>
          <w:p w14:paraId="09EC52E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3,200,000,000</w:t>
            </w:r>
          </w:p>
        </w:tc>
        <w:tc>
          <w:tcPr>
            <w:tcW w:w="0" w:type="auto"/>
            <w:noWrap/>
            <w:vAlign w:val="center"/>
          </w:tcPr>
          <w:p w14:paraId="4A3625C3" w14:textId="3DDDFD18"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tcPr>
          <w:p w14:paraId="1A53979D" w14:textId="3D13DBA4"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3EC197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6,500,000,000</w:t>
            </w:r>
          </w:p>
        </w:tc>
      </w:tr>
      <w:tr w:rsidR="00714AD2" w:rsidRPr="00F5596D" w14:paraId="54D43127"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366413EF" w14:textId="77777777" w:rsidR="00714AD2" w:rsidRPr="00F5596D" w:rsidRDefault="00714AD2" w:rsidP="00592961">
            <w:pPr>
              <w:jc w:val="center"/>
              <w:rPr>
                <w:sz w:val="16"/>
                <w:szCs w:val="16"/>
                <w:lang w:val="sr-Cyrl-CS"/>
              </w:rPr>
            </w:pPr>
            <w:r w:rsidRPr="00F5596D">
              <w:rPr>
                <w:sz w:val="16"/>
                <w:szCs w:val="16"/>
                <w:lang w:val="sr-Cyrl-CS"/>
              </w:rPr>
              <w:t>52</w:t>
            </w:r>
          </w:p>
        </w:tc>
        <w:tc>
          <w:tcPr>
            <w:tcW w:w="0" w:type="auto"/>
            <w:hideMark/>
          </w:tcPr>
          <w:p w14:paraId="385D99E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5004</w:t>
            </w:r>
          </w:p>
        </w:tc>
        <w:tc>
          <w:tcPr>
            <w:tcW w:w="0" w:type="auto"/>
            <w:hideMark/>
          </w:tcPr>
          <w:p w14:paraId="79E62A3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Успостављање Дата центра за регистре, „Backup” центар и „Disaster Recovery”</w:t>
            </w:r>
          </w:p>
        </w:tc>
        <w:tc>
          <w:tcPr>
            <w:tcW w:w="0" w:type="auto"/>
            <w:noWrap/>
            <w:vAlign w:val="center"/>
            <w:hideMark/>
          </w:tcPr>
          <w:p w14:paraId="0DEDED5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1,847,674,705</w:t>
            </w:r>
          </w:p>
        </w:tc>
        <w:tc>
          <w:tcPr>
            <w:tcW w:w="0" w:type="auto"/>
            <w:noWrap/>
            <w:vAlign w:val="center"/>
            <w:hideMark/>
          </w:tcPr>
          <w:p w14:paraId="7BB65A4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160,000,000</w:t>
            </w:r>
          </w:p>
        </w:tc>
        <w:tc>
          <w:tcPr>
            <w:tcW w:w="0" w:type="auto"/>
            <w:noWrap/>
            <w:vAlign w:val="center"/>
            <w:hideMark/>
          </w:tcPr>
          <w:p w14:paraId="1DB30AF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1,030,000,000</w:t>
            </w:r>
          </w:p>
        </w:tc>
        <w:tc>
          <w:tcPr>
            <w:tcW w:w="0" w:type="auto"/>
            <w:noWrap/>
            <w:vAlign w:val="center"/>
            <w:hideMark/>
          </w:tcPr>
          <w:p w14:paraId="78B7D12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446,067,855</w:t>
            </w:r>
          </w:p>
        </w:tc>
        <w:tc>
          <w:tcPr>
            <w:tcW w:w="0" w:type="auto"/>
            <w:noWrap/>
            <w:vAlign w:val="center"/>
            <w:hideMark/>
          </w:tcPr>
          <w:p w14:paraId="3EDF02C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C7A8F3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3,483,742,560</w:t>
            </w:r>
          </w:p>
        </w:tc>
      </w:tr>
      <w:tr w:rsidR="00714AD2" w:rsidRPr="00F5596D" w14:paraId="164D0E21"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6B6E83A6" w14:textId="77777777" w:rsidR="00714AD2" w:rsidRPr="00F5596D" w:rsidRDefault="00714AD2" w:rsidP="00592961">
            <w:pPr>
              <w:jc w:val="center"/>
              <w:rPr>
                <w:sz w:val="16"/>
                <w:szCs w:val="16"/>
                <w:lang w:val="sr-Cyrl-CS"/>
              </w:rPr>
            </w:pPr>
            <w:r w:rsidRPr="00F5596D">
              <w:rPr>
                <w:sz w:val="16"/>
                <w:szCs w:val="16"/>
                <w:lang w:val="sr-Cyrl-CS"/>
              </w:rPr>
              <w:t>53</w:t>
            </w:r>
          </w:p>
        </w:tc>
        <w:tc>
          <w:tcPr>
            <w:tcW w:w="0" w:type="auto"/>
            <w:hideMark/>
          </w:tcPr>
          <w:p w14:paraId="09BD796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5006</w:t>
            </w:r>
          </w:p>
        </w:tc>
        <w:tc>
          <w:tcPr>
            <w:tcW w:w="0" w:type="auto"/>
            <w:hideMark/>
          </w:tcPr>
          <w:p w14:paraId="44E664A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Изградња Дата центра у Крагујевцу</w:t>
            </w:r>
          </w:p>
        </w:tc>
        <w:tc>
          <w:tcPr>
            <w:tcW w:w="0" w:type="auto"/>
            <w:noWrap/>
            <w:vAlign w:val="center"/>
            <w:hideMark/>
          </w:tcPr>
          <w:p w14:paraId="55B0B336"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10,529,835,800</w:t>
            </w:r>
          </w:p>
        </w:tc>
        <w:tc>
          <w:tcPr>
            <w:tcW w:w="0" w:type="auto"/>
            <w:noWrap/>
            <w:vAlign w:val="center"/>
            <w:hideMark/>
          </w:tcPr>
          <w:p w14:paraId="76D7F63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1,362,000,000</w:t>
            </w:r>
          </w:p>
        </w:tc>
        <w:tc>
          <w:tcPr>
            <w:tcW w:w="0" w:type="auto"/>
            <w:noWrap/>
            <w:vAlign w:val="center"/>
            <w:hideMark/>
          </w:tcPr>
          <w:p w14:paraId="560D360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2,215,000,000</w:t>
            </w:r>
          </w:p>
        </w:tc>
        <w:tc>
          <w:tcPr>
            <w:tcW w:w="0" w:type="auto"/>
            <w:noWrap/>
            <w:vAlign w:val="center"/>
            <w:hideMark/>
          </w:tcPr>
          <w:p w14:paraId="53DF990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2,728,107,046</w:t>
            </w:r>
          </w:p>
        </w:tc>
        <w:tc>
          <w:tcPr>
            <w:tcW w:w="0" w:type="auto"/>
            <w:noWrap/>
            <w:vAlign w:val="center"/>
            <w:hideMark/>
          </w:tcPr>
          <w:p w14:paraId="43FE17CD"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05E3FC2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16,834,942,846</w:t>
            </w:r>
          </w:p>
        </w:tc>
      </w:tr>
      <w:tr w:rsidR="00714AD2" w:rsidRPr="00F5596D" w14:paraId="354A14C2" w14:textId="77777777" w:rsidTr="00E35ADF">
        <w:trPr>
          <w:trHeight w:val="263"/>
        </w:trPr>
        <w:tc>
          <w:tcPr>
            <w:cnfStyle w:val="001000000000" w:firstRow="0" w:lastRow="0" w:firstColumn="1" w:lastColumn="0" w:oddVBand="0" w:evenVBand="0" w:oddHBand="0" w:evenHBand="0" w:firstRowFirstColumn="0" w:firstRowLastColumn="0" w:lastRowFirstColumn="0" w:lastRowLastColumn="0"/>
            <w:tcW w:w="0" w:type="auto"/>
            <w:noWrap/>
            <w:hideMark/>
          </w:tcPr>
          <w:p w14:paraId="2523D70A" w14:textId="77777777" w:rsidR="00714AD2" w:rsidRPr="00F5596D" w:rsidRDefault="00714AD2" w:rsidP="00592961">
            <w:pPr>
              <w:jc w:val="center"/>
              <w:rPr>
                <w:sz w:val="16"/>
                <w:szCs w:val="16"/>
                <w:lang w:val="sr-Cyrl-CS"/>
              </w:rPr>
            </w:pPr>
            <w:r w:rsidRPr="00F5596D">
              <w:rPr>
                <w:sz w:val="16"/>
                <w:szCs w:val="16"/>
                <w:lang w:val="sr-Cyrl-CS"/>
              </w:rPr>
              <w:t>54</w:t>
            </w:r>
          </w:p>
        </w:tc>
        <w:tc>
          <w:tcPr>
            <w:tcW w:w="0" w:type="auto"/>
            <w:hideMark/>
          </w:tcPr>
          <w:p w14:paraId="6AFD664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5014</w:t>
            </w:r>
          </w:p>
        </w:tc>
        <w:tc>
          <w:tcPr>
            <w:tcW w:w="0" w:type="auto"/>
            <w:hideMark/>
          </w:tcPr>
          <w:p w14:paraId="164AD01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Јединствена информациона комуникациона мрежа е Управе</w:t>
            </w:r>
          </w:p>
        </w:tc>
        <w:tc>
          <w:tcPr>
            <w:tcW w:w="0" w:type="auto"/>
            <w:noWrap/>
            <w:vAlign w:val="center"/>
            <w:hideMark/>
          </w:tcPr>
          <w:p w14:paraId="4F1D279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2,239,816,335</w:t>
            </w:r>
          </w:p>
        </w:tc>
        <w:tc>
          <w:tcPr>
            <w:tcW w:w="0" w:type="auto"/>
            <w:noWrap/>
            <w:vAlign w:val="center"/>
            <w:hideMark/>
          </w:tcPr>
          <w:p w14:paraId="2C85B38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500,000,000</w:t>
            </w:r>
          </w:p>
        </w:tc>
        <w:tc>
          <w:tcPr>
            <w:tcW w:w="0" w:type="auto"/>
            <w:noWrap/>
            <w:vAlign w:val="center"/>
            <w:hideMark/>
          </w:tcPr>
          <w:p w14:paraId="20447DA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950,000,000</w:t>
            </w:r>
          </w:p>
        </w:tc>
        <w:tc>
          <w:tcPr>
            <w:tcW w:w="0" w:type="auto"/>
            <w:noWrap/>
            <w:vAlign w:val="center"/>
            <w:hideMark/>
          </w:tcPr>
          <w:p w14:paraId="7E948FE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782,755,952</w:t>
            </w:r>
          </w:p>
        </w:tc>
        <w:tc>
          <w:tcPr>
            <w:tcW w:w="0" w:type="auto"/>
            <w:noWrap/>
            <w:vAlign w:val="center"/>
            <w:hideMark/>
          </w:tcPr>
          <w:p w14:paraId="2461B23E"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52FFAAD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4,472,572,287</w:t>
            </w:r>
          </w:p>
        </w:tc>
      </w:tr>
      <w:tr w:rsidR="00714AD2" w:rsidRPr="00F5596D" w14:paraId="2C690741" w14:textId="77777777" w:rsidTr="00E35ADF">
        <w:trPr>
          <w:trHeight w:val="525"/>
        </w:trPr>
        <w:tc>
          <w:tcPr>
            <w:cnfStyle w:val="001000000000" w:firstRow="0" w:lastRow="0" w:firstColumn="1" w:lastColumn="0" w:oddVBand="0" w:evenVBand="0" w:oddHBand="0" w:evenHBand="0" w:firstRowFirstColumn="0" w:firstRowLastColumn="0" w:lastRowFirstColumn="0" w:lastRowLastColumn="0"/>
            <w:tcW w:w="0" w:type="auto"/>
            <w:noWrap/>
            <w:hideMark/>
          </w:tcPr>
          <w:p w14:paraId="760B2CB7" w14:textId="77777777" w:rsidR="00714AD2" w:rsidRPr="00F5596D" w:rsidRDefault="00714AD2" w:rsidP="00592961">
            <w:pPr>
              <w:jc w:val="center"/>
              <w:rPr>
                <w:sz w:val="16"/>
                <w:szCs w:val="16"/>
                <w:lang w:val="sr-Cyrl-CS"/>
              </w:rPr>
            </w:pPr>
            <w:r w:rsidRPr="00F5596D">
              <w:rPr>
                <w:sz w:val="16"/>
                <w:szCs w:val="16"/>
                <w:lang w:val="sr-Cyrl-CS"/>
              </w:rPr>
              <w:t>55</w:t>
            </w:r>
          </w:p>
        </w:tc>
        <w:tc>
          <w:tcPr>
            <w:tcW w:w="0" w:type="auto"/>
            <w:hideMark/>
          </w:tcPr>
          <w:p w14:paraId="25BF6B4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5018</w:t>
            </w:r>
          </w:p>
        </w:tc>
        <w:tc>
          <w:tcPr>
            <w:tcW w:w="0" w:type="auto"/>
            <w:hideMark/>
          </w:tcPr>
          <w:p w14:paraId="3B846EDF"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Креативно иновативни/мултифункционални центар „Ложионица”</w:t>
            </w:r>
          </w:p>
        </w:tc>
        <w:tc>
          <w:tcPr>
            <w:tcW w:w="0" w:type="auto"/>
            <w:noWrap/>
            <w:vAlign w:val="center"/>
            <w:hideMark/>
          </w:tcPr>
          <w:p w14:paraId="629E2B30"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7,988,267,015</w:t>
            </w:r>
          </w:p>
        </w:tc>
        <w:tc>
          <w:tcPr>
            <w:tcW w:w="0" w:type="auto"/>
            <w:noWrap/>
            <w:vAlign w:val="center"/>
            <w:hideMark/>
          </w:tcPr>
          <w:p w14:paraId="68EBC9E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1,600,000,000</w:t>
            </w:r>
          </w:p>
        </w:tc>
        <w:tc>
          <w:tcPr>
            <w:tcW w:w="0" w:type="auto"/>
            <w:noWrap/>
            <w:vAlign w:val="center"/>
            <w:hideMark/>
          </w:tcPr>
          <w:p w14:paraId="38AD40E4"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900,000,000</w:t>
            </w:r>
          </w:p>
        </w:tc>
        <w:tc>
          <w:tcPr>
            <w:tcW w:w="0" w:type="auto"/>
            <w:noWrap/>
            <w:vAlign w:val="center"/>
            <w:hideMark/>
          </w:tcPr>
          <w:p w14:paraId="699F377A" w14:textId="10276F0E"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C203C8F" w14:textId="28ABE0A6"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p>
        </w:tc>
        <w:tc>
          <w:tcPr>
            <w:tcW w:w="0" w:type="auto"/>
            <w:noWrap/>
            <w:vAlign w:val="center"/>
            <w:hideMark/>
          </w:tcPr>
          <w:p w14:paraId="1BBFE962"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10,488,267,015</w:t>
            </w:r>
          </w:p>
        </w:tc>
      </w:tr>
      <w:tr w:rsidR="00714AD2" w:rsidRPr="00F5596D" w14:paraId="2A256400" w14:textId="77777777" w:rsidTr="00E35ADF">
        <w:trPr>
          <w:trHeight w:val="270"/>
        </w:trPr>
        <w:tc>
          <w:tcPr>
            <w:cnfStyle w:val="001000000000" w:firstRow="0" w:lastRow="0" w:firstColumn="1" w:lastColumn="0" w:oddVBand="0" w:evenVBand="0" w:oddHBand="0" w:evenHBand="0" w:firstRowFirstColumn="0" w:firstRowLastColumn="0" w:lastRowFirstColumn="0" w:lastRowLastColumn="0"/>
            <w:tcW w:w="0" w:type="auto"/>
            <w:noWrap/>
            <w:hideMark/>
          </w:tcPr>
          <w:p w14:paraId="54481A5C" w14:textId="77777777" w:rsidR="00714AD2" w:rsidRPr="00F5596D" w:rsidRDefault="00714AD2" w:rsidP="00592961">
            <w:pPr>
              <w:jc w:val="center"/>
              <w:rPr>
                <w:sz w:val="16"/>
                <w:szCs w:val="16"/>
                <w:lang w:val="sr-Cyrl-CS"/>
              </w:rPr>
            </w:pPr>
            <w:r w:rsidRPr="00F5596D">
              <w:rPr>
                <w:sz w:val="16"/>
                <w:szCs w:val="16"/>
                <w:lang w:val="sr-Cyrl-CS"/>
              </w:rPr>
              <w:t>56</w:t>
            </w:r>
          </w:p>
        </w:tc>
        <w:tc>
          <w:tcPr>
            <w:tcW w:w="0" w:type="auto"/>
            <w:hideMark/>
          </w:tcPr>
          <w:p w14:paraId="6D281BC7"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5019</w:t>
            </w:r>
          </w:p>
        </w:tc>
        <w:tc>
          <w:tcPr>
            <w:tcW w:w="0" w:type="auto"/>
            <w:hideMark/>
          </w:tcPr>
          <w:p w14:paraId="36BE91C3"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Иновациони дистрикт Крагујевац</w:t>
            </w:r>
          </w:p>
        </w:tc>
        <w:tc>
          <w:tcPr>
            <w:tcW w:w="0" w:type="auto"/>
            <w:noWrap/>
            <w:vAlign w:val="center"/>
            <w:hideMark/>
          </w:tcPr>
          <w:p w14:paraId="47EAB20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528,670,000</w:t>
            </w:r>
          </w:p>
        </w:tc>
        <w:tc>
          <w:tcPr>
            <w:tcW w:w="0" w:type="auto"/>
            <w:noWrap/>
            <w:vAlign w:val="center"/>
            <w:hideMark/>
          </w:tcPr>
          <w:p w14:paraId="11BD1F6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700,000,000</w:t>
            </w:r>
          </w:p>
        </w:tc>
        <w:tc>
          <w:tcPr>
            <w:tcW w:w="0" w:type="auto"/>
            <w:noWrap/>
            <w:vAlign w:val="center"/>
            <w:hideMark/>
          </w:tcPr>
          <w:p w14:paraId="1F6B3A65"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2,532,000,000</w:t>
            </w:r>
          </w:p>
        </w:tc>
        <w:tc>
          <w:tcPr>
            <w:tcW w:w="0" w:type="auto"/>
            <w:noWrap/>
            <w:vAlign w:val="center"/>
            <w:hideMark/>
          </w:tcPr>
          <w:p w14:paraId="6FABE51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2,750,000,000</w:t>
            </w:r>
          </w:p>
        </w:tc>
        <w:tc>
          <w:tcPr>
            <w:tcW w:w="0" w:type="auto"/>
            <w:noWrap/>
            <w:vAlign w:val="center"/>
            <w:hideMark/>
          </w:tcPr>
          <w:p w14:paraId="3080B099"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sz w:val="16"/>
                <w:szCs w:val="16"/>
                <w:lang w:val="sr-Cyrl-CS"/>
              </w:rPr>
            </w:pPr>
            <w:r w:rsidRPr="00F5596D">
              <w:rPr>
                <w:sz w:val="16"/>
                <w:szCs w:val="16"/>
                <w:lang w:val="sr-Cyrl-CS"/>
              </w:rPr>
              <w:t>1,319,471,725</w:t>
            </w:r>
          </w:p>
        </w:tc>
        <w:tc>
          <w:tcPr>
            <w:tcW w:w="0" w:type="auto"/>
            <w:noWrap/>
            <w:vAlign w:val="center"/>
            <w:hideMark/>
          </w:tcPr>
          <w:p w14:paraId="5403A03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7,830,141,725</w:t>
            </w:r>
          </w:p>
        </w:tc>
      </w:tr>
      <w:tr w:rsidR="00714AD2" w:rsidRPr="00F5596D" w14:paraId="12B68F41" w14:textId="77777777" w:rsidTr="00E35ADF">
        <w:trPr>
          <w:trHeight w:val="270"/>
        </w:trPr>
        <w:tc>
          <w:tcPr>
            <w:cnfStyle w:val="001000000000" w:firstRow="0" w:lastRow="0" w:firstColumn="1" w:lastColumn="0" w:oddVBand="0" w:evenVBand="0" w:oddHBand="0" w:evenHBand="0" w:firstRowFirstColumn="0" w:firstRowLastColumn="0" w:lastRowFirstColumn="0" w:lastRowLastColumn="0"/>
            <w:tcW w:w="0" w:type="auto"/>
            <w:gridSpan w:val="3"/>
            <w:hideMark/>
          </w:tcPr>
          <w:p w14:paraId="777A1290" w14:textId="77777777" w:rsidR="00714AD2" w:rsidRPr="00F5596D" w:rsidRDefault="00714AD2" w:rsidP="00592961">
            <w:pPr>
              <w:jc w:val="center"/>
              <w:rPr>
                <w:sz w:val="16"/>
                <w:szCs w:val="16"/>
                <w:lang w:val="sr-Cyrl-CS"/>
              </w:rPr>
            </w:pPr>
            <w:r w:rsidRPr="00F5596D">
              <w:rPr>
                <w:sz w:val="16"/>
                <w:szCs w:val="16"/>
                <w:lang w:val="sr-Cyrl-CS"/>
              </w:rPr>
              <w:t>УКУПНО:</w:t>
            </w:r>
          </w:p>
        </w:tc>
        <w:tc>
          <w:tcPr>
            <w:tcW w:w="0" w:type="auto"/>
            <w:noWrap/>
            <w:vAlign w:val="center"/>
            <w:hideMark/>
          </w:tcPr>
          <w:p w14:paraId="212711DB"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929,706,337,567</w:t>
            </w:r>
          </w:p>
        </w:tc>
        <w:tc>
          <w:tcPr>
            <w:tcW w:w="0" w:type="auto"/>
            <w:noWrap/>
            <w:vAlign w:val="center"/>
            <w:hideMark/>
          </w:tcPr>
          <w:p w14:paraId="72E4B5A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312,168,312,814</w:t>
            </w:r>
          </w:p>
        </w:tc>
        <w:tc>
          <w:tcPr>
            <w:tcW w:w="0" w:type="auto"/>
            <w:noWrap/>
            <w:vAlign w:val="center"/>
            <w:hideMark/>
          </w:tcPr>
          <w:p w14:paraId="4B18CEBC"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313,649,855,725</w:t>
            </w:r>
          </w:p>
        </w:tc>
        <w:tc>
          <w:tcPr>
            <w:tcW w:w="0" w:type="auto"/>
            <w:noWrap/>
            <w:vAlign w:val="center"/>
            <w:hideMark/>
          </w:tcPr>
          <w:p w14:paraId="11BFD5D8"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165,073,257,314</w:t>
            </w:r>
          </w:p>
        </w:tc>
        <w:tc>
          <w:tcPr>
            <w:tcW w:w="0" w:type="auto"/>
            <w:noWrap/>
            <w:vAlign w:val="center"/>
            <w:hideMark/>
          </w:tcPr>
          <w:p w14:paraId="077B8741"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129,235,978,019</w:t>
            </w:r>
          </w:p>
        </w:tc>
        <w:tc>
          <w:tcPr>
            <w:tcW w:w="0" w:type="auto"/>
            <w:noWrap/>
            <w:vAlign w:val="center"/>
            <w:hideMark/>
          </w:tcPr>
          <w:p w14:paraId="29007C8A" w14:textId="77777777" w:rsidR="00714AD2" w:rsidRPr="00F5596D" w:rsidRDefault="00714AD2" w:rsidP="00592961">
            <w:pPr>
              <w:jc w:val="center"/>
              <w:cnfStyle w:val="000000000000" w:firstRow="0" w:lastRow="0" w:firstColumn="0" w:lastColumn="0" w:oddVBand="0" w:evenVBand="0" w:oddHBand="0" w:evenHBand="0" w:firstRowFirstColumn="0" w:firstRowLastColumn="0" w:lastRowFirstColumn="0" w:lastRowLastColumn="0"/>
              <w:rPr>
                <w:b/>
                <w:bCs/>
                <w:sz w:val="16"/>
                <w:szCs w:val="16"/>
                <w:lang w:val="sr-Cyrl-CS"/>
              </w:rPr>
            </w:pPr>
            <w:r w:rsidRPr="00F5596D">
              <w:rPr>
                <w:b/>
                <w:bCs/>
                <w:sz w:val="16"/>
                <w:szCs w:val="16"/>
                <w:lang w:val="sr-Cyrl-CS"/>
              </w:rPr>
              <w:t>2,468,345,432,442</w:t>
            </w:r>
          </w:p>
        </w:tc>
      </w:tr>
    </w:tbl>
    <w:p w14:paraId="3A5A3204" w14:textId="689299EB" w:rsidR="00AF42E4" w:rsidRPr="00DF5D74" w:rsidRDefault="00AF42E4" w:rsidP="004277D3">
      <w:pPr>
        <w:pStyle w:val="Heading1"/>
        <w:spacing w:after="160"/>
        <w:rPr>
          <w:sz w:val="16"/>
          <w:szCs w:val="16"/>
          <w:lang w:val="sr-Cyrl-RS"/>
        </w:rPr>
      </w:pPr>
    </w:p>
    <w:sectPr w:rsidR="00AF42E4" w:rsidRPr="00DF5D74" w:rsidSect="004277D3">
      <w:type w:val="continuous"/>
      <w:pgSz w:w="15840" w:h="12240" w:orient="landscape"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B796A" w14:textId="77777777" w:rsidR="00EF384A" w:rsidRDefault="00EF384A" w:rsidP="00BF7F6A">
      <w:pPr>
        <w:spacing w:after="0" w:line="240" w:lineRule="auto"/>
      </w:pPr>
      <w:r>
        <w:separator/>
      </w:r>
    </w:p>
  </w:endnote>
  <w:endnote w:type="continuationSeparator" w:id="0">
    <w:p w14:paraId="627B4129" w14:textId="77777777" w:rsidR="00EF384A" w:rsidRDefault="00EF384A"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9650331"/>
      <w:docPartObj>
        <w:docPartGallery w:val="Page Numbers (Bottom of Page)"/>
        <w:docPartUnique/>
      </w:docPartObj>
    </w:sdtPr>
    <w:sdtEndPr>
      <w:rPr>
        <w:noProof/>
      </w:rPr>
    </w:sdtEndPr>
    <w:sdtContent>
      <w:p w14:paraId="14992A4B" w14:textId="248166F9" w:rsidR="00F5596D" w:rsidRDefault="00F5596D">
        <w:pPr>
          <w:pStyle w:val="Footer"/>
        </w:pPr>
        <w:r>
          <w:fldChar w:fldCharType="begin"/>
        </w:r>
        <w:r>
          <w:instrText xml:space="preserve"> PAGE   \* MERGEFORMAT </w:instrText>
        </w:r>
        <w:r>
          <w:fldChar w:fldCharType="separate"/>
        </w:r>
        <w:r w:rsidR="00DF4358">
          <w:rPr>
            <w:noProof/>
          </w:rPr>
          <w:t>2</w:t>
        </w:r>
        <w:r>
          <w:rPr>
            <w:noProof/>
          </w:rPr>
          <w:fldChar w:fldCharType="end"/>
        </w:r>
      </w:p>
    </w:sdtContent>
  </w:sdt>
  <w:p w14:paraId="52F84B13" w14:textId="77777777" w:rsidR="00F5596D" w:rsidRDefault="00F5596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5421217"/>
      <w:docPartObj>
        <w:docPartGallery w:val="Page Numbers (Bottom of Page)"/>
        <w:docPartUnique/>
      </w:docPartObj>
    </w:sdtPr>
    <w:sdtEndPr>
      <w:rPr>
        <w:noProof/>
      </w:rPr>
    </w:sdtEndPr>
    <w:sdtContent>
      <w:p w14:paraId="59CF37A5" w14:textId="27FD8945" w:rsidR="00F5596D" w:rsidRDefault="00F5596D">
        <w:pPr>
          <w:pStyle w:val="Footer"/>
        </w:pPr>
        <w:r>
          <w:fldChar w:fldCharType="begin"/>
        </w:r>
        <w:r>
          <w:instrText xml:space="preserve"> PAGE   \* MERGEFORMAT </w:instrText>
        </w:r>
        <w:r>
          <w:fldChar w:fldCharType="separate"/>
        </w:r>
        <w:r w:rsidR="00DF4358">
          <w:rPr>
            <w:noProof/>
          </w:rPr>
          <w:t>29</w:t>
        </w:r>
        <w:r>
          <w:rPr>
            <w:noProof/>
          </w:rPr>
          <w:fldChar w:fldCharType="end"/>
        </w:r>
      </w:p>
    </w:sdtContent>
  </w:sdt>
  <w:p w14:paraId="7D96AA93" w14:textId="77777777" w:rsidR="00F5596D" w:rsidRPr="00287EFB" w:rsidRDefault="00F5596D" w:rsidP="00C130D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1559265"/>
      <w:docPartObj>
        <w:docPartGallery w:val="Page Numbers (Bottom of Page)"/>
        <w:docPartUnique/>
      </w:docPartObj>
    </w:sdtPr>
    <w:sdtEndPr>
      <w:rPr>
        <w:noProof/>
      </w:rPr>
    </w:sdtEndPr>
    <w:sdtContent>
      <w:p w14:paraId="420FDFC4" w14:textId="77777777" w:rsidR="00F5596D" w:rsidRDefault="00F5596D">
        <w:pPr>
          <w:pStyle w:val="Footer"/>
        </w:pPr>
        <w:r>
          <w:fldChar w:fldCharType="begin"/>
        </w:r>
        <w:r>
          <w:instrText xml:space="preserve"> PAGE   \* MERGEFORMAT </w:instrText>
        </w:r>
        <w:r>
          <w:fldChar w:fldCharType="separate"/>
        </w:r>
        <w:r>
          <w:rPr>
            <w:noProof/>
          </w:rPr>
          <w:t>13</w:t>
        </w:r>
        <w:r>
          <w:rPr>
            <w:noProof/>
          </w:rPr>
          <w:fldChar w:fldCharType="end"/>
        </w:r>
      </w:p>
    </w:sdtContent>
  </w:sdt>
  <w:p w14:paraId="76084AA6" w14:textId="77777777" w:rsidR="00F5596D" w:rsidRDefault="00F5596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B9DD6" w14:textId="77777777" w:rsidR="00F5596D" w:rsidRDefault="00F5596D">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2202892"/>
      <w:docPartObj>
        <w:docPartGallery w:val="Page Numbers (Bottom of Page)"/>
        <w:docPartUnique/>
      </w:docPartObj>
    </w:sdtPr>
    <w:sdtEndPr>
      <w:rPr>
        <w:noProof/>
      </w:rPr>
    </w:sdtEndPr>
    <w:sdtContent>
      <w:p w14:paraId="17F1260E" w14:textId="38B533E8" w:rsidR="00F5596D" w:rsidRDefault="00F5596D">
        <w:pPr>
          <w:pStyle w:val="Footer"/>
        </w:pPr>
        <w:r>
          <w:fldChar w:fldCharType="begin"/>
        </w:r>
        <w:r>
          <w:instrText xml:space="preserve"> PAGE   \* MERGEFORMAT </w:instrText>
        </w:r>
        <w:r>
          <w:fldChar w:fldCharType="separate"/>
        </w:r>
        <w:r w:rsidR="00DF4358">
          <w:rPr>
            <w:noProof/>
          </w:rPr>
          <w:t>32</w:t>
        </w:r>
        <w:r>
          <w:rPr>
            <w:noProof/>
          </w:rPr>
          <w:fldChar w:fldCharType="end"/>
        </w:r>
      </w:p>
    </w:sdtContent>
  </w:sdt>
  <w:p w14:paraId="194D95B2" w14:textId="77777777" w:rsidR="00F5596D" w:rsidRPr="00287EFB" w:rsidRDefault="00F5596D" w:rsidP="00C130D2">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1387584"/>
      <w:docPartObj>
        <w:docPartGallery w:val="Page Numbers (Bottom of Page)"/>
        <w:docPartUnique/>
      </w:docPartObj>
    </w:sdtPr>
    <w:sdtEndPr>
      <w:rPr>
        <w:noProof/>
      </w:rPr>
    </w:sdtEndPr>
    <w:sdtContent>
      <w:p w14:paraId="6D08BF46" w14:textId="175A2D01" w:rsidR="00F5596D" w:rsidRDefault="00F5596D">
        <w:pPr>
          <w:pStyle w:val="Footer"/>
        </w:pPr>
        <w:r>
          <w:fldChar w:fldCharType="begin"/>
        </w:r>
        <w:r>
          <w:instrText xml:space="preserve"> PAGE   \* MERGEFORMAT </w:instrText>
        </w:r>
        <w:r>
          <w:fldChar w:fldCharType="separate"/>
        </w:r>
        <w:r>
          <w:rPr>
            <w:noProof/>
          </w:rPr>
          <w:t>33</w:t>
        </w:r>
        <w:r>
          <w:rPr>
            <w:noProof/>
          </w:rPr>
          <w:fldChar w:fldCharType="end"/>
        </w:r>
      </w:p>
    </w:sdtContent>
  </w:sdt>
  <w:p w14:paraId="039ECF67" w14:textId="77777777" w:rsidR="00F5596D" w:rsidRDefault="00F5596D">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4610805"/>
      <w:docPartObj>
        <w:docPartGallery w:val="Page Numbers (Bottom of Page)"/>
        <w:docPartUnique/>
      </w:docPartObj>
    </w:sdtPr>
    <w:sdtEndPr>
      <w:rPr>
        <w:noProof/>
      </w:rPr>
    </w:sdtEndPr>
    <w:sdtContent>
      <w:p w14:paraId="29084317" w14:textId="77777777" w:rsidR="00F5596D" w:rsidRDefault="00000000">
        <w:pPr>
          <w:pStyle w:val="Footer"/>
        </w:pPr>
      </w:p>
    </w:sdtContent>
  </w:sdt>
  <w:p w14:paraId="3D028A05" w14:textId="77777777" w:rsidR="00F5596D" w:rsidRDefault="00F5596D">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1790631"/>
      <w:docPartObj>
        <w:docPartGallery w:val="Page Numbers (Bottom of Page)"/>
        <w:docPartUnique/>
      </w:docPartObj>
    </w:sdtPr>
    <w:sdtEndPr>
      <w:rPr>
        <w:noProof/>
      </w:rPr>
    </w:sdtEndPr>
    <w:sdtContent>
      <w:p w14:paraId="7C688FAA" w14:textId="33FC06ED" w:rsidR="00F5596D" w:rsidRDefault="00F5596D">
        <w:pPr>
          <w:pStyle w:val="Footer"/>
        </w:pPr>
        <w:r>
          <w:fldChar w:fldCharType="begin"/>
        </w:r>
        <w:r>
          <w:instrText xml:space="preserve"> PAGE   \* MERGEFORMAT </w:instrText>
        </w:r>
        <w:r>
          <w:fldChar w:fldCharType="separate"/>
        </w:r>
        <w:r>
          <w:rPr>
            <w:noProof/>
          </w:rPr>
          <w:t>34</w:t>
        </w:r>
        <w:r>
          <w:rPr>
            <w:noProof/>
          </w:rPr>
          <w:fldChar w:fldCharType="end"/>
        </w:r>
      </w:p>
    </w:sdtContent>
  </w:sdt>
  <w:p w14:paraId="525C7726" w14:textId="77777777" w:rsidR="00F5596D" w:rsidRPr="00287EFB" w:rsidRDefault="00F5596D" w:rsidP="00C130D2">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5873835"/>
      <w:docPartObj>
        <w:docPartGallery w:val="Page Numbers (Bottom of Page)"/>
        <w:docPartUnique/>
      </w:docPartObj>
    </w:sdtPr>
    <w:sdtEndPr>
      <w:rPr>
        <w:noProof/>
      </w:rPr>
    </w:sdtEndPr>
    <w:sdtContent>
      <w:p w14:paraId="401EF7FF" w14:textId="64A1803F" w:rsidR="00F5596D" w:rsidRDefault="00F5596D">
        <w:pPr>
          <w:pStyle w:val="Footer"/>
        </w:pPr>
        <w:r>
          <w:fldChar w:fldCharType="begin"/>
        </w:r>
        <w:r>
          <w:instrText xml:space="preserve"> PAGE   \* MERGEFORMAT </w:instrText>
        </w:r>
        <w:r>
          <w:fldChar w:fldCharType="separate"/>
        </w:r>
        <w:r w:rsidR="00DF4358">
          <w:rPr>
            <w:noProof/>
          </w:rPr>
          <w:t>33</w:t>
        </w:r>
        <w:r>
          <w:rPr>
            <w:noProof/>
          </w:rPr>
          <w:fldChar w:fldCharType="end"/>
        </w:r>
      </w:p>
    </w:sdtContent>
  </w:sdt>
  <w:p w14:paraId="7F1CBF42" w14:textId="77777777" w:rsidR="00F5596D" w:rsidRDefault="00F5596D">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8862087"/>
      <w:docPartObj>
        <w:docPartGallery w:val="Page Numbers (Bottom of Page)"/>
        <w:docPartUnique/>
      </w:docPartObj>
    </w:sdtPr>
    <w:sdtEndPr>
      <w:rPr>
        <w:noProof/>
      </w:rPr>
    </w:sdtEndPr>
    <w:sdtContent>
      <w:p w14:paraId="3D4C9CFF"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3F2FA7A5" w14:textId="77777777" w:rsidR="00F5596D" w:rsidRPr="00231623" w:rsidRDefault="00F5596D" w:rsidP="00231623">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4654684"/>
      <w:docPartObj>
        <w:docPartGallery w:val="Page Numbers (Bottom of Page)"/>
        <w:docPartUnique/>
      </w:docPartObj>
    </w:sdtPr>
    <w:sdtEndPr>
      <w:rPr>
        <w:noProof/>
      </w:rPr>
    </w:sdtEndPr>
    <w:sdtContent>
      <w:p w14:paraId="71049D0E" w14:textId="574FE85C" w:rsidR="00F5596D" w:rsidRPr="001B7E15" w:rsidRDefault="00F5596D" w:rsidP="00C130D2">
        <w:pPr>
          <w:pStyle w:val="Footer"/>
        </w:pPr>
        <w:r w:rsidRPr="001B7E15">
          <w:fldChar w:fldCharType="begin"/>
        </w:r>
        <w:r w:rsidRPr="001B7E15">
          <w:instrText xml:space="preserve"> PAGE   \* MERGEFORMAT </w:instrText>
        </w:r>
        <w:r w:rsidRPr="001B7E15">
          <w:fldChar w:fldCharType="separate"/>
        </w:r>
        <w:r>
          <w:rPr>
            <w:noProof/>
          </w:rPr>
          <w:t>35</w:t>
        </w:r>
        <w:r w:rsidRPr="001B7E15">
          <w:rPr>
            <w:noProof/>
          </w:rPr>
          <w:fldChar w:fldCharType="end"/>
        </w:r>
      </w:p>
    </w:sdtContent>
  </w:sdt>
  <w:p w14:paraId="590A219D" w14:textId="77777777" w:rsidR="00F5596D" w:rsidRPr="00725FF8" w:rsidRDefault="00F5596D" w:rsidP="00C130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46688203"/>
      <w:docPartObj>
        <w:docPartGallery w:val="Page Numbers (Bottom of Page)"/>
        <w:docPartUnique/>
      </w:docPartObj>
    </w:sdtPr>
    <w:sdtEndPr>
      <w:rPr>
        <w:noProof/>
      </w:rPr>
    </w:sdtEndPr>
    <w:sdtContent>
      <w:p w14:paraId="508FCBA3" w14:textId="77777777" w:rsidR="00F5596D" w:rsidRDefault="00F5596D">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6CC1442C" w14:textId="77777777" w:rsidR="00F5596D" w:rsidRDefault="00F5596D">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25345"/>
      <w:docPartObj>
        <w:docPartGallery w:val="Page Numbers (Bottom of Page)"/>
        <w:docPartUnique/>
      </w:docPartObj>
    </w:sdtPr>
    <w:sdtEndPr>
      <w:rPr>
        <w:noProof/>
      </w:rPr>
    </w:sdtEndPr>
    <w:sdtContent>
      <w:p w14:paraId="599459C1"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2B4420F3" w14:textId="77777777" w:rsidR="00F5596D" w:rsidRPr="00231623" w:rsidRDefault="00F5596D" w:rsidP="00231623">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9181128"/>
      <w:docPartObj>
        <w:docPartGallery w:val="Page Numbers (Bottom of Page)"/>
        <w:docPartUnique/>
      </w:docPartObj>
    </w:sdtPr>
    <w:sdtEndPr>
      <w:rPr>
        <w:noProof/>
      </w:rPr>
    </w:sdtEndPr>
    <w:sdtContent>
      <w:p w14:paraId="6C40F1B4" w14:textId="00994717" w:rsidR="00F5596D" w:rsidRPr="001B7E15" w:rsidRDefault="00F5596D" w:rsidP="00C130D2">
        <w:pPr>
          <w:pStyle w:val="Footer"/>
        </w:pPr>
        <w:r w:rsidRPr="001B7E15">
          <w:fldChar w:fldCharType="begin"/>
        </w:r>
        <w:r w:rsidRPr="001B7E15">
          <w:instrText xml:space="preserve"> PAGE   \* MERGEFORMAT </w:instrText>
        </w:r>
        <w:r w:rsidRPr="001B7E15">
          <w:fldChar w:fldCharType="separate"/>
        </w:r>
        <w:r w:rsidR="00DF4358">
          <w:rPr>
            <w:noProof/>
          </w:rPr>
          <w:t>34</w:t>
        </w:r>
        <w:r w:rsidRPr="001B7E15">
          <w:rPr>
            <w:noProof/>
          </w:rPr>
          <w:fldChar w:fldCharType="end"/>
        </w:r>
      </w:p>
    </w:sdtContent>
  </w:sdt>
  <w:p w14:paraId="128572AA" w14:textId="77777777" w:rsidR="00F5596D" w:rsidRPr="00725FF8" w:rsidRDefault="00F5596D" w:rsidP="00C130D2">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35519285"/>
      <w:docPartObj>
        <w:docPartGallery w:val="Page Numbers (Bottom of Page)"/>
        <w:docPartUnique/>
      </w:docPartObj>
    </w:sdtPr>
    <w:sdtEndPr>
      <w:rPr>
        <w:noProof/>
      </w:rPr>
    </w:sdtEndPr>
    <w:sdtContent>
      <w:p w14:paraId="15990E89" w14:textId="6FAAF44B" w:rsidR="00F5596D" w:rsidRDefault="00F5596D">
        <w:pPr>
          <w:pStyle w:val="Footer"/>
        </w:pPr>
        <w:r>
          <w:fldChar w:fldCharType="begin"/>
        </w:r>
        <w:r>
          <w:instrText xml:space="preserve"> PAGE   \* MERGEFORMAT </w:instrText>
        </w:r>
        <w:r>
          <w:fldChar w:fldCharType="separate"/>
        </w:r>
        <w:r w:rsidR="00DF4358">
          <w:rPr>
            <w:noProof/>
          </w:rPr>
          <w:t>35</w:t>
        </w:r>
        <w:r>
          <w:rPr>
            <w:noProof/>
          </w:rPr>
          <w:fldChar w:fldCharType="end"/>
        </w:r>
      </w:p>
    </w:sdtContent>
  </w:sdt>
  <w:p w14:paraId="2BCF537F" w14:textId="77777777" w:rsidR="00F5596D" w:rsidRPr="00287EFB" w:rsidRDefault="00F5596D" w:rsidP="00C130D2">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351749"/>
      <w:docPartObj>
        <w:docPartGallery w:val="Page Numbers (Bottom of Page)"/>
        <w:docPartUnique/>
      </w:docPartObj>
    </w:sdtPr>
    <w:sdtEndPr>
      <w:rPr>
        <w:noProof/>
      </w:rPr>
    </w:sdtEndPr>
    <w:sdtContent>
      <w:p w14:paraId="447F3934" w14:textId="76D1E3AE" w:rsidR="00F5596D" w:rsidRDefault="00F5596D">
        <w:pPr>
          <w:pStyle w:val="Footer"/>
        </w:pPr>
        <w:r>
          <w:fldChar w:fldCharType="begin"/>
        </w:r>
        <w:r>
          <w:instrText xml:space="preserve"> PAGE   \* MERGEFORMAT </w:instrText>
        </w:r>
        <w:r>
          <w:fldChar w:fldCharType="separate"/>
        </w:r>
        <w:r>
          <w:rPr>
            <w:noProof/>
          </w:rPr>
          <w:t>36</w:t>
        </w:r>
        <w:r>
          <w:rPr>
            <w:noProof/>
          </w:rPr>
          <w:fldChar w:fldCharType="end"/>
        </w:r>
      </w:p>
    </w:sdtContent>
  </w:sdt>
  <w:p w14:paraId="5FC24798" w14:textId="77777777" w:rsidR="00F5596D" w:rsidRDefault="00F5596D">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5226221"/>
      <w:docPartObj>
        <w:docPartGallery w:val="Page Numbers (Bottom of Page)"/>
        <w:docPartUnique/>
      </w:docPartObj>
    </w:sdtPr>
    <w:sdtEndPr>
      <w:rPr>
        <w:noProof/>
      </w:rPr>
    </w:sdtEndPr>
    <w:sdtContent>
      <w:p w14:paraId="0DDC7EC6"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5EF82EEB" w14:textId="77777777" w:rsidR="00F5596D" w:rsidRPr="00231623" w:rsidRDefault="00F5596D" w:rsidP="00231623">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7819879"/>
      <w:docPartObj>
        <w:docPartGallery w:val="Page Numbers (Bottom of Page)"/>
        <w:docPartUnique/>
      </w:docPartObj>
    </w:sdtPr>
    <w:sdtEndPr>
      <w:rPr>
        <w:noProof/>
      </w:rPr>
    </w:sdtEndPr>
    <w:sdtContent>
      <w:p w14:paraId="3FCE3BA5" w14:textId="00923762" w:rsidR="00F5596D" w:rsidRPr="001B7E15" w:rsidRDefault="00F5596D" w:rsidP="00C130D2">
        <w:pPr>
          <w:pStyle w:val="Footer"/>
        </w:pPr>
        <w:r w:rsidRPr="001B7E15">
          <w:fldChar w:fldCharType="begin"/>
        </w:r>
        <w:r w:rsidRPr="001B7E15">
          <w:instrText xml:space="preserve"> PAGE   \* MERGEFORMAT </w:instrText>
        </w:r>
        <w:r w:rsidRPr="001B7E15">
          <w:fldChar w:fldCharType="separate"/>
        </w:r>
        <w:r w:rsidR="00DF4358">
          <w:rPr>
            <w:noProof/>
          </w:rPr>
          <w:t>38</w:t>
        </w:r>
        <w:r w:rsidRPr="001B7E15">
          <w:rPr>
            <w:noProof/>
          </w:rPr>
          <w:fldChar w:fldCharType="end"/>
        </w:r>
      </w:p>
    </w:sdtContent>
  </w:sdt>
  <w:p w14:paraId="65D30061" w14:textId="77777777" w:rsidR="00F5596D" w:rsidRPr="00725FF8" w:rsidRDefault="00F5596D" w:rsidP="00C130D2">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5564734"/>
      <w:docPartObj>
        <w:docPartGallery w:val="Page Numbers (Bottom of Page)"/>
        <w:docPartUnique/>
      </w:docPartObj>
    </w:sdtPr>
    <w:sdtEndPr>
      <w:rPr>
        <w:noProof/>
      </w:rPr>
    </w:sdtEndPr>
    <w:sdtContent>
      <w:p w14:paraId="294FDAF4"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778F985B" w14:textId="77777777" w:rsidR="00F5596D" w:rsidRPr="00231623" w:rsidRDefault="00F5596D" w:rsidP="00C130D2">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0074376"/>
      <w:docPartObj>
        <w:docPartGallery w:val="Page Numbers (Bottom of Page)"/>
        <w:docPartUnique/>
      </w:docPartObj>
    </w:sdtPr>
    <w:sdtEndPr>
      <w:rPr>
        <w:noProof/>
      </w:rPr>
    </w:sdtEndPr>
    <w:sdtContent>
      <w:p w14:paraId="31C1788A" w14:textId="0460D4B8" w:rsidR="00F5596D" w:rsidRDefault="00F5596D" w:rsidP="00C130D2">
        <w:pPr>
          <w:pStyle w:val="Footer"/>
          <w:rPr>
            <w:noProof/>
          </w:rPr>
        </w:pPr>
        <w:r w:rsidRPr="001B7E15">
          <w:fldChar w:fldCharType="begin"/>
        </w:r>
        <w:r w:rsidRPr="001B7E15">
          <w:instrText xml:space="preserve"> PAGE   \* MERGEFORMAT </w:instrText>
        </w:r>
        <w:r w:rsidRPr="001B7E15">
          <w:fldChar w:fldCharType="separate"/>
        </w:r>
        <w:r w:rsidR="00DF4358">
          <w:rPr>
            <w:noProof/>
          </w:rPr>
          <w:t>42</w:t>
        </w:r>
        <w:r w:rsidRPr="001B7E15">
          <w:rPr>
            <w:noProof/>
          </w:rPr>
          <w:fldChar w:fldCharType="end"/>
        </w:r>
      </w:p>
    </w:sdtContent>
  </w:sdt>
  <w:p w14:paraId="663A06B8" w14:textId="77777777" w:rsidR="00F5596D" w:rsidRPr="00956C60" w:rsidRDefault="00F5596D" w:rsidP="00956C6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94228"/>
      <w:docPartObj>
        <w:docPartGallery w:val="Page Numbers (Bottom of Page)"/>
        <w:docPartUnique/>
      </w:docPartObj>
    </w:sdtPr>
    <w:sdtEndPr>
      <w:rPr>
        <w:noProof/>
      </w:rPr>
    </w:sdtEndPr>
    <w:sdtContent>
      <w:p w14:paraId="67E01DC8"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1BE3719A" w14:textId="77777777" w:rsidR="00F5596D" w:rsidRPr="00231623" w:rsidRDefault="00F5596D" w:rsidP="00C130D2">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0871956"/>
      <w:docPartObj>
        <w:docPartGallery w:val="Page Numbers (Bottom of Page)"/>
        <w:docPartUnique/>
      </w:docPartObj>
    </w:sdtPr>
    <w:sdtEndPr>
      <w:rPr>
        <w:noProof/>
      </w:rPr>
    </w:sdtEndPr>
    <w:sdtContent>
      <w:p w14:paraId="67C92C55" w14:textId="03E234AE" w:rsidR="00F5596D" w:rsidRDefault="00F5596D" w:rsidP="00C130D2">
        <w:pPr>
          <w:pStyle w:val="Footer"/>
          <w:rPr>
            <w:noProof/>
          </w:rPr>
        </w:pPr>
        <w:r w:rsidRPr="001B7E15">
          <w:fldChar w:fldCharType="begin"/>
        </w:r>
        <w:r w:rsidRPr="001B7E15">
          <w:instrText xml:space="preserve"> PAGE   \* MERGEFORMAT </w:instrText>
        </w:r>
        <w:r w:rsidRPr="001B7E15">
          <w:fldChar w:fldCharType="separate"/>
        </w:r>
        <w:r w:rsidR="00DF4358">
          <w:rPr>
            <w:noProof/>
          </w:rPr>
          <w:t>44</w:t>
        </w:r>
        <w:r w:rsidRPr="001B7E15">
          <w:rPr>
            <w:noProof/>
          </w:rPr>
          <w:fldChar w:fldCharType="end"/>
        </w:r>
      </w:p>
    </w:sdtContent>
  </w:sdt>
  <w:p w14:paraId="2BB6A8E6" w14:textId="77777777" w:rsidR="00F5596D" w:rsidRPr="00956C60" w:rsidRDefault="00F5596D" w:rsidP="00956C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3908428"/>
      <w:docPartObj>
        <w:docPartGallery w:val="Page Numbers (Bottom of Page)"/>
        <w:docPartUnique/>
      </w:docPartObj>
    </w:sdtPr>
    <w:sdtEndPr>
      <w:rPr>
        <w:noProof/>
      </w:rPr>
    </w:sdtEndPr>
    <w:sdtContent>
      <w:p w14:paraId="5E67BE93" w14:textId="2DA0C16C" w:rsidR="00F5596D" w:rsidRDefault="00F5596D" w:rsidP="001A395C">
        <w:pPr>
          <w:pStyle w:val="Footer"/>
          <w:jc w:val="left"/>
        </w:pPr>
        <w:r>
          <w:fldChar w:fldCharType="begin"/>
        </w:r>
        <w:r>
          <w:instrText xml:space="preserve"> PAGE   \* MERGEFORMAT </w:instrText>
        </w:r>
        <w:r>
          <w:fldChar w:fldCharType="separate"/>
        </w:r>
        <w:r w:rsidR="00DF4358">
          <w:rPr>
            <w:noProof/>
          </w:rPr>
          <w:t>5</w:t>
        </w:r>
        <w:r>
          <w:rPr>
            <w:noProof/>
          </w:rPr>
          <w:fldChar w:fldCharType="end"/>
        </w:r>
      </w:p>
    </w:sdtContent>
  </w:sdt>
  <w:p w14:paraId="0438F9E4" w14:textId="4C79FB80" w:rsidR="00F5596D" w:rsidRDefault="00F5596D">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9194339"/>
      <w:docPartObj>
        <w:docPartGallery w:val="Page Numbers (Bottom of Page)"/>
        <w:docPartUnique/>
      </w:docPartObj>
    </w:sdtPr>
    <w:sdtEndPr>
      <w:rPr>
        <w:noProof/>
      </w:rPr>
    </w:sdtEndPr>
    <w:sdtContent>
      <w:p w14:paraId="5151B04A"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45E4F57A" w14:textId="77777777" w:rsidR="00F5596D" w:rsidRPr="00231623" w:rsidRDefault="00F5596D" w:rsidP="00C130D2">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4222282"/>
      <w:docPartObj>
        <w:docPartGallery w:val="Page Numbers (Bottom of Page)"/>
        <w:docPartUnique/>
      </w:docPartObj>
    </w:sdtPr>
    <w:sdtEndPr>
      <w:rPr>
        <w:noProof/>
      </w:rPr>
    </w:sdtEndPr>
    <w:sdtContent>
      <w:p w14:paraId="49A926D7" w14:textId="77777777" w:rsidR="00F5596D" w:rsidRDefault="00F5596D" w:rsidP="00C130D2">
        <w:pPr>
          <w:pStyle w:val="Footer"/>
          <w:rPr>
            <w:noProof/>
          </w:rPr>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7943EF87" w14:textId="77777777" w:rsidR="00F5596D" w:rsidRPr="00956C60" w:rsidRDefault="00F5596D" w:rsidP="00956C60">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6342217"/>
      <w:docPartObj>
        <w:docPartGallery w:val="Page Numbers (Bottom of Page)"/>
        <w:docPartUnique/>
      </w:docPartObj>
    </w:sdtPr>
    <w:sdtEndPr>
      <w:rPr>
        <w:noProof/>
      </w:rPr>
    </w:sdtEndPr>
    <w:sdtContent>
      <w:p w14:paraId="6177E1BF"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4F1C4476" w14:textId="77777777" w:rsidR="00F5596D" w:rsidRPr="00231623" w:rsidRDefault="00F5596D" w:rsidP="00C130D2">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7683907"/>
      <w:docPartObj>
        <w:docPartGallery w:val="Page Numbers (Bottom of Page)"/>
        <w:docPartUnique/>
      </w:docPartObj>
    </w:sdtPr>
    <w:sdtEndPr>
      <w:rPr>
        <w:noProof/>
      </w:rPr>
    </w:sdtEndPr>
    <w:sdtContent>
      <w:p w14:paraId="368C89A4" w14:textId="0B5E181B" w:rsidR="00F5596D" w:rsidRDefault="00F5596D" w:rsidP="00C130D2">
        <w:pPr>
          <w:pStyle w:val="Footer"/>
          <w:rPr>
            <w:noProof/>
          </w:rPr>
        </w:pPr>
        <w:r w:rsidRPr="001B7E15">
          <w:fldChar w:fldCharType="begin"/>
        </w:r>
        <w:r w:rsidRPr="001B7E15">
          <w:instrText xml:space="preserve"> PAGE   \* MERGEFORMAT </w:instrText>
        </w:r>
        <w:r w:rsidRPr="001B7E15">
          <w:fldChar w:fldCharType="separate"/>
        </w:r>
        <w:r>
          <w:rPr>
            <w:noProof/>
          </w:rPr>
          <w:t>45</w:t>
        </w:r>
        <w:r w:rsidRPr="001B7E15">
          <w:rPr>
            <w:noProof/>
          </w:rPr>
          <w:fldChar w:fldCharType="end"/>
        </w:r>
      </w:p>
    </w:sdtContent>
  </w:sdt>
  <w:p w14:paraId="48892142" w14:textId="77777777" w:rsidR="00F5596D" w:rsidRPr="00956C60" w:rsidRDefault="00F5596D" w:rsidP="00956C60">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AA5CB" w14:textId="77777777" w:rsidR="00F5596D" w:rsidRDefault="00F5596D">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4543587"/>
      <w:docPartObj>
        <w:docPartGallery w:val="Page Numbers (Bottom of Page)"/>
        <w:docPartUnique/>
      </w:docPartObj>
    </w:sdtPr>
    <w:sdtEndPr>
      <w:rPr>
        <w:noProof/>
      </w:rPr>
    </w:sdtEndPr>
    <w:sdtContent>
      <w:p w14:paraId="4946920D" w14:textId="77777777" w:rsidR="00F5596D" w:rsidRDefault="00F5596D">
        <w:pPr>
          <w:pStyle w:val="Footer"/>
        </w:pPr>
        <w:r>
          <w:fldChar w:fldCharType="begin"/>
        </w:r>
        <w:r>
          <w:instrText xml:space="preserve"> PAGE   \* MERGEFORMAT </w:instrText>
        </w:r>
        <w:r>
          <w:fldChar w:fldCharType="separate"/>
        </w:r>
        <w:r>
          <w:rPr>
            <w:noProof/>
          </w:rPr>
          <w:t>8</w:t>
        </w:r>
        <w:r>
          <w:rPr>
            <w:noProof/>
          </w:rPr>
          <w:fldChar w:fldCharType="end"/>
        </w:r>
      </w:p>
    </w:sdtContent>
  </w:sdt>
  <w:p w14:paraId="335DEB65" w14:textId="77777777" w:rsidR="00F5596D" w:rsidRPr="00287EFB" w:rsidRDefault="00F5596D" w:rsidP="00C130D2">
    <w:pPr>
      <w:pStyle w:val="Foote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239919"/>
      <w:docPartObj>
        <w:docPartGallery w:val="Page Numbers (Bottom of Page)"/>
        <w:docPartUnique/>
      </w:docPartObj>
    </w:sdtPr>
    <w:sdtEndPr>
      <w:rPr>
        <w:noProof/>
      </w:rPr>
    </w:sdtEndPr>
    <w:sdtContent>
      <w:p w14:paraId="17D1518B" w14:textId="64EE8AA6" w:rsidR="00F5596D" w:rsidRDefault="00F5596D">
        <w:pPr>
          <w:pStyle w:val="Footer"/>
        </w:pPr>
        <w:r>
          <w:fldChar w:fldCharType="begin"/>
        </w:r>
        <w:r>
          <w:instrText xml:space="preserve"> PAGE   \* MERGEFORMAT </w:instrText>
        </w:r>
        <w:r>
          <w:fldChar w:fldCharType="separate"/>
        </w:r>
        <w:r>
          <w:rPr>
            <w:noProof/>
          </w:rPr>
          <w:t>45</w:t>
        </w:r>
        <w:r>
          <w:rPr>
            <w:noProof/>
          </w:rPr>
          <w:fldChar w:fldCharType="end"/>
        </w:r>
      </w:p>
    </w:sdtContent>
  </w:sdt>
  <w:p w14:paraId="543204C8" w14:textId="77777777" w:rsidR="00F5596D" w:rsidRDefault="00F5596D">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7659858"/>
      <w:docPartObj>
        <w:docPartGallery w:val="Page Numbers (Bottom of Page)"/>
        <w:docPartUnique/>
      </w:docPartObj>
    </w:sdtPr>
    <w:sdtEndPr>
      <w:rPr>
        <w:noProof/>
      </w:rPr>
    </w:sdtEndPr>
    <w:sdtContent>
      <w:p w14:paraId="1D56F2CE" w14:textId="77777777" w:rsidR="00F5596D" w:rsidRPr="001B7E15" w:rsidRDefault="00F5596D"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2BAD99FC" w14:textId="77777777" w:rsidR="00F5596D" w:rsidRPr="00231623" w:rsidRDefault="00F5596D" w:rsidP="00C130D2">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5535924"/>
      <w:docPartObj>
        <w:docPartGallery w:val="Page Numbers (Bottom of Page)"/>
        <w:docPartUnique/>
      </w:docPartObj>
    </w:sdtPr>
    <w:sdtEndPr>
      <w:rPr>
        <w:noProof/>
      </w:rPr>
    </w:sdtEndPr>
    <w:sdtContent>
      <w:p w14:paraId="1A6E0464" w14:textId="1E67DAC5" w:rsidR="00F5596D" w:rsidRDefault="00F5596D" w:rsidP="00C130D2">
        <w:pPr>
          <w:pStyle w:val="Footer"/>
          <w:rPr>
            <w:noProof/>
          </w:rPr>
        </w:pPr>
        <w:r w:rsidRPr="001B7E15">
          <w:fldChar w:fldCharType="begin"/>
        </w:r>
        <w:r w:rsidRPr="001B7E15">
          <w:instrText xml:space="preserve"> PAGE   \* MERGEFORMAT </w:instrText>
        </w:r>
        <w:r w:rsidRPr="001B7E15">
          <w:fldChar w:fldCharType="separate"/>
        </w:r>
        <w:r w:rsidR="00DF4358">
          <w:rPr>
            <w:noProof/>
          </w:rPr>
          <w:t>48</w:t>
        </w:r>
        <w:r w:rsidRPr="001B7E15">
          <w:rPr>
            <w:noProof/>
          </w:rPr>
          <w:fldChar w:fldCharType="end"/>
        </w:r>
      </w:p>
    </w:sdtContent>
  </w:sdt>
  <w:p w14:paraId="09AB3976" w14:textId="77777777" w:rsidR="00F5596D" w:rsidRPr="00956C60" w:rsidRDefault="00F5596D" w:rsidP="00956C60">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16443" w14:textId="77777777" w:rsidR="00F5596D" w:rsidRPr="006204E0" w:rsidRDefault="00F559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0384799"/>
      <w:docPartObj>
        <w:docPartGallery w:val="Page Numbers (Bottom of Page)"/>
        <w:docPartUnique/>
      </w:docPartObj>
    </w:sdtPr>
    <w:sdtEndPr>
      <w:rPr>
        <w:noProof/>
      </w:rPr>
    </w:sdtEndPr>
    <w:sdtContent>
      <w:p w14:paraId="219C30C0" w14:textId="365E3C5B" w:rsidR="00F5596D" w:rsidRDefault="00F5596D">
        <w:pPr>
          <w:pStyle w:val="Footer"/>
        </w:pPr>
        <w:r>
          <w:fldChar w:fldCharType="begin"/>
        </w:r>
        <w:r>
          <w:instrText xml:space="preserve"> PAGE   \* MERGEFORMAT </w:instrText>
        </w:r>
        <w:r>
          <w:fldChar w:fldCharType="separate"/>
        </w:r>
        <w:r w:rsidR="00DF4358">
          <w:rPr>
            <w:noProof/>
          </w:rPr>
          <w:t>3</w:t>
        </w:r>
        <w:r>
          <w:rPr>
            <w:noProof/>
          </w:rPr>
          <w:fldChar w:fldCharType="end"/>
        </w:r>
      </w:p>
    </w:sdtContent>
  </w:sdt>
  <w:p w14:paraId="00070687" w14:textId="77777777" w:rsidR="00F5596D" w:rsidRDefault="00F5596D">
    <w:pPr>
      <w:pStyle w:val="Foo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53361313"/>
      <w:docPartObj>
        <w:docPartGallery w:val="Page Numbers (Bottom of Page)"/>
        <w:docPartUnique/>
      </w:docPartObj>
    </w:sdtPr>
    <w:sdtContent>
      <w:p w14:paraId="03BAE3DB" w14:textId="12EA66DB" w:rsidR="00F5596D" w:rsidRPr="006204E0" w:rsidRDefault="00F5596D">
        <w:pPr>
          <w:pStyle w:val="Footer"/>
        </w:pPr>
        <w:r w:rsidRPr="006204E0">
          <w:fldChar w:fldCharType="begin"/>
        </w:r>
        <w:r w:rsidRPr="006204E0">
          <w:instrText xml:space="preserve"> PAGE   \* MERGEFORMAT </w:instrText>
        </w:r>
        <w:r w:rsidRPr="006204E0">
          <w:fldChar w:fldCharType="separate"/>
        </w:r>
        <w:r w:rsidR="00DF4358">
          <w:rPr>
            <w:noProof/>
          </w:rPr>
          <w:t>50</w:t>
        </w:r>
        <w:r w:rsidRPr="006204E0">
          <w:fldChar w:fldCharType="end"/>
        </w:r>
      </w:p>
    </w:sdtContent>
  </w:sdt>
  <w:p w14:paraId="33C3F524" w14:textId="77777777" w:rsidR="00F5596D" w:rsidRPr="006204E0" w:rsidRDefault="00F5596D" w:rsidP="00C130D2">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3508765"/>
      <w:docPartObj>
        <w:docPartGallery w:val="Page Numbers (Bottom of Page)"/>
        <w:docPartUnique/>
      </w:docPartObj>
    </w:sdtPr>
    <w:sdtContent>
      <w:p w14:paraId="42310700" w14:textId="25314C8C" w:rsidR="00F5596D" w:rsidRPr="006204E0" w:rsidRDefault="00F5596D">
        <w:pPr>
          <w:pStyle w:val="Footer"/>
        </w:pPr>
        <w:r w:rsidRPr="006204E0">
          <w:fldChar w:fldCharType="begin"/>
        </w:r>
        <w:r w:rsidRPr="006204E0">
          <w:instrText xml:space="preserve"> PAGE   \* MERGEFORMAT </w:instrText>
        </w:r>
        <w:r w:rsidRPr="006204E0">
          <w:fldChar w:fldCharType="separate"/>
        </w:r>
        <w:r>
          <w:rPr>
            <w:noProof/>
          </w:rPr>
          <w:t>50</w:t>
        </w:r>
        <w:r w:rsidRPr="006204E0">
          <w:fldChar w:fldCharType="end"/>
        </w:r>
      </w:p>
    </w:sdtContent>
  </w:sdt>
  <w:p w14:paraId="6DE65D32" w14:textId="77777777" w:rsidR="00F5596D" w:rsidRPr="006204E0" w:rsidRDefault="00F5596D">
    <w:pPr>
      <w:pStyle w:val="Foote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6354844"/>
      <w:docPartObj>
        <w:docPartGallery w:val="Page Numbers (Bottom of Page)"/>
        <w:docPartUnique/>
      </w:docPartObj>
    </w:sdtPr>
    <w:sdtEndPr>
      <w:rPr>
        <w:noProof/>
      </w:rPr>
    </w:sdtEndPr>
    <w:sdtContent>
      <w:p w14:paraId="1CD2C8A2" w14:textId="77777777" w:rsidR="00F5596D" w:rsidRPr="001B7E15" w:rsidRDefault="00F5596D" w:rsidP="003D6A23">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5D67B9EE" w14:textId="77777777" w:rsidR="00F5596D" w:rsidRPr="00231623" w:rsidRDefault="00F5596D" w:rsidP="003D6A23">
    <w:pPr>
      <w:pStyle w:val="Foote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838039"/>
      <w:docPartObj>
        <w:docPartGallery w:val="Page Numbers (Bottom of Page)"/>
        <w:docPartUnique/>
      </w:docPartObj>
    </w:sdtPr>
    <w:sdtEndPr>
      <w:rPr>
        <w:noProof/>
      </w:rPr>
    </w:sdtEndPr>
    <w:sdtContent>
      <w:p w14:paraId="205B5063" w14:textId="693D60FB" w:rsidR="00F5596D" w:rsidRDefault="00F5596D" w:rsidP="003D6A23">
        <w:pPr>
          <w:pStyle w:val="Footer"/>
          <w:rPr>
            <w:noProof/>
          </w:rPr>
        </w:pPr>
        <w:r w:rsidRPr="001B7E15">
          <w:fldChar w:fldCharType="begin"/>
        </w:r>
        <w:r w:rsidRPr="001B7E15">
          <w:instrText xml:space="preserve"> PAGE   \* MERGEFORMAT </w:instrText>
        </w:r>
        <w:r w:rsidRPr="001B7E15">
          <w:fldChar w:fldCharType="separate"/>
        </w:r>
        <w:r w:rsidR="00DF4358">
          <w:rPr>
            <w:noProof/>
          </w:rPr>
          <w:t>58</w:t>
        </w:r>
        <w:r w:rsidRPr="001B7E15">
          <w:rPr>
            <w:noProof/>
          </w:rPr>
          <w:fldChar w:fldCharType="end"/>
        </w:r>
      </w:p>
    </w:sdtContent>
  </w:sdt>
  <w:p w14:paraId="6A27B71C" w14:textId="77777777" w:rsidR="00F5596D" w:rsidRPr="00956C60" w:rsidRDefault="00F5596D" w:rsidP="003D6A23">
    <w:pPr>
      <w:pStyle w:val="Foote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1344506"/>
      <w:docPartObj>
        <w:docPartGallery w:val="Page Numbers (Bottom of Page)"/>
        <w:docPartUnique/>
      </w:docPartObj>
    </w:sdtPr>
    <w:sdtEndPr>
      <w:rPr>
        <w:noProof/>
      </w:rPr>
    </w:sdtEndPr>
    <w:sdtContent>
      <w:p w14:paraId="56F2A913" w14:textId="77777777" w:rsidR="00F5596D" w:rsidRPr="001B7E15" w:rsidRDefault="00F5596D" w:rsidP="00E61B34">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364D1A5D" w14:textId="77777777" w:rsidR="00F5596D" w:rsidRPr="00231623" w:rsidRDefault="00F5596D" w:rsidP="00E61B34">
    <w:pPr>
      <w:pStyle w:val="Foote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1462609"/>
      <w:docPartObj>
        <w:docPartGallery w:val="Page Numbers (Bottom of Page)"/>
        <w:docPartUnique/>
      </w:docPartObj>
    </w:sdtPr>
    <w:sdtEndPr>
      <w:rPr>
        <w:noProof/>
      </w:rPr>
    </w:sdtEndPr>
    <w:sdtContent>
      <w:p w14:paraId="6345F13A" w14:textId="072BDA36" w:rsidR="00F5596D" w:rsidRDefault="00F5596D" w:rsidP="00E61B34">
        <w:pPr>
          <w:pStyle w:val="Footer"/>
          <w:rPr>
            <w:noProof/>
          </w:rPr>
        </w:pPr>
        <w:r w:rsidRPr="001B7E15">
          <w:fldChar w:fldCharType="begin"/>
        </w:r>
        <w:r w:rsidRPr="001B7E15">
          <w:instrText xml:space="preserve"> PAGE   \* MERGEFORMAT </w:instrText>
        </w:r>
        <w:r w:rsidRPr="001B7E15">
          <w:fldChar w:fldCharType="separate"/>
        </w:r>
        <w:r w:rsidR="00DF4358">
          <w:rPr>
            <w:noProof/>
          </w:rPr>
          <w:t>66</w:t>
        </w:r>
        <w:r w:rsidRPr="001B7E15">
          <w:rPr>
            <w:noProof/>
          </w:rPr>
          <w:fldChar w:fldCharType="end"/>
        </w:r>
      </w:p>
    </w:sdtContent>
  </w:sdt>
  <w:p w14:paraId="0D441969" w14:textId="77777777" w:rsidR="00F5596D" w:rsidRPr="00956C60" w:rsidRDefault="00F5596D" w:rsidP="00E61B34">
    <w:pPr>
      <w:pStyle w:val="Foote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3203351"/>
      <w:docPartObj>
        <w:docPartGallery w:val="Page Numbers (Bottom of Page)"/>
        <w:docPartUnique/>
      </w:docPartObj>
    </w:sdtPr>
    <w:sdtEndPr>
      <w:rPr>
        <w:noProof/>
      </w:rPr>
    </w:sdtEndPr>
    <w:sdtContent>
      <w:p w14:paraId="16A08CFC" w14:textId="77777777" w:rsidR="00F5596D" w:rsidRPr="001B7E15" w:rsidRDefault="00F5596D" w:rsidP="00E61B34">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284D59EB" w14:textId="77777777" w:rsidR="00F5596D" w:rsidRPr="00231623" w:rsidRDefault="00F5596D" w:rsidP="00E61B34">
    <w:pPr>
      <w:pStyle w:val="Foote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1712566"/>
      <w:docPartObj>
        <w:docPartGallery w:val="Page Numbers (Bottom of Page)"/>
        <w:docPartUnique/>
      </w:docPartObj>
    </w:sdtPr>
    <w:sdtEndPr>
      <w:rPr>
        <w:noProof/>
      </w:rPr>
    </w:sdtEndPr>
    <w:sdtContent>
      <w:p w14:paraId="435774AD" w14:textId="4C3FB598" w:rsidR="00F5596D" w:rsidRDefault="00F5596D" w:rsidP="00E61B34">
        <w:pPr>
          <w:pStyle w:val="Footer"/>
          <w:rPr>
            <w:noProof/>
          </w:rPr>
        </w:pPr>
        <w:r w:rsidRPr="001B7E15">
          <w:fldChar w:fldCharType="begin"/>
        </w:r>
        <w:r w:rsidRPr="001B7E15">
          <w:instrText xml:space="preserve"> PAGE   \* MERGEFORMAT </w:instrText>
        </w:r>
        <w:r w:rsidRPr="001B7E15">
          <w:fldChar w:fldCharType="separate"/>
        </w:r>
        <w:r>
          <w:rPr>
            <w:noProof/>
          </w:rPr>
          <w:t>67</w:t>
        </w:r>
        <w:r w:rsidRPr="001B7E15">
          <w:rPr>
            <w:noProof/>
          </w:rPr>
          <w:fldChar w:fldCharType="end"/>
        </w:r>
      </w:p>
    </w:sdtContent>
  </w:sdt>
  <w:p w14:paraId="0D23DBA1" w14:textId="77777777" w:rsidR="00F5596D" w:rsidRPr="00956C60" w:rsidRDefault="00F5596D" w:rsidP="00E61B34">
    <w:pPr>
      <w:pStyle w:val="Foote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7837812"/>
      <w:docPartObj>
        <w:docPartGallery w:val="Page Numbers (Bottom of Page)"/>
        <w:docPartUnique/>
      </w:docPartObj>
    </w:sdtPr>
    <w:sdtEndPr>
      <w:rPr>
        <w:noProof/>
      </w:rPr>
    </w:sdtEndPr>
    <w:sdtContent>
      <w:p w14:paraId="1BFFF84D" w14:textId="77777777" w:rsidR="00F5596D" w:rsidRPr="001B7E15" w:rsidRDefault="00F5596D" w:rsidP="00E61B34">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45E56FC0" w14:textId="77777777" w:rsidR="00F5596D" w:rsidRPr="00231623" w:rsidRDefault="00F5596D" w:rsidP="00E61B34">
    <w:pPr>
      <w:pStyle w:val="Foote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7911858"/>
      <w:docPartObj>
        <w:docPartGallery w:val="Page Numbers (Bottom of Page)"/>
        <w:docPartUnique/>
      </w:docPartObj>
    </w:sdtPr>
    <w:sdtEndPr>
      <w:rPr>
        <w:noProof/>
      </w:rPr>
    </w:sdtEndPr>
    <w:sdtContent>
      <w:p w14:paraId="3952BACA" w14:textId="0BF96ABE" w:rsidR="00F5596D" w:rsidRDefault="00F5596D" w:rsidP="00E61B34">
        <w:pPr>
          <w:pStyle w:val="Footer"/>
          <w:rPr>
            <w:noProof/>
          </w:rPr>
        </w:pPr>
        <w:r w:rsidRPr="001B7E15">
          <w:fldChar w:fldCharType="begin"/>
        </w:r>
        <w:r w:rsidRPr="001B7E15">
          <w:instrText xml:space="preserve"> PAGE   \* MERGEFORMAT </w:instrText>
        </w:r>
        <w:r w:rsidRPr="001B7E15">
          <w:fldChar w:fldCharType="separate"/>
        </w:r>
        <w:r w:rsidR="00DF4358">
          <w:rPr>
            <w:noProof/>
          </w:rPr>
          <w:t>79</w:t>
        </w:r>
        <w:r w:rsidRPr="001B7E15">
          <w:rPr>
            <w:noProof/>
          </w:rPr>
          <w:fldChar w:fldCharType="end"/>
        </w:r>
      </w:p>
    </w:sdtContent>
  </w:sdt>
  <w:p w14:paraId="35D4B605" w14:textId="77777777" w:rsidR="00F5596D" w:rsidRPr="00956C60" w:rsidRDefault="00F5596D" w:rsidP="00E61B3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4119263"/>
      <w:docPartObj>
        <w:docPartGallery w:val="Page Numbers (Bottom of Page)"/>
        <w:docPartUnique/>
      </w:docPartObj>
    </w:sdtPr>
    <w:sdtEndPr>
      <w:rPr>
        <w:noProof/>
      </w:rPr>
    </w:sdtEndPr>
    <w:sdtContent>
      <w:p w14:paraId="074338AB" w14:textId="2E9CBC32" w:rsidR="00F5596D" w:rsidRDefault="00F5596D">
        <w:pPr>
          <w:pStyle w:val="Footer"/>
        </w:pPr>
        <w:r>
          <w:fldChar w:fldCharType="begin"/>
        </w:r>
        <w:r>
          <w:instrText xml:space="preserve"> PAGE   \* MERGEFORMAT </w:instrText>
        </w:r>
        <w:r>
          <w:fldChar w:fldCharType="separate"/>
        </w:r>
        <w:r w:rsidR="00DF4358">
          <w:rPr>
            <w:noProof/>
          </w:rPr>
          <w:t>10</w:t>
        </w:r>
        <w:r>
          <w:rPr>
            <w:noProof/>
          </w:rPr>
          <w:fldChar w:fldCharType="end"/>
        </w:r>
      </w:p>
    </w:sdtContent>
  </w:sdt>
  <w:p w14:paraId="38E1A6A7" w14:textId="77777777" w:rsidR="00F5596D" w:rsidRPr="00287EFB" w:rsidRDefault="00F5596D" w:rsidP="002D6E55">
    <w:pPr>
      <w:pStyle w:val="Foote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0594641"/>
      <w:docPartObj>
        <w:docPartGallery w:val="Page Numbers (Bottom of Page)"/>
        <w:docPartUnique/>
      </w:docPartObj>
    </w:sdtPr>
    <w:sdtEndPr>
      <w:rPr>
        <w:noProof/>
      </w:rPr>
    </w:sdtEndPr>
    <w:sdtContent>
      <w:p w14:paraId="7CC3CCA6" w14:textId="77777777" w:rsidR="00F5596D" w:rsidRPr="001B7E15" w:rsidRDefault="00F5596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7E8F04E5" w14:textId="77777777" w:rsidR="00F5596D" w:rsidRPr="00231623" w:rsidRDefault="00F5596D" w:rsidP="008D31CC">
    <w:pPr>
      <w:pStyle w:val="Foote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1081999"/>
      <w:docPartObj>
        <w:docPartGallery w:val="Page Numbers (Bottom of Page)"/>
        <w:docPartUnique/>
      </w:docPartObj>
    </w:sdtPr>
    <w:sdtEndPr>
      <w:rPr>
        <w:noProof/>
      </w:rPr>
    </w:sdtEndPr>
    <w:sdtContent>
      <w:p w14:paraId="7253FCA4" w14:textId="034A13A3" w:rsidR="00F5596D" w:rsidRDefault="00F5596D" w:rsidP="008D31CC">
        <w:pPr>
          <w:pStyle w:val="Footer"/>
          <w:rPr>
            <w:noProof/>
          </w:rPr>
        </w:pPr>
        <w:r w:rsidRPr="001B7E15">
          <w:fldChar w:fldCharType="begin"/>
        </w:r>
        <w:r w:rsidRPr="001B7E15">
          <w:instrText xml:space="preserve"> PAGE   \* MERGEFORMAT </w:instrText>
        </w:r>
        <w:r w:rsidRPr="001B7E15">
          <w:fldChar w:fldCharType="separate"/>
        </w:r>
        <w:r w:rsidR="00DF4358">
          <w:rPr>
            <w:noProof/>
          </w:rPr>
          <w:t>85</w:t>
        </w:r>
        <w:r w:rsidRPr="001B7E15">
          <w:rPr>
            <w:noProof/>
          </w:rPr>
          <w:fldChar w:fldCharType="end"/>
        </w:r>
      </w:p>
    </w:sdtContent>
  </w:sdt>
  <w:p w14:paraId="1B101A9D" w14:textId="77777777" w:rsidR="00F5596D" w:rsidRPr="00956C60" w:rsidRDefault="00F5596D" w:rsidP="008D31CC">
    <w:pPr>
      <w:pStyle w:val="Foote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54257"/>
      <w:docPartObj>
        <w:docPartGallery w:val="Page Numbers (Bottom of Page)"/>
        <w:docPartUnique/>
      </w:docPartObj>
    </w:sdtPr>
    <w:sdtEndPr>
      <w:rPr>
        <w:noProof/>
      </w:rPr>
    </w:sdtEndPr>
    <w:sdtContent>
      <w:p w14:paraId="34BAA194" w14:textId="77777777" w:rsidR="00F5596D" w:rsidRPr="001B7E15" w:rsidRDefault="00F5596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76D56937" w14:textId="77777777" w:rsidR="00F5596D" w:rsidRPr="00231623" w:rsidRDefault="00F5596D" w:rsidP="008D31CC">
    <w:pPr>
      <w:pStyle w:val="Foote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5409187"/>
      <w:docPartObj>
        <w:docPartGallery w:val="Page Numbers (Bottom of Page)"/>
        <w:docPartUnique/>
      </w:docPartObj>
    </w:sdtPr>
    <w:sdtEndPr>
      <w:rPr>
        <w:noProof/>
      </w:rPr>
    </w:sdtEndPr>
    <w:sdtContent>
      <w:p w14:paraId="4B7CEAA6" w14:textId="6CDE9F9C" w:rsidR="00F5596D" w:rsidRDefault="00F5596D" w:rsidP="008D31CC">
        <w:pPr>
          <w:pStyle w:val="Footer"/>
          <w:rPr>
            <w:noProof/>
          </w:rPr>
        </w:pPr>
        <w:r w:rsidRPr="001B7E15">
          <w:fldChar w:fldCharType="begin"/>
        </w:r>
        <w:r w:rsidRPr="001B7E15">
          <w:instrText xml:space="preserve"> PAGE   \* MERGEFORMAT </w:instrText>
        </w:r>
        <w:r w:rsidRPr="001B7E15">
          <w:fldChar w:fldCharType="separate"/>
        </w:r>
        <w:r w:rsidR="00DF4358">
          <w:rPr>
            <w:noProof/>
          </w:rPr>
          <w:t>86</w:t>
        </w:r>
        <w:r w:rsidRPr="001B7E15">
          <w:rPr>
            <w:noProof/>
          </w:rPr>
          <w:fldChar w:fldCharType="end"/>
        </w:r>
      </w:p>
    </w:sdtContent>
  </w:sdt>
  <w:p w14:paraId="1242B867" w14:textId="77777777" w:rsidR="00F5596D" w:rsidRPr="00956C60" w:rsidRDefault="00F5596D" w:rsidP="008D31CC">
    <w:pPr>
      <w:pStyle w:val="Foote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7621609"/>
      <w:docPartObj>
        <w:docPartGallery w:val="Page Numbers (Bottom of Page)"/>
        <w:docPartUnique/>
      </w:docPartObj>
    </w:sdtPr>
    <w:sdtEndPr>
      <w:rPr>
        <w:noProof/>
      </w:rPr>
    </w:sdtEndPr>
    <w:sdtContent>
      <w:p w14:paraId="3CC84B95" w14:textId="77777777" w:rsidR="00F5596D" w:rsidRPr="001B7E15" w:rsidRDefault="00F5596D" w:rsidP="008D31CC">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6B086CBE" w14:textId="77777777" w:rsidR="00F5596D" w:rsidRPr="00231623" w:rsidRDefault="00F5596D" w:rsidP="008D31CC">
    <w:pPr>
      <w:pStyle w:val="Foote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1972801"/>
      <w:docPartObj>
        <w:docPartGallery w:val="Page Numbers (Bottom of Page)"/>
        <w:docPartUnique/>
      </w:docPartObj>
    </w:sdtPr>
    <w:sdtEndPr>
      <w:rPr>
        <w:noProof/>
      </w:rPr>
    </w:sdtEndPr>
    <w:sdtContent>
      <w:p w14:paraId="7219F5FE" w14:textId="5178AE19" w:rsidR="00F5596D" w:rsidRDefault="00F5596D" w:rsidP="008D31CC">
        <w:pPr>
          <w:pStyle w:val="Footer"/>
          <w:rPr>
            <w:noProof/>
          </w:rPr>
        </w:pPr>
        <w:r w:rsidRPr="001B7E15">
          <w:fldChar w:fldCharType="begin"/>
        </w:r>
        <w:r w:rsidRPr="001B7E15">
          <w:instrText xml:space="preserve"> PAGE   \* MERGEFORMAT </w:instrText>
        </w:r>
        <w:r w:rsidRPr="001B7E15">
          <w:fldChar w:fldCharType="separate"/>
        </w:r>
        <w:r w:rsidR="00DF4358">
          <w:rPr>
            <w:noProof/>
          </w:rPr>
          <w:t>98</w:t>
        </w:r>
        <w:r w:rsidRPr="001B7E15">
          <w:rPr>
            <w:noProof/>
          </w:rPr>
          <w:fldChar w:fldCharType="end"/>
        </w:r>
      </w:p>
    </w:sdtContent>
  </w:sdt>
  <w:p w14:paraId="68FF0BB4" w14:textId="77777777" w:rsidR="00F5596D" w:rsidRPr="00956C60" w:rsidRDefault="00F5596D" w:rsidP="008D31CC">
    <w:pPr>
      <w:pStyle w:val="Footer"/>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35A21" w14:textId="77777777" w:rsidR="00F5596D" w:rsidRDefault="00F5596D">
    <w:pPr>
      <w:pStyle w:val="Foote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1974227"/>
      <w:docPartObj>
        <w:docPartGallery w:val="Page Numbers (Bottom of Page)"/>
        <w:docPartUnique/>
      </w:docPartObj>
    </w:sdtPr>
    <w:sdtEndPr>
      <w:rPr>
        <w:noProof/>
      </w:rPr>
    </w:sdtEndPr>
    <w:sdtContent>
      <w:p w14:paraId="7D148551" w14:textId="28019893" w:rsidR="00F5596D" w:rsidRDefault="00F5596D">
        <w:pPr>
          <w:pStyle w:val="Footer"/>
        </w:pPr>
        <w:r>
          <w:fldChar w:fldCharType="begin"/>
        </w:r>
        <w:r>
          <w:instrText xml:space="preserve"> PAGE   \* MERGEFORMAT </w:instrText>
        </w:r>
        <w:r>
          <w:fldChar w:fldCharType="separate"/>
        </w:r>
        <w:r w:rsidR="00DF4358">
          <w:rPr>
            <w:noProof/>
          </w:rPr>
          <w:t>105</w:t>
        </w:r>
        <w:r>
          <w:rPr>
            <w:noProof/>
          </w:rPr>
          <w:fldChar w:fldCharType="end"/>
        </w:r>
      </w:p>
    </w:sdtContent>
  </w:sdt>
  <w:p w14:paraId="174B7E39" w14:textId="77777777" w:rsidR="00F5596D" w:rsidRPr="00287EFB" w:rsidRDefault="00F5596D" w:rsidP="00C130D2">
    <w:pPr>
      <w:pStyle w:val="Footer"/>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3731552"/>
      <w:docPartObj>
        <w:docPartGallery w:val="Page Numbers (Bottom of Page)"/>
        <w:docPartUnique/>
      </w:docPartObj>
    </w:sdtPr>
    <w:sdtEndPr>
      <w:rPr>
        <w:noProof/>
      </w:rPr>
    </w:sdtEndPr>
    <w:sdtContent>
      <w:p w14:paraId="2184CE29" w14:textId="21039547" w:rsidR="00F5596D" w:rsidRDefault="00F5596D">
        <w:pPr>
          <w:pStyle w:val="Footer"/>
        </w:pPr>
        <w:r>
          <w:fldChar w:fldCharType="begin"/>
        </w:r>
        <w:r>
          <w:instrText xml:space="preserve"> PAGE   \* MERGEFORMAT </w:instrText>
        </w:r>
        <w:r>
          <w:fldChar w:fldCharType="separate"/>
        </w:r>
        <w:r w:rsidR="00DF4358">
          <w:rPr>
            <w:noProof/>
          </w:rPr>
          <w:t>104</w:t>
        </w:r>
        <w:r>
          <w:rPr>
            <w:noProof/>
          </w:rPr>
          <w:fldChar w:fldCharType="end"/>
        </w:r>
      </w:p>
    </w:sdtContent>
  </w:sdt>
  <w:p w14:paraId="7EE5CE96" w14:textId="77777777" w:rsidR="00F5596D" w:rsidRDefault="00F5596D">
    <w:pPr>
      <w:pStyle w:val="Foote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AE371" w14:textId="77777777" w:rsidR="00F5596D" w:rsidRPr="006204E0" w:rsidRDefault="00F5596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044388"/>
      <w:docPartObj>
        <w:docPartGallery w:val="Page Numbers (Bottom of Page)"/>
        <w:docPartUnique/>
      </w:docPartObj>
    </w:sdtPr>
    <w:sdtEndPr>
      <w:rPr>
        <w:noProof/>
      </w:rPr>
    </w:sdtEndPr>
    <w:sdtContent>
      <w:p w14:paraId="46C1ECB5" w14:textId="36B67BAD" w:rsidR="00F5596D" w:rsidRDefault="00F5596D">
        <w:pPr>
          <w:pStyle w:val="Footer"/>
        </w:pPr>
        <w:r>
          <w:fldChar w:fldCharType="begin"/>
        </w:r>
        <w:r>
          <w:instrText xml:space="preserve"> PAGE   \* MERGEFORMAT </w:instrText>
        </w:r>
        <w:r>
          <w:fldChar w:fldCharType="separate"/>
        </w:r>
        <w:r w:rsidR="00DF4358">
          <w:rPr>
            <w:noProof/>
          </w:rPr>
          <w:t>11</w:t>
        </w:r>
        <w:r>
          <w:rPr>
            <w:noProof/>
          </w:rPr>
          <w:fldChar w:fldCharType="end"/>
        </w:r>
      </w:p>
    </w:sdtContent>
  </w:sdt>
  <w:p w14:paraId="762AE203" w14:textId="18A2AAE2" w:rsidR="00F5596D" w:rsidRPr="00287EFB" w:rsidRDefault="00F5596D" w:rsidP="001A395C">
    <w:pPr>
      <w:pStyle w:val="Footer"/>
    </w:pPr>
  </w:p>
  <w:p w14:paraId="662D8F63" w14:textId="33824C63" w:rsidR="00F5596D" w:rsidRDefault="00F5596D"/>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720117"/>
      <w:docPartObj>
        <w:docPartGallery w:val="Page Numbers (Bottom of Page)"/>
        <w:docPartUnique/>
      </w:docPartObj>
    </w:sdtPr>
    <w:sdtContent>
      <w:p w14:paraId="7F69C058" w14:textId="6DCB6742" w:rsidR="00F5596D" w:rsidRPr="006204E0" w:rsidRDefault="00F5596D">
        <w:pPr>
          <w:pStyle w:val="Footer"/>
        </w:pPr>
        <w:r w:rsidRPr="006204E0">
          <w:fldChar w:fldCharType="begin"/>
        </w:r>
        <w:r w:rsidRPr="006204E0">
          <w:instrText xml:space="preserve"> PAGE   \* MERGEFORMAT </w:instrText>
        </w:r>
        <w:r w:rsidRPr="006204E0">
          <w:fldChar w:fldCharType="separate"/>
        </w:r>
        <w:r w:rsidR="00DF4358">
          <w:rPr>
            <w:noProof/>
          </w:rPr>
          <w:t>109</w:t>
        </w:r>
        <w:r w:rsidRPr="006204E0">
          <w:fldChar w:fldCharType="end"/>
        </w:r>
      </w:p>
    </w:sdtContent>
  </w:sdt>
  <w:p w14:paraId="1704FAAA" w14:textId="77777777" w:rsidR="00F5596D" w:rsidRPr="006204E0" w:rsidRDefault="00F5596D" w:rsidP="00C130D2">
    <w:pPr>
      <w:pStyle w:val="Foote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0506854"/>
      <w:docPartObj>
        <w:docPartGallery w:val="Page Numbers (Bottom of Page)"/>
        <w:docPartUnique/>
      </w:docPartObj>
    </w:sdtPr>
    <w:sdtContent>
      <w:p w14:paraId="695E63FB" w14:textId="4BF9FD8D" w:rsidR="00F5596D" w:rsidRPr="006204E0" w:rsidRDefault="00F5596D">
        <w:pPr>
          <w:pStyle w:val="Footer"/>
        </w:pPr>
        <w:r w:rsidRPr="006204E0">
          <w:fldChar w:fldCharType="begin"/>
        </w:r>
        <w:r w:rsidRPr="006204E0">
          <w:instrText xml:space="preserve"> PAGE   \* MERGEFORMAT </w:instrText>
        </w:r>
        <w:r w:rsidRPr="006204E0">
          <w:fldChar w:fldCharType="separate"/>
        </w:r>
        <w:r>
          <w:rPr>
            <w:noProof/>
          </w:rPr>
          <w:t>109</w:t>
        </w:r>
        <w:r w:rsidRPr="006204E0">
          <w:fldChar w:fldCharType="end"/>
        </w:r>
      </w:p>
    </w:sdtContent>
  </w:sdt>
  <w:p w14:paraId="652E92BC" w14:textId="77777777" w:rsidR="00F5596D" w:rsidRPr="006204E0" w:rsidRDefault="00F5596D">
    <w:pPr>
      <w:pStyle w:val="Footer"/>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AA262" w14:textId="77777777" w:rsidR="00F5596D" w:rsidRDefault="00F5596D">
    <w:pPr>
      <w:pStyle w:val="Footer"/>
    </w:pPr>
  </w:p>
  <w:p w14:paraId="67B7B913" w14:textId="77777777" w:rsidR="00F5596D" w:rsidRDefault="00F5596D"/>
  <w:p w14:paraId="2FC1A34F" w14:textId="77777777" w:rsidR="00F5596D" w:rsidRDefault="00F5596D"/>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4846751"/>
      <w:docPartObj>
        <w:docPartGallery w:val="Page Numbers (Bottom of Page)"/>
        <w:docPartUnique/>
      </w:docPartObj>
    </w:sdtPr>
    <w:sdtEndPr>
      <w:rPr>
        <w:noProof/>
      </w:rPr>
    </w:sdtEndPr>
    <w:sdtContent>
      <w:p w14:paraId="1312C53B" w14:textId="5F76942B" w:rsidR="00F5596D" w:rsidRDefault="00F5596D">
        <w:pPr>
          <w:pStyle w:val="Footer"/>
        </w:pPr>
        <w:r>
          <w:fldChar w:fldCharType="begin"/>
        </w:r>
        <w:r>
          <w:instrText xml:space="preserve"> PAGE   \* MERGEFORMAT </w:instrText>
        </w:r>
        <w:r>
          <w:fldChar w:fldCharType="separate"/>
        </w:r>
        <w:r w:rsidR="00DF4358">
          <w:rPr>
            <w:noProof/>
          </w:rPr>
          <w:t>111</w:t>
        </w:r>
        <w:r>
          <w:rPr>
            <w:noProof/>
          </w:rPr>
          <w:fldChar w:fldCharType="end"/>
        </w:r>
      </w:p>
    </w:sdtContent>
  </w:sdt>
  <w:p w14:paraId="522533F6" w14:textId="77777777" w:rsidR="00F5596D" w:rsidRPr="00287EFB" w:rsidRDefault="00F5596D" w:rsidP="001A395C">
    <w:pPr>
      <w:pStyle w:val="Footer"/>
    </w:pPr>
  </w:p>
  <w:p w14:paraId="54B1268E" w14:textId="77777777" w:rsidR="00F5596D" w:rsidRDefault="00F5596D"/>
  <w:p w14:paraId="77EABD27" w14:textId="77777777" w:rsidR="00F5596D" w:rsidRDefault="00F5596D"/>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3892054"/>
      <w:docPartObj>
        <w:docPartGallery w:val="Page Numbers (Bottom of Page)"/>
        <w:docPartUnique/>
      </w:docPartObj>
    </w:sdtPr>
    <w:sdtEndPr>
      <w:rPr>
        <w:noProof/>
      </w:rPr>
    </w:sdtEndPr>
    <w:sdtContent>
      <w:p w14:paraId="382EA41C" w14:textId="77777777" w:rsidR="00F5596D" w:rsidRDefault="00F5596D">
        <w:pPr>
          <w:pStyle w:val="Footer"/>
        </w:pPr>
        <w:r>
          <w:fldChar w:fldCharType="begin"/>
        </w:r>
        <w:r>
          <w:instrText xml:space="preserve"> PAGE   \* MERGEFORMAT </w:instrText>
        </w:r>
        <w:r>
          <w:fldChar w:fldCharType="separate"/>
        </w:r>
        <w:r>
          <w:rPr>
            <w:noProof/>
          </w:rPr>
          <w:t>30</w:t>
        </w:r>
        <w:r>
          <w:rPr>
            <w:noProof/>
          </w:rPr>
          <w:fldChar w:fldCharType="end"/>
        </w:r>
      </w:p>
    </w:sdtContent>
  </w:sdt>
  <w:p w14:paraId="705AA09C" w14:textId="77777777" w:rsidR="00F5596D" w:rsidRDefault="00F5596D">
    <w:pPr>
      <w:pStyle w:val="Footer"/>
    </w:pPr>
  </w:p>
  <w:p w14:paraId="41355CA8" w14:textId="77777777" w:rsidR="00F5596D" w:rsidRDefault="00F5596D"/>
  <w:p w14:paraId="4CBE9417" w14:textId="77777777" w:rsidR="00F5596D" w:rsidRDefault="00F5596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90821"/>
      <w:docPartObj>
        <w:docPartGallery w:val="Page Numbers (Bottom of Page)"/>
        <w:docPartUnique/>
      </w:docPartObj>
    </w:sdtPr>
    <w:sdtContent>
      <w:p w14:paraId="7348A359" w14:textId="5676F97A" w:rsidR="00F5596D" w:rsidRPr="009A141D" w:rsidRDefault="00F5596D">
        <w:pPr>
          <w:pStyle w:val="Footer"/>
        </w:pPr>
        <w:r w:rsidRPr="009A141D">
          <w:fldChar w:fldCharType="begin"/>
        </w:r>
        <w:r w:rsidRPr="009A141D">
          <w:instrText xml:space="preserve"> PAGE   \* MERGEFORMAT </w:instrText>
        </w:r>
        <w:r w:rsidRPr="009A141D">
          <w:fldChar w:fldCharType="separate"/>
        </w:r>
        <w:r w:rsidR="00DF4358">
          <w:rPr>
            <w:noProof/>
          </w:rPr>
          <w:t>20</w:t>
        </w:r>
        <w:r w:rsidRPr="009A141D">
          <w:fldChar w:fldCharType="end"/>
        </w:r>
      </w:p>
    </w:sdtContent>
  </w:sdt>
  <w:p w14:paraId="44AF831F" w14:textId="77777777" w:rsidR="00F5596D" w:rsidRPr="009A141D" w:rsidRDefault="00F5596D" w:rsidP="00C130D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2901128"/>
      <w:docPartObj>
        <w:docPartGallery w:val="Page Numbers (Bottom of Page)"/>
        <w:docPartUnique/>
      </w:docPartObj>
    </w:sdtPr>
    <w:sdtEndPr>
      <w:rPr>
        <w:noProof/>
      </w:rPr>
    </w:sdtEndPr>
    <w:sdtContent>
      <w:p w14:paraId="09E40A42" w14:textId="691B1F2E" w:rsidR="00F5596D" w:rsidRDefault="00F5596D">
        <w:pPr>
          <w:pStyle w:val="Footer"/>
        </w:pPr>
        <w:r>
          <w:fldChar w:fldCharType="begin"/>
        </w:r>
        <w:r>
          <w:instrText xml:space="preserve"> PAGE   \* MERGEFORMAT </w:instrText>
        </w:r>
        <w:r>
          <w:fldChar w:fldCharType="separate"/>
        </w:r>
        <w:r w:rsidR="00DF4358">
          <w:rPr>
            <w:noProof/>
          </w:rPr>
          <w:t>22</w:t>
        </w:r>
        <w:r>
          <w:rPr>
            <w:noProof/>
          </w:rPr>
          <w:fldChar w:fldCharType="end"/>
        </w:r>
      </w:p>
    </w:sdtContent>
  </w:sdt>
  <w:p w14:paraId="0C6A44D8" w14:textId="77777777" w:rsidR="00F5596D" w:rsidRPr="00287EFB" w:rsidRDefault="00F5596D" w:rsidP="00C130D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6FC0E" w14:textId="77777777" w:rsidR="00F5596D" w:rsidRDefault="00F559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F1009" w14:textId="77777777" w:rsidR="00EF384A" w:rsidRDefault="00EF384A" w:rsidP="00BF7F6A">
      <w:pPr>
        <w:spacing w:after="0" w:line="240" w:lineRule="auto"/>
      </w:pPr>
      <w:r>
        <w:separator/>
      </w:r>
    </w:p>
  </w:footnote>
  <w:footnote w:type="continuationSeparator" w:id="0">
    <w:p w14:paraId="5881BA66" w14:textId="77777777" w:rsidR="00EF384A" w:rsidRDefault="00EF384A" w:rsidP="00BF7F6A">
      <w:pPr>
        <w:spacing w:after="0" w:line="240" w:lineRule="auto"/>
      </w:pPr>
      <w:r>
        <w:continuationSeparator/>
      </w:r>
    </w:p>
  </w:footnote>
  <w:footnote w:id="1">
    <w:p w14:paraId="2D092568" w14:textId="098676FB" w:rsidR="00F5596D" w:rsidRDefault="00F5596D" w:rsidP="00E61F75">
      <w:pPr>
        <w:pStyle w:val="FootnoteText"/>
        <w:rPr>
          <w:sz w:val="16"/>
          <w:lang w:val="sr-Cyrl-RS"/>
        </w:rPr>
      </w:pPr>
      <w:r>
        <w:rPr>
          <w:rStyle w:val="FootnoteReference"/>
        </w:rPr>
        <w:footnoteRef/>
      </w:r>
      <w:r>
        <w:rPr>
          <w:sz w:val="16"/>
          <w:lang w:val="sr-Cyrl-RS"/>
        </w:rPr>
        <w:t xml:space="preserve"> </w:t>
      </w:r>
      <w:r w:rsidRPr="00516D8F">
        <w:rPr>
          <w:sz w:val="16"/>
          <w:lang w:val="sr-Cyrl-RS"/>
        </w:rPr>
        <w:t>Републички завод за статистику је у саопштењу од 30. маја 2025. године ревидирао податке о вредности извоза робе за 2024. годину и прва три месеца 2025. године услед изме</w:t>
      </w:r>
      <w:r>
        <w:rPr>
          <w:sz w:val="16"/>
          <w:lang w:val="sr-Cyrl-RS"/>
        </w:rPr>
        <w:t xml:space="preserve">на у обухвату које се односе на </w:t>
      </w:r>
      <w:r w:rsidRPr="00516D8F">
        <w:rPr>
          <w:sz w:val="16"/>
          <w:lang w:val="sr-Cyrl-RS"/>
        </w:rPr>
        <w:t>евидентирање промета у слободним зонама.</w:t>
      </w:r>
    </w:p>
    <w:p w14:paraId="20801537" w14:textId="77777777" w:rsidR="00F5596D" w:rsidRPr="00516D8F" w:rsidRDefault="00F5596D" w:rsidP="00E61F75">
      <w:pPr>
        <w:pStyle w:val="FootnoteText"/>
        <w:rPr>
          <w:sz w:val="16"/>
          <w:lang w:val="sr-Cyrl-RS"/>
        </w:rPr>
      </w:pPr>
    </w:p>
  </w:footnote>
  <w:footnote w:id="2">
    <w:p w14:paraId="52ECC113" w14:textId="01402DB2" w:rsidR="00F5596D" w:rsidRPr="00B422BC" w:rsidRDefault="00F5596D">
      <w:pPr>
        <w:pStyle w:val="FootnoteText"/>
        <w:rPr>
          <w:lang w:val="sr-Cyrl-RS"/>
        </w:rPr>
      </w:pPr>
      <w:r>
        <w:rPr>
          <w:rStyle w:val="FootnoteReference"/>
        </w:rPr>
        <w:footnoteRef/>
      </w:r>
      <w:r w:rsidRPr="00B422BC">
        <w:rPr>
          <w:sz w:val="16"/>
          <w:lang w:val="sr-Cyrl-RS"/>
        </w:rPr>
        <w:t>Подаци се односе збирно за Народну Републику Кину, Макао, Хонг Конг и Кинеску Провинцију Тајван</w:t>
      </w:r>
      <w:r>
        <w:rPr>
          <w:sz w:val="16"/>
          <w:lang w:val="sr-Cyrl-RS"/>
        </w:rPr>
        <w:t>.</w:t>
      </w:r>
    </w:p>
  </w:footnote>
  <w:footnote w:id="3">
    <w:p w14:paraId="7214A6FB" w14:textId="77777777" w:rsidR="00F5596D" w:rsidRPr="000B7C51" w:rsidRDefault="00F5596D" w:rsidP="00DE7B2C">
      <w:pPr>
        <w:pStyle w:val="FootnoteText"/>
        <w:rPr>
          <w:sz w:val="16"/>
          <w:szCs w:val="16"/>
          <w:lang w:val="sr-Cyrl-RS"/>
        </w:rPr>
      </w:pPr>
      <w:r w:rsidRPr="000B7C51">
        <w:rPr>
          <w:rStyle w:val="FootnoteReference"/>
          <w:sz w:val="16"/>
          <w:szCs w:val="16"/>
        </w:rPr>
        <w:footnoteRef/>
      </w:r>
      <w:r w:rsidRPr="000979D4">
        <w:rPr>
          <w:sz w:val="16"/>
          <w:szCs w:val="16"/>
          <w:lang w:val="sr-Cyrl-RS"/>
        </w:rPr>
        <w:t xml:space="preserve"> </w:t>
      </w:r>
      <w:r>
        <w:rPr>
          <w:sz w:val="16"/>
          <w:szCs w:val="16"/>
          <w:lang w:val="sr-Cyrl-RS"/>
        </w:rPr>
        <w:t>Нови ентите</w:t>
      </w:r>
      <w:r w:rsidRPr="000B7C51">
        <w:rPr>
          <w:sz w:val="16"/>
          <w:szCs w:val="16"/>
          <w:lang w:val="sr-Cyrl-RS"/>
        </w:rPr>
        <w:t>ти могу се укључити или искључити из обухвата сектора државе у складу са статистичким критеријумима и међународним стандардима који их одређују.</w:t>
      </w:r>
    </w:p>
  </w:footnote>
  <w:footnote w:id="4">
    <w:p w14:paraId="3C771943" w14:textId="77777777" w:rsidR="00F5596D" w:rsidRDefault="00F5596D" w:rsidP="00330999">
      <w:pPr>
        <w:pStyle w:val="FootnoteText"/>
        <w:rPr>
          <w:rFonts w:cstheme="minorHAnsi"/>
          <w:sz w:val="16"/>
          <w:szCs w:val="16"/>
          <w:lang w:val="sr-Cyrl-RS"/>
        </w:rPr>
      </w:pPr>
      <w:r>
        <w:rPr>
          <w:rStyle w:val="FootnoteReference"/>
          <w:rFonts w:cstheme="minorHAnsi"/>
          <w:sz w:val="16"/>
          <w:szCs w:val="16"/>
          <w:lang w:val="sr-Cyrl-RS"/>
        </w:rPr>
        <w:footnoteRef/>
      </w:r>
      <w:r>
        <w:rPr>
          <w:rFonts w:cstheme="minorHAnsi"/>
          <w:sz w:val="16"/>
          <w:szCs w:val="16"/>
          <w:lang w:val="sr-Cyrl-RS"/>
        </w:rPr>
        <w:t xml:space="preserve"> Закон о јавном дугу („Службени гласник РС”, бр. 61/05, 107/09, 78/11, 68/15, 95/18, 91/19 и 149/20).</w:t>
      </w:r>
    </w:p>
  </w:footnote>
  <w:footnote w:id="5">
    <w:p w14:paraId="4010F31C" w14:textId="77777777" w:rsidR="00F5596D" w:rsidRPr="00D121C1" w:rsidRDefault="00F5596D" w:rsidP="00330999">
      <w:pPr>
        <w:pStyle w:val="FootnoteText"/>
        <w:rPr>
          <w:sz w:val="16"/>
          <w:szCs w:val="16"/>
          <w:lang w:val="sr-Cyrl-RS"/>
        </w:rPr>
      </w:pPr>
      <w:r>
        <w:rPr>
          <w:rStyle w:val="FootnoteReference"/>
          <w:sz w:val="16"/>
          <w:szCs w:val="16"/>
        </w:rPr>
        <w:footnoteRef/>
      </w:r>
      <w:r w:rsidRPr="00330999">
        <w:rPr>
          <w:sz w:val="16"/>
          <w:szCs w:val="16"/>
          <w:lang w:val="sr-Cyrl-RS"/>
        </w:rPr>
        <w:t xml:space="preserve"> </w:t>
      </w:r>
      <w:r w:rsidRPr="008F7C51">
        <w:rPr>
          <w:sz w:val="16"/>
          <w:szCs w:val="16"/>
          <w:lang w:val="sr-Cyrl-RS"/>
        </w:rPr>
        <w:t>Процењен</w:t>
      </w:r>
      <w:r>
        <w:rPr>
          <w:sz w:val="16"/>
          <w:szCs w:val="16"/>
          <w:lang w:val="sr-Cyrl-RS"/>
        </w:rPr>
        <w:t>и</w:t>
      </w:r>
      <w:r w:rsidRPr="008F7C51">
        <w:rPr>
          <w:sz w:val="16"/>
          <w:szCs w:val="16"/>
          <w:lang w:val="sr-Cyrl-RS"/>
        </w:rPr>
        <w:t xml:space="preserve"> БДП за 2025. годину је </w:t>
      </w:r>
      <w:r w:rsidRPr="00330999">
        <w:rPr>
          <w:sz w:val="16"/>
          <w:szCs w:val="16"/>
          <w:lang w:val="sr-Cyrl-RS"/>
        </w:rPr>
        <w:t>10</w:t>
      </w:r>
      <w:r w:rsidRPr="008F7C51">
        <w:rPr>
          <w:sz w:val="16"/>
          <w:szCs w:val="16"/>
          <w:lang w:val="sr-Cyrl-RS"/>
        </w:rPr>
        <w:t>.</w:t>
      </w:r>
      <w:r w:rsidRPr="00330999">
        <w:rPr>
          <w:sz w:val="16"/>
          <w:szCs w:val="16"/>
          <w:lang w:val="sr-Cyrl-RS"/>
        </w:rPr>
        <w:t>32</w:t>
      </w:r>
      <w:r>
        <w:rPr>
          <w:sz w:val="16"/>
          <w:szCs w:val="16"/>
          <w:lang w:val="sr-Cyrl-RS"/>
        </w:rPr>
        <w:t>9</w:t>
      </w:r>
      <w:r w:rsidRPr="008F7C51">
        <w:rPr>
          <w:sz w:val="16"/>
          <w:szCs w:val="16"/>
          <w:lang w:val="sr-Cyrl-RS"/>
        </w:rPr>
        <w:t>,</w:t>
      </w:r>
      <w:r>
        <w:rPr>
          <w:sz w:val="16"/>
          <w:szCs w:val="16"/>
          <w:lang w:val="sr-Cyrl-RS"/>
        </w:rPr>
        <w:t>2</w:t>
      </w:r>
      <w:r w:rsidRPr="008F7C51">
        <w:rPr>
          <w:sz w:val="16"/>
          <w:szCs w:val="16"/>
          <w:lang w:val="sr-Cyrl-RS"/>
        </w:rPr>
        <w:t xml:space="preserve"> млрд динара (Министарство финансија)</w:t>
      </w:r>
    </w:p>
  </w:footnote>
  <w:footnote w:id="6">
    <w:p w14:paraId="40FBA4B9" w14:textId="7E567A37" w:rsidR="00F5596D" w:rsidRPr="00546A25" w:rsidRDefault="00F5596D" w:rsidP="00683785">
      <w:pPr>
        <w:spacing w:after="0"/>
        <w:rPr>
          <w:lang w:val="sr-Cyrl-RS"/>
        </w:rPr>
      </w:pPr>
      <w:r w:rsidRPr="00CD1400">
        <w:rPr>
          <w:rStyle w:val="FootnoteReference"/>
          <w:rFonts w:cstheme="minorHAnsi"/>
          <w:sz w:val="16"/>
          <w:szCs w:val="16"/>
          <w:lang w:val="sr-Cyrl-RS"/>
        </w:rPr>
        <w:footnoteRef/>
      </w:r>
      <w:r w:rsidRPr="00CD1400">
        <w:rPr>
          <w:rFonts w:cstheme="minorHAnsi"/>
          <w:sz w:val="16"/>
          <w:szCs w:val="16"/>
          <w:lang w:val="sr-Cyrl-RS"/>
        </w:rPr>
        <w:t xml:space="preserve"> </w:t>
      </w:r>
      <w:r w:rsidRPr="00CD1400">
        <w:rPr>
          <w:rFonts w:eastAsia="Times New Roman" w:cstheme="minorHAnsi"/>
          <w:bCs/>
          <w:sz w:val="16"/>
          <w:szCs w:val="16"/>
          <w:lang w:val="sr-Cyrl-R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CD1400">
        <w:rPr>
          <w:rFonts w:cstheme="minorHAnsi"/>
          <w:sz w:val="16"/>
          <w:szCs w:val="16"/>
          <w:lang w:val="sr-Cyrl-RS"/>
        </w:rPr>
        <w:t xml:space="preserve"> </w:t>
      </w:r>
      <w:hyperlink r:id="rId1" w:history="1">
        <w:r w:rsidRPr="00CD1400">
          <w:rPr>
            <w:rStyle w:val="Hyperlink"/>
            <w:color w:val="44546A" w:themeColor="text2"/>
            <w:sz w:val="16"/>
            <w:szCs w:val="16"/>
            <w:u w:val="none"/>
          </w:rPr>
          <w:t>https</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www</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mfin</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gov</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rs</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upload</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media</w:t>
        </w:r>
        <w:r w:rsidRPr="003805B7">
          <w:rPr>
            <w:rStyle w:val="Hyperlink"/>
            <w:color w:val="44546A" w:themeColor="text2"/>
            <w:sz w:val="16"/>
            <w:szCs w:val="16"/>
            <w:u w:val="none"/>
            <w:lang w:val="sr-Cyrl-RS"/>
          </w:rPr>
          <w:t>/</w:t>
        </w:r>
        <w:r w:rsidRPr="00CD1400">
          <w:rPr>
            <w:rStyle w:val="Hyperlink"/>
            <w:color w:val="44546A" w:themeColor="text2"/>
            <w:sz w:val="16"/>
            <w:szCs w:val="16"/>
            <w:u w:val="none"/>
          </w:rPr>
          <w:t>jzsbpL</w:t>
        </w:r>
        <w:r w:rsidRPr="003805B7">
          <w:rPr>
            <w:rStyle w:val="Hyperlink"/>
            <w:color w:val="44546A" w:themeColor="text2"/>
            <w:sz w:val="16"/>
            <w:szCs w:val="16"/>
            <w:u w:val="none"/>
            <w:lang w:val="sr-Cyrl-RS"/>
          </w:rPr>
          <w:t>_601</w:t>
        </w:r>
        <w:r w:rsidRPr="00CD1400">
          <w:rPr>
            <w:rStyle w:val="Hyperlink"/>
            <w:color w:val="44546A" w:themeColor="text2"/>
            <w:sz w:val="16"/>
            <w:szCs w:val="16"/>
            <w:u w:val="none"/>
          </w:rPr>
          <w:t>ab</w:t>
        </w:r>
        <w:r w:rsidRPr="003805B7">
          <w:rPr>
            <w:rStyle w:val="Hyperlink"/>
            <w:color w:val="44546A" w:themeColor="text2"/>
            <w:sz w:val="16"/>
            <w:szCs w:val="16"/>
            <w:u w:val="none"/>
            <w:lang w:val="sr-Cyrl-RS"/>
          </w:rPr>
          <w:t>1585</w:t>
        </w:r>
        <w:r w:rsidRPr="00CD1400">
          <w:rPr>
            <w:rStyle w:val="Hyperlink"/>
            <w:color w:val="44546A" w:themeColor="text2"/>
            <w:sz w:val="16"/>
            <w:szCs w:val="16"/>
            <w:u w:val="none"/>
          </w:rPr>
          <w:t>ca</w:t>
        </w:r>
        <w:r w:rsidRPr="003805B7">
          <w:rPr>
            <w:rStyle w:val="Hyperlink"/>
            <w:color w:val="44546A" w:themeColor="text2"/>
            <w:sz w:val="16"/>
            <w:szCs w:val="16"/>
            <w:u w:val="none"/>
            <w:lang w:val="sr-Cyrl-RS"/>
          </w:rPr>
          <w:t>02.</w:t>
        </w:r>
        <w:r w:rsidRPr="00CD1400">
          <w:rPr>
            <w:rStyle w:val="Hyperlink"/>
            <w:color w:val="44546A" w:themeColor="text2"/>
            <w:sz w:val="16"/>
            <w:szCs w:val="16"/>
            <w:u w:val="none"/>
          </w:rPr>
          <w:t>pdf</w:t>
        </w:r>
      </w:hyperlink>
      <w:r>
        <w:rPr>
          <w:rStyle w:val="Hyperlink"/>
          <w:color w:val="44546A" w:themeColor="text2"/>
          <w:sz w:val="16"/>
          <w:szCs w:val="16"/>
          <w:u w:val="none"/>
          <w:lang w:val="sr-Cyrl-RS"/>
        </w:rPr>
        <w:t xml:space="preserve"> </w:t>
      </w:r>
    </w:p>
  </w:footnote>
  <w:footnote w:id="7">
    <w:p w14:paraId="0CB66C12" w14:textId="77777777" w:rsidR="00F5596D" w:rsidRPr="002F6B52" w:rsidRDefault="00F5596D" w:rsidP="008D31CC">
      <w:pPr>
        <w:pStyle w:val="FootnoteText"/>
        <w:rPr>
          <w:rStyle w:val="FootnoteReference"/>
          <w:rFonts w:cs="Times New Roman"/>
          <w:sz w:val="16"/>
          <w:szCs w:val="16"/>
          <w:vertAlign w:val="baseline"/>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АТМ (</w:t>
      </w:r>
      <w:r w:rsidRPr="002F6B52">
        <w:rPr>
          <w:rStyle w:val="FootnoteReference"/>
          <w:i/>
          <w:sz w:val="16"/>
          <w:szCs w:val="16"/>
          <w:vertAlign w:val="baseline"/>
          <w:lang w:val="sr-Cyrl-RS"/>
        </w:rPr>
        <w:t>Average Time to Maturity</w:t>
      </w:r>
      <w:r w:rsidRPr="002F6B52">
        <w:rPr>
          <w:rStyle w:val="FootnoteReference"/>
          <w:sz w:val="16"/>
          <w:szCs w:val="16"/>
          <w:vertAlign w:val="baseline"/>
          <w:lang w:val="sr-Cyrl-RS"/>
        </w:rPr>
        <w:t>) – енглеска скраћеница за просечно време до доспећа.</w:t>
      </w:r>
    </w:p>
  </w:footnote>
  <w:footnote w:id="8">
    <w:p w14:paraId="4D5CB68B" w14:textId="77777777" w:rsidR="00F5596D" w:rsidRPr="002F6B52" w:rsidRDefault="00F5596D" w:rsidP="008D31CC">
      <w:pPr>
        <w:pStyle w:val="FootnoteText"/>
        <w:rPr>
          <w:lang w:val="sr-Cyrl-RS"/>
        </w:rPr>
      </w:pPr>
      <w:r w:rsidRPr="002F6B52">
        <w:rPr>
          <w:rStyle w:val="FootnoteReference"/>
          <w:sz w:val="16"/>
          <w:szCs w:val="16"/>
          <w:lang w:val="sr-Cyrl-RS"/>
        </w:rPr>
        <w:footnoteRef/>
      </w:r>
      <w:r w:rsidRPr="002F6B52">
        <w:rPr>
          <w:rStyle w:val="FootnoteReference"/>
          <w:sz w:val="16"/>
          <w:szCs w:val="16"/>
          <w:vertAlign w:val="baseline"/>
          <w:lang w:val="sr-Cyrl-RS"/>
        </w:rPr>
        <w:t xml:space="preserve"> АТR (</w:t>
      </w:r>
      <w:r w:rsidRPr="002F6B52">
        <w:rPr>
          <w:rStyle w:val="FootnoteReference"/>
          <w:i/>
          <w:sz w:val="16"/>
          <w:szCs w:val="16"/>
          <w:vertAlign w:val="baseline"/>
          <w:lang w:val="sr-Cyrl-RS"/>
        </w:rPr>
        <w:t>Average Time to Refixing</w:t>
      </w:r>
      <w:r w:rsidRPr="002F6B52">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95CCC" w14:textId="377762A7" w:rsidR="00F5596D" w:rsidRPr="00E72B3D" w:rsidRDefault="00F5596D" w:rsidP="00E72B3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37941" w14:textId="77777777" w:rsidR="00F5596D" w:rsidRDefault="00F5596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550C" w14:textId="77777777" w:rsidR="00F5596D" w:rsidRPr="00471B1E" w:rsidRDefault="00F5596D" w:rsidP="00E61F75">
    <w:pPr>
      <w:pStyle w:val="Header"/>
      <w:jc w:val="center"/>
      <w:rPr>
        <w:lang w:val="en-GB"/>
      </w:rPr>
    </w:pPr>
    <w:r w:rsidRPr="00730D89">
      <w:rPr>
        <w:lang w:val="sr-Cyrl-RS"/>
      </w:rPr>
      <w:t xml:space="preserve">Ревидирана </w:t>
    </w:r>
    <w:r>
      <w:rPr>
        <w:lang w:val="sr-Cyrl-RS"/>
      </w:rPr>
      <w:t>Фискална стратегија за 202</w:t>
    </w:r>
    <w:r>
      <w:rPr>
        <w:lang w:val="en-GB"/>
      </w:rPr>
      <w:t>4</w:t>
    </w:r>
    <w:r>
      <w:rPr>
        <w:lang w:val="sr-Cyrl-RS"/>
      </w:rPr>
      <w:t>. годину са пројекцијама за 202</w:t>
    </w:r>
    <w:r>
      <w:rPr>
        <w:lang w:val="en-GB"/>
      </w:rPr>
      <w:t>5</w:t>
    </w:r>
    <w:r>
      <w:rPr>
        <w:lang w:val="sr-Cyrl-RS"/>
      </w:rPr>
      <w:t>. и 202</w:t>
    </w:r>
    <w:r>
      <w:rPr>
        <w:lang w:val="en-GB"/>
      </w:rPr>
      <w:t>6</w:t>
    </w:r>
    <w:r>
      <w:rPr>
        <w:lang w:val="sr-Cyrl-RS"/>
      </w:rPr>
      <w:t>. годину</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88554" w14:textId="77777777" w:rsidR="00F5596D" w:rsidRPr="00C93518" w:rsidRDefault="00F5596D" w:rsidP="000A6C38">
    <w:pPr>
      <w:pStyle w:val="Header"/>
      <w:jc w:val="center"/>
      <w:rPr>
        <w:lang w:val="sr-Cyrl-RS"/>
      </w:rPr>
    </w:pPr>
    <w:r>
      <w:rPr>
        <w:lang w:val="sr-Cyrl-RS"/>
      </w:rPr>
      <w:t>Фискална стратегија за 20</w:t>
    </w:r>
    <w:r>
      <w:rPr>
        <w:lang w:val="sr-Latn-RS"/>
      </w:rPr>
      <w:t>26</w:t>
    </w:r>
    <w:r>
      <w:rPr>
        <w:lang w:val="sr-Cyrl-RS"/>
      </w:rPr>
      <w:t>. годину са пројекцијама за 202</w:t>
    </w:r>
    <w:r>
      <w:rPr>
        <w:lang w:val="sr-Latn-RS"/>
      </w:rPr>
      <w:t>7.</w:t>
    </w:r>
    <w:r>
      <w:rPr>
        <w:lang w:val="sr-Cyrl-RS"/>
      </w:rPr>
      <w:t xml:space="preserve"> и 202</w:t>
    </w:r>
    <w:r>
      <w:rPr>
        <w:lang w:val="sr-Latn-RS"/>
      </w:rPr>
      <w:t>8</w:t>
    </w:r>
    <w:r>
      <w:rPr>
        <w:lang w:val="sr-Cyrl-RS"/>
      </w:rPr>
      <w:t>. годину</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CD905" w14:textId="7AD00EC8" w:rsidR="00F5596D" w:rsidRPr="00E72B3D" w:rsidRDefault="00F5596D" w:rsidP="00E72B3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FC248" w14:textId="77777777" w:rsidR="00F5596D" w:rsidRPr="00F061F2" w:rsidRDefault="00F5596D" w:rsidP="00C130D2">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1AED3AD8" w14:textId="77777777" w:rsidR="00F5596D" w:rsidRPr="004F72C4" w:rsidRDefault="00F5596D" w:rsidP="004F72C4">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C21B3" w14:textId="77777777" w:rsidR="00F5596D" w:rsidRPr="00C93518" w:rsidRDefault="00F5596D" w:rsidP="00AF42E4">
    <w:pPr>
      <w:pStyle w:val="Header"/>
      <w:jc w:val="center"/>
      <w:rPr>
        <w:lang w:val="sr-Cyrl-RS"/>
      </w:rPr>
    </w:pPr>
    <w:r>
      <w:rPr>
        <w:lang w:val="sr-Cyrl-RS"/>
      </w:rPr>
      <w:t>Ревидирана фискална стратегија за 20</w:t>
    </w:r>
    <w:r>
      <w:rPr>
        <w:lang w:val="sr-Latn-RS"/>
      </w:rPr>
      <w:t>25</w:t>
    </w:r>
    <w:r>
      <w:rPr>
        <w:lang w:val="sr-Cyrl-RS"/>
      </w:rPr>
      <w:t>. годину са пројекцијама за 202</w:t>
    </w:r>
    <w:r>
      <w:rPr>
        <w:lang w:val="sr-Latn-RS"/>
      </w:rPr>
      <w:t>6.</w:t>
    </w:r>
    <w:r>
      <w:rPr>
        <w:lang w:val="sr-Cyrl-RS"/>
      </w:rPr>
      <w:t xml:space="preserve"> и 202</w:t>
    </w:r>
    <w:r>
      <w:rPr>
        <w:lang w:val="sr-Latn-RS"/>
      </w:rPr>
      <w:t>7</w:t>
    </w:r>
    <w:r>
      <w:rPr>
        <w:lang w:val="sr-Cyrl-RS"/>
      </w:rPr>
      <w:t>. годину</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34D28" w14:textId="77777777" w:rsidR="00F5596D" w:rsidRPr="00F061F2" w:rsidRDefault="00F5596D" w:rsidP="005D42AC">
    <w:pPr>
      <w:pStyle w:val="Header"/>
      <w:jc w:val="center"/>
    </w:pPr>
    <w:r>
      <w:t>Фискална стратегија за 2021. годину са пројекцијама за 2022. и 2023</w:t>
    </w:r>
    <w:r w:rsidRPr="00F061F2">
      <w:t>. годину</w:t>
    </w:r>
  </w:p>
  <w:p w14:paraId="3AA3CCBA" w14:textId="77777777" w:rsidR="00F5596D" w:rsidRPr="004F72C4" w:rsidRDefault="00F5596D" w:rsidP="004F72C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41DE3" w14:textId="77777777" w:rsidR="00F5596D" w:rsidRPr="006A48F5" w:rsidRDefault="00F5596D" w:rsidP="00AF42E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5D564" w14:textId="4BA0D25E" w:rsidR="00F5596D" w:rsidRPr="00E72B3D" w:rsidRDefault="00F5596D" w:rsidP="00E72B3D">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84310" w14:textId="77777777" w:rsidR="00F5596D" w:rsidRPr="00C93518" w:rsidRDefault="00F5596D" w:rsidP="000A6C38">
    <w:pPr>
      <w:pStyle w:val="Header"/>
      <w:jc w:val="center"/>
      <w:rPr>
        <w:lang w:val="sr-Cyrl-RS"/>
      </w:rPr>
    </w:pPr>
    <w:r>
      <w:rPr>
        <w:lang w:val="sr-Cyrl-RS"/>
      </w:rPr>
      <w:t>Фискална стратегија за 20</w:t>
    </w:r>
    <w:r>
      <w:rPr>
        <w:lang w:val="sr-Latn-RS"/>
      </w:rPr>
      <w:t>26</w:t>
    </w:r>
    <w:r>
      <w:rPr>
        <w:lang w:val="sr-Cyrl-RS"/>
      </w:rPr>
      <w:t>. годину са пројекцијама за 202</w:t>
    </w:r>
    <w:r>
      <w:rPr>
        <w:lang w:val="sr-Latn-RS"/>
      </w:rPr>
      <w:t>7.</w:t>
    </w:r>
    <w:r>
      <w:rPr>
        <w:lang w:val="sr-Cyrl-RS"/>
      </w:rPr>
      <w:t xml:space="preserve"> и 202</w:t>
    </w:r>
    <w:r>
      <w:rPr>
        <w:lang w:val="sr-Latn-RS"/>
      </w:rPr>
      <w:t>8</w:t>
    </w:r>
    <w:r>
      <w:rPr>
        <w:lang w:val="sr-Cyrl-RS"/>
      </w:rPr>
      <w:t>. годину</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50851" w14:textId="71490685" w:rsidR="00F5596D" w:rsidRPr="00E72B3D" w:rsidRDefault="00F5596D" w:rsidP="00E72B3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D4500" w14:textId="77777777" w:rsidR="00F5596D" w:rsidRPr="00F061F2" w:rsidRDefault="00F5596D" w:rsidP="005D42AC">
    <w:pPr>
      <w:pStyle w:val="Header"/>
      <w:jc w:val="center"/>
    </w:pPr>
    <w:r>
      <w:t>Фискална стратегија за 2021. годину са пројекцијама за 2022. и 2023</w:t>
    </w:r>
    <w:r w:rsidRPr="00F061F2">
      <w:t>. годину</w:t>
    </w:r>
  </w:p>
  <w:p w14:paraId="3DCCB4BE" w14:textId="77777777" w:rsidR="00F5596D" w:rsidRPr="004F72C4" w:rsidRDefault="00F5596D" w:rsidP="004F72C4">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8639D" w14:textId="77777777" w:rsidR="00F5596D" w:rsidRPr="006A48F5" w:rsidRDefault="00F5596D" w:rsidP="00E61B34">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A2767" w14:textId="77777777" w:rsidR="00F5596D" w:rsidRPr="00F061F2" w:rsidRDefault="00F5596D"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6EC68304" w14:textId="77777777" w:rsidR="00F5596D" w:rsidRDefault="00F5596D">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3A8B4" w14:textId="77777777" w:rsidR="00F5596D" w:rsidRPr="006A48F5" w:rsidRDefault="00F5596D" w:rsidP="00E61B34">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8173A" w14:textId="77777777" w:rsidR="00F5596D" w:rsidRPr="00BF7F6A" w:rsidRDefault="00F5596D" w:rsidP="00BD7EB6">
    <w:pPr>
      <w:pStyle w:val="Header"/>
      <w:jc w:val="center"/>
      <w:rPr>
        <w:lang w:val="sr-Cyrl-RS"/>
      </w:rPr>
    </w:pPr>
    <w:r>
      <w:rPr>
        <w:lang w:val="sr-Cyrl-RS"/>
      </w:rPr>
      <w:t>Фискална стратегија за 2019. годину са пројекцијама за 2020. и 2021. годину</w:t>
    </w:r>
  </w:p>
  <w:p w14:paraId="6D0FCF21" w14:textId="77777777" w:rsidR="00F5596D" w:rsidRDefault="00F5596D">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65734" w14:textId="77777777" w:rsidR="00F5596D" w:rsidRPr="00F061F2" w:rsidRDefault="00F5596D"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638C4340" w14:textId="77777777" w:rsidR="00F5596D" w:rsidRDefault="00F5596D">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168E" w14:textId="62C7A7A9" w:rsidR="00F5596D" w:rsidRPr="00E72B3D" w:rsidRDefault="00F5596D" w:rsidP="00E72B3D">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206FC" w14:textId="77777777" w:rsidR="00F5596D" w:rsidRPr="00BF7F6A" w:rsidRDefault="00F5596D" w:rsidP="00BD7EB6">
    <w:pPr>
      <w:pStyle w:val="Header"/>
      <w:jc w:val="center"/>
      <w:rPr>
        <w:lang w:val="sr-Cyrl-RS"/>
      </w:rPr>
    </w:pPr>
    <w:r>
      <w:rPr>
        <w:lang w:val="sr-Cyrl-RS"/>
      </w:rPr>
      <w:t>Фискална стратегија за 2019. годину са пројекцијама за 2020. и 2021. годину</w:t>
    </w:r>
  </w:p>
  <w:p w14:paraId="31429537" w14:textId="77777777" w:rsidR="00F5596D" w:rsidRDefault="00F5596D">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E5CA9" w14:textId="77777777" w:rsidR="00F5596D" w:rsidRPr="00F061F2" w:rsidRDefault="00F5596D" w:rsidP="00C130D2">
    <w:pPr>
      <w:pStyle w:val="Header"/>
      <w:jc w:val="center"/>
    </w:pPr>
    <w:r w:rsidRPr="00724C89">
      <w:t xml:space="preserve">Ревидирана фискална </w:t>
    </w:r>
    <w:r>
      <w:t>стратегија за 2020. годину са пројекцијама за 2021. и 2022</w:t>
    </w:r>
    <w:r w:rsidRPr="00F061F2">
      <w:t>. годину</w:t>
    </w:r>
  </w:p>
  <w:p w14:paraId="74E5823A" w14:textId="77777777" w:rsidR="00F5596D" w:rsidRDefault="00F5596D">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E2C9F" w14:textId="5FA18E0F" w:rsidR="00F5596D" w:rsidRPr="00E72B3D" w:rsidRDefault="00F5596D" w:rsidP="00E72B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79378" w14:textId="77777777" w:rsidR="00F5596D" w:rsidRPr="00521A99" w:rsidRDefault="00F5596D" w:rsidP="001A395C">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9154B" w14:textId="77777777" w:rsidR="00F5596D" w:rsidRPr="00BF7F6A" w:rsidRDefault="00F5596D" w:rsidP="00BD7EB6">
    <w:pPr>
      <w:pStyle w:val="Header"/>
      <w:jc w:val="center"/>
    </w:pPr>
    <w:r>
      <w:t>Фискална стратегија за 2019. годину са пројекцијама за 2020. и 2021. годину</w:t>
    </w:r>
  </w:p>
  <w:p w14:paraId="55F2953E" w14:textId="77777777" w:rsidR="00F5596D" w:rsidRDefault="00F5596D">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2FCFC" w14:textId="77777777" w:rsidR="00F5596D" w:rsidRPr="00F061F2" w:rsidRDefault="00F5596D" w:rsidP="00C130D2">
    <w:pPr>
      <w:pStyle w:val="Header"/>
      <w:jc w:val="center"/>
    </w:pPr>
    <w:r w:rsidRPr="006C57DB">
      <w:t xml:space="preserve">Фискална </w:t>
    </w:r>
    <w:r>
      <w:t>стратегија за 2020. годину са пројекцијама за 2021. и 2022</w:t>
    </w:r>
    <w:r w:rsidRPr="00F061F2">
      <w:t>. годину</w:t>
    </w:r>
  </w:p>
  <w:p w14:paraId="684055BE" w14:textId="77777777" w:rsidR="00F5596D" w:rsidRDefault="00F5596D">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68ED" w14:textId="77777777" w:rsidR="00F5596D" w:rsidRPr="00BF7F6A" w:rsidRDefault="00F5596D" w:rsidP="00BD7EB6">
    <w:pPr>
      <w:pStyle w:val="Header"/>
      <w:jc w:val="center"/>
    </w:pPr>
    <w:r>
      <w:t>Фискална стратегија за 2019. годину са пројекцијама за 2020. и 2021. годину</w:t>
    </w:r>
  </w:p>
  <w:p w14:paraId="0F2C1143" w14:textId="77777777" w:rsidR="00F5596D" w:rsidRDefault="00F5596D">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65C7C" w14:textId="77777777" w:rsidR="00F5596D" w:rsidRDefault="00F5596D">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24A06" w14:textId="77777777" w:rsidR="00F5596D" w:rsidRPr="003C3685" w:rsidRDefault="00F5596D" w:rsidP="00E61B34">
    <w:pPr>
      <w:pStyle w:val="Header"/>
      <w:jc w:val="center"/>
    </w:pPr>
    <w:r>
      <w:rPr>
        <w:lang w:val="sr-Cyrl-RS"/>
      </w:rPr>
      <w:t>Фискална стратегија за 20</w:t>
    </w:r>
    <w:r>
      <w:rPr>
        <w:lang w:val="sr-Latn-RS"/>
      </w:rPr>
      <w:t>25</w:t>
    </w:r>
    <w:r>
      <w:rPr>
        <w:lang w:val="sr-Cyrl-RS"/>
      </w:rPr>
      <w:t>. годину са пројекцијама за 202</w:t>
    </w:r>
    <w:r>
      <w:rPr>
        <w:lang w:val="sr-Latn-RS"/>
      </w:rPr>
      <w:t>6.</w:t>
    </w:r>
    <w:r>
      <w:rPr>
        <w:lang w:val="sr-Cyrl-RS"/>
      </w:rPr>
      <w:t xml:space="preserve"> и 202</w:t>
    </w:r>
    <w:r>
      <w:rPr>
        <w:lang w:val="sr-Latn-RS"/>
      </w:rPr>
      <w:t>7</w:t>
    </w:r>
    <w:r>
      <w:rPr>
        <w:lang w:val="sr-Cyrl-RS"/>
      </w:rPr>
      <w:t>. годину</w:t>
    </w:r>
  </w:p>
  <w:p w14:paraId="1E6E693A" w14:textId="77777777" w:rsidR="00F5596D" w:rsidRDefault="00F5596D">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F62D" w14:textId="77777777" w:rsidR="00F5596D" w:rsidRPr="006204E0" w:rsidRDefault="00F5596D">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FE14C" w14:textId="77777777" w:rsidR="00F5596D" w:rsidRPr="003B6D80" w:rsidRDefault="00F5596D" w:rsidP="003D6A23">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F404D" w14:textId="77777777" w:rsidR="00F5596D" w:rsidRDefault="00F5596D">
    <w:pPr>
      <w:pStyle w:val="Header"/>
      <w:rPr>
        <w:lang w:val="sr-Latn-RS"/>
      </w:rPr>
    </w:pPr>
  </w:p>
  <w:p w14:paraId="3702931B" w14:textId="77777777" w:rsidR="00F5596D" w:rsidRPr="0098316A" w:rsidRDefault="00F5596D">
    <w:pPr>
      <w:pStyle w:val="Header"/>
      <w:rPr>
        <w:lang w:val="sr-Latn-RS"/>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B55DB" w14:textId="77777777" w:rsidR="00F5596D" w:rsidRPr="003B6D80" w:rsidRDefault="00F5596D" w:rsidP="00E61B34">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99DA2" w14:textId="77777777" w:rsidR="00F5596D" w:rsidRDefault="00F5596D">
    <w:pPr>
      <w:pStyle w:val="Header"/>
      <w:rPr>
        <w:lang w:val="sr-Latn-RS"/>
      </w:rPr>
    </w:pPr>
  </w:p>
  <w:p w14:paraId="2E30FF35" w14:textId="77777777" w:rsidR="00F5596D" w:rsidRPr="0098316A" w:rsidRDefault="00F5596D">
    <w:pPr>
      <w:pStyle w:val="Header"/>
      <w:rPr>
        <w:lang w:val="sr-Latn-R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74609" w14:textId="7E0A1C3D" w:rsidR="00F5596D" w:rsidRPr="00E72B3D" w:rsidRDefault="00F5596D" w:rsidP="00E72B3D">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06DD7" w14:textId="77777777" w:rsidR="00F5596D" w:rsidRPr="003B6D80" w:rsidRDefault="00F5596D" w:rsidP="00E61B34">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29D0A" w14:textId="77777777" w:rsidR="00F5596D" w:rsidRPr="00BF7F6A" w:rsidRDefault="00F5596D" w:rsidP="00E61B34">
    <w:pPr>
      <w:pStyle w:val="Header"/>
      <w:jc w:val="center"/>
      <w:rPr>
        <w:lang w:val="sr-Cyrl-RS"/>
      </w:rPr>
    </w:pPr>
    <w:r>
      <w:rPr>
        <w:lang w:val="sr-Cyrl-RS"/>
      </w:rPr>
      <w:t>Фискална стратегија за 2019. годину са пројекцијама за 2020. и 2021. годину</w:t>
    </w:r>
  </w:p>
  <w:p w14:paraId="3F5F5848" w14:textId="77777777" w:rsidR="00F5596D" w:rsidRDefault="00F5596D">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AF1BF" w14:textId="77777777" w:rsidR="00F5596D" w:rsidRPr="003B6D80" w:rsidRDefault="00F5596D" w:rsidP="00E61B34">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C40A2" w14:textId="77777777" w:rsidR="00F5596D" w:rsidRPr="00BF7F6A" w:rsidRDefault="00F5596D" w:rsidP="00E61B34">
    <w:pPr>
      <w:pStyle w:val="Header"/>
      <w:jc w:val="center"/>
      <w:rPr>
        <w:lang w:val="sr-Cyrl-RS"/>
      </w:rPr>
    </w:pPr>
    <w:r>
      <w:rPr>
        <w:lang w:val="sr-Cyrl-RS"/>
      </w:rPr>
      <w:t>Фискална стратегија за 2019. годину са пројекцијама за 2020. и 2021. годину</w:t>
    </w:r>
  </w:p>
  <w:p w14:paraId="1ED846B1" w14:textId="77777777" w:rsidR="00F5596D" w:rsidRDefault="00F5596D">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B2361" w14:textId="77777777" w:rsidR="00F5596D" w:rsidRPr="003B6D80" w:rsidRDefault="00F5596D" w:rsidP="008D31CC">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75E30" w14:textId="77777777" w:rsidR="00F5596D" w:rsidRPr="00BF7F6A" w:rsidRDefault="00F5596D" w:rsidP="008D31CC">
    <w:pPr>
      <w:pStyle w:val="Header"/>
      <w:jc w:val="center"/>
      <w:rPr>
        <w:lang w:val="sr-Cyrl-RS"/>
      </w:rPr>
    </w:pPr>
    <w:r>
      <w:rPr>
        <w:lang w:val="sr-Cyrl-RS"/>
      </w:rPr>
      <w:t>Фискална стратегија за 2019. годину са пројекцијама за 2020. и 2021. годину</w:t>
    </w:r>
  </w:p>
  <w:p w14:paraId="0125504D" w14:textId="77777777" w:rsidR="00F5596D" w:rsidRDefault="00F5596D">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1E75B" w14:textId="77777777" w:rsidR="00F5596D" w:rsidRPr="003B6D80" w:rsidRDefault="00F5596D" w:rsidP="008D31CC">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BE863" w14:textId="77777777" w:rsidR="00F5596D" w:rsidRPr="00BF7F6A" w:rsidRDefault="00F5596D" w:rsidP="008D31CC">
    <w:pPr>
      <w:pStyle w:val="Header"/>
      <w:jc w:val="center"/>
      <w:rPr>
        <w:lang w:val="sr-Cyrl-RS"/>
      </w:rPr>
    </w:pPr>
    <w:r>
      <w:rPr>
        <w:lang w:val="sr-Cyrl-RS"/>
      </w:rPr>
      <w:t>Фискална стратегија за 2019. годину са пројекцијама за 2020. и 2021. годину</w:t>
    </w:r>
  </w:p>
  <w:p w14:paraId="7E0F262E" w14:textId="77777777" w:rsidR="00F5596D" w:rsidRDefault="00F5596D">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1FDC0" w14:textId="77777777" w:rsidR="00F5596D" w:rsidRPr="003B6D80" w:rsidRDefault="00F5596D" w:rsidP="008D31CC">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69727" w14:textId="77777777" w:rsidR="00F5596D" w:rsidRDefault="00F5596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3EF0E" w14:textId="0A6DCBAF" w:rsidR="00F5596D" w:rsidRPr="00E72B3D" w:rsidRDefault="00F5596D" w:rsidP="00E72B3D">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DC8E9" w14:textId="77777777" w:rsidR="00F5596D" w:rsidRDefault="00F5596D">
    <w:pPr>
      <w:pStyle w:val="Heade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6E1D0" w14:textId="77777777" w:rsidR="00F5596D" w:rsidRPr="006204E0" w:rsidRDefault="00F5596D">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AE15" w14:textId="77777777" w:rsidR="00F5596D" w:rsidRDefault="00F5596D">
    <w:pPr>
      <w:pStyle w:val="Header"/>
    </w:pPr>
  </w:p>
  <w:p w14:paraId="0E68AB11" w14:textId="77777777" w:rsidR="00F5596D" w:rsidRDefault="00F5596D"/>
  <w:p w14:paraId="37541508" w14:textId="77777777" w:rsidR="00F5596D" w:rsidRDefault="00F5596D"/>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442B7" w14:textId="77777777" w:rsidR="00F5596D" w:rsidRPr="00471B1E" w:rsidRDefault="00F5596D" w:rsidP="001A395C">
    <w:pPr>
      <w:pStyle w:val="Header"/>
      <w:jc w:val="center"/>
      <w:rPr>
        <w:lang w:val="en-GB"/>
      </w:rPr>
    </w:pPr>
    <w:r w:rsidRPr="00AD7FBD">
      <w:rPr>
        <w:lang w:val="sr-Cyrl-RS"/>
      </w:rPr>
      <w:t xml:space="preserve">Ревидирана </w:t>
    </w:r>
    <w:r>
      <w:rPr>
        <w:lang w:val="sr-Cyrl-RS"/>
      </w:rPr>
      <w:t>Фискална стратегија за 202</w:t>
    </w:r>
    <w:r>
      <w:rPr>
        <w:lang w:val="en-GB"/>
      </w:rPr>
      <w:t>4</w:t>
    </w:r>
    <w:r>
      <w:rPr>
        <w:lang w:val="sr-Cyrl-RS"/>
      </w:rPr>
      <w:t>. годину са пројекцијама за 202</w:t>
    </w:r>
    <w:r>
      <w:rPr>
        <w:lang w:val="en-GB"/>
      </w:rPr>
      <w:t>5</w:t>
    </w:r>
    <w:r>
      <w:rPr>
        <w:lang w:val="sr-Cyrl-RS"/>
      </w:rPr>
      <w:t>. и 202</w:t>
    </w:r>
    <w:r>
      <w:rPr>
        <w:lang w:val="en-GB"/>
      </w:rPr>
      <w:t>6</w:t>
    </w:r>
    <w:r>
      <w:rPr>
        <w:lang w:val="sr-Cyrl-RS"/>
      </w:rPr>
      <w:t>. годину</w:t>
    </w:r>
  </w:p>
  <w:p w14:paraId="5050F978" w14:textId="77777777" w:rsidR="00F5596D" w:rsidRDefault="00F5596D"/>
  <w:p w14:paraId="09E00FE9" w14:textId="77777777" w:rsidR="00F5596D" w:rsidRDefault="00F5596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453A3" w14:textId="77777777" w:rsidR="00F5596D" w:rsidRPr="009A141D" w:rsidRDefault="00F5596D" w:rsidP="001A395C">
    <w:pPr>
      <w:pStyle w:val="Header"/>
      <w:jc w:val="center"/>
    </w:pPr>
    <w:r w:rsidRPr="009A141D">
      <w:t>Фискална стратегија за 2025. годину са пројекцијама за 2026. и 2027. годину</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12C56" w14:textId="77777777" w:rsidR="00F5596D" w:rsidRPr="00915447" w:rsidRDefault="00F5596D" w:rsidP="001A395C">
    <w:pPr>
      <w:pStyle w:val="Header"/>
      <w:jc w:val="center"/>
      <w:rPr>
        <w:lang w:val="en-GB"/>
      </w:rPr>
    </w:pPr>
    <w:r>
      <w:rPr>
        <w:lang w:val="sr-Cyrl-RS"/>
      </w:rPr>
      <w:t>Фискална стратегија за 202</w:t>
    </w:r>
    <w:r>
      <w:rPr>
        <w:lang w:val="en-GB"/>
      </w:rPr>
      <w:t>5</w:t>
    </w:r>
    <w:r>
      <w:rPr>
        <w:lang w:val="sr-Cyrl-RS"/>
      </w:rPr>
      <w:t>. годину са пројекцијама за 202</w:t>
    </w:r>
    <w:r>
      <w:rPr>
        <w:lang w:val="en-GB"/>
      </w:rPr>
      <w:t>6</w:t>
    </w:r>
    <w:r>
      <w:rPr>
        <w:lang w:val="sr-Cyrl-RS"/>
      </w:rPr>
      <w:t>. и 202</w:t>
    </w:r>
    <w:r>
      <w:rPr>
        <w:lang w:val="en-GB"/>
      </w:rPr>
      <w:t>7</w:t>
    </w:r>
    <w:r>
      <w:rPr>
        <w:lang w:val="sr-Cyrl-RS"/>
      </w:rPr>
      <w:t>. годину</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AC27D" w14:textId="77777777" w:rsidR="00F5596D" w:rsidRDefault="00F5596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7C56A" w14:textId="77777777" w:rsidR="00F5596D" w:rsidRPr="00471B1E" w:rsidRDefault="00F5596D" w:rsidP="001A395C">
    <w:pPr>
      <w:pStyle w:val="Header"/>
      <w:jc w:val="center"/>
      <w:rPr>
        <w:lang w:val="en-GB"/>
      </w:rPr>
    </w:pPr>
    <w:r w:rsidRPr="00730D89">
      <w:rPr>
        <w:lang w:val="sr-Cyrl-RS"/>
      </w:rPr>
      <w:t xml:space="preserve">Ревидирана </w:t>
    </w:r>
    <w:r>
      <w:rPr>
        <w:lang w:val="sr-Cyrl-RS"/>
      </w:rPr>
      <w:t>Фискална стратегија за 202</w:t>
    </w:r>
    <w:r>
      <w:rPr>
        <w:lang w:val="en-GB"/>
      </w:rPr>
      <w:t>4</w:t>
    </w:r>
    <w:r>
      <w:rPr>
        <w:lang w:val="sr-Cyrl-RS"/>
      </w:rPr>
      <w:t>. годину са пројекцијама за 202</w:t>
    </w:r>
    <w:r>
      <w:rPr>
        <w:lang w:val="en-GB"/>
      </w:rPr>
      <w:t>5</w:t>
    </w:r>
    <w:r>
      <w:rPr>
        <w:lang w:val="sr-Cyrl-RS"/>
      </w:rPr>
      <w:t>. и 202</w:t>
    </w:r>
    <w:r>
      <w:rPr>
        <w:lang w:val="en-GB"/>
      </w:rPr>
      <w:t>6</w:t>
    </w:r>
    <w:r>
      <w:rPr>
        <w:lang w:val="sr-Cyrl-RS"/>
      </w:rPr>
      <w:t>. годину</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B28FC"/>
    <w:multiLevelType w:val="hybridMultilevel"/>
    <w:tmpl w:val="324C1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C328B3"/>
    <w:multiLevelType w:val="hybridMultilevel"/>
    <w:tmpl w:val="4B80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FC1C92"/>
    <w:multiLevelType w:val="multilevel"/>
    <w:tmpl w:val="9724D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82526E"/>
    <w:multiLevelType w:val="hybridMultilevel"/>
    <w:tmpl w:val="F9B8B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7C45D5"/>
    <w:multiLevelType w:val="hybridMultilevel"/>
    <w:tmpl w:val="9756494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5" w15:restartNumberingAfterBreak="0">
    <w:nsid w:val="1FF93A0E"/>
    <w:multiLevelType w:val="multilevel"/>
    <w:tmpl w:val="D46AA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FA5E91"/>
    <w:multiLevelType w:val="hybridMultilevel"/>
    <w:tmpl w:val="5DF4BD4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0195F79"/>
    <w:multiLevelType w:val="hybridMultilevel"/>
    <w:tmpl w:val="DDF6E3A4"/>
    <w:lvl w:ilvl="0" w:tplc="281A0001">
      <w:start w:val="1"/>
      <w:numFmt w:val="bullet"/>
      <w:lvlText w:val=""/>
      <w:lvlJc w:val="left"/>
      <w:pPr>
        <w:ind w:left="720" w:hanging="360"/>
      </w:pPr>
      <w:rPr>
        <w:rFonts w:ascii="Symbol" w:hAnsi="Symbol"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8" w15:restartNumberingAfterBreak="0">
    <w:nsid w:val="311B23A4"/>
    <w:multiLevelType w:val="hybridMultilevel"/>
    <w:tmpl w:val="0F4E72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14850F7"/>
    <w:multiLevelType w:val="hybridMultilevel"/>
    <w:tmpl w:val="9D58C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A93575"/>
    <w:multiLevelType w:val="hybridMultilevel"/>
    <w:tmpl w:val="55D68A1E"/>
    <w:lvl w:ilvl="0" w:tplc="AFBAEBEC">
      <w:start w:val="20"/>
      <w:numFmt w:val="bullet"/>
      <w:lvlText w:val=""/>
      <w:lvlJc w:val="left"/>
      <w:pPr>
        <w:ind w:left="720" w:hanging="360"/>
      </w:pPr>
      <w:rPr>
        <w:rFonts w:ascii="Symbol" w:eastAsia="MS PGothic" w:hAnsi="Symbol" w:cstheme="min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E85059"/>
    <w:multiLevelType w:val="hybridMultilevel"/>
    <w:tmpl w:val="76EC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C96CCD"/>
    <w:multiLevelType w:val="multilevel"/>
    <w:tmpl w:val="A8346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A85611"/>
    <w:multiLevelType w:val="multilevel"/>
    <w:tmpl w:val="18667D1A"/>
    <w:lvl w:ilvl="0">
      <w:start w:val="1"/>
      <w:numFmt w:val="decimal"/>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18"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19" w15:restartNumberingAfterBreak="0">
    <w:nsid w:val="53BA4D88"/>
    <w:multiLevelType w:val="hybridMultilevel"/>
    <w:tmpl w:val="CAA83824"/>
    <w:lvl w:ilvl="0" w:tplc="337EBEA2">
      <w:start w:val="1"/>
      <w:numFmt w:val="decimal"/>
      <w:lvlText w:val="%1)"/>
      <w:lvlJc w:val="left"/>
      <w:pPr>
        <w:ind w:left="720" w:hanging="360"/>
      </w:pPr>
      <w:rPr>
        <w:rFonts w:ascii="Times New Roman" w:hAnsi="Times New Roman" w:cs="Times New Roman"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0C4A17"/>
    <w:multiLevelType w:val="multilevel"/>
    <w:tmpl w:val="767298A8"/>
    <w:lvl w:ilvl="0">
      <w:start w:val="1"/>
      <w:numFmt w:val="decimal"/>
      <w:lvlText w:val="%1."/>
      <w:lvlJc w:val="left"/>
      <w:pPr>
        <w:tabs>
          <w:tab w:val="num" w:pos="360"/>
        </w:tabs>
        <w:ind w:left="360" w:hanging="360"/>
      </w:pPr>
      <w:rPr>
        <w:rFonts w:ascii="Calibri" w:eastAsiaTheme="minorHAnsi" w:hAnsi="Calibri" w:cs="Calibri"/>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18495659">
    <w:abstractNumId w:val="8"/>
  </w:num>
  <w:num w:numId="2" w16cid:durableId="129178254">
    <w:abstractNumId w:val="17"/>
  </w:num>
  <w:num w:numId="3" w16cid:durableId="1801024446">
    <w:abstractNumId w:val="18"/>
  </w:num>
  <w:num w:numId="4" w16cid:durableId="253706953">
    <w:abstractNumId w:val="24"/>
  </w:num>
  <w:num w:numId="5" w16cid:durableId="52395340">
    <w:abstractNumId w:val="15"/>
  </w:num>
  <w:num w:numId="6" w16cid:durableId="431626904">
    <w:abstractNumId w:val="27"/>
  </w:num>
  <w:num w:numId="7" w16cid:durableId="345834132">
    <w:abstractNumId w:val="13"/>
  </w:num>
  <w:num w:numId="8" w16cid:durableId="1202521634">
    <w:abstractNumId w:val="21"/>
  </w:num>
  <w:num w:numId="9" w16cid:durableId="1407530027">
    <w:abstractNumId w:val="26"/>
  </w:num>
  <w:num w:numId="10" w16cid:durableId="1071999657">
    <w:abstractNumId w:val="20"/>
  </w:num>
  <w:num w:numId="11" w16cid:durableId="781535183">
    <w:abstractNumId w:val="23"/>
  </w:num>
  <w:num w:numId="12" w16cid:durableId="475532666">
    <w:abstractNumId w:val="25"/>
  </w:num>
  <w:num w:numId="13" w16cid:durableId="273485863">
    <w:abstractNumId w:val="11"/>
  </w:num>
  <w:num w:numId="14" w16cid:durableId="2131587538">
    <w:abstractNumId w:val="22"/>
  </w:num>
  <w:num w:numId="15" w16cid:durableId="1162889396">
    <w:abstractNumId w:val="1"/>
  </w:num>
  <w:num w:numId="16" w16cid:durableId="1044981926">
    <w:abstractNumId w:val="4"/>
  </w:num>
  <w:num w:numId="17" w16cid:durableId="1292594325">
    <w:abstractNumId w:val="6"/>
  </w:num>
  <w:num w:numId="18" w16cid:durableId="356783748">
    <w:abstractNumId w:val="16"/>
  </w:num>
  <w:num w:numId="19" w16cid:durableId="1300383499">
    <w:abstractNumId w:val="9"/>
  </w:num>
  <w:num w:numId="20" w16cid:durableId="15136432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3877604">
    <w:abstractNumId w:val="28"/>
  </w:num>
  <w:num w:numId="22" w16cid:durableId="1788163273">
    <w:abstractNumId w:val="5"/>
  </w:num>
  <w:num w:numId="23" w16cid:durableId="2098086866">
    <w:abstractNumId w:val="14"/>
  </w:num>
  <w:num w:numId="24" w16cid:durableId="1520393389">
    <w:abstractNumId w:val="12"/>
  </w:num>
  <w:num w:numId="25" w16cid:durableId="758332977">
    <w:abstractNumId w:val="2"/>
  </w:num>
  <w:num w:numId="26" w16cid:durableId="2137214359">
    <w:abstractNumId w:val="10"/>
  </w:num>
  <w:num w:numId="27" w16cid:durableId="884877158">
    <w:abstractNumId w:val="19"/>
  </w:num>
  <w:num w:numId="28" w16cid:durableId="1044797126">
    <w:abstractNumId w:val="3"/>
  </w:num>
  <w:num w:numId="29" w16cid:durableId="1252160042">
    <w:abstractNumId w:val="0"/>
  </w:num>
  <w:num w:numId="30" w16cid:durableId="1174414381">
    <w:abstractNumId w:val="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kwrQUAdftuaCwAAAA="/>
  </w:docVars>
  <w:rsids>
    <w:rsidRoot w:val="00570694"/>
    <w:rsid w:val="00000738"/>
    <w:rsid w:val="000024E4"/>
    <w:rsid w:val="0000395A"/>
    <w:rsid w:val="00005A98"/>
    <w:rsid w:val="00005B4B"/>
    <w:rsid w:val="000070D4"/>
    <w:rsid w:val="00007166"/>
    <w:rsid w:val="00007450"/>
    <w:rsid w:val="00007DCD"/>
    <w:rsid w:val="0001031F"/>
    <w:rsid w:val="0001068B"/>
    <w:rsid w:val="00010C73"/>
    <w:rsid w:val="00011441"/>
    <w:rsid w:val="00011F40"/>
    <w:rsid w:val="00012A00"/>
    <w:rsid w:val="000137D6"/>
    <w:rsid w:val="0001436A"/>
    <w:rsid w:val="0001456F"/>
    <w:rsid w:val="000146BD"/>
    <w:rsid w:val="0001479F"/>
    <w:rsid w:val="00014BF7"/>
    <w:rsid w:val="0001518F"/>
    <w:rsid w:val="00015AF3"/>
    <w:rsid w:val="00016599"/>
    <w:rsid w:val="000176BA"/>
    <w:rsid w:val="00017CE7"/>
    <w:rsid w:val="00017FEA"/>
    <w:rsid w:val="000203A7"/>
    <w:rsid w:val="00020F32"/>
    <w:rsid w:val="00022178"/>
    <w:rsid w:val="0002394D"/>
    <w:rsid w:val="00023CAD"/>
    <w:rsid w:val="00024B73"/>
    <w:rsid w:val="00025AFA"/>
    <w:rsid w:val="00025B30"/>
    <w:rsid w:val="00025DEA"/>
    <w:rsid w:val="00026799"/>
    <w:rsid w:val="000277D3"/>
    <w:rsid w:val="00030428"/>
    <w:rsid w:val="00030ED7"/>
    <w:rsid w:val="00031215"/>
    <w:rsid w:val="000312CC"/>
    <w:rsid w:val="0003151D"/>
    <w:rsid w:val="0003267D"/>
    <w:rsid w:val="00032ABE"/>
    <w:rsid w:val="00033236"/>
    <w:rsid w:val="00033788"/>
    <w:rsid w:val="00033A86"/>
    <w:rsid w:val="0003520F"/>
    <w:rsid w:val="00035ABD"/>
    <w:rsid w:val="00036174"/>
    <w:rsid w:val="00036E39"/>
    <w:rsid w:val="000373BC"/>
    <w:rsid w:val="000378CD"/>
    <w:rsid w:val="0004043F"/>
    <w:rsid w:val="000405CF"/>
    <w:rsid w:val="00040667"/>
    <w:rsid w:val="00040A56"/>
    <w:rsid w:val="00040D82"/>
    <w:rsid w:val="00040FBC"/>
    <w:rsid w:val="0004265A"/>
    <w:rsid w:val="00043D88"/>
    <w:rsid w:val="0004446C"/>
    <w:rsid w:val="00044F53"/>
    <w:rsid w:val="000455A1"/>
    <w:rsid w:val="00046048"/>
    <w:rsid w:val="0004786A"/>
    <w:rsid w:val="00047F55"/>
    <w:rsid w:val="00050D40"/>
    <w:rsid w:val="00050E4C"/>
    <w:rsid w:val="00051446"/>
    <w:rsid w:val="00051E16"/>
    <w:rsid w:val="000520C7"/>
    <w:rsid w:val="0005265C"/>
    <w:rsid w:val="000526AB"/>
    <w:rsid w:val="00052880"/>
    <w:rsid w:val="00053791"/>
    <w:rsid w:val="00053E30"/>
    <w:rsid w:val="00053E87"/>
    <w:rsid w:val="00054089"/>
    <w:rsid w:val="000544FF"/>
    <w:rsid w:val="00054623"/>
    <w:rsid w:val="00054A7A"/>
    <w:rsid w:val="00055075"/>
    <w:rsid w:val="000554B1"/>
    <w:rsid w:val="00055FE2"/>
    <w:rsid w:val="000560C5"/>
    <w:rsid w:val="0005651C"/>
    <w:rsid w:val="00057424"/>
    <w:rsid w:val="000579BB"/>
    <w:rsid w:val="00060248"/>
    <w:rsid w:val="000603D1"/>
    <w:rsid w:val="00060E37"/>
    <w:rsid w:val="00061EA4"/>
    <w:rsid w:val="000623F6"/>
    <w:rsid w:val="000628F2"/>
    <w:rsid w:val="00063299"/>
    <w:rsid w:val="00063E59"/>
    <w:rsid w:val="0006488B"/>
    <w:rsid w:val="00065E2D"/>
    <w:rsid w:val="000662DC"/>
    <w:rsid w:val="000676C7"/>
    <w:rsid w:val="00067B90"/>
    <w:rsid w:val="0007074F"/>
    <w:rsid w:val="00071043"/>
    <w:rsid w:val="000718C2"/>
    <w:rsid w:val="0007246A"/>
    <w:rsid w:val="000727B2"/>
    <w:rsid w:val="00073179"/>
    <w:rsid w:val="00073336"/>
    <w:rsid w:val="00074664"/>
    <w:rsid w:val="000766DD"/>
    <w:rsid w:val="00076EF0"/>
    <w:rsid w:val="00076F01"/>
    <w:rsid w:val="000771A0"/>
    <w:rsid w:val="000771A3"/>
    <w:rsid w:val="00077230"/>
    <w:rsid w:val="00077663"/>
    <w:rsid w:val="00077711"/>
    <w:rsid w:val="00080CB4"/>
    <w:rsid w:val="000814C2"/>
    <w:rsid w:val="00081C1E"/>
    <w:rsid w:val="00082B03"/>
    <w:rsid w:val="000836F4"/>
    <w:rsid w:val="00085C93"/>
    <w:rsid w:val="00085D4A"/>
    <w:rsid w:val="00085ECE"/>
    <w:rsid w:val="00086B41"/>
    <w:rsid w:val="0008731A"/>
    <w:rsid w:val="00087CD9"/>
    <w:rsid w:val="0009111A"/>
    <w:rsid w:val="00091211"/>
    <w:rsid w:val="000919A1"/>
    <w:rsid w:val="00091F83"/>
    <w:rsid w:val="00092123"/>
    <w:rsid w:val="0009305F"/>
    <w:rsid w:val="000931AB"/>
    <w:rsid w:val="000933A1"/>
    <w:rsid w:val="0009383B"/>
    <w:rsid w:val="00094ACF"/>
    <w:rsid w:val="00095B36"/>
    <w:rsid w:val="00095C15"/>
    <w:rsid w:val="000964C9"/>
    <w:rsid w:val="000966AF"/>
    <w:rsid w:val="000A00D2"/>
    <w:rsid w:val="000A125C"/>
    <w:rsid w:val="000A357F"/>
    <w:rsid w:val="000A3BA4"/>
    <w:rsid w:val="000A3DA9"/>
    <w:rsid w:val="000A46B4"/>
    <w:rsid w:val="000A46FE"/>
    <w:rsid w:val="000A47A1"/>
    <w:rsid w:val="000A55CF"/>
    <w:rsid w:val="000A55EE"/>
    <w:rsid w:val="000A5C49"/>
    <w:rsid w:val="000A6C38"/>
    <w:rsid w:val="000A72D6"/>
    <w:rsid w:val="000A772F"/>
    <w:rsid w:val="000A7AA9"/>
    <w:rsid w:val="000A7CCE"/>
    <w:rsid w:val="000B062E"/>
    <w:rsid w:val="000B24C5"/>
    <w:rsid w:val="000B282B"/>
    <w:rsid w:val="000B2BAB"/>
    <w:rsid w:val="000B2BFC"/>
    <w:rsid w:val="000B3520"/>
    <w:rsid w:val="000B3E5D"/>
    <w:rsid w:val="000B4386"/>
    <w:rsid w:val="000B43F5"/>
    <w:rsid w:val="000B44BA"/>
    <w:rsid w:val="000B492F"/>
    <w:rsid w:val="000B4B5F"/>
    <w:rsid w:val="000B4E95"/>
    <w:rsid w:val="000C08A1"/>
    <w:rsid w:val="000C20F5"/>
    <w:rsid w:val="000C255B"/>
    <w:rsid w:val="000C2568"/>
    <w:rsid w:val="000C433F"/>
    <w:rsid w:val="000C4E9D"/>
    <w:rsid w:val="000C5477"/>
    <w:rsid w:val="000C5A76"/>
    <w:rsid w:val="000C7AEF"/>
    <w:rsid w:val="000C7D6F"/>
    <w:rsid w:val="000D01C4"/>
    <w:rsid w:val="000D0A45"/>
    <w:rsid w:val="000D1073"/>
    <w:rsid w:val="000D2FC6"/>
    <w:rsid w:val="000D35C5"/>
    <w:rsid w:val="000D3688"/>
    <w:rsid w:val="000D36FD"/>
    <w:rsid w:val="000D3B88"/>
    <w:rsid w:val="000D408C"/>
    <w:rsid w:val="000D477E"/>
    <w:rsid w:val="000D5A02"/>
    <w:rsid w:val="000D63DF"/>
    <w:rsid w:val="000D6511"/>
    <w:rsid w:val="000D6FF5"/>
    <w:rsid w:val="000E05E0"/>
    <w:rsid w:val="000E1901"/>
    <w:rsid w:val="000E1A99"/>
    <w:rsid w:val="000E2AEF"/>
    <w:rsid w:val="000E2C4E"/>
    <w:rsid w:val="000E2FE9"/>
    <w:rsid w:val="000E3344"/>
    <w:rsid w:val="000E343C"/>
    <w:rsid w:val="000E376B"/>
    <w:rsid w:val="000E4558"/>
    <w:rsid w:val="000E5961"/>
    <w:rsid w:val="000E5E30"/>
    <w:rsid w:val="000E608D"/>
    <w:rsid w:val="000E61F4"/>
    <w:rsid w:val="000E651E"/>
    <w:rsid w:val="000E72F0"/>
    <w:rsid w:val="000F0F1A"/>
    <w:rsid w:val="000F1CF3"/>
    <w:rsid w:val="000F1EB4"/>
    <w:rsid w:val="000F33F8"/>
    <w:rsid w:val="000F3E46"/>
    <w:rsid w:val="000F4ACE"/>
    <w:rsid w:val="000F4BFA"/>
    <w:rsid w:val="000F4E58"/>
    <w:rsid w:val="000F4F17"/>
    <w:rsid w:val="000F58B5"/>
    <w:rsid w:val="000F6048"/>
    <w:rsid w:val="000F6BDA"/>
    <w:rsid w:val="00100B11"/>
    <w:rsid w:val="00101649"/>
    <w:rsid w:val="00101EDA"/>
    <w:rsid w:val="00102071"/>
    <w:rsid w:val="00103847"/>
    <w:rsid w:val="001043FD"/>
    <w:rsid w:val="001055A6"/>
    <w:rsid w:val="00105FA7"/>
    <w:rsid w:val="00107CFA"/>
    <w:rsid w:val="00107E08"/>
    <w:rsid w:val="00110235"/>
    <w:rsid w:val="00111810"/>
    <w:rsid w:val="00111833"/>
    <w:rsid w:val="00111DAF"/>
    <w:rsid w:val="0011303A"/>
    <w:rsid w:val="00113062"/>
    <w:rsid w:val="00113079"/>
    <w:rsid w:val="001139C1"/>
    <w:rsid w:val="00114519"/>
    <w:rsid w:val="0011480F"/>
    <w:rsid w:val="001152C5"/>
    <w:rsid w:val="00116920"/>
    <w:rsid w:val="00117192"/>
    <w:rsid w:val="001175E0"/>
    <w:rsid w:val="00117933"/>
    <w:rsid w:val="001200FD"/>
    <w:rsid w:val="00120DA0"/>
    <w:rsid w:val="00122265"/>
    <w:rsid w:val="0012307B"/>
    <w:rsid w:val="00123E26"/>
    <w:rsid w:val="001259A9"/>
    <w:rsid w:val="0012727A"/>
    <w:rsid w:val="001275CF"/>
    <w:rsid w:val="0012767A"/>
    <w:rsid w:val="001315A6"/>
    <w:rsid w:val="00131C9F"/>
    <w:rsid w:val="00132FA9"/>
    <w:rsid w:val="00133AB2"/>
    <w:rsid w:val="00133CD9"/>
    <w:rsid w:val="00133D9B"/>
    <w:rsid w:val="00134145"/>
    <w:rsid w:val="001359FB"/>
    <w:rsid w:val="00135A8B"/>
    <w:rsid w:val="00135AAB"/>
    <w:rsid w:val="001367C0"/>
    <w:rsid w:val="001371F1"/>
    <w:rsid w:val="00137CAB"/>
    <w:rsid w:val="00140BC2"/>
    <w:rsid w:val="00140BCF"/>
    <w:rsid w:val="00140F69"/>
    <w:rsid w:val="00141A18"/>
    <w:rsid w:val="00142BB2"/>
    <w:rsid w:val="0014307F"/>
    <w:rsid w:val="001441C8"/>
    <w:rsid w:val="00144472"/>
    <w:rsid w:val="00144545"/>
    <w:rsid w:val="00144917"/>
    <w:rsid w:val="00144B7E"/>
    <w:rsid w:val="00144C44"/>
    <w:rsid w:val="00144C7D"/>
    <w:rsid w:val="0014561B"/>
    <w:rsid w:val="00146101"/>
    <w:rsid w:val="00146506"/>
    <w:rsid w:val="001476C8"/>
    <w:rsid w:val="00147925"/>
    <w:rsid w:val="00147974"/>
    <w:rsid w:val="00147C55"/>
    <w:rsid w:val="0015014A"/>
    <w:rsid w:val="00150351"/>
    <w:rsid w:val="00150B26"/>
    <w:rsid w:val="00151DA1"/>
    <w:rsid w:val="001520FA"/>
    <w:rsid w:val="001527EE"/>
    <w:rsid w:val="0015290B"/>
    <w:rsid w:val="00152FE9"/>
    <w:rsid w:val="00153636"/>
    <w:rsid w:val="0015484A"/>
    <w:rsid w:val="00154CBB"/>
    <w:rsid w:val="00155570"/>
    <w:rsid w:val="00156046"/>
    <w:rsid w:val="00156088"/>
    <w:rsid w:val="00156BFA"/>
    <w:rsid w:val="001604B9"/>
    <w:rsid w:val="00161001"/>
    <w:rsid w:val="00162A08"/>
    <w:rsid w:val="00163ABC"/>
    <w:rsid w:val="0016421F"/>
    <w:rsid w:val="00164283"/>
    <w:rsid w:val="0016494D"/>
    <w:rsid w:val="001654B4"/>
    <w:rsid w:val="001658DB"/>
    <w:rsid w:val="00165B27"/>
    <w:rsid w:val="00166017"/>
    <w:rsid w:val="00166653"/>
    <w:rsid w:val="0017035F"/>
    <w:rsid w:val="0017081B"/>
    <w:rsid w:val="0017154C"/>
    <w:rsid w:val="00171BCD"/>
    <w:rsid w:val="00171E52"/>
    <w:rsid w:val="00172947"/>
    <w:rsid w:val="00173CF3"/>
    <w:rsid w:val="001748A7"/>
    <w:rsid w:val="00174BEC"/>
    <w:rsid w:val="00175A72"/>
    <w:rsid w:val="00176F75"/>
    <w:rsid w:val="001773CD"/>
    <w:rsid w:val="00177D0A"/>
    <w:rsid w:val="0018003A"/>
    <w:rsid w:val="00180DF6"/>
    <w:rsid w:val="0018145E"/>
    <w:rsid w:val="00181BDB"/>
    <w:rsid w:val="00182173"/>
    <w:rsid w:val="001829CE"/>
    <w:rsid w:val="00182A86"/>
    <w:rsid w:val="00183A2A"/>
    <w:rsid w:val="00183C60"/>
    <w:rsid w:val="00184007"/>
    <w:rsid w:val="0018476F"/>
    <w:rsid w:val="00187838"/>
    <w:rsid w:val="001901A5"/>
    <w:rsid w:val="001901FC"/>
    <w:rsid w:val="00190616"/>
    <w:rsid w:val="00190661"/>
    <w:rsid w:val="0019112F"/>
    <w:rsid w:val="00191645"/>
    <w:rsid w:val="00192DFD"/>
    <w:rsid w:val="001940DA"/>
    <w:rsid w:val="00194321"/>
    <w:rsid w:val="00194A17"/>
    <w:rsid w:val="00195054"/>
    <w:rsid w:val="00195D34"/>
    <w:rsid w:val="00195EED"/>
    <w:rsid w:val="0019659D"/>
    <w:rsid w:val="00196FF3"/>
    <w:rsid w:val="00197D5B"/>
    <w:rsid w:val="001A0255"/>
    <w:rsid w:val="001A0449"/>
    <w:rsid w:val="001A06AE"/>
    <w:rsid w:val="001A108B"/>
    <w:rsid w:val="001A25EA"/>
    <w:rsid w:val="001A2C4E"/>
    <w:rsid w:val="001A342B"/>
    <w:rsid w:val="001A35AD"/>
    <w:rsid w:val="001A395C"/>
    <w:rsid w:val="001A4391"/>
    <w:rsid w:val="001A4FAD"/>
    <w:rsid w:val="001A57BB"/>
    <w:rsid w:val="001A7C3B"/>
    <w:rsid w:val="001B087D"/>
    <w:rsid w:val="001B0D1E"/>
    <w:rsid w:val="001B0E94"/>
    <w:rsid w:val="001B200E"/>
    <w:rsid w:val="001B2B9F"/>
    <w:rsid w:val="001B3294"/>
    <w:rsid w:val="001B39B1"/>
    <w:rsid w:val="001B3F5A"/>
    <w:rsid w:val="001B462E"/>
    <w:rsid w:val="001B4899"/>
    <w:rsid w:val="001B5A30"/>
    <w:rsid w:val="001B5D92"/>
    <w:rsid w:val="001B5D96"/>
    <w:rsid w:val="001B6CF0"/>
    <w:rsid w:val="001B7B6D"/>
    <w:rsid w:val="001C2A55"/>
    <w:rsid w:val="001C31E8"/>
    <w:rsid w:val="001C37C3"/>
    <w:rsid w:val="001C3EB8"/>
    <w:rsid w:val="001C5986"/>
    <w:rsid w:val="001C5C26"/>
    <w:rsid w:val="001C5E46"/>
    <w:rsid w:val="001C624A"/>
    <w:rsid w:val="001C6D5F"/>
    <w:rsid w:val="001C7486"/>
    <w:rsid w:val="001C7596"/>
    <w:rsid w:val="001C7944"/>
    <w:rsid w:val="001D12AA"/>
    <w:rsid w:val="001D138B"/>
    <w:rsid w:val="001D1BC3"/>
    <w:rsid w:val="001D254C"/>
    <w:rsid w:val="001D2764"/>
    <w:rsid w:val="001D3241"/>
    <w:rsid w:val="001D3262"/>
    <w:rsid w:val="001D3316"/>
    <w:rsid w:val="001D3A04"/>
    <w:rsid w:val="001D528E"/>
    <w:rsid w:val="001D52A6"/>
    <w:rsid w:val="001D530B"/>
    <w:rsid w:val="001D589E"/>
    <w:rsid w:val="001D5B47"/>
    <w:rsid w:val="001D5B59"/>
    <w:rsid w:val="001D6890"/>
    <w:rsid w:val="001D6BAB"/>
    <w:rsid w:val="001D6C6B"/>
    <w:rsid w:val="001D7587"/>
    <w:rsid w:val="001D79AB"/>
    <w:rsid w:val="001E0313"/>
    <w:rsid w:val="001E1E92"/>
    <w:rsid w:val="001E1EFD"/>
    <w:rsid w:val="001E3C08"/>
    <w:rsid w:val="001E42B3"/>
    <w:rsid w:val="001E43C2"/>
    <w:rsid w:val="001E499B"/>
    <w:rsid w:val="001E56E1"/>
    <w:rsid w:val="001E5B42"/>
    <w:rsid w:val="001E71AB"/>
    <w:rsid w:val="001F0A52"/>
    <w:rsid w:val="001F1F84"/>
    <w:rsid w:val="001F4750"/>
    <w:rsid w:val="001F4A1C"/>
    <w:rsid w:val="001F4FBB"/>
    <w:rsid w:val="001F52FB"/>
    <w:rsid w:val="001F5414"/>
    <w:rsid w:val="001F5CF6"/>
    <w:rsid w:val="001F5D30"/>
    <w:rsid w:val="001F6AEA"/>
    <w:rsid w:val="001F72DE"/>
    <w:rsid w:val="001F796C"/>
    <w:rsid w:val="001F7FAB"/>
    <w:rsid w:val="002003A4"/>
    <w:rsid w:val="00200EC8"/>
    <w:rsid w:val="00200F1C"/>
    <w:rsid w:val="00201099"/>
    <w:rsid w:val="00201586"/>
    <w:rsid w:val="0020165D"/>
    <w:rsid w:val="002016D9"/>
    <w:rsid w:val="00201771"/>
    <w:rsid w:val="002027E9"/>
    <w:rsid w:val="00203391"/>
    <w:rsid w:val="0020373B"/>
    <w:rsid w:val="002048DF"/>
    <w:rsid w:val="00204F22"/>
    <w:rsid w:val="00205098"/>
    <w:rsid w:val="00205636"/>
    <w:rsid w:val="00206FBA"/>
    <w:rsid w:val="0020757D"/>
    <w:rsid w:val="0020784A"/>
    <w:rsid w:val="0021016A"/>
    <w:rsid w:val="00210270"/>
    <w:rsid w:val="0021048B"/>
    <w:rsid w:val="00212AA8"/>
    <w:rsid w:val="00213C53"/>
    <w:rsid w:val="00214CFC"/>
    <w:rsid w:val="002152C6"/>
    <w:rsid w:val="0021538A"/>
    <w:rsid w:val="00215A20"/>
    <w:rsid w:val="002165A3"/>
    <w:rsid w:val="002166F8"/>
    <w:rsid w:val="00220291"/>
    <w:rsid w:val="00220B7B"/>
    <w:rsid w:val="00220F3F"/>
    <w:rsid w:val="00222C42"/>
    <w:rsid w:val="00222C7F"/>
    <w:rsid w:val="00223A45"/>
    <w:rsid w:val="00223E15"/>
    <w:rsid w:val="00224E76"/>
    <w:rsid w:val="0022573C"/>
    <w:rsid w:val="00225A4E"/>
    <w:rsid w:val="0022630A"/>
    <w:rsid w:val="0022672A"/>
    <w:rsid w:val="00227B00"/>
    <w:rsid w:val="00227CB2"/>
    <w:rsid w:val="0023004A"/>
    <w:rsid w:val="00230F86"/>
    <w:rsid w:val="00231623"/>
    <w:rsid w:val="00231D59"/>
    <w:rsid w:val="0023268B"/>
    <w:rsid w:val="00232965"/>
    <w:rsid w:val="00236619"/>
    <w:rsid w:val="0023793B"/>
    <w:rsid w:val="0024018B"/>
    <w:rsid w:val="002406BD"/>
    <w:rsid w:val="002408F9"/>
    <w:rsid w:val="00240E2E"/>
    <w:rsid w:val="00242481"/>
    <w:rsid w:val="00242716"/>
    <w:rsid w:val="00242C1B"/>
    <w:rsid w:val="002435C9"/>
    <w:rsid w:val="00244274"/>
    <w:rsid w:val="002478B5"/>
    <w:rsid w:val="00250469"/>
    <w:rsid w:val="002514DB"/>
    <w:rsid w:val="0025163B"/>
    <w:rsid w:val="00252092"/>
    <w:rsid w:val="002520BF"/>
    <w:rsid w:val="002520F2"/>
    <w:rsid w:val="00253BCE"/>
    <w:rsid w:val="00253CF6"/>
    <w:rsid w:val="002541F8"/>
    <w:rsid w:val="00254447"/>
    <w:rsid w:val="002545C4"/>
    <w:rsid w:val="002556EE"/>
    <w:rsid w:val="00255D7F"/>
    <w:rsid w:val="00256274"/>
    <w:rsid w:val="002567C7"/>
    <w:rsid w:val="00256C5B"/>
    <w:rsid w:val="00260796"/>
    <w:rsid w:val="002607ED"/>
    <w:rsid w:val="002608D1"/>
    <w:rsid w:val="00260C97"/>
    <w:rsid w:val="00261423"/>
    <w:rsid w:val="0026168D"/>
    <w:rsid w:val="00262148"/>
    <w:rsid w:val="0026272F"/>
    <w:rsid w:val="00263D62"/>
    <w:rsid w:val="002646A6"/>
    <w:rsid w:val="00264858"/>
    <w:rsid w:val="00265394"/>
    <w:rsid w:val="002654A4"/>
    <w:rsid w:val="00266355"/>
    <w:rsid w:val="00267FEF"/>
    <w:rsid w:val="00270566"/>
    <w:rsid w:val="002713D8"/>
    <w:rsid w:val="00272719"/>
    <w:rsid w:val="00273106"/>
    <w:rsid w:val="00273E35"/>
    <w:rsid w:val="0027402D"/>
    <w:rsid w:val="002745EB"/>
    <w:rsid w:val="002754E6"/>
    <w:rsid w:val="00276744"/>
    <w:rsid w:val="00276DEA"/>
    <w:rsid w:val="00276FCA"/>
    <w:rsid w:val="00277E7D"/>
    <w:rsid w:val="00280B97"/>
    <w:rsid w:val="00282348"/>
    <w:rsid w:val="00282BAA"/>
    <w:rsid w:val="0028344D"/>
    <w:rsid w:val="00284685"/>
    <w:rsid w:val="00285087"/>
    <w:rsid w:val="00285491"/>
    <w:rsid w:val="00285CFC"/>
    <w:rsid w:val="002864D9"/>
    <w:rsid w:val="00286B54"/>
    <w:rsid w:val="00287721"/>
    <w:rsid w:val="00291A64"/>
    <w:rsid w:val="00291CA6"/>
    <w:rsid w:val="00291ED0"/>
    <w:rsid w:val="00292465"/>
    <w:rsid w:val="00292A4F"/>
    <w:rsid w:val="002931F2"/>
    <w:rsid w:val="00293770"/>
    <w:rsid w:val="002941A4"/>
    <w:rsid w:val="002944BB"/>
    <w:rsid w:val="00294CA7"/>
    <w:rsid w:val="00297111"/>
    <w:rsid w:val="002976D7"/>
    <w:rsid w:val="002A0D22"/>
    <w:rsid w:val="002A0DC8"/>
    <w:rsid w:val="002A11EE"/>
    <w:rsid w:val="002A2849"/>
    <w:rsid w:val="002A3DF9"/>
    <w:rsid w:val="002A4AC6"/>
    <w:rsid w:val="002A5107"/>
    <w:rsid w:val="002A5337"/>
    <w:rsid w:val="002A5D8B"/>
    <w:rsid w:val="002A65F6"/>
    <w:rsid w:val="002A7D0E"/>
    <w:rsid w:val="002B0A81"/>
    <w:rsid w:val="002B0D7A"/>
    <w:rsid w:val="002B161B"/>
    <w:rsid w:val="002B1A52"/>
    <w:rsid w:val="002B373F"/>
    <w:rsid w:val="002B46CB"/>
    <w:rsid w:val="002B60EF"/>
    <w:rsid w:val="002B644D"/>
    <w:rsid w:val="002B7144"/>
    <w:rsid w:val="002C0021"/>
    <w:rsid w:val="002C0B86"/>
    <w:rsid w:val="002C0E25"/>
    <w:rsid w:val="002C13B8"/>
    <w:rsid w:val="002C1D90"/>
    <w:rsid w:val="002C1FBC"/>
    <w:rsid w:val="002C216B"/>
    <w:rsid w:val="002C3192"/>
    <w:rsid w:val="002C3568"/>
    <w:rsid w:val="002C4D04"/>
    <w:rsid w:val="002C5CC6"/>
    <w:rsid w:val="002C5F59"/>
    <w:rsid w:val="002C675F"/>
    <w:rsid w:val="002D0316"/>
    <w:rsid w:val="002D0A04"/>
    <w:rsid w:val="002D0E7B"/>
    <w:rsid w:val="002D1432"/>
    <w:rsid w:val="002D29FF"/>
    <w:rsid w:val="002D3389"/>
    <w:rsid w:val="002D37F1"/>
    <w:rsid w:val="002D4F3F"/>
    <w:rsid w:val="002D5C73"/>
    <w:rsid w:val="002D6257"/>
    <w:rsid w:val="002D6307"/>
    <w:rsid w:val="002D65A5"/>
    <w:rsid w:val="002D6E55"/>
    <w:rsid w:val="002D7900"/>
    <w:rsid w:val="002D7C40"/>
    <w:rsid w:val="002E1402"/>
    <w:rsid w:val="002E15A1"/>
    <w:rsid w:val="002E1612"/>
    <w:rsid w:val="002E197B"/>
    <w:rsid w:val="002E320D"/>
    <w:rsid w:val="002E34F0"/>
    <w:rsid w:val="002E3A44"/>
    <w:rsid w:val="002E4487"/>
    <w:rsid w:val="002E4662"/>
    <w:rsid w:val="002E4759"/>
    <w:rsid w:val="002E47F1"/>
    <w:rsid w:val="002E4A8C"/>
    <w:rsid w:val="002E4BCE"/>
    <w:rsid w:val="002E4E85"/>
    <w:rsid w:val="002E51AD"/>
    <w:rsid w:val="002E527B"/>
    <w:rsid w:val="002E52CA"/>
    <w:rsid w:val="002E58F2"/>
    <w:rsid w:val="002E5BAB"/>
    <w:rsid w:val="002E61D1"/>
    <w:rsid w:val="002E6657"/>
    <w:rsid w:val="002E6AEF"/>
    <w:rsid w:val="002E6EF0"/>
    <w:rsid w:val="002E7C10"/>
    <w:rsid w:val="002E7E1E"/>
    <w:rsid w:val="002F02EE"/>
    <w:rsid w:val="002F0472"/>
    <w:rsid w:val="002F2261"/>
    <w:rsid w:val="002F3901"/>
    <w:rsid w:val="002F3CE6"/>
    <w:rsid w:val="002F42FE"/>
    <w:rsid w:val="002F451B"/>
    <w:rsid w:val="002F558D"/>
    <w:rsid w:val="002F5833"/>
    <w:rsid w:val="002F5CFE"/>
    <w:rsid w:val="002F6732"/>
    <w:rsid w:val="002F6B52"/>
    <w:rsid w:val="002F6C24"/>
    <w:rsid w:val="002F7235"/>
    <w:rsid w:val="002F7460"/>
    <w:rsid w:val="00300901"/>
    <w:rsid w:val="00302ADE"/>
    <w:rsid w:val="00302B46"/>
    <w:rsid w:val="00302E90"/>
    <w:rsid w:val="00303B83"/>
    <w:rsid w:val="00303C2E"/>
    <w:rsid w:val="00303D95"/>
    <w:rsid w:val="00304ECA"/>
    <w:rsid w:val="003050C6"/>
    <w:rsid w:val="00305241"/>
    <w:rsid w:val="003058D5"/>
    <w:rsid w:val="00306BE8"/>
    <w:rsid w:val="00307F73"/>
    <w:rsid w:val="00310B9F"/>
    <w:rsid w:val="00311430"/>
    <w:rsid w:val="00311ADB"/>
    <w:rsid w:val="00312646"/>
    <w:rsid w:val="003126F7"/>
    <w:rsid w:val="003128B5"/>
    <w:rsid w:val="00313A94"/>
    <w:rsid w:val="00314629"/>
    <w:rsid w:val="00314A83"/>
    <w:rsid w:val="00315856"/>
    <w:rsid w:val="00315D1D"/>
    <w:rsid w:val="00316892"/>
    <w:rsid w:val="00316FEE"/>
    <w:rsid w:val="003170C0"/>
    <w:rsid w:val="003171D3"/>
    <w:rsid w:val="003207C4"/>
    <w:rsid w:val="00320855"/>
    <w:rsid w:val="00320CC7"/>
    <w:rsid w:val="003213AE"/>
    <w:rsid w:val="003214DF"/>
    <w:rsid w:val="00321BDF"/>
    <w:rsid w:val="00323A26"/>
    <w:rsid w:val="00324DF0"/>
    <w:rsid w:val="00324EBE"/>
    <w:rsid w:val="0032580B"/>
    <w:rsid w:val="00326508"/>
    <w:rsid w:val="00326551"/>
    <w:rsid w:val="00327FC8"/>
    <w:rsid w:val="00330999"/>
    <w:rsid w:val="00330B52"/>
    <w:rsid w:val="003313B5"/>
    <w:rsid w:val="00331854"/>
    <w:rsid w:val="00332897"/>
    <w:rsid w:val="00332E3E"/>
    <w:rsid w:val="00332E6C"/>
    <w:rsid w:val="0033359D"/>
    <w:rsid w:val="00333942"/>
    <w:rsid w:val="00333B2E"/>
    <w:rsid w:val="003340AC"/>
    <w:rsid w:val="00335B68"/>
    <w:rsid w:val="00336934"/>
    <w:rsid w:val="00336BC5"/>
    <w:rsid w:val="00337862"/>
    <w:rsid w:val="003378A9"/>
    <w:rsid w:val="00337F06"/>
    <w:rsid w:val="00341069"/>
    <w:rsid w:val="00341D14"/>
    <w:rsid w:val="00342910"/>
    <w:rsid w:val="00342D1C"/>
    <w:rsid w:val="00343872"/>
    <w:rsid w:val="003438A0"/>
    <w:rsid w:val="00343A94"/>
    <w:rsid w:val="00344AF8"/>
    <w:rsid w:val="00345423"/>
    <w:rsid w:val="00345C13"/>
    <w:rsid w:val="00346311"/>
    <w:rsid w:val="003468C9"/>
    <w:rsid w:val="00346BFD"/>
    <w:rsid w:val="003472D1"/>
    <w:rsid w:val="00350002"/>
    <w:rsid w:val="00350B37"/>
    <w:rsid w:val="0035103D"/>
    <w:rsid w:val="003514F3"/>
    <w:rsid w:val="003524B2"/>
    <w:rsid w:val="003528CF"/>
    <w:rsid w:val="00352919"/>
    <w:rsid w:val="00352961"/>
    <w:rsid w:val="00354453"/>
    <w:rsid w:val="00354DC3"/>
    <w:rsid w:val="003557B9"/>
    <w:rsid w:val="0035610A"/>
    <w:rsid w:val="00356647"/>
    <w:rsid w:val="003567E9"/>
    <w:rsid w:val="003568B1"/>
    <w:rsid w:val="00357300"/>
    <w:rsid w:val="003609A6"/>
    <w:rsid w:val="00361C29"/>
    <w:rsid w:val="00361F64"/>
    <w:rsid w:val="00362266"/>
    <w:rsid w:val="0036237E"/>
    <w:rsid w:val="00362E17"/>
    <w:rsid w:val="00363ACB"/>
    <w:rsid w:val="00363FDA"/>
    <w:rsid w:val="00363FE4"/>
    <w:rsid w:val="00365267"/>
    <w:rsid w:val="00365A06"/>
    <w:rsid w:val="00365A0C"/>
    <w:rsid w:val="00367B4C"/>
    <w:rsid w:val="00370F51"/>
    <w:rsid w:val="00371295"/>
    <w:rsid w:val="00371E4D"/>
    <w:rsid w:val="00372639"/>
    <w:rsid w:val="0037429D"/>
    <w:rsid w:val="00374B60"/>
    <w:rsid w:val="00375448"/>
    <w:rsid w:val="003755DE"/>
    <w:rsid w:val="0037637C"/>
    <w:rsid w:val="003763EB"/>
    <w:rsid w:val="00376D86"/>
    <w:rsid w:val="00377BFC"/>
    <w:rsid w:val="003805B7"/>
    <w:rsid w:val="003811C4"/>
    <w:rsid w:val="003825BA"/>
    <w:rsid w:val="0038330F"/>
    <w:rsid w:val="003848B5"/>
    <w:rsid w:val="00384EC9"/>
    <w:rsid w:val="003851DF"/>
    <w:rsid w:val="0038548A"/>
    <w:rsid w:val="0038706A"/>
    <w:rsid w:val="003875C2"/>
    <w:rsid w:val="00387A4A"/>
    <w:rsid w:val="003901E7"/>
    <w:rsid w:val="003902AD"/>
    <w:rsid w:val="0039057A"/>
    <w:rsid w:val="003906A5"/>
    <w:rsid w:val="00390804"/>
    <w:rsid w:val="0039113B"/>
    <w:rsid w:val="0039118D"/>
    <w:rsid w:val="003911D0"/>
    <w:rsid w:val="0039350E"/>
    <w:rsid w:val="00393534"/>
    <w:rsid w:val="003956ED"/>
    <w:rsid w:val="00395E09"/>
    <w:rsid w:val="00395E52"/>
    <w:rsid w:val="00395F56"/>
    <w:rsid w:val="0039685A"/>
    <w:rsid w:val="0039693A"/>
    <w:rsid w:val="00396DDA"/>
    <w:rsid w:val="00397D63"/>
    <w:rsid w:val="003A0182"/>
    <w:rsid w:val="003A1553"/>
    <w:rsid w:val="003A1B75"/>
    <w:rsid w:val="003A1D3F"/>
    <w:rsid w:val="003A3457"/>
    <w:rsid w:val="003A3F4B"/>
    <w:rsid w:val="003A3F7F"/>
    <w:rsid w:val="003A4087"/>
    <w:rsid w:val="003A4697"/>
    <w:rsid w:val="003A4D4B"/>
    <w:rsid w:val="003A4F0F"/>
    <w:rsid w:val="003A4FB0"/>
    <w:rsid w:val="003A5A50"/>
    <w:rsid w:val="003A5BB2"/>
    <w:rsid w:val="003A643C"/>
    <w:rsid w:val="003A75B2"/>
    <w:rsid w:val="003B0E3D"/>
    <w:rsid w:val="003B151E"/>
    <w:rsid w:val="003B1963"/>
    <w:rsid w:val="003B2341"/>
    <w:rsid w:val="003B31C0"/>
    <w:rsid w:val="003B33D2"/>
    <w:rsid w:val="003B3426"/>
    <w:rsid w:val="003B3DC1"/>
    <w:rsid w:val="003B46C2"/>
    <w:rsid w:val="003B4A2C"/>
    <w:rsid w:val="003B4C3D"/>
    <w:rsid w:val="003B7D18"/>
    <w:rsid w:val="003C1760"/>
    <w:rsid w:val="003C1E44"/>
    <w:rsid w:val="003C2754"/>
    <w:rsid w:val="003C325A"/>
    <w:rsid w:val="003C3685"/>
    <w:rsid w:val="003C6192"/>
    <w:rsid w:val="003C61F2"/>
    <w:rsid w:val="003C66D7"/>
    <w:rsid w:val="003C6B14"/>
    <w:rsid w:val="003C7D26"/>
    <w:rsid w:val="003D0615"/>
    <w:rsid w:val="003D0AB3"/>
    <w:rsid w:val="003D2059"/>
    <w:rsid w:val="003D21F5"/>
    <w:rsid w:val="003D2901"/>
    <w:rsid w:val="003D3667"/>
    <w:rsid w:val="003D402A"/>
    <w:rsid w:val="003D4203"/>
    <w:rsid w:val="003D6A23"/>
    <w:rsid w:val="003D6EFD"/>
    <w:rsid w:val="003D7413"/>
    <w:rsid w:val="003D7DD1"/>
    <w:rsid w:val="003E0450"/>
    <w:rsid w:val="003E09E6"/>
    <w:rsid w:val="003E10D3"/>
    <w:rsid w:val="003E166B"/>
    <w:rsid w:val="003E2525"/>
    <w:rsid w:val="003E2EFC"/>
    <w:rsid w:val="003E3E4A"/>
    <w:rsid w:val="003E4AB1"/>
    <w:rsid w:val="003E5707"/>
    <w:rsid w:val="003E7579"/>
    <w:rsid w:val="003E7703"/>
    <w:rsid w:val="003E7830"/>
    <w:rsid w:val="003F04D6"/>
    <w:rsid w:val="003F04FE"/>
    <w:rsid w:val="003F128E"/>
    <w:rsid w:val="003F1AC5"/>
    <w:rsid w:val="003F1D6A"/>
    <w:rsid w:val="003F1F47"/>
    <w:rsid w:val="003F1F8C"/>
    <w:rsid w:val="003F22C0"/>
    <w:rsid w:val="003F36F4"/>
    <w:rsid w:val="003F3BF5"/>
    <w:rsid w:val="003F3C4D"/>
    <w:rsid w:val="003F3CA3"/>
    <w:rsid w:val="003F4967"/>
    <w:rsid w:val="003F4E09"/>
    <w:rsid w:val="003F5542"/>
    <w:rsid w:val="003F5F46"/>
    <w:rsid w:val="003F6001"/>
    <w:rsid w:val="003F7477"/>
    <w:rsid w:val="003F7B20"/>
    <w:rsid w:val="00400C34"/>
    <w:rsid w:val="00400E19"/>
    <w:rsid w:val="00402E3B"/>
    <w:rsid w:val="00404068"/>
    <w:rsid w:val="004044DC"/>
    <w:rsid w:val="00404516"/>
    <w:rsid w:val="0040477D"/>
    <w:rsid w:val="004047FA"/>
    <w:rsid w:val="00404B0E"/>
    <w:rsid w:val="00405B9F"/>
    <w:rsid w:val="00406314"/>
    <w:rsid w:val="0040647C"/>
    <w:rsid w:val="004065FD"/>
    <w:rsid w:val="00407313"/>
    <w:rsid w:val="00410830"/>
    <w:rsid w:val="00411215"/>
    <w:rsid w:val="004121B6"/>
    <w:rsid w:val="004127CC"/>
    <w:rsid w:val="00412E79"/>
    <w:rsid w:val="004134F8"/>
    <w:rsid w:val="004138CA"/>
    <w:rsid w:val="0041575D"/>
    <w:rsid w:val="00415C19"/>
    <w:rsid w:val="00416B5D"/>
    <w:rsid w:val="00416E7C"/>
    <w:rsid w:val="004173FC"/>
    <w:rsid w:val="00417419"/>
    <w:rsid w:val="004200F6"/>
    <w:rsid w:val="004201B0"/>
    <w:rsid w:val="004209B8"/>
    <w:rsid w:val="00420B23"/>
    <w:rsid w:val="00422B7E"/>
    <w:rsid w:val="00422D28"/>
    <w:rsid w:val="00423472"/>
    <w:rsid w:val="0042379E"/>
    <w:rsid w:val="004243B9"/>
    <w:rsid w:val="0042607B"/>
    <w:rsid w:val="00427276"/>
    <w:rsid w:val="004273B8"/>
    <w:rsid w:val="004275BE"/>
    <w:rsid w:val="00427786"/>
    <w:rsid w:val="004277D3"/>
    <w:rsid w:val="00427829"/>
    <w:rsid w:val="00430AB5"/>
    <w:rsid w:val="00433D97"/>
    <w:rsid w:val="00434194"/>
    <w:rsid w:val="00434A28"/>
    <w:rsid w:val="00434D42"/>
    <w:rsid w:val="00434D5D"/>
    <w:rsid w:val="00435184"/>
    <w:rsid w:val="0043564D"/>
    <w:rsid w:val="00436726"/>
    <w:rsid w:val="00436A9B"/>
    <w:rsid w:val="00437576"/>
    <w:rsid w:val="004376E1"/>
    <w:rsid w:val="00437E7E"/>
    <w:rsid w:val="00440D31"/>
    <w:rsid w:val="00440F0C"/>
    <w:rsid w:val="00441BAD"/>
    <w:rsid w:val="00441C39"/>
    <w:rsid w:val="004437A3"/>
    <w:rsid w:val="00443C0C"/>
    <w:rsid w:val="00443E1E"/>
    <w:rsid w:val="00444572"/>
    <w:rsid w:val="00444A1A"/>
    <w:rsid w:val="00445557"/>
    <w:rsid w:val="00446736"/>
    <w:rsid w:val="00446FCF"/>
    <w:rsid w:val="00447320"/>
    <w:rsid w:val="00447340"/>
    <w:rsid w:val="004478A8"/>
    <w:rsid w:val="00447A83"/>
    <w:rsid w:val="00447C3A"/>
    <w:rsid w:val="0045088D"/>
    <w:rsid w:val="00451097"/>
    <w:rsid w:val="00451DCA"/>
    <w:rsid w:val="004523FE"/>
    <w:rsid w:val="0045264B"/>
    <w:rsid w:val="00453DB6"/>
    <w:rsid w:val="004543DA"/>
    <w:rsid w:val="0045496D"/>
    <w:rsid w:val="00454B55"/>
    <w:rsid w:val="00455783"/>
    <w:rsid w:val="0045597B"/>
    <w:rsid w:val="00455EB5"/>
    <w:rsid w:val="004562C1"/>
    <w:rsid w:val="0045670B"/>
    <w:rsid w:val="00457864"/>
    <w:rsid w:val="0046074A"/>
    <w:rsid w:val="00460E02"/>
    <w:rsid w:val="00460E5A"/>
    <w:rsid w:val="004614F8"/>
    <w:rsid w:val="0046277F"/>
    <w:rsid w:val="00462A3F"/>
    <w:rsid w:val="00462CF3"/>
    <w:rsid w:val="00463868"/>
    <w:rsid w:val="0046394A"/>
    <w:rsid w:val="00464617"/>
    <w:rsid w:val="00465410"/>
    <w:rsid w:val="00465E4D"/>
    <w:rsid w:val="00465F14"/>
    <w:rsid w:val="00465FE6"/>
    <w:rsid w:val="004662E0"/>
    <w:rsid w:val="00467107"/>
    <w:rsid w:val="004671E9"/>
    <w:rsid w:val="0047251C"/>
    <w:rsid w:val="00472FF1"/>
    <w:rsid w:val="0047345F"/>
    <w:rsid w:val="004736A1"/>
    <w:rsid w:val="004743A7"/>
    <w:rsid w:val="00474B98"/>
    <w:rsid w:val="00474C78"/>
    <w:rsid w:val="00474C81"/>
    <w:rsid w:val="00474FB7"/>
    <w:rsid w:val="004753E2"/>
    <w:rsid w:val="0047585F"/>
    <w:rsid w:val="00476DFD"/>
    <w:rsid w:val="004773C3"/>
    <w:rsid w:val="00480402"/>
    <w:rsid w:val="00481258"/>
    <w:rsid w:val="00481D90"/>
    <w:rsid w:val="0048215F"/>
    <w:rsid w:val="00482D55"/>
    <w:rsid w:val="00483CA8"/>
    <w:rsid w:val="00483D7D"/>
    <w:rsid w:val="00483E66"/>
    <w:rsid w:val="0048453A"/>
    <w:rsid w:val="00485369"/>
    <w:rsid w:val="00485382"/>
    <w:rsid w:val="00485670"/>
    <w:rsid w:val="00485CEA"/>
    <w:rsid w:val="00486102"/>
    <w:rsid w:val="00486812"/>
    <w:rsid w:val="00486A4A"/>
    <w:rsid w:val="00486C6D"/>
    <w:rsid w:val="00487177"/>
    <w:rsid w:val="00487392"/>
    <w:rsid w:val="004877B6"/>
    <w:rsid w:val="00487A72"/>
    <w:rsid w:val="00487F67"/>
    <w:rsid w:val="00490293"/>
    <w:rsid w:val="00490411"/>
    <w:rsid w:val="004905BA"/>
    <w:rsid w:val="00490D10"/>
    <w:rsid w:val="004920E0"/>
    <w:rsid w:val="00492511"/>
    <w:rsid w:val="004931BE"/>
    <w:rsid w:val="00493500"/>
    <w:rsid w:val="0049459A"/>
    <w:rsid w:val="00494747"/>
    <w:rsid w:val="004947EA"/>
    <w:rsid w:val="00494D28"/>
    <w:rsid w:val="00495319"/>
    <w:rsid w:val="00495704"/>
    <w:rsid w:val="00495C4D"/>
    <w:rsid w:val="004966D7"/>
    <w:rsid w:val="00496856"/>
    <w:rsid w:val="00496AB9"/>
    <w:rsid w:val="00497252"/>
    <w:rsid w:val="00497F7C"/>
    <w:rsid w:val="004A0011"/>
    <w:rsid w:val="004A0713"/>
    <w:rsid w:val="004A0B95"/>
    <w:rsid w:val="004A3CBD"/>
    <w:rsid w:val="004A3F6C"/>
    <w:rsid w:val="004A4F3D"/>
    <w:rsid w:val="004A615F"/>
    <w:rsid w:val="004A66E3"/>
    <w:rsid w:val="004A6826"/>
    <w:rsid w:val="004A715B"/>
    <w:rsid w:val="004A74E7"/>
    <w:rsid w:val="004B073E"/>
    <w:rsid w:val="004B0F36"/>
    <w:rsid w:val="004B1180"/>
    <w:rsid w:val="004B175D"/>
    <w:rsid w:val="004B192B"/>
    <w:rsid w:val="004B197B"/>
    <w:rsid w:val="004B1AEE"/>
    <w:rsid w:val="004B28B5"/>
    <w:rsid w:val="004B2AEA"/>
    <w:rsid w:val="004B3BC2"/>
    <w:rsid w:val="004B3FB4"/>
    <w:rsid w:val="004B49D5"/>
    <w:rsid w:val="004B5499"/>
    <w:rsid w:val="004B56B4"/>
    <w:rsid w:val="004B61AD"/>
    <w:rsid w:val="004B69CE"/>
    <w:rsid w:val="004B69DB"/>
    <w:rsid w:val="004B7ABE"/>
    <w:rsid w:val="004B7C27"/>
    <w:rsid w:val="004B7F82"/>
    <w:rsid w:val="004B7FB2"/>
    <w:rsid w:val="004C0ACF"/>
    <w:rsid w:val="004C0EDB"/>
    <w:rsid w:val="004C206D"/>
    <w:rsid w:val="004C3E16"/>
    <w:rsid w:val="004C4667"/>
    <w:rsid w:val="004C58CF"/>
    <w:rsid w:val="004C66C4"/>
    <w:rsid w:val="004C77F5"/>
    <w:rsid w:val="004D0C9A"/>
    <w:rsid w:val="004D14CE"/>
    <w:rsid w:val="004D25B1"/>
    <w:rsid w:val="004D26BF"/>
    <w:rsid w:val="004D4748"/>
    <w:rsid w:val="004D4B24"/>
    <w:rsid w:val="004D51A8"/>
    <w:rsid w:val="004D52F8"/>
    <w:rsid w:val="004D5CF1"/>
    <w:rsid w:val="004D694B"/>
    <w:rsid w:val="004D6E1A"/>
    <w:rsid w:val="004D72FF"/>
    <w:rsid w:val="004D75A3"/>
    <w:rsid w:val="004E030B"/>
    <w:rsid w:val="004E0E6B"/>
    <w:rsid w:val="004E0F92"/>
    <w:rsid w:val="004E1EC6"/>
    <w:rsid w:val="004E3106"/>
    <w:rsid w:val="004E3225"/>
    <w:rsid w:val="004E3705"/>
    <w:rsid w:val="004E3C3C"/>
    <w:rsid w:val="004E4676"/>
    <w:rsid w:val="004E46D6"/>
    <w:rsid w:val="004E4814"/>
    <w:rsid w:val="004E4EE4"/>
    <w:rsid w:val="004E58FD"/>
    <w:rsid w:val="004E661B"/>
    <w:rsid w:val="004E66CD"/>
    <w:rsid w:val="004E707B"/>
    <w:rsid w:val="004E76C7"/>
    <w:rsid w:val="004E7959"/>
    <w:rsid w:val="004F010E"/>
    <w:rsid w:val="004F073A"/>
    <w:rsid w:val="004F0E01"/>
    <w:rsid w:val="004F2238"/>
    <w:rsid w:val="004F3356"/>
    <w:rsid w:val="004F3761"/>
    <w:rsid w:val="004F41C7"/>
    <w:rsid w:val="004F4B48"/>
    <w:rsid w:val="004F4BC8"/>
    <w:rsid w:val="004F4E32"/>
    <w:rsid w:val="004F4F5A"/>
    <w:rsid w:val="004F5279"/>
    <w:rsid w:val="004F7089"/>
    <w:rsid w:val="004F72C4"/>
    <w:rsid w:val="004F7BB3"/>
    <w:rsid w:val="0050086D"/>
    <w:rsid w:val="0050096A"/>
    <w:rsid w:val="0050101D"/>
    <w:rsid w:val="0050180C"/>
    <w:rsid w:val="005019AC"/>
    <w:rsid w:val="00502DA2"/>
    <w:rsid w:val="00503015"/>
    <w:rsid w:val="00503173"/>
    <w:rsid w:val="00504364"/>
    <w:rsid w:val="00504B69"/>
    <w:rsid w:val="00504BBD"/>
    <w:rsid w:val="00506397"/>
    <w:rsid w:val="00507709"/>
    <w:rsid w:val="005106B7"/>
    <w:rsid w:val="005106D7"/>
    <w:rsid w:val="00510D82"/>
    <w:rsid w:val="005111A6"/>
    <w:rsid w:val="00511A02"/>
    <w:rsid w:val="00511A74"/>
    <w:rsid w:val="0051301A"/>
    <w:rsid w:val="005158F5"/>
    <w:rsid w:val="0051621D"/>
    <w:rsid w:val="005162BA"/>
    <w:rsid w:val="00516843"/>
    <w:rsid w:val="0051790E"/>
    <w:rsid w:val="00517C76"/>
    <w:rsid w:val="00520856"/>
    <w:rsid w:val="00521536"/>
    <w:rsid w:val="00521A99"/>
    <w:rsid w:val="0052313D"/>
    <w:rsid w:val="00523867"/>
    <w:rsid w:val="005238EC"/>
    <w:rsid w:val="00523B7B"/>
    <w:rsid w:val="00523F2B"/>
    <w:rsid w:val="005242EC"/>
    <w:rsid w:val="00524F75"/>
    <w:rsid w:val="005255CB"/>
    <w:rsid w:val="00525761"/>
    <w:rsid w:val="00525A10"/>
    <w:rsid w:val="0053001A"/>
    <w:rsid w:val="005300AF"/>
    <w:rsid w:val="00530698"/>
    <w:rsid w:val="00530706"/>
    <w:rsid w:val="00530ACA"/>
    <w:rsid w:val="005311D2"/>
    <w:rsid w:val="00531681"/>
    <w:rsid w:val="00531E48"/>
    <w:rsid w:val="005329B5"/>
    <w:rsid w:val="00533625"/>
    <w:rsid w:val="00533F12"/>
    <w:rsid w:val="005340DC"/>
    <w:rsid w:val="00534E19"/>
    <w:rsid w:val="00535017"/>
    <w:rsid w:val="00535489"/>
    <w:rsid w:val="0053608E"/>
    <w:rsid w:val="005368CB"/>
    <w:rsid w:val="00536CC0"/>
    <w:rsid w:val="00536D6B"/>
    <w:rsid w:val="00536E3D"/>
    <w:rsid w:val="00540213"/>
    <w:rsid w:val="005403FC"/>
    <w:rsid w:val="00542CA2"/>
    <w:rsid w:val="00542E6D"/>
    <w:rsid w:val="00543BEB"/>
    <w:rsid w:val="00544704"/>
    <w:rsid w:val="005459CF"/>
    <w:rsid w:val="0054604F"/>
    <w:rsid w:val="005469A1"/>
    <w:rsid w:val="00550482"/>
    <w:rsid w:val="005516BC"/>
    <w:rsid w:val="005517DB"/>
    <w:rsid w:val="005518F3"/>
    <w:rsid w:val="00551C37"/>
    <w:rsid w:val="0055482B"/>
    <w:rsid w:val="005556DC"/>
    <w:rsid w:val="00555ECA"/>
    <w:rsid w:val="0055757E"/>
    <w:rsid w:val="0055787A"/>
    <w:rsid w:val="00560132"/>
    <w:rsid w:val="00560817"/>
    <w:rsid w:val="00560A12"/>
    <w:rsid w:val="00561164"/>
    <w:rsid w:val="00561A98"/>
    <w:rsid w:val="00561D71"/>
    <w:rsid w:val="00562159"/>
    <w:rsid w:val="005621B8"/>
    <w:rsid w:val="005623C1"/>
    <w:rsid w:val="0056244A"/>
    <w:rsid w:val="00562681"/>
    <w:rsid w:val="00562F03"/>
    <w:rsid w:val="00564E37"/>
    <w:rsid w:val="005652FE"/>
    <w:rsid w:val="00565F27"/>
    <w:rsid w:val="0056605A"/>
    <w:rsid w:val="005671BE"/>
    <w:rsid w:val="0056783C"/>
    <w:rsid w:val="00567BB6"/>
    <w:rsid w:val="005701A2"/>
    <w:rsid w:val="0057022A"/>
    <w:rsid w:val="00570694"/>
    <w:rsid w:val="00570B3E"/>
    <w:rsid w:val="00571A05"/>
    <w:rsid w:val="00571D43"/>
    <w:rsid w:val="005726C0"/>
    <w:rsid w:val="00573995"/>
    <w:rsid w:val="005739B1"/>
    <w:rsid w:val="00574642"/>
    <w:rsid w:val="00574B37"/>
    <w:rsid w:val="00574B64"/>
    <w:rsid w:val="005756EA"/>
    <w:rsid w:val="0057670C"/>
    <w:rsid w:val="00577A3B"/>
    <w:rsid w:val="00580DE1"/>
    <w:rsid w:val="00581D29"/>
    <w:rsid w:val="00582122"/>
    <w:rsid w:val="00582D52"/>
    <w:rsid w:val="0058317B"/>
    <w:rsid w:val="005833E6"/>
    <w:rsid w:val="005845FD"/>
    <w:rsid w:val="00584EBD"/>
    <w:rsid w:val="0058502B"/>
    <w:rsid w:val="0058512D"/>
    <w:rsid w:val="00585281"/>
    <w:rsid w:val="00585AB5"/>
    <w:rsid w:val="00586765"/>
    <w:rsid w:val="0058692E"/>
    <w:rsid w:val="00586B25"/>
    <w:rsid w:val="00587B1C"/>
    <w:rsid w:val="00591A00"/>
    <w:rsid w:val="00592092"/>
    <w:rsid w:val="00592961"/>
    <w:rsid w:val="005933F9"/>
    <w:rsid w:val="00593E7B"/>
    <w:rsid w:val="00594BCB"/>
    <w:rsid w:val="00595E68"/>
    <w:rsid w:val="00595FF9"/>
    <w:rsid w:val="005965A5"/>
    <w:rsid w:val="00597F2E"/>
    <w:rsid w:val="005A0A68"/>
    <w:rsid w:val="005A0EB4"/>
    <w:rsid w:val="005A184B"/>
    <w:rsid w:val="005A1C34"/>
    <w:rsid w:val="005A20B3"/>
    <w:rsid w:val="005A24CD"/>
    <w:rsid w:val="005A3CA5"/>
    <w:rsid w:val="005A4A41"/>
    <w:rsid w:val="005A4AFC"/>
    <w:rsid w:val="005A4F11"/>
    <w:rsid w:val="005A5D3D"/>
    <w:rsid w:val="005A64A7"/>
    <w:rsid w:val="005A67F1"/>
    <w:rsid w:val="005A7250"/>
    <w:rsid w:val="005A7527"/>
    <w:rsid w:val="005B00AD"/>
    <w:rsid w:val="005B01D9"/>
    <w:rsid w:val="005B043E"/>
    <w:rsid w:val="005B04E0"/>
    <w:rsid w:val="005B0B33"/>
    <w:rsid w:val="005B1B23"/>
    <w:rsid w:val="005B378B"/>
    <w:rsid w:val="005B574C"/>
    <w:rsid w:val="005B5934"/>
    <w:rsid w:val="005B5B2A"/>
    <w:rsid w:val="005B6B35"/>
    <w:rsid w:val="005B6DB4"/>
    <w:rsid w:val="005B7570"/>
    <w:rsid w:val="005B7B61"/>
    <w:rsid w:val="005C04CF"/>
    <w:rsid w:val="005C051A"/>
    <w:rsid w:val="005C0A05"/>
    <w:rsid w:val="005C10E6"/>
    <w:rsid w:val="005C17AD"/>
    <w:rsid w:val="005C1814"/>
    <w:rsid w:val="005C2D35"/>
    <w:rsid w:val="005C34A0"/>
    <w:rsid w:val="005C3A15"/>
    <w:rsid w:val="005C421C"/>
    <w:rsid w:val="005C475C"/>
    <w:rsid w:val="005C4F4D"/>
    <w:rsid w:val="005C67D4"/>
    <w:rsid w:val="005C6DCF"/>
    <w:rsid w:val="005D0D9E"/>
    <w:rsid w:val="005D135B"/>
    <w:rsid w:val="005D1410"/>
    <w:rsid w:val="005D1F22"/>
    <w:rsid w:val="005D2733"/>
    <w:rsid w:val="005D3372"/>
    <w:rsid w:val="005D3E3F"/>
    <w:rsid w:val="005D4150"/>
    <w:rsid w:val="005D42AC"/>
    <w:rsid w:val="005D471C"/>
    <w:rsid w:val="005D635E"/>
    <w:rsid w:val="005D70C3"/>
    <w:rsid w:val="005D75CD"/>
    <w:rsid w:val="005D7980"/>
    <w:rsid w:val="005E009B"/>
    <w:rsid w:val="005E01E3"/>
    <w:rsid w:val="005E055D"/>
    <w:rsid w:val="005E0E99"/>
    <w:rsid w:val="005E111A"/>
    <w:rsid w:val="005E1AB4"/>
    <w:rsid w:val="005E209A"/>
    <w:rsid w:val="005E37A7"/>
    <w:rsid w:val="005E3C9F"/>
    <w:rsid w:val="005E46AC"/>
    <w:rsid w:val="005E54B2"/>
    <w:rsid w:val="005E5FBA"/>
    <w:rsid w:val="005E63AA"/>
    <w:rsid w:val="005E663F"/>
    <w:rsid w:val="005F3096"/>
    <w:rsid w:val="005F391A"/>
    <w:rsid w:val="005F56BC"/>
    <w:rsid w:val="005F572E"/>
    <w:rsid w:val="005F5F71"/>
    <w:rsid w:val="005F5FB2"/>
    <w:rsid w:val="005F6FCC"/>
    <w:rsid w:val="005F74AF"/>
    <w:rsid w:val="0060082B"/>
    <w:rsid w:val="00601314"/>
    <w:rsid w:val="00601E97"/>
    <w:rsid w:val="00602707"/>
    <w:rsid w:val="006047AC"/>
    <w:rsid w:val="006069C0"/>
    <w:rsid w:val="00606F2B"/>
    <w:rsid w:val="00607233"/>
    <w:rsid w:val="00607829"/>
    <w:rsid w:val="00611243"/>
    <w:rsid w:val="00611407"/>
    <w:rsid w:val="006115E3"/>
    <w:rsid w:val="0061294E"/>
    <w:rsid w:val="00612984"/>
    <w:rsid w:val="00612ABB"/>
    <w:rsid w:val="00614D23"/>
    <w:rsid w:val="006152A4"/>
    <w:rsid w:val="006159C6"/>
    <w:rsid w:val="006163D6"/>
    <w:rsid w:val="0061663C"/>
    <w:rsid w:val="006211AD"/>
    <w:rsid w:val="0062189A"/>
    <w:rsid w:val="006223AC"/>
    <w:rsid w:val="00622743"/>
    <w:rsid w:val="006238CA"/>
    <w:rsid w:val="006239CC"/>
    <w:rsid w:val="006239F9"/>
    <w:rsid w:val="00623D63"/>
    <w:rsid w:val="00623E62"/>
    <w:rsid w:val="00624634"/>
    <w:rsid w:val="00624A1C"/>
    <w:rsid w:val="0062573C"/>
    <w:rsid w:val="0062653B"/>
    <w:rsid w:val="00626E7B"/>
    <w:rsid w:val="00630A49"/>
    <w:rsid w:val="00630A81"/>
    <w:rsid w:val="006323F3"/>
    <w:rsid w:val="0063254A"/>
    <w:rsid w:val="00632B1B"/>
    <w:rsid w:val="00632B8E"/>
    <w:rsid w:val="00632DDC"/>
    <w:rsid w:val="00633E59"/>
    <w:rsid w:val="00635D55"/>
    <w:rsid w:val="00635E7A"/>
    <w:rsid w:val="00635FB8"/>
    <w:rsid w:val="00637897"/>
    <w:rsid w:val="0064006B"/>
    <w:rsid w:val="00640813"/>
    <w:rsid w:val="00640C2E"/>
    <w:rsid w:val="00641D83"/>
    <w:rsid w:val="00642143"/>
    <w:rsid w:val="00642D38"/>
    <w:rsid w:val="00642DA6"/>
    <w:rsid w:val="00643204"/>
    <w:rsid w:val="0064418F"/>
    <w:rsid w:val="00644B03"/>
    <w:rsid w:val="006451A0"/>
    <w:rsid w:val="006459B9"/>
    <w:rsid w:val="006459CC"/>
    <w:rsid w:val="00645A77"/>
    <w:rsid w:val="00646358"/>
    <w:rsid w:val="00646BC4"/>
    <w:rsid w:val="00647469"/>
    <w:rsid w:val="00647661"/>
    <w:rsid w:val="0065080C"/>
    <w:rsid w:val="006539A1"/>
    <w:rsid w:val="00653A8B"/>
    <w:rsid w:val="00653CBF"/>
    <w:rsid w:val="00653D81"/>
    <w:rsid w:val="0065407F"/>
    <w:rsid w:val="00654C94"/>
    <w:rsid w:val="00654D69"/>
    <w:rsid w:val="006550B0"/>
    <w:rsid w:val="00655402"/>
    <w:rsid w:val="006554A2"/>
    <w:rsid w:val="0065552D"/>
    <w:rsid w:val="00655667"/>
    <w:rsid w:val="0065657E"/>
    <w:rsid w:val="00656716"/>
    <w:rsid w:val="00656774"/>
    <w:rsid w:val="00657F55"/>
    <w:rsid w:val="00661CA0"/>
    <w:rsid w:val="00662A2F"/>
    <w:rsid w:val="006636DA"/>
    <w:rsid w:val="00663DA8"/>
    <w:rsid w:val="00663DB0"/>
    <w:rsid w:val="0066425F"/>
    <w:rsid w:val="00664623"/>
    <w:rsid w:val="0066483F"/>
    <w:rsid w:val="00664EEB"/>
    <w:rsid w:val="006652B3"/>
    <w:rsid w:val="00665AE5"/>
    <w:rsid w:val="00665C9F"/>
    <w:rsid w:val="00667DE7"/>
    <w:rsid w:val="00670AA4"/>
    <w:rsid w:val="0067131D"/>
    <w:rsid w:val="00671A44"/>
    <w:rsid w:val="00671BBD"/>
    <w:rsid w:val="00671CEB"/>
    <w:rsid w:val="00671DF9"/>
    <w:rsid w:val="00671F5D"/>
    <w:rsid w:val="0067261A"/>
    <w:rsid w:val="006731F0"/>
    <w:rsid w:val="00673967"/>
    <w:rsid w:val="00673C55"/>
    <w:rsid w:val="00676527"/>
    <w:rsid w:val="00676EF0"/>
    <w:rsid w:val="00681648"/>
    <w:rsid w:val="006827A9"/>
    <w:rsid w:val="00683313"/>
    <w:rsid w:val="0068345D"/>
    <w:rsid w:val="00683785"/>
    <w:rsid w:val="00684083"/>
    <w:rsid w:val="00684329"/>
    <w:rsid w:val="006845F5"/>
    <w:rsid w:val="006848C1"/>
    <w:rsid w:val="0068496E"/>
    <w:rsid w:val="006854A8"/>
    <w:rsid w:val="006858DE"/>
    <w:rsid w:val="006858E9"/>
    <w:rsid w:val="00687377"/>
    <w:rsid w:val="006873BE"/>
    <w:rsid w:val="0069037E"/>
    <w:rsid w:val="00690953"/>
    <w:rsid w:val="00691521"/>
    <w:rsid w:val="0069194A"/>
    <w:rsid w:val="00692290"/>
    <w:rsid w:val="00692557"/>
    <w:rsid w:val="006937C7"/>
    <w:rsid w:val="00693B83"/>
    <w:rsid w:val="00693CD4"/>
    <w:rsid w:val="00694B47"/>
    <w:rsid w:val="006950DE"/>
    <w:rsid w:val="00695460"/>
    <w:rsid w:val="006959FA"/>
    <w:rsid w:val="00695D98"/>
    <w:rsid w:val="00696B61"/>
    <w:rsid w:val="0069782B"/>
    <w:rsid w:val="00697C00"/>
    <w:rsid w:val="006A090A"/>
    <w:rsid w:val="006A0D22"/>
    <w:rsid w:val="006A0FAB"/>
    <w:rsid w:val="006A12BC"/>
    <w:rsid w:val="006A2834"/>
    <w:rsid w:val="006A3282"/>
    <w:rsid w:val="006A3BB2"/>
    <w:rsid w:val="006A3DC2"/>
    <w:rsid w:val="006A3E66"/>
    <w:rsid w:val="006A4FE4"/>
    <w:rsid w:val="006A5680"/>
    <w:rsid w:val="006A5824"/>
    <w:rsid w:val="006A6230"/>
    <w:rsid w:val="006A6AE5"/>
    <w:rsid w:val="006A7574"/>
    <w:rsid w:val="006A76EC"/>
    <w:rsid w:val="006B0391"/>
    <w:rsid w:val="006B09DC"/>
    <w:rsid w:val="006B1CF8"/>
    <w:rsid w:val="006B230B"/>
    <w:rsid w:val="006B3A70"/>
    <w:rsid w:val="006B4AB1"/>
    <w:rsid w:val="006B5528"/>
    <w:rsid w:val="006B5D72"/>
    <w:rsid w:val="006B6229"/>
    <w:rsid w:val="006B68DD"/>
    <w:rsid w:val="006B7258"/>
    <w:rsid w:val="006C0018"/>
    <w:rsid w:val="006C0D02"/>
    <w:rsid w:val="006C1036"/>
    <w:rsid w:val="006C1A3D"/>
    <w:rsid w:val="006C1A59"/>
    <w:rsid w:val="006C1E48"/>
    <w:rsid w:val="006C3A7E"/>
    <w:rsid w:val="006C45A5"/>
    <w:rsid w:val="006C47DD"/>
    <w:rsid w:val="006C48AD"/>
    <w:rsid w:val="006C57DB"/>
    <w:rsid w:val="006C6F5F"/>
    <w:rsid w:val="006D045B"/>
    <w:rsid w:val="006D0DA9"/>
    <w:rsid w:val="006D2D66"/>
    <w:rsid w:val="006D2F2E"/>
    <w:rsid w:val="006D322D"/>
    <w:rsid w:val="006D356B"/>
    <w:rsid w:val="006D361A"/>
    <w:rsid w:val="006D3788"/>
    <w:rsid w:val="006D3B69"/>
    <w:rsid w:val="006D3FE2"/>
    <w:rsid w:val="006D4A78"/>
    <w:rsid w:val="006D4B54"/>
    <w:rsid w:val="006D5C20"/>
    <w:rsid w:val="006D662B"/>
    <w:rsid w:val="006D6C9D"/>
    <w:rsid w:val="006D7F9D"/>
    <w:rsid w:val="006E037B"/>
    <w:rsid w:val="006E22C0"/>
    <w:rsid w:val="006E2422"/>
    <w:rsid w:val="006E3102"/>
    <w:rsid w:val="006E3720"/>
    <w:rsid w:val="006E3D4E"/>
    <w:rsid w:val="006E480E"/>
    <w:rsid w:val="006E4FB8"/>
    <w:rsid w:val="006E5C68"/>
    <w:rsid w:val="006E5F7A"/>
    <w:rsid w:val="006F0448"/>
    <w:rsid w:val="006F0487"/>
    <w:rsid w:val="006F069A"/>
    <w:rsid w:val="006F09FD"/>
    <w:rsid w:val="006F0A45"/>
    <w:rsid w:val="006F0C50"/>
    <w:rsid w:val="006F331C"/>
    <w:rsid w:val="006F363F"/>
    <w:rsid w:val="006F5669"/>
    <w:rsid w:val="006F6A0B"/>
    <w:rsid w:val="00701330"/>
    <w:rsid w:val="007017B2"/>
    <w:rsid w:val="00701A80"/>
    <w:rsid w:val="00702E9C"/>
    <w:rsid w:val="00702FDB"/>
    <w:rsid w:val="00704608"/>
    <w:rsid w:val="00706142"/>
    <w:rsid w:val="00706309"/>
    <w:rsid w:val="00706CBD"/>
    <w:rsid w:val="0070727F"/>
    <w:rsid w:val="007077DE"/>
    <w:rsid w:val="00707E65"/>
    <w:rsid w:val="007103B3"/>
    <w:rsid w:val="00710858"/>
    <w:rsid w:val="00711E47"/>
    <w:rsid w:val="0071314A"/>
    <w:rsid w:val="007136A7"/>
    <w:rsid w:val="00713FFE"/>
    <w:rsid w:val="0071446C"/>
    <w:rsid w:val="00714AD2"/>
    <w:rsid w:val="007154E3"/>
    <w:rsid w:val="007167C1"/>
    <w:rsid w:val="00717295"/>
    <w:rsid w:val="00717FCD"/>
    <w:rsid w:val="0072011A"/>
    <w:rsid w:val="00720593"/>
    <w:rsid w:val="0072065C"/>
    <w:rsid w:val="00721283"/>
    <w:rsid w:val="00721BBE"/>
    <w:rsid w:val="007221D9"/>
    <w:rsid w:val="00722D01"/>
    <w:rsid w:val="00724228"/>
    <w:rsid w:val="00724A41"/>
    <w:rsid w:val="00724BF6"/>
    <w:rsid w:val="00724CE5"/>
    <w:rsid w:val="00725470"/>
    <w:rsid w:val="00725FF8"/>
    <w:rsid w:val="007262BE"/>
    <w:rsid w:val="007270EC"/>
    <w:rsid w:val="00727646"/>
    <w:rsid w:val="00730036"/>
    <w:rsid w:val="007301C2"/>
    <w:rsid w:val="00730D89"/>
    <w:rsid w:val="00730FF2"/>
    <w:rsid w:val="00731670"/>
    <w:rsid w:val="00731BA1"/>
    <w:rsid w:val="00731D79"/>
    <w:rsid w:val="007327FF"/>
    <w:rsid w:val="00732E56"/>
    <w:rsid w:val="00732E8C"/>
    <w:rsid w:val="00733476"/>
    <w:rsid w:val="007336C7"/>
    <w:rsid w:val="0073484A"/>
    <w:rsid w:val="00735A07"/>
    <w:rsid w:val="00737168"/>
    <w:rsid w:val="00737E1F"/>
    <w:rsid w:val="00740460"/>
    <w:rsid w:val="0074062C"/>
    <w:rsid w:val="00740854"/>
    <w:rsid w:val="00742999"/>
    <w:rsid w:val="00742B39"/>
    <w:rsid w:val="00743774"/>
    <w:rsid w:val="007437EA"/>
    <w:rsid w:val="00744077"/>
    <w:rsid w:val="007451D1"/>
    <w:rsid w:val="00745F06"/>
    <w:rsid w:val="007465D2"/>
    <w:rsid w:val="00746699"/>
    <w:rsid w:val="0074685C"/>
    <w:rsid w:val="00747061"/>
    <w:rsid w:val="007470C3"/>
    <w:rsid w:val="007474AD"/>
    <w:rsid w:val="007474FE"/>
    <w:rsid w:val="007504A0"/>
    <w:rsid w:val="00751929"/>
    <w:rsid w:val="007521EA"/>
    <w:rsid w:val="007568A5"/>
    <w:rsid w:val="00757680"/>
    <w:rsid w:val="007603D5"/>
    <w:rsid w:val="0076040A"/>
    <w:rsid w:val="007607C7"/>
    <w:rsid w:val="00760A36"/>
    <w:rsid w:val="007611EF"/>
    <w:rsid w:val="007619D0"/>
    <w:rsid w:val="00762304"/>
    <w:rsid w:val="0076301D"/>
    <w:rsid w:val="007635E3"/>
    <w:rsid w:val="0076376F"/>
    <w:rsid w:val="00765266"/>
    <w:rsid w:val="00765F8D"/>
    <w:rsid w:val="00766984"/>
    <w:rsid w:val="00766A90"/>
    <w:rsid w:val="007671B7"/>
    <w:rsid w:val="00767483"/>
    <w:rsid w:val="00767491"/>
    <w:rsid w:val="00767598"/>
    <w:rsid w:val="00773406"/>
    <w:rsid w:val="00773C84"/>
    <w:rsid w:val="007744FC"/>
    <w:rsid w:val="00774F69"/>
    <w:rsid w:val="00775205"/>
    <w:rsid w:val="00775DB0"/>
    <w:rsid w:val="00776442"/>
    <w:rsid w:val="00776AA7"/>
    <w:rsid w:val="00776E13"/>
    <w:rsid w:val="00777619"/>
    <w:rsid w:val="00783759"/>
    <w:rsid w:val="00783F09"/>
    <w:rsid w:val="0078423E"/>
    <w:rsid w:val="00784307"/>
    <w:rsid w:val="00784B69"/>
    <w:rsid w:val="00784D33"/>
    <w:rsid w:val="0078544E"/>
    <w:rsid w:val="00785BB0"/>
    <w:rsid w:val="00785ED4"/>
    <w:rsid w:val="00786E47"/>
    <w:rsid w:val="00786E90"/>
    <w:rsid w:val="0078739F"/>
    <w:rsid w:val="007873F7"/>
    <w:rsid w:val="007912B6"/>
    <w:rsid w:val="00791B25"/>
    <w:rsid w:val="00791D58"/>
    <w:rsid w:val="00792B45"/>
    <w:rsid w:val="00792EA4"/>
    <w:rsid w:val="00792F54"/>
    <w:rsid w:val="007937AB"/>
    <w:rsid w:val="00793EB9"/>
    <w:rsid w:val="00795506"/>
    <w:rsid w:val="007968DD"/>
    <w:rsid w:val="007A0432"/>
    <w:rsid w:val="007A04B3"/>
    <w:rsid w:val="007A09DE"/>
    <w:rsid w:val="007A1C93"/>
    <w:rsid w:val="007A273A"/>
    <w:rsid w:val="007A2CB4"/>
    <w:rsid w:val="007A2CD8"/>
    <w:rsid w:val="007A323B"/>
    <w:rsid w:val="007A379E"/>
    <w:rsid w:val="007A3B29"/>
    <w:rsid w:val="007A3DAD"/>
    <w:rsid w:val="007A3DE8"/>
    <w:rsid w:val="007A46F8"/>
    <w:rsid w:val="007A4CE6"/>
    <w:rsid w:val="007A4CEB"/>
    <w:rsid w:val="007A529E"/>
    <w:rsid w:val="007A5583"/>
    <w:rsid w:val="007A583B"/>
    <w:rsid w:val="007A5B91"/>
    <w:rsid w:val="007A62CE"/>
    <w:rsid w:val="007A6302"/>
    <w:rsid w:val="007A67B0"/>
    <w:rsid w:val="007A68D3"/>
    <w:rsid w:val="007A6FFE"/>
    <w:rsid w:val="007A718C"/>
    <w:rsid w:val="007A737C"/>
    <w:rsid w:val="007A77AC"/>
    <w:rsid w:val="007A7960"/>
    <w:rsid w:val="007B1BB4"/>
    <w:rsid w:val="007B258C"/>
    <w:rsid w:val="007B4E4F"/>
    <w:rsid w:val="007B54B7"/>
    <w:rsid w:val="007B5F3B"/>
    <w:rsid w:val="007B6265"/>
    <w:rsid w:val="007B656B"/>
    <w:rsid w:val="007B65C0"/>
    <w:rsid w:val="007B6E26"/>
    <w:rsid w:val="007B6EAB"/>
    <w:rsid w:val="007B7D06"/>
    <w:rsid w:val="007C066B"/>
    <w:rsid w:val="007C1DF7"/>
    <w:rsid w:val="007C3499"/>
    <w:rsid w:val="007C5B63"/>
    <w:rsid w:val="007C73FF"/>
    <w:rsid w:val="007D0989"/>
    <w:rsid w:val="007D155C"/>
    <w:rsid w:val="007D2189"/>
    <w:rsid w:val="007D2BE3"/>
    <w:rsid w:val="007D2CAE"/>
    <w:rsid w:val="007D3E9D"/>
    <w:rsid w:val="007D4AE5"/>
    <w:rsid w:val="007D4CA5"/>
    <w:rsid w:val="007D5EE6"/>
    <w:rsid w:val="007D6891"/>
    <w:rsid w:val="007D6C1B"/>
    <w:rsid w:val="007D6E53"/>
    <w:rsid w:val="007D6F8E"/>
    <w:rsid w:val="007D7182"/>
    <w:rsid w:val="007D723C"/>
    <w:rsid w:val="007D7F91"/>
    <w:rsid w:val="007E0255"/>
    <w:rsid w:val="007E0A53"/>
    <w:rsid w:val="007E131A"/>
    <w:rsid w:val="007E1689"/>
    <w:rsid w:val="007E1A9B"/>
    <w:rsid w:val="007E1AAF"/>
    <w:rsid w:val="007E1ACF"/>
    <w:rsid w:val="007E34FF"/>
    <w:rsid w:val="007E384A"/>
    <w:rsid w:val="007E42E9"/>
    <w:rsid w:val="007E511F"/>
    <w:rsid w:val="007E5189"/>
    <w:rsid w:val="007E6465"/>
    <w:rsid w:val="007E66F5"/>
    <w:rsid w:val="007E6A5F"/>
    <w:rsid w:val="007E6EA3"/>
    <w:rsid w:val="007E701F"/>
    <w:rsid w:val="007E753D"/>
    <w:rsid w:val="007E770D"/>
    <w:rsid w:val="007F031C"/>
    <w:rsid w:val="007F0C01"/>
    <w:rsid w:val="007F1E4F"/>
    <w:rsid w:val="007F240C"/>
    <w:rsid w:val="007F2AE5"/>
    <w:rsid w:val="007F6DAC"/>
    <w:rsid w:val="007F785E"/>
    <w:rsid w:val="007F7B66"/>
    <w:rsid w:val="008003FB"/>
    <w:rsid w:val="00801026"/>
    <w:rsid w:val="008023DB"/>
    <w:rsid w:val="0080289C"/>
    <w:rsid w:val="00802C14"/>
    <w:rsid w:val="008041DE"/>
    <w:rsid w:val="00804269"/>
    <w:rsid w:val="00805949"/>
    <w:rsid w:val="0080628E"/>
    <w:rsid w:val="008066BE"/>
    <w:rsid w:val="008069CF"/>
    <w:rsid w:val="00807B2F"/>
    <w:rsid w:val="00807FC3"/>
    <w:rsid w:val="008110F6"/>
    <w:rsid w:val="00811807"/>
    <w:rsid w:val="00812637"/>
    <w:rsid w:val="0081295E"/>
    <w:rsid w:val="00812BAA"/>
    <w:rsid w:val="00812EE2"/>
    <w:rsid w:val="00813312"/>
    <w:rsid w:val="008133E9"/>
    <w:rsid w:val="008139CB"/>
    <w:rsid w:val="00813A2C"/>
    <w:rsid w:val="0081513C"/>
    <w:rsid w:val="00815831"/>
    <w:rsid w:val="00815C8F"/>
    <w:rsid w:val="00815CC2"/>
    <w:rsid w:val="008202E3"/>
    <w:rsid w:val="00821663"/>
    <w:rsid w:val="008217BC"/>
    <w:rsid w:val="008218E5"/>
    <w:rsid w:val="008221D2"/>
    <w:rsid w:val="00822BB3"/>
    <w:rsid w:val="00822F4C"/>
    <w:rsid w:val="008237F3"/>
    <w:rsid w:val="008243C0"/>
    <w:rsid w:val="0082585E"/>
    <w:rsid w:val="008260FE"/>
    <w:rsid w:val="00826638"/>
    <w:rsid w:val="00826B52"/>
    <w:rsid w:val="00827961"/>
    <w:rsid w:val="0083046B"/>
    <w:rsid w:val="00830EFF"/>
    <w:rsid w:val="00831927"/>
    <w:rsid w:val="0083249B"/>
    <w:rsid w:val="00832797"/>
    <w:rsid w:val="00832841"/>
    <w:rsid w:val="00832A91"/>
    <w:rsid w:val="008333A1"/>
    <w:rsid w:val="00833E90"/>
    <w:rsid w:val="008347B0"/>
    <w:rsid w:val="008351E2"/>
    <w:rsid w:val="008354FF"/>
    <w:rsid w:val="00835C79"/>
    <w:rsid w:val="00836657"/>
    <w:rsid w:val="008366FA"/>
    <w:rsid w:val="00836DC9"/>
    <w:rsid w:val="00837020"/>
    <w:rsid w:val="008370F9"/>
    <w:rsid w:val="00837B5C"/>
    <w:rsid w:val="00837C44"/>
    <w:rsid w:val="0084022E"/>
    <w:rsid w:val="00840C86"/>
    <w:rsid w:val="00840D0E"/>
    <w:rsid w:val="00840D9B"/>
    <w:rsid w:val="0084203C"/>
    <w:rsid w:val="008420D4"/>
    <w:rsid w:val="00842EE5"/>
    <w:rsid w:val="00842F07"/>
    <w:rsid w:val="0084419F"/>
    <w:rsid w:val="008443FC"/>
    <w:rsid w:val="00844DC9"/>
    <w:rsid w:val="008451AE"/>
    <w:rsid w:val="00845EE2"/>
    <w:rsid w:val="0084671D"/>
    <w:rsid w:val="00846B62"/>
    <w:rsid w:val="0084792D"/>
    <w:rsid w:val="00847F35"/>
    <w:rsid w:val="008519F8"/>
    <w:rsid w:val="00852421"/>
    <w:rsid w:val="00852767"/>
    <w:rsid w:val="008527D6"/>
    <w:rsid w:val="00852B88"/>
    <w:rsid w:val="00852FA3"/>
    <w:rsid w:val="00853EDC"/>
    <w:rsid w:val="008542E1"/>
    <w:rsid w:val="0085433B"/>
    <w:rsid w:val="00854A37"/>
    <w:rsid w:val="00854F1F"/>
    <w:rsid w:val="008558CE"/>
    <w:rsid w:val="00855D6C"/>
    <w:rsid w:val="00855EC9"/>
    <w:rsid w:val="0085631E"/>
    <w:rsid w:val="00856998"/>
    <w:rsid w:val="00856EF6"/>
    <w:rsid w:val="00860124"/>
    <w:rsid w:val="00860144"/>
    <w:rsid w:val="00860E79"/>
    <w:rsid w:val="00860FBE"/>
    <w:rsid w:val="008629FB"/>
    <w:rsid w:val="00862B04"/>
    <w:rsid w:val="00863E55"/>
    <w:rsid w:val="00864144"/>
    <w:rsid w:val="008641F6"/>
    <w:rsid w:val="00867B49"/>
    <w:rsid w:val="00867C77"/>
    <w:rsid w:val="00871445"/>
    <w:rsid w:val="00871703"/>
    <w:rsid w:val="0087282B"/>
    <w:rsid w:val="00872EFD"/>
    <w:rsid w:val="00872FF0"/>
    <w:rsid w:val="00873228"/>
    <w:rsid w:val="00874A3E"/>
    <w:rsid w:val="00875AD1"/>
    <w:rsid w:val="00876205"/>
    <w:rsid w:val="0087666C"/>
    <w:rsid w:val="00876A03"/>
    <w:rsid w:val="00876CF0"/>
    <w:rsid w:val="00876CFE"/>
    <w:rsid w:val="00876E75"/>
    <w:rsid w:val="0087767C"/>
    <w:rsid w:val="008816A0"/>
    <w:rsid w:val="008819B4"/>
    <w:rsid w:val="00882040"/>
    <w:rsid w:val="00882A69"/>
    <w:rsid w:val="00883086"/>
    <w:rsid w:val="0088396E"/>
    <w:rsid w:val="0088477E"/>
    <w:rsid w:val="008848FE"/>
    <w:rsid w:val="00884956"/>
    <w:rsid w:val="0088661C"/>
    <w:rsid w:val="00886C36"/>
    <w:rsid w:val="0088756B"/>
    <w:rsid w:val="00887C06"/>
    <w:rsid w:val="00887F8A"/>
    <w:rsid w:val="00891280"/>
    <w:rsid w:val="008914B1"/>
    <w:rsid w:val="00891B6C"/>
    <w:rsid w:val="00893E8A"/>
    <w:rsid w:val="008946CE"/>
    <w:rsid w:val="008947B2"/>
    <w:rsid w:val="00895137"/>
    <w:rsid w:val="00895C1B"/>
    <w:rsid w:val="00895CD6"/>
    <w:rsid w:val="00895F64"/>
    <w:rsid w:val="008966FE"/>
    <w:rsid w:val="00896B97"/>
    <w:rsid w:val="008979D4"/>
    <w:rsid w:val="008A1568"/>
    <w:rsid w:val="008A20AD"/>
    <w:rsid w:val="008A2849"/>
    <w:rsid w:val="008A48AA"/>
    <w:rsid w:val="008A58C5"/>
    <w:rsid w:val="008A59AE"/>
    <w:rsid w:val="008A5B9A"/>
    <w:rsid w:val="008A6124"/>
    <w:rsid w:val="008A6F70"/>
    <w:rsid w:val="008B0271"/>
    <w:rsid w:val="008B068E"/>
    <w:rsid w:val="008B0DF3"/>
    <w:rsid w:val="008B113D"/>
    <w:rsid w:val="008B1221"/>
    <w:rsid w:val="008B1F84"/>
    <w:rsid w:val="008B2E6D"/>
    <w:rsid w:val="008B3904"/>
    <w:rsid w:val="008B3B5E"/>
    <w:rsid w:val="008B4CB5"/>
    <w:rsid w:val="008B605A"/>
    <w:rsid w:val="008B6487"/>
    <w:rsid w:val="008B7387"/>
    <w:rsid w:val="008B7BCC"/>
    <w:rsid w:val="008B7C88"/>
    <w:rsid w:val="008C1951"/>
    <w:rsid w:val="008C2B7F"/>
    <w:rsid w:val="008C2C80"/>
    <w:rsid w:val="008C323E"/>
    <w:rsid w:val="008C36EA"/>
    <w:rsid w:val="008C5626"/>
    <w:rsid w:val="008C57F6"/>
    <w:rsid w:val="008C5CF2"/>
    <w:rsid w:val="008C6D92"/>
    <w:rsid w:val="008C74AD"/>
    <w:rsid w:val="008C7A01"/>
    <w:rsid w:val="008C7C0C"/>
    <w:rsid w:val="008C7C71"/>
    <w:rsid w:val="008D0230"/>
    <w:rsid w:val="008D05F1"/>
    <w:rsid w:val="008D1425"/>
    <w:rsid w:val="008D1D33"/>
    <w:rsid w:val="008D2DC7"/>
    <w:rsid w:val="008D31CC"/>
    <w:rsid w:val="008D3291"/>
    <w:rsid w:val="008D38D5"/>
    <w:rsid w:val="008D3DBC"/>
    <w:rsid w:val="008D436F"/>
    <w:rsid w:val="008D55A9"/>
    <w:rsid w:val="008D6ABE"/>
    <w:rsid w:val="008D6C4D"/>
    <w:rsid w:val="008D7495"/>
    <w:rsid w:val="008D7A2E"/>
    <w:rsid w:val="008E0382"/>
    <w:rsid w:val="008E0A5F"/>
    <w:rsid w:val="008E0CD7"/>
    <w:rsid w:val="008E1809"/>
    <w:rsid w:val="008E1883"/>
    <w:rsid w:val="008E2003"/>
    <w:rsid w:val="008E219D"/>
    <w:rsid w:val="008E22B5"/>
    <w:rsid w:val="008E2FD8"/>
    <w:rsid w:val="008E368C"/>
    <w:rsid w:val="008E4992"/>
    <w:rsid w:val="008E563E"/>
    <w:rsid w:val="008E5DEB"/>
    <w:rsid w:val="008E6192"/>
    <w:rsid w:val="008E61D1"/>
    <w:rsid w:val="008E65D2"/>
    <w:rsid w:val="008E6687"/>
    <w:rsid w:val="008E6892"/>
    <w:rsid w:val="008E7638"/>
    <w:rsid w:val="008E799C"/>
    <w:rsid w:val="008E79FE"/>
    <w:rsid w:val="008E7C20"/>
    <w:rsid w:val="008F0290"/>
    <w:rsid w:val="008F072D"/>
    <w:rsid w:val="008F1546"/>
    <w:rsid w:val="008F16B8"/>
    <w:rsid w:val="008F3399"/>
    <w:rsid w:val="008F33BB"/>
    <w:rsid w:val="008F34BD"/>
    <w:rsid w:val="008F3628"/>
    <w:rsid w:val="008F3DD7"/>
    <w:rsid w:val="008F53F3"/>
    <w:rsid w:val="008F57E9"/>
    <w:rsid w:val="008F6D54"/>
    <w:rsid w:val="008F713F"/>
    <w:rsid w:val="008F72B4"/>
    <w:rsid w:val="008F72D8"/>
    <w:rsid w:val="008F73A2"/>
    <w:rsid w:val="008F78CD"/>
    <w:rsid w:val="008F7E2A"/>
    <w:rsid w:val="009001BF"/>
    <w:rsid w:val="00900799"/>
    <w:rsid w:val="00900D05"/>
    <w:rsid w:val="00902091"/>
    <w:rsid w:val="00904AAE"/>
    <w:rsid w:val="00904B17"/>
    <w:rsid w:val="00904BC3"/>
    <w:rsid w:val="009054D5"/>
    <w:rsid w:val="009058F6"/>
    <w:rsid w:val="0090595D"/>
    <w:rsid w:val="009060C7"/>
    <w:rsid w:val="00906895"/>
    <w:rsid w:val="00907B95"/>
    <w:rsid w:val="00907D91"/>
    <w:rsid w:val="00907E3F"/>
    <w:rsid w:val="00910058"/>
    <w:rsid w:val="00910525"/>
    <w:rsid w:val="009114FB"/>
    <w:rsid w:val="0091179A"/>
    <w:rsid w:val="009122C0"/>
    <w:rsid w:val="00912C72"/>
    <w:rsid w:val="00912D11"/>
    <w:rsid w:val="009131FD"/>
    <w:rsid w:val="009132AA"/>
    <w:rsid w:val="00913AAF"/>
    <w:rsid w:val="00913D4E"/>
    <w:rsid w:val="0091487A"/>
    <w:rsid w:val="00916164"/>
    <w:rsid w:val="009162BC"/>
    <w:rsid w:val="009162E2"/>
    <w:rsid w:val="00916A0F"/>
    <w:rsid w:val="009201A2"/>
    <w:rsid w:val="00920496"/>
    <w:rsid w:val="00920524"/>
    <w:rsid w:val="00920720"/>
    <w:rsid w:val="00921E8D"/>
    <w:rsid w:val="00922B97"/>
    <w:rsid w:val="00923503"/>
    <w:rsid w:val="0092374B"/>
    <w:rsid w:val="00923BB8"/>
    <w:rsid w:val="009241A2"/>
    <w:rsid w:val="00924878"/>
    <w:rsid w:val="00925821"/>
    <w:rsid w:val="00926217"/>
    <w:rsid w:val="0092764D"/>
    <w:rsid w:val="00927CB1"/>
    <w:rsid w:val="00927D23"/>
    <w:rsid w:val="0093003A"/>
    <w:rsid w:val="009306C3"/>
    <w:rsid w:val="0093197D"/>
    <w:rsid w:val="00931E50"/>
    <w:rsid w:val="00932185"/>
    <w:rsid w:val="00932E21"/>
    <w:rsid w:val="00933B8E"/>
    <w:rsid w:val="00934A7D"/>
    <w:rsid w:val="009360D0"/>
    <w:rsid w:val="00936480"/>
    <w:rsid w:val="009365E3"/>
    <w:rsid w:val="009377F8"/>
    <w:rsid w:val="00940807"/>
    <w:rsid w:val="0094136A"/>
    <w:rsid w:val="00943C8F"/>
    <w:rsid w:val="00944DC6"/>
    <w:rsid w:val="009453BD"/>
    <w:rsid w:val="00945492"/>
    <w:rsid w:val="00945653"/>
    <w:rsid w:val="00945CF8"/>
    <w:rsid w:val="009469E5"/>
    <w:rsid w:val="0094755B"/>
    <w:rsid w:val="00947AD8"/>
    <w:rsid w:val="00947F5D"/>
    <w:rsid w:val="009504B3"/>
    <w:rsid w:val="009505B3"/>
    <w:rsid w:val="00952128"/>
    <w:rsid w:val="00952193"/>
    <w:rsid w:val="00952A15"/>
    <w:rsid w:val="00952B58"/>
    <w:rsid w:val="00952E94"/>
    <w:rsid w:val="0095323F"/>
    <w:rsid w:val="00953528"/>
    <w:rsid w:val="009540A9"/>
    <w:rsid w:val="009540E2"/>
    <w:rsid w:val="00954105"/>
    <w:rsid w:val="00954D55"/>
    <w:rsid w:val="0095673A"/>
    <w:rsid w:val="00956BB3"/>
    <w:rsid w:val="00956C60"/>
    <w:rsid w:val="00956D43"/>
    <w:rsid w:val="00956E09"/>
    <w:rsid w:val="009602A3"/>
    <w:rsid w:val="00960ADC"/>
    <w:rsid w:val="009617DC"/>
    <w:rsid w:val="00962D2A"/>
    <w:rsid w:val="00963021"/>
    <w:rsid w:val="00963153"/>
    <w:rsid w:val="0096352B"/>
    <w:rsid w:val="00964F8A"/>
    <w:rsid w:val="00966211"/>
    <w:rsid w:val="00967BDF"/>
    <w:rsid w:val="009706A1"/>
    <w:rsid w:val="00970CA4"/>
    <w:rsid w:val="00970CE7"/>
    <w:rsid w:val="00971F57"/>
    <w:rsid w:val="0097203A"/>
    <w:rsid w:val="00972218"/>
    <w:rsid w:val="00972B18"/>
    <w:rsid w:val="00972D75"/>
    <w:rsid w:val="00972DF4"/>
    <w:rsid w:val="00973475"/>
    <w:rsid w:val="00973929"/>
    <w:rsid w:val="00973CA1"/>
    <w:rsid w:val="00973E12"/>
    <w:rsid w:val="00976057"/>
    <w:rsid w:val="00976097"/>
    <w:rsid w:val="009803F8"/>
    <w:rsid w:val="00981195"/>
    <w:rsid w:val="009812BD"/>
    <w:rsid w:val="00982156"/>
    <w:rsid w:val="0098403A"/>
    <w:rsid w:val="0098426E"/>
    <w:rsid w:val="00984686"/>
    <w:rsid w:val="00984DBE"/>
    <w:rsid w:val="00985E62"/>
    <w:rsid w:val="00986E5E"/>
    <w:rsid w:val="00987517"/>
    <w:rsid w:val="009877EB"/>
    <w:rsid w:val="00987AEE"/>
    <w:rsid w:val="00987DE9"/>
    <w:rsid w:val="00990EF6"/>
    <w:rsid w:val="009910DA"/>
    <w:rsid w:val="00992B5F"/>
    <w:rsid w:val="0099348C"/>
    <w:rsid w:val="00993B30"/>
    <w:rsid w:val="009946BC"/>
    <w:rsid w:val="00994909"/>
    <w:rsid w:val="00994ADD"/>
    <w:rsid w:val="00995B7D"/>
    <w:rsid w:val="009962BC"/>
    <w:rsid w:val="00996939"/>
    <w:rsid w:val="00997720"/>
    <w:rsid w:val="00997D8D"/>
    <w:rsid w:val="009A0267"/>
    <w:rsid w:val="009A090E"/>
    <w:rsid w:val="009A0A99"/>
    <w:rsid w:val="009A192D"/>
    <w:rsid w:val="009A1B2D"/>
    <w:rsid w:val="009A1FF2"/>
    <w:rsid w:val="009A206D"/>
    <w:rsid w:val="009A23CE"/>
    <w:rsid w:val="009A2C4D"/>
    <w:rsid w:val="009A3B60"/>
    <w:rsid w:val="009A3F7A"/>
    <w:rsid w:val="009A40C3"/>
    <w:rsid w:val="009A4AA4"/>
    <w:rsid w:val="009A65C8"/>
    <w:rsid w:val="009A6C9A"/>
    <w:rsid w:val="009A6F5E"/>
    <w:rsid w:val="009A7ADC"/>
    <w:rsid w:val="009B051B"/>
    <w:rsid w:val="009B1086"/>
    <w:rsid w:val="009B1BE0"/>
    <w:rsid w:val="009B1EA0"/>
    <w:rsid w:val="009B204E"/>
    <w:rsid w:val="009B22D2"/>
    <w:rsid w:val="009B360E"/>
    <w:rsid w:val="009B39AA"/>
    <w:rsid w:val="009B45EF"/>
    <w:rsid w:val="009B483C"/>
    <w:rsid w:val="009B49C0"/>
    <w:rsid w:val="009B647D"/>
    <w:rsid w:val="009C1683"/>
    <w:rsid w:val="009C1F5E"/>
    <w:rsid w:val="009C2085"/>
    <w:rsid w:val="009C2D22"/>
    <w:rsid w:val="009C40DA"/>
    <w:rsid w:val="009C486B"/>
    <w:rsid w:val="009C66BB"/>
    <w:rsid w:val="009C670A"/>
    <w:rsid w:val="009C77E9"/>
    <w:rsid w:val="009C7C9B"/>
    <w:rsid w:val="009D147F"/>
    <w:rsid w:val="009D264E"/>
    <w:rsid w:val="009D3478"/>
    <w:rsid w:val="009D3A37"/>
    <w:rsid w:val="009D3C98"/>
    <w:rsid w:val="009D3F76"/>
    <w:rsid w:val="009D41B7"/>
    <w:rsid w:val="009D465B"/>
    <w:rsid w:val="009D4D6D"/>
    <w:rsid w:val="009D52B2"/>
    <w:rsid w:val="009D547D"/>
    <w:rsid w:val="009D5693"/>
    <w:rsid w:val="009D5857"/>
    <w:rsid w:val="009D593B"/>
    <w:rsid w:val="009D74FD"/>
    <w:rsid w:val="009E22A8"/>
    <w:rsid w:val="009E35F4"/>
    <w:rsid w:val="009E38B1"/>
    <w:rsid w:val="009E3D35"/>
    <w:rsid w:val="009E44FD"/>
    <w:rsid w:val="009E4B86"/>
    <w:rsid w:val="009E51A6"/>
    <w:rsid w:val="009E5850"/>
    <w:rsid w:val="009E600C"/>
    <w:rsid w:val="009E7041"/>
    <w:rsid w:val="009E7246"/>
    <w:rsid w:val="009E7254"/>
    <w:rsid w:val="009E765D"/>
    <w:rsid w:val="009E7D75"/>
    <w:rsid w:val="009E7F1D"/>
    <w:rsid w:val="009E7F52"/>
    <w:rsid w:val="009F13C7"/>
    <w:rsid w:val="009F1610"/>
    <w:rsid w:val="009F1BA1"/>
    <w:rsid w:val="009F206A"/>
    <w:rsid w:val="009F3697"/>
    <w:rsid w:val="009F37F8"/>
    <w:rsid w:val="009F3B0F"/>
    <w:rsid w:val="009F4652"/>
    <w:rsid w:val="009F4767"/>
    <w:rsid w:val="009F4789"/>
    <w:rsid w:val="009F48B0"/>
    <w:rsid w:val="009F4E44"/>
    <w:rsid w:val="009F5EDD"/>
    <w:rsid w:val="009F6514"/>
    <w:rsid w:val="00A008E1"/>
    <w:rsid w:val="00A015AB"/>
    <w:rsid w:val="00A01BD8"/>
    <w:rsid w:val="00A02687"/>
    <w:rsid w:val="00A02EFC"/>
    <w:rsid w:val="00A03BD3"/>
    <w:rsid w:val="00A043C3"/>
    <w:rsid w:val="00A04D9D"/>
    <w:rsid w:val="00A050D4"/>
    <w:rsid w:val="00A05517"/>
    <w:rsid w:val="00A05730"/>
    <w:rsid w:val="00A06E2D"/>
    <w:rsid w:val="00A06FA2"/>
    <w:rsid w:val="00A07B49"/>
    <w:rsid w:val="00A12984"/>
    <w:rsid w:val="00A13517"/>
    <w:rsid w:val="00A14E12"/>
    <w:rsid w:val="00A153B6"/>
    <w:rsid w:val="00A1564C"/>
    <w:rsid w:val="00A15D80"/>
    <w:rsid w:val="00A16649"/>
    <w:rsid w:val="00A17140"/>
    <w:rsid w:val="00A17907"/>
    <w:rsid w:val="00A20456"/>
    <w:rsid w:val="00A21E4E"/>
    <w:rsid w:val="00A224F8"/>
    <w:rsid w:val="00A22B1E"/>
    <w:rsid w:val="00A22B97"/>
    <w:rsid w:val="00A236FE"/>
    <w:rsid w:val="00A241C0"/>
    <w:rsid w:val="00A24DCE"/>
    <w:rsid w:val="00A251B9"/>
    <w:rsid w:val="00A254DD"/>
    <w:rsid w:val="00A25F3C"/>
    <w:rsid w:val="00A263AF"/>
    <w:rsid w:val="00A26403"/>
    <w:rsid w:val="00A26E4D"/>
    <w:rsid w:val="00A270A5"/>
    <w:rsid w:val="00A2781D"/>
    <w:rsid w:val="00A30822"/>
    <w:rsid w:val="00A31540"/>
    <w:rsid w:val="00A320E3"/>
    <w:rsid w:val="00A33525"/>
    <w:rsid w:val="00A33573"/>
    <w:rsid w:val="00A33807"/>
    <w:rsid w:val="00A33AAE"/>
    <w:rsid w:val="00A34710"/>
    <w:rsid w:val="00A34AB0"/>
    <w:rsid w:val="00A34D23"/>
    <w:rsid w:val="00A3611E"/>
    <w:rsid w:val="00A374A8"/>
    <w:rsid w:val="00A378A8"/>
    <w:rsid w:val="00A37BCE"/>
    <w:rsid w:val="00A37C16"/>
    <w:rsid w:val="00A401B9"/>
    <w:rsid w:val="00A40733"/>
    <w:rsid w:val="00A40744"/>
    <w:rsid w:val="00A40811"/>
    <w:rsid w:val="00A42249"/>
    <w:rsid w:val="00A42944"/>
    <w:rsid w:val="00A45365"/>
    <w:rsid w:val="00A473B0"/>
    <w:rsid w:val="00A50773"/>
    <w:rsid w:val="00A50A5E"/>
    <w:rsid w:val="00A51122"/>
    <w:rsid w:val="00A5233F"/>
    <w:rsid w:val="00A52661"/>
    <w:rsid w:val="00A526EE"/>
    <w:rsid w:val="00A52BF9"/>
    <w:rsid w:val="00A52C17"/>
    <w:rsid w:val="00A53E5E"/>
    <w:rsid w:val="00A543A1"/>
    <w:rsid w:val="00A54D8F"/>
    <w:rsid w:val="00A556AA"/>
    <w:rsid w:val="00A5591C"/>
    <w:rsid w:val="00A57372"/>
    <w:rsid w:val="00A57B62"/>
    <w:rsid w:val="00A60628"/>
    <w:rsid w:val="00A60DEC"/>
    <w:rsid w:val="00A61232"/>
    <w:rsid w:val="00A619D1"/>
    <w:rsid w:val="00A635CC"/>
    <w:rsid w:val="00A63FD1"/>
    <w:rsid w:val="00A6479F"/>
    <w:rsid w:val="00A64819"/>
    <w:rsid w:val="00A64BCA"/>
    <w:rsid w:val="00A64EDF"/>
    <w:rsid w:val="00A65D7B"/>
    <w:rsid w:val="00A65E79"/>
    <w:rsid w:val="00A66E2B"/>
    <w:rsid w:val="00A66FEC"/>
    <w:rsid w:val="00A676A2"/>
    <w:rsid w:val="00A67938"/>
    <w:rsid w:val="00A67B04"/>
    <w:rsid w:val="00A70B02"/>
    <w:rsid w:val="00A70B7A"/>
    <w:rsid w:val="00A70E96"/>
    <w:rsid w:val="00A70EA3"/>
    <w:rsid w:val="00A70F3C"/>
    <w:rsid w:val="00A72FBB"/>
    <w:rsid w:val="00A74C07"/>
    <w:rsid w:val="00A77B61"/>
    <w:rsid w:val="00A81BE5"/>
    <w:rsid w:val="00A8223D"/>
    <w:rsid w:val="00A84B71"/>
    <w:rsid w:val="00A84C4C"/>
    <w:rsid w:val="00A85589"/>
    <w:rsid w:val="00A8574E"/>
    <w:rsid w:val="00A86002"/>
    <w:rsid w:val="00A87248"/>
    <w:rsid w:val="00A87A10"/>
    <w:rsid w:val="00A87F2C"/>
    <w:rsid w:val="00A87FC1"/>
    <w:rsid w:val="00A928E6"/>
    <w:rsid w:val="00A930E5"/>
    <w:rsid w:val="00A93716"/>
    <w:rsid w:val="00A940CE"/>
    <w:rsid w:val="00A95325"/>
    <w:rsid w:val="00A963A9"/>
    <w:rsid w:val="00A96B13"/>
    <w:rsid w:val="00A9746E"/>
    <w:rsid w:val="00A9779E"/>
    <w:rsid w:val="00AA01E6"/>
    <w:rsid w:val="00AA09DD"/>
    <w:rsid w:val="00AA0D20"/>
    <w:rsid w:val="00AA1305"/>
    <w:rsid w:val="00AA16B3"/>
    <w:rsid w:val="00AA1AAC"/>
    <w:rsid w:val="00AA20D5"/>
    <w:rsid w:val="00AA2483"/>
    <w:rsid w:val="00AA2A85"/>
    <w:rsid w:val="00AA31B1"/>
    <w:rsid w:val="00AA41EA"/>
    <w:rsid w:val="00AA497B"/>
    <w:rsid w:val="00AA49D0"/>
    <w:rsid w:val="00AA4A6E"/>
    <w:rsid w:val="00AA6AA2"/>
    <w:rsid w:val="00AA6CD0"/>
    <w:rsid w:val="00AA78BD"/>
    <w:rsid w:val="00AB0592"/>
    <w:rsid w:val="00AB0E2B"/>
    <w:rsid w:val="00AB0E49"/>
    <w:rsid w:val="00AB121A"/>
    <w:rsid w:val="00AB1EFC"/>
    <w:rsid w:val="00AB22E0"/>
    <w:rsid w:val="00AB398B"/>
    <w:rsid w:val="00AB40B6"/>
    <w:rsid w:val="00AB437C"/>
    <w:rsid w:val="00AB56C1"/>
    <w:rsid w:val="00AB5B72"/>
    <w:rsid w:val="00AB5D49"/>
    <w:rsid w:val="00AB67D0"/>
    <w:rsid w:val="00AB6DB4"/>
    <w:rsid w:val="00AC0C40"/>
    <w:rsid w:val="00AC0C4C"/>
    <w:rsid w:val="00AC0CDE"/>
    <w:rsid w:val="00AC0D52"/>
    <w:rsid w:val="00AC132D"/>
    <w:rsid w:val="00AC146A"/>
    <w:rsid w:val="00AC1733"/>
    <w:rsid w:val="00AC2E73"/>
    <w:rsid w:val="00AC368C"/>
    <w:rsid w:val="00AC55D2"/>
    <w:rsid w:val="00AC64E3"/>
    <w:rsid w:val="00AC7510"/>
    <w:rsid w:val="00AC7BB7"/>
    <w:rsid w:val="00AD039C"/>
    <w:rsid w:val="00AD1F20"/>
    <w:rsid w:val="00AD3773"/>
    <w:rsid w:val="00AD3F52"/>
    <w:rsid w:val="00AD4C8C"/>
    <w:rsid w:val="00AD4CDC"/>
    <w:rsid w:val="00AD59C6"/>
    <w:rsid w:val="00AD61FD"/>
    <w:rsid w:val="00AD63EE"/>
    <w:rsid w:val="00AD66EF"/>
    <w:rsid w:val="00AD67C7"/>
    <w:rsid w:val="00AD6DF6"/>
    <w:rsid w:val="00AD7E5B"/>
    <w:rsid w:val="00AE096F"/>
    <w:rsid w:val="00AE1420"/>
    <w:rsid w:val="00AE15F8"/>
    <w:rsid w:val="00AE21CB"/>
    <w:rsid w:val="00AE36BD"/>
    <w:rsid w:val="00AE40EB"/>
    <w:rsid w:val="00AE54A9"/>
    <w:rsid w:val="00AE598F"/>
    <w:rsid w:val="00AE606D"/>
    <w:rsid w:val="00AE7163"/>
    <w:rsid w:val="00AE73D8"/>
    <w:rsid w:val="00AE74B3"/>
    <w:rsid w:val="00AE7A6B"/>
    <w:rsid w:val="00AE7CB3"/>
    <w:rsid w:val="00AF04C2"/>
    <w:rsid w:val="00AF0C6F"/>
    <w:rsid w:val="00AF1122"/>
    <w:rsid w:val="00AF1BC1"/>
    <w:rsid w:val="00AF1FC9"/>
    <w:rsid w:val="00AF2359"/>
    <w:rsid w:val="00AF2675"/>
    <w:rsid w:val="00AF2DEB"/>
    <w:rsid w:val="00AF308D"/>
    <w:rsid w:val="00AF42E4"/>
    <w:rsid w:val="00AF4F3C"/>
    <w:rsid w:val="00AF5081"/>
    <w:rsid w:val="00AF678F"/>
    <w:rsid w:val="00AF7050"/>
    <w:rsid w:val="00AF78EE"/>
    <w:rsid w:val="00B0046D"/>
    <w:rsid w:val="00B0099C"/>
    <w:rsid w:val="00B00EDC"/>
    <w:rsid w:val="00B01111"/>
    <w:rsid w:val="00B011E6"/>
    <w:rsid w:val="00B02B0F"/>
    <w:rsid w:val="00B02C5F"/>
    <w:rsid w:val="00B0570D"/>
    <w:rsid w:val="00B06569"/>
    <w:rsid w:val="00B0714F"/>
    <w:rsid w:val="00B0755E"/>
    <w:rsid w:val="00B077CC"/>
    <w:rsid w:val="00B10C05"/>
    <w:rsid w:val="00B11BCB"/>
    <w:rsid w:val="00B11D45"/>
    <w:rsid w:val="00B124AB"/>
    <w:rsid w:val="00B12AFE"/>
    <w:rsid w:val="00B13181"/>
    <w:rsid w:val="00B1439F"/>
    <w:rsid w:val="00B1479C"/>
    <w:rsid w:val="00B14FC0"/>
    <w:rsid w:val="00B1524D"/>
    <w:rsid w:val="00B152F3"/>
    <w:rsid w:val="00B15566"/>
    <w:rsid w:val="00B1706D"/>
    <w:rsid w:val="00B170A3"/>
    <w:rsid w:val="00B21399"/>
    <w:rsid w:val="00B23340"/>
    <w:rsid w:val="00B23906"/>
    <w:rsid w:val="00B2422D"/>
    <w:rsid w:val="00B24E69"/>
    <w:rsid w:val="00B25928"/>
    <w:rsid w:val="00B27036"/>
    <w:rsid w:val="00B2727E"/>
    <w:rsid w:val="00B278FE"/>
    <w:rsid w:val="00B2799F"/>
    <w:rsid w:val="00B279C9"/>
    <w:rsid w:val="00B27DF3"/>
    <w:rsid w:val="00B27E30"/>
    <w:rsid w:val="00B300AD"/>
    <w:rsid w:val="00B30121"/>
    <w:rsid w:val="00B30199"/>
    <w:rsid w:val="00B30851"/>
    <w:rsid w:val="00B32115"/>
    <w:rsid w:val="00B32FA0"/>
    <w:rsid w:val="00B33189"/>
    <w:rsid w:val="00B331AE"/>
    <w:rsid w:val="00B33A92"/>
    <w:rsid w:val="00B349BB"/>
    <w:rsid w:val="00B349CD"/>
    <w:rsid w:val="00B3546C"/>
    <w:rsid w:val="00B35610"/>
    <w:rsid w:val="00B35E95"/>
    <w:rsid w:val="00B36623"/>
    <w:rsid w:val="00B37C46"/>
    <w:rsid w:val="00B37FDB"/>
    <w:rsid w:val="00B4009D"/>
    <w:rsid w:val="00B4026E"/>
    <w:rsid w:val="00B40628"/>
    <w:rsid w:val="00B40EFB"/>
    <w:rsid w:val="00B4201B"/>
    <w:rsid w:val="00B42AD2"/>
    <w:rsid w:val="00B435B3"/>
    <w:rsid w:val="00B43A2E"/>
    <w:rsid w:val="00B442C0"/>
    <w:rsid w:val="00B44908"/>
    <w:rsid w:val="00B45B3E"/>
    <w:rsid w:val="00B45E32"/>
    <w:rsid w:val="00B46CA9"/>
    <w:rsid w:val="00B470F9"/>
    <w:rsid w:val="00B47787"/>
    <w:rsid w:val="00B51E6D"/>
    <w:rsid w:val="00B51F2D"/>
    <w:rsid w:val="00B529E6"/>
    <w:rsid w:val="00B52C64"/>
    <w:rsid w:val="00B535CB"/>
    <w:rsid w:val="00B536DB"/>
    <w:rsid w:val="00B53CDE"/>
    <w:rsid w:val="00B5476F"/>
    <w:rsid w:val="00B5481C"/>
    <w:rsid w:val="00B54C6C"/>
    <w:rsid w:val="00B56F57"/>
    <w:rsid w:val="00B575D0"/>
    <w:rsid w:val="00B57A13"/>
    <w:rsid w:val="00B6053B"/>
    <w:rsid w:val="00B60CC1"/>
    <w:rsid w:val="00B61357"/>
    <w:rsid w:val="00B632B1"/>
    <w:rsid w:val="00B64F63"/>
    <w:rsid w:val="00B6529E"/>
    <w:rsid w:val="00B653E2"/>
    <w:rsid w:val="00B65F4B"/>
    <w:rsid w:val="00B66238"/>
    <w:rsid w:val="00B66C4B"/>
    <w:rsid w:val="00B67081"/>
    <w:rsid w:val="00B67B22"/>
    <w:rsid w:val="00B71C13"/>
    <w:rsid w:val="00B72AEE"/>
    <w:rsid w:val="00B7310E"/>
    <w:rsid w:val="00B73348"/>
    <w:rsid w:val="00B73646"/>
    <w:rsid w:val="00B73D17"/>
    <w:rsid w:val="00B7401C"/>
    <w:rsid w:val="00B74952"/>
    <w:rsid w:val="00B756F5"/>
    <w:rsid w:val="00B7647C"/>
    <w:rsid w:val="00B77299"/>
    <w:rsid w:val="00B77CBA"/>
    <w:rsid w:val="00B77F82"/>
    <w:rsid w:val="00B80A5E"/>
    <w:rsid w:val="00B80E26"/>
    <w:rsid w:val="00B80F13"/>
    <w:rsid w:val="00B81A62"/>
    <w:rsid w:val="00B81C1D"/>
    <w:rsid w:val="00B81DC6"/>
    <w:rsid w:val="00B82DD3"/>
    <w:rsid w:val="00B83321"/>
    <w:rsid w:val="00B84377"/>
    <w:rsid w:val="00B846C6"/>
    <w:rsid w:val="00B8484B"/>
    <w:rsid w:val="00B8517C"/>
    <w:rsid w:val="00B85C6C"/>
    <w:rsid w:val="00B85F20"/>
    <w:rsid w:val="00B87DED"/>
    <w:rsid w:val="00B9124A"/>
    <w:rsid w:val="00B93132"/>
    <w:rsid w:val="00B934BE"/>
    <w:rsid w:val="00B93D6A"/>
    <w:rsid w:val="00B9480A"/>
    <w:rsid w:val="00B94BFF"/>
    <w:rsid w:val="00B956C4"/>
    <w:rsid w:val="00B95B0A"/>
    <w:rsid w:val="00B95D3B"/>
    <w:rsid w:val="00B96271"/>
    <w:rsid w:val="00B97167"/>
    <w:rsid w:val="00B97CCB"/>
    <w:rsid w:val="00BA0A39"/>
    <w:rsid w:val="00BA17A6"/>
    <w:rsid w:val="00BA1A54"/>
    <w:rsid w:val="00BA22FD"/>
    <w:rsid w:val="00BA2D2B"/>
    <w:rsid w:val="00BA36F0"/>
    <w:rsid w:val="00BA3D6D"/>
    <w:rsid w:val="00BA4876"/>
    <w:rsid w:val="00BA51E3"/>
    <w:rsid w:val="00BA5C3A"/>
    <w:rsid w:val="00BA5C82"/>
    <w:rsid w:val="00BA5FB6"/>
    <w:rsid w:val="00BA64E6"/>
    <w:rsid w:val="00BA6EB3"/>
    <w:rsid w:val="00BA7E4B"/>
    <w:rsid w:val="00BB1858"/>
    <w:rsid w:val="00BB1E30"/>
    <w:rsid w:val="00BB224C"/>
    <w:rsid w:val="00BB2349"/>
    <w:rsid w:val="00BB2735"/>
    <w:rsid w:val="00BB2F03"/>
    <w:rsid w:val="00BB4494"/>
    <w:rsid w:val="00BB4715"/>
    <w:rsid w:val="00BB590E"/>
    <w:rsid w:val="00BB64CB"/>
    <w:rsid w:val="00BB65B2"/>
    <w:rsid w:val="00BB69F0"/>
    <w:rsid w:val="00BB6B70"/>
    <w:rsid w:val="00BB6CCF"/>
    <w:rsid w:val="00BB777A"/>
    <w:rsid w:val="00BB7A04"/>
    <w:rsid w:val="00BC09A4"/>
    <w:rsid w:val="00BC1466"/>
    <w:rsid w:val="00BC1484"/>
    <w:rsid w:val="00BC1CFA"/>
    <w:rsid w:val="00BC240C"/>
    <w:rsid w:val="00BC2B30"/>
    <w:rsid w:val="00BC3094"/>
    <w:rsid w:val="00BC321E"/>
    <w:rsid w:val="00BC32EA"/>
    <w:rsid w:val="00BC3903"/>
    <w:rsid w:val="00BC44DF"/>
    <w:rsid w:val="00BC4B2A"/>
    <w:rsid w:val="00BC5031"/>
    <w:rsid w:val="00BC5456"/>
    <w:rsid w:val="00BC5E34"/>
    <w:rsid w:val="00BC62C2"/>
    <w:rsid w:val="00BC6743"/>
    <w:rsid w:val="00BC799A"/>
    <w:rsid w:val="00BC7A1D"/>
    <w:rsid w:val="00BD0754"/>
    <w:rsid w:val="00BD2004"/>
    <w:rsid w:val="00BD265C"/>
    <w:rsid w:val="00BD29E3"/>
    <w:rsid w:val="00BD3524"/>
    <w:rsid w:val="00BD39DE"/>
    <w:rsid w:val="00BD40A4"/>
    <w:rsid w:val="00BD45D8"/>
    <w:rsid w:val="00BD46B9"/>
    <w:rsid w:val="00BD47AD"/>
    <w:rsid w:val="00BD4A38"/>
    <w:rsid w:val="00BD4D7E"/>
    <w:rsid w:val="00BD5BBC"/>
    <w:rsid w:val="00BD5E05"/>
    <w:rsid w:val="00BD5E18"/>
    <w:rsid w:val="00BD5E95"/>
    <w:rsid w:val="00BD6492"/>
    <w:rsid w:val="00BD7244"/>
    <w:rsid w:val="00BD7452"/>
    <w:rsid w:val="00BD7EB6"/>
    <w:rsid w:val="00BE055C"/>
    <w:rsid w:val="00BE0D5F"/>
    <w:rsid w:val="00BE1556"/>
    <w:rsid w:val="00BE2995"/>
    <w:rsid w:val="00BE35B4"/>
    <w:rsid w:val="00BE35CA"/>
    <w:rsid w:val="00BE3C8A"/>
    <w:rsid w:val="00BE451C"/>
    <w:rsid w:val="00BE49BE"/>
    <w:rsid w:val="00BE69F5"/>
    <w:rsid w:val="00BE75BF"/>
    <w:rsid w:val="00BF0517"/>
    <w:rsid w:val="00BF1118"/>
    <w:rsid w:val="00BF1392"/>
    <w:rsid w:val="00BF1F34"/>
    <w:rsid w:val="00BF2027"/>
    <w:rsid w:val="00BF2053"/>
    <w:rsid w:val="00BF218E"/>
    <w:rsid w:val="00BF2E2E"/>
    <w:rsid w:val="00BF2EC2"/>
    <w:rsid w:val="00BF3B45"/>
    <w:rsid w:val="00BF42E7"/>
    <w:rsid w:val="00BF51D5"/>
    <w:rsid w:val="00BF6F8B"/>
    <w:rsid w:val="00BF6FDD"/>
    <w:rsid w:val="00BF7B6E"/>
    <w:rsid w:val="00BF7F6A"/>
    <w:rsid w:val="00C0023B"/>
    <w:rsid w:val="00C00783"/>
    <w:rsid w:val="00C008C1"/>
    <w:rsid w:val="00C01844"/>
    <w:rsid w:val="00C024D9"/>
    <w:rsid w:val="00C0288F"/>
    <w:rsid w:val="00C029A2"/>
    <w:rsid w:val="00C02BA3"/>
    <w:rsid w:val="00C02FAA"/>
    <w:rsid w:val="00C030A9"/>
    <w:rsid w:val="00C03134"/>
    <w:rsid w:val="00C034AB"/>
    <w:rsid w:val="00C047C1"/>
    <w:rsid w:val="00C04A4A"/>
    <w:rsid w:val="00C0540C"/>
    <w:rsid w:val="00C0619C"/>
    <w:rsid w:val="00C0668A"/>
    <w:rsid w:val="00C066A9"/>
    <w:rsid w:val="00C07D7A"/>
    <w:rsid w:val="00C10FA7"/>
    <w:rsid w:val="00C11337"/>
    <w:rsid w:val="00C11DD0"/>
    <w:rsid w:val="00C13014"/>
    <w:rsid w:val="00C130D2"/>
    <w:rsid w:val="00C131E7"/>
    <w:rsid w:val="00C137CE"/>
    <w:rsid w:val="00C13936"/>
    <w:rsid w:val="00C14421"/>
    <w:rsid w:val="00C1705B"/>
    <w:rsid w:val="00C17198"/>
    <w:rsid w:val="00C171B0"/>
    <w:rsid w:val="00C17567"/>
    <w:rsid w:val="00C17601"/>
    <w:rsid w:val="00C201E0"/>
    <w:rsid w:val="00C20380"/>
    <w:rsid w:val="00C2076F"/>
    <w:rsid w:val="00C2087D"/>
    <w:rsid w:val="00C20C6B"/>
    <w:rsid w:val="00C237FC"/>
    <w:rsid w:val="00C23DE3"/>
    <w:rsid w:val="00C23F5B"/>
    <w:rsid w:val="00C247C3"/>
    <w:rsid w:val="00C24A3E"/>
    <w:rsid w:val="00C25505"/>
    <w:rsid w:val="00C26107"/>
    <w:rsid w:val="00C2662C"/>
    <w:rsid w:val="00C26685"/>
    <w:rsid w:val="00C26AD1"/>
    <w:rsid w:val="00C26DE3"/>
    <w:rsid w:val="00C2704A"/>
    <w:rsid w:val="00C3000F"/>
    <w:rsid w:val="00C31201"/>
    <w:rsid w:val="00C31377"/>
    <w:rsid w:val="00C31F3D"/>
    <w:rsid w:val="00C32098"/>
    <w:rsid w:val="00C32435"/>
    <w:rsid w:val="00C32463"/>
    <w:rsid w:val="00C32486"/>
    <w:rsid w:val="00C32AA6"/>
    <w:rsid w:val="00C32CA0"/>
    <w:rsid w:val="00C336AD"/>
    <w:rsid w:val="00C33A91"/>
    <w:rsid w:val="00C33F97"/>
    <w:rsid w:val="00C341C8"/>
    <w:rsid w:val="00C402D9"/>
    <w:rsid w:val="00C42357"/>
    <w:rsid w:val="00C429A1"/>
    <w:rsid w:val="00C42A65"/>
    <w:rsid w:val="00C42D47"/>
    <w:rsid w:val="00C42FBD"/>
    <w:rsid w:val="00C43860"/>
    <w:rsid w:val="00C43D75"/>
    <w:rsid w:val="00C43FA1"/>
    <w:rsid w:val="00C444BE"/>
    <w:rsid w:val="00C44C7D"/>
    <w:rsid w:val="00C45BBF"/>
    <w:rsid w:val="00C46A53"/>
    <w:rsid w:val="00C47897"/>
    <w:rsid w:val="00C5008A"/>
    <w:rsid w:val="00C50FB0"/>
    <w:rsid w:val="00C50FFD"/>
    <w:rsid w:val="00C52239"/>
    <w:rsid w:val="00C52A43"/>
    <w:rsid w:val="00C52C45"/>
    <w:rsid w:val="00C53776"/>
    <w:rsid w:val="00C54307"/>
    <w:rsid w:val="00C55095"/>
    <w:rsid w:val="00C55154"/>
    <w:rsid w:val="00C55CE3"/>
    <w:rsid w:val="00C56AD0"/>
    <w:rsid w:val="00C57089"/>
    <w:rsid w:val="00C57AFE"/>
    <w:rsid w:val="00C57D99"/>
    <w:rsid w:val="00C601A3"/>
    <w:rsid w:val="00C6059C"/>
    <w:rsid w:val="00C60BFB"/>
    <w:rsid w:val="00C60D74"/>
    <w:rsid w:val="00C60E5A"/>
    <w:rsid w:val="00C60FA3"/>
    <w:rsid w:val="00C6115D"/>
    <w:rsid w:val="00C6140D"/>
    <w:rsid w:val="00C622FA"/>
    <w:rsid w:val="00C62BAB"/>
    <w:rsid w:val="00C640A5"/>
    <w:rsid w:val="00C64A61"/>
    <w:rsid w:val="00C64ED7"/>
    <w:rsid w:val="00C66BA8"/>
    <w:rsid w:val="00C66F1F"/>
    <w:rsid w:val="00C674F2"/>
    <w:rsid w:val="00C712E3"/>
    <w:rsid w:val="00C72230"/>
    <w:rsid w:val="00C73719"/>
    <w:rsid w:val="00C738D2"/>
    <w:rsid w:val="00C73DDF"/>
    <w:rsid w:val="00C73DEE"/>
    <w:rsid w:val="00C7469F"/>
    <w:rsid w:val="00C749E7"/>
    <w:rsid w:val="00C74C70"/>
    <w:rsid w:val="00C74EFE"/>
    <w:rsid w:val="00C7569D"/>
    <w:rsid w:val="00C759CE"/>
    <w:rsid w:val="00C75B41"/>
    <w:rsid w:val="00C75D50"/>
    <w:rsid w:val="00C75F7E"/>
    <w:rsid w:val="00C76469"/>
    <w:rsid w:val="00C76578"/>
    <w:rsid w:val="00C7694A"/>
    <w:rsid w:val="00C76CE4"/>
    <w:rsid w:val="00C76CE9"/>
    <w:rsid w:val="00C76EA5"/>
    <w:rsid w:val="00C76EEB"/>
    <w:rsid w:val="00C7758C"/>
    <w:rsid w:val="00C77659"/>
    <w:rsid w:val="00C7797A"/>
    <w:rsid w:val="00C77F6D"/>
    <w:rsid w:val="00C81F19"/>
    <w:rsid w:val="00C8212E"/>
    <w:rsid w:val="00C82842"/>
    <w:rsid w:val="00C82CD2"/>
    <w:rsid w:val="00C82D9F"/>
    <w:rsid w:val="00C85FD2"/>
    <w:rsid w:val="00C86F14"/>
    <w:rsid w:val="00C911A1"/>
    <w:rsid w:val="00C91F83"/>
    <w:rsid w:val="00C92056"/>
    <w:rsid w:val="00C93D64"/>
    <w:rsid w:val="00C949DD"/>
    <w:rsid w:val="00C95098"/>
    <w:rsid w:val="00C952A7"/>
    <w:rsid w:val="00C95509"/>
    <w:rsid w:val="00C96220"/>
    <w:rsid w:val="00C96935"/>
    <w:rsid w:val="00C9706C"/>
    <w:rsid w:val="00C97381"/>
    <w:rsid w:val="00C97445"/>
    <w:rsid w:val="00CA022E"/>
    <w:rsid w:val="00CA2C93"/>
    <w:rsid w:val="00CA4461"/>
    <w:rsid w:val="00CA50BB"/>
    <w:rsid w:val="00CA56FB"/>
    <w:rsid w:val="00CA57D4"/>
    <w:rsid w:val="00CA5E4B"/>
    <w:rsid w:val="00CA6B41"/>
    <w:rsid w:val="00CA7442"/>
    <w:rsid w:val="00CA7F4D"/>
    <w:rsid w:val="00CB0452"/>
    <w:rsid w:val="00CB04CB"/>
    <w:rsid w:val="00CB04E0"/>
    <w:rsid w:val="00CB0D3F"/>
    <w:rsid w:val="00CB513F"/>
    <w:rsid w:val="00CB61B6"/>
    <w:rsid w:val="00CB75DF"/>
    <w:rsid w:val="00CB7D08"/>
    <w:rsid w:val="00CC08C9"/>
    <w:rsid w:val="00CC09B6"/>
    <w:rsid w:val="00CC108C"/>
    <w:rsid w:val="00CC11FD"/>
    <w:rsid w:val="00CC1323"/>
    <w:rsid w:val="00CC28F2"/>
    <w:rsid w:val="00CC2B43"/>
    <w:rsid w:val="00CC2DCA"/>
    <w:rsid w:val="00CC2FAE"/>
    <w:rsid w:val="00CC3655"/>
    <w:rsid w:val="00CC3B2C"/>
    <w:rsid w:val="00CC3B31"/>
    <w:rsid w:val="00CC4725"/>
    <w:rsid w:val="00CC4796"/>
    <w:rsid w:val="00CC4AC4"/>
    <w:rsid w:val="00CC55E7"/>
    <w:rsid w:val="00CC70D6"/>
    <w:rsid w:val="00CD0020"/>
    <w:rsid w:val="00CD0079"/>
    <w:rsid w:val="00CD148A"/>
    <w:rsid w:val="00CD1E0A"/>
    <w:rsid w:val="00CD2A79"/>
    <w:rsid w:val="00CD2DB6"/>
    <w:rsid w:val="00CD2E2C"/>
    <w:rsid w:val="00CD2FBD"/>
    <w:rsid w:val="00CD3257"/>
    <w:rsid w:val="00CD3D07"/>
    <w:rsid w:val="00CD42B7"/>
    <w:rsid w:val="00CD4394"/>
    <w:rsid w:val="00CD4A42"/>
    <w:rsid w:val="00CD4F5E"/>
    <w:rsid w:val="00CD6077"/>
    <w:rsid w:val="00CD625C"/>
    <w:rsid w:val="00CD6AD4"/>
    <w:rsid w:val="00CD6E68"/>
    <w:rsid w:val="00CD7341"/>
    <w:rsid w:val="00CE02A2"/>
    <w:rsid w:val="00CE0486"/>
    <w:rsid w:val="00CE1168"/>
    <w:rsid w:val="00CE1358"/>
    <w:rsid w:val="00CE1C4A"/>
    <w:rsid w:val="00CE2DC7"/>
    <w:rsid w:val="00CE2F2F"/>
    <w:rsid w:val="00CE3564"/>
    <w:rsid w:val="00CE3659"/>
    <w:rsid w:val="00CE368A"/>
    <w:rsid w:val="00CE3E50"/>
    <w:rsid w:val="00CE52F1"/>
    <w:rsid w:val="00CE5657"/>
    <w:rsid w:val="00CE5D70"/>
    <w:rsid w:val="00CE5E55"/>
    <w:rsid w:val="00CE63BA"/>
    <w:rsid w:val="00CE6768"/>
    <w:rsid w:val="00CE729E"/>
    <w:rsid w:val="00CE7C14"/>
    <w:rsid w:val="00CF1542"/>
    <w:rsid w:val="00CF1AF1"/>
    <w:rsid w:val="00CF1B28"/>
    <w:rsid w:val="00CF2D04"/>
    <w:rsid w:val="00CF2EFE"/>
    <w:rsid w:val="00CF32B2"/>
    <w:rsid w:val="00CF3A3A"/>
    <w:rsid w:val="00CF3FE4"/>
    <w:rsid w:val="00CF4693"/>
    <w:rsid w:val="00CF4839"/>
    <w:rsid w:val="00CF51CF"/>
    <w:rsid w:val="00CF5F95"/>
    <w:rsid w:val="00CF7226"/>
    <w:rsid w:val="00D0150C"/>
    <w:rsid w:val="00D01AB2"/>
    <w:rsid w:val="00D01F64"/>
    <w:rsid w:val="00D021EF"/>
    <w:rsid w:val="00D0271D"/>
    <w:rsid w:val="00D0369C"/>
    <w:rsid w:val="00D0416A"/>
    <w:rsid w:val="00D04799"/>
    <w:rsid w:val="00D0587E"/>
    <w:rsid w:val="00D05C6A"/>
    <w:rsid w:val="00D060F0"/>
    <w:rsid w:val="00D06333"/>
    <w:rsid w:val="00D06D24"/>
    <w:rsid w:val="00D10FE2"/>
    <w:rsid w:val="00D11DC6"/>
    <w:rsid w:val="00D169EE"/>
    <w:rsid w:val="00D17055"/>
    <w:rsid w:val="00D202B1"/>
    <w:rsid w:val="00D20643"/>
    <w:rsid w:val="00D20661"/>
    <w:rsid w:val="00D209DE"/>
    <w:rsid w:val="00D20C27"/>
    <w:rsid w:val="00D228E5"/>
    <w:rsid w:val="00D22C87"/>
    <w:rsid w:val="00D23514"/>
    <w:rsid w:val="00D237D8"/>
    <w:rsid w:val="00D239FA"/>
    <w:rsid w:val="00D23AD9"/>
    <w:rsid w:val="00D23BBE"/>
    <w:rsid w:val="00D24882"/>
    <w:rsid w:val="00D24C5C"/>
    <w:rsid w:val="00D24C9F"/>
    <w:rsid w:val="00D24F09"/>
    <w:rsid w:val="00D263DF"/>
    <w:rsid w:val="00D267ED"/>
    <w:rsid w:val="00D268C4"/>
    <w:rsid w:val="00D268D0"/>
    <w:rsid w:val="00D26ACF"/>
    <w:rsid w:val="00D27547"/>
    <w:rsid w:val="00D31E71"/>
    <w:rsid w:val="00D3250D"/>
    <w:rsid w:val="00D334DC"/>
    <w:rsid w:val="00D33E5B"/>
    <w:rsid w:val="00D344A4"/>
    <w:rsid w:val="00D3554D"/>
    <w:rsid w:val="00D35692"/>
    <w:rsid w:val="00D36187"/>
    <w:rsid w:val="00D37C77"/>
    <w:rsid w:val="00D41142"/>
    <w:rsid w:val="00D41FCA"/>
    <w:rsid w:val="00D42008"/>
    <w:rsid w:val="00D42131"/>
    <w:rsid w:val="00D43E25"/>
    <w:rsid w:val="00D441CD"/>
    <w:rsid w:val="00D447B0"/>
    <w:rsid w:val="00D45291"/>
    <w:rsid w:val="00D467D5"/>
    <w:rsid w:val="00D468AA"/>
    <w:rsid w:val="00D46B2B"/>
    <w:rsid w:val="00D47A71"/>
    <w:rsid w:val="00D50147"/>
    <w:rsid w:val="00D505DF"/>
    <w:rsid w:val="00D50E63"/>
    <w:rsid w:val="00D514CF"/>
    <w:rsid w:val="00D51D3D"/>
    <w:rsid w:val="00D520B2"/>
    <w:rsid w:val="00D525D5"/>
    <w:rsid w:val="00D527AC"/>
    <w:rsid w:val="00D5356D"/>
    <w:rsid w:val="00D53ACB"/>
    <w:rsid w:val="00D547CA"/>
    <w:rsid w:val="00D54EE4"/>
    <w:rsid w:val="00D55391"/>
    <w:rsid w:val="00D558B2"/>
    <w:rsid w:val="00D55D44"/>
    <w:rsid w:val="00D56871"/>
    <w:rsid w:val="00D577F2"/>
    <w:rsid w:val="00D57C14"/>
    <w:rsid w:val="00D60787"/>
    <w:rsid w:val="00D6165B"/>
    <w:rsid w:val="00D61867"/>
    <w:rsid w:val="00D61C0C"/>
    <w:rsid w:val="00D61F5D"/>
    <w:rsid w:val="00D642C4"/>
    <w:rsid w:val="00D64586"/>
    <w:rsid w:val="00D65162"/>
    <w:rsid w:val="00D651FB"/>
    <w:rsid w:val="00D66705"/>
    <w:rsid w:val="00D6674C"/>
    <w:rsid w:val="00D66E1B"/>
    <w:rsid w:val="00D67037"/>
    <w:rsid w:val="00D670D2"/>
    <w:rsid w:val="00D67102"/>
    <w:rsid w:val="00D67794"/>
    <w:rsid w:val="00D67A02"/>
    <w:rsid w:val="00D715E6"/>
    <w:rsid w:val="00D71653"/>
    <w:rsid w:val="00D727F5"/>
    <w:rsid w:val="00D72D84"/>
    <w:rsid w:val="00D72FFB"/>
    <w:rsid w:val="00D734E6"/>
    <w:rsid w:val="00D73D3A"/>
    <w:rsid w:val="00D750A8"/>
    <w:rsid w:val="00D751D5"/>
    <w:rsid w:val="00D75319"/>
    <w:rsid w:val="00D7592C"/>
    <w:rsid w:val="00D76357"/>
    <w:rsid w:val="00D76E81"/>
    <w:rsid w:val="00D80BE9"/>
    <w:rsid w:val="00D81397"/>
    <w:rsid w:val="00D81866"/>
    <w:rsid w:val="00D81B9B"/>
    <w:rsid w:val="00D820AD"/>
    <w:rsid w:val="00D82375"/>
    <w:rsid w:val="00D82D2A"/>
    <w:rsid w:val="00D83AD5"/>
    <w:rsid w:val="00D843C2"/>
    <w:rsid w:val="00D852EC"/>
    <w:rsid w:val="00D854AD"/>
    <w:rsid w:val="00D85687"/>
    <w:rsid w:val="00D862DE"/>
    <w:rsid w:val="00D86352"/>
    <w:rsid w:val="00D86A77"/>
    <w:rsid w:val="00D8706A"/>
    <w:rsid w:val="00D87123"/>
    <w:rsid w:val="00D906C8"/>
    <w:rsid w:val="00D91A27"/>
    <w:rsid w:val="00D91D79"/>
    <w:rsid w:val="00D9391F"/>
    <w:rsid w:val="00D93B01"/>
    <w:rsid w:val="00D93BF4"/>
    <w:rsid w:val="00D93F19"/>
    <w:rsid w:val="00D9422E"/>
    <w:rsid w:val="00D9550A"/>
    <w:rsid w:val="00D9743C"/>
    <w:rsid w:val="00DA02AB"/>
    <w:rsid w:val="00DA2E40"/>
    <w:rsid w:val="00DA31B7"/>
    <w:rsid w:val="00DA3572"/>
    <w:rsid w:val="00DA383F"/>
    <w:rsid w:val="00DA3CD4"/>
    <w:rsid w:val="00DA51C2"/>
    <w:rsid w:val="00DA6459"/>
    <w:rsid w:val="00DA65F7"/>
    <w:rsid w:val="00DA6AEB"/>
    <w:rsid w:val="00DB0157"/>
    <w:rsid w:val="00DB0B29"/>
    <w:rsid w:val="00DB116D"/>
    <w:rsid w:val="00DB1200"/>
    <w:rsid w:val="00DB17B8"/>
    <w:rsid w:val="00DB1952"/>
    <w:rsid w:val="00DB229D"/>
    <w:rsid w:val="00DB2CF1"/>
    <w:rsid w:val="00DB2E00"/>
    <w:rsid w:val="00DB33E6"/>
    <w:rsid w:val="00DB3D79"/>
    <w:rsid w:val="00DB4B7A"/>
    <w:rsid w:val="00DB4DC3"/>
    <w:rsid w:val="00DB5AF3"/>
    <w:rsid w:val="00DB60FD"/>
    <w:rsid w:val="00DB6A13"/>
    <w:rsid w:val="00DB77D7"/>
    <w:rsid w:val="00DC14B8"/>
    <w:rsid w:val="00DC365B"/>
    <w:rsid w:val="00DC4BA2"/>
    <w:rsid w:val="00DC4FF0"/>
    <w:rsid w:val="00DC5118"/>
    <w:rsid w:val="00DC566C"/>
    <w:rsid w:val="00DC597F"/>
    <w:rsid w:val="00DC6AE3"/>
    <w:rsid w:val="00DC7950"/>
    <w:rsid w:val="00DD0995"/>
    <w:rsid w:val="00DD09A9"/>
    <w:rsid w:val="00DD1030"/>
    <w:rsid w:val="00DD1199"/>
    <w:rsid w:val="00DD1DA0"/>
    <w:rsid w:val="00DD235F"/>
    <w:rsid w:val="00DD37C8"/>
    <w:rsid w:val="00DD507F"/>
    <w:rsid w:val="00DD5C06"/>
    <w:rsid w:val="00DD6317"/>
    <w:rsid w:val="00DD6E0C"/>
    <w:rsid w:val="00DD74EA"/>
    <w:rsid w:val="00DE0202"/>
    <w:rsid w:val="00DE058F"/>
    <w:rsid w:val="00DE1CB6"/>
    <w:rsid w:val="00DE1D1F"/>
    <w:rsid w:val="00DE2856"/>
    <w:rsid w:val="00DE39B0"/>
    <w:rsid w:val="00DE3BF8"/>
    <w:rsid w:val="00DE4E89"/>
    <w:rsid w:val="00DE5951"/>
    <w:rsid w:val="00DE5999"/>
    <w:rsid w:val="00DE5A4C"/>
    <w:rsid w:val="00DE5B51"/>
    <w:rsid w:val="00DE698E"/>
    <w:rsid w:val="00DE6D95"/>
    <w:rsid w:val="00DE7487"/>
    <w:rsid w:val="00DE7A6C"/>
    <w:rsid w:val="00DE7B2C"/>
    <w:rsid w:val="00DE7B7C"/>
    <w:rsid w:val="00DF0824"/>
    <w:rsid w:val="00DF1264"/>
    <w:rsid w:val="00DF15A3"/>
    <w:rsid w:val="00DF1FDA"/>
    <w:rsid w:val="00DF232B"/>
    <w:rsid w:val="00DF34C0"/>
    <w:rsid w:val="00DF3579"/>
    <w:rsid w:val="00DF3AEC"/>
    <w:rsid w:val="00DF3F61"/>
    <w:rsid w:val="00DF4358"/>
    <w:rsid w:val="00DF484C"/>
    <w:rsid w:val="00DF5D74"/>
    <w:rsid w:val="00DF60D3"/>
    <w:rsid w:val="00DF792A"/>
    <w:rsid w:val="00E000CF"/>
    <w:rsid w:val="00E00D36"/>
    <w:rsid w:val="00E010DE"/>
    <w:rsid w:val="00E014C9"/>
    <w:rsid w:val="00E01654"/>
    <w:rsid w:val="00E028C9"/>
    <w:rsid w:val="00E02BB9"/>
    <w:rsid w:val="00E04D61"/>
    <w:rsid w:val="00E04E29"/>
    <w:rsid w:val="00E0500A"/>
    <w:rsid w:val="00E051E5"/>
    <w:rsid w:val="00E05893"/>
    <w:rsid w:val="00E07895"/>
    <w:rsid w:val="00E07FF8"/>
    <w:rsid w:val="00E108BA"/>
    <w:rsid w:val="00E10ABB"/>
    <w:rsid w:val="00E11391"/>
    <w:rsid w:val="00E11B34"/>
    <w:rsid w:val="00E124CF"/>
    <w:rsid w:val="00E12690"/>
    <w:rsid w:val="00E1281F"/>
    <w:rsid w:val="00E12850"/>
    <w:rsid w:val="00E13781"/>
    <w:rsid w:val="00E13C52"/>
    <w:rsid w:val="00E148D3"/>
    <w:rsid w:val="00E1507C"/>
    <w:rsid w:val="00E1509E"/>
    <w:rsid w:val="00E16D9F"/>
    <w:rsid w:val="00E17809"/>
    <w:rsid w:val="00E178D9"/>
    <w:rsid w:val="00E21672"/>
    <w:rsid w:val="00E21806"/>
    <w:rsid w:val="00E22479"/>
    <w:rsid w:val="00E22C5F"/>
    <w:rsid w:val="00E23737"/>
    <w:rsid w:val="00E23BD1"/>
    <w:rsid w:val="00E23D3E"/>
    <w:rsid w:val="00E24A82"/>
    <w:rsid w:val="00E24F3B"/>
    <w:rsid w:val="00E255B2"/>
    <w:rsid w:val="00E26389"/>
    <w:rsid w:val="00E2768F"/>
    <w:rsid w:val="00E276B2"/>
    <w:rsid w:val="00E2787D"/>
    <w:rsid w:val="00E30000"/>
    <w:rsid w:val="00E30197"/>
    <w:rsid w:val="00E3073F"/>
    <w:rsid w:val="00E30C61"/>
    <w:rsid w:val="00E314AF"/>
    <w:rsid w:val="00E3151F"/>
    <w:rsid w:val="00E319BF"/>
    <w:rsid w:val="00E31C39"/>
    <w:rsid w:val="00E32159"/>
    <w:rsid w:val="00E32B74"/>
    <w:rsid w:val="00E32DDD"/>
    <w:rsid w:val="00E33066"/>
    <w:rsid w:val="00E3353B"/>
    <w:rsid w:val="00E33648"/>
    <w:rsid w:val="00E336BD"/>
    <w:rsid w:val="00E33ACA"/>
    <w:rsid w:val="00E348E6"/>
    <w:rsid w:val="00E34EEC"/>
    <w:rsid w:val="00E35775"/>
    <w:rsid w:val="00E35ADF"/>
    <w:rsid w:val="00E362BF"/>
    <w:rsid w:val="00E37FAD"/>
    <w:rsid w:val="00E40545"/>
    <w:rsid w:val="00E41734"/>
    <w:rsid w:val="00E41D6A"/>
    <w:rsid w:val="00E428AA"/>
    <w:rsid w:val="00E4350D"/>
    <w:rsid w:val="00E43688"/>
    <w:rsid w:val="00E4396B"/>
    <w:rsid w:val="00E44599"/>
    <w:rsid w:val="00E452E8"/>
    <w:rsid w:val="00E457DE"/>
    <w:rsid w:val="00E4595A"/>
    <w:rsid w:val="00E4657F"/>
    <w:rsid w:val="00E47398"/>
    <w:rsid w:val="00E47606"/>
    <w:rsid w:val="00E516CD"/>
    <w:rsid w:val="00E519D4"/>
    <w:rsid w:val="00E51C06"/>
    <w:rsid w:val="00E51C12"/>
    <w:rsid w:val="00E51E4C"/>
    <w:rsid w:val="00E52AF2"/>
    <w:rsid w:val="00E52F21"/>
    <w:rsid w:val="00E53134"/>
    <w:rsid w:val="00E5330A"/>
    <w:rsid w:val="00E53AD7"/>
    <w:rsid w:val="00E53B6C"/>
    <w:rsid w:val="00E54821"/>
    <w:rsid w:val="00E54BF3"/>
    <w:rsid w:val="00E55A7C"/>
    <w:rsid w:val="00E56B4F"/>
    <w:rsid w:val="00E60CC1"/>
    <w:rsid w:val="00E61B34"/>
    <w:rsid w:val="00E61F75"/>
    <w:rsid w:val="00E62766"/>
    <w:rsid w:val="00E62D8D"/>
    <w:rsid w:val="00E631AF"/>
    <w:rsid w:val="00E643E2"/>
    <w:rsid w:val="00E64DA8"/>
    <w:rsid w:val="00E652B8"/>
    <w:rsid w:val="00E654B9"/>
    <w:rsid w:val="00E6728A"/>
    <w:rsid w:val="00E6758B"/>
    <w:rsid w:val="00E707D1"/>
    <w:rsid w:val="00E71FBC"/>
    <w:rsid w:val="00E72413"/>
    <w:rsid w:val="00E72919"/>
    <w:rsid w:val="00E72936"/>
    <w:rsid w:val="00E72B3D"/>
    <w:rsid w:val="00E72CA7"/>
    <w:rsid w:val="00E72D5F"/>
    <w:rsid w:val="00E73114"/>
    <w:rsid w:val="00E73771"/>
    <w:rsid w:val="00E73805"/>
    <w:rsid w:val="00E74834"/>
    <w:rsid w:val="00E7543E"/>
    <w:rsid w:val="00E75F0B"/>
    <w:rsid w:val="00E7608A"/>
    <w:rsid w:val="00E760A9"/>
    <w:rsid w:val="00E76426"/>
    <w:rsid w:val="00E76D57"/>
    <w:rsid w:val="00E803CD"/>
    <w:rsid w:val="00E80692"/>
    <w:rsid w:val="00E8093F"/>
    <w:rsid w:val="00E81F81"/>
    <w:rsid w:val="00E8387D"/>
    <w:rsid w:val="00E83BB8"/>
    <w:rsid w:val="00E84443"/>
    <w:rsid w:val="00E84B40"/>
    <w:rsid w:val="00E85631"/>
    <w:rsid w:val="00E8602E"/>
    <w:rsid w:val="00E86608"/>
    <w:rsid w:val="00E86D14"/>
    <w:rsid w:val="00E86E2E"/>
    <w:rsid w:val="00E87329"/>
    <w:rsid w:val="00E87C10"/>
    <w:rsid w:val="00E90149"/>
    <w:rsid w:val="00E907CC"/>
    <w:rsid w:val="00E909ED"/>
    <w:rsid w:val="00E91C21"/>
    <w:rsid w:val="00E92CC8"/>
    <w:rsid w:val="00E933E7"/>
    <w:rsid w:val="00E93A90"/>
    <w:rsid w:val="00E943ED"/>
    <w:rsid w:val="00E94CBF"/>
    <w:rsid w:val="00E94D44"/>
    <w:rsid w:val="00E96528"/>
    <w:rsid w:val="00E979D3"/>
    <w:rsid w:val="00EA01D7"/>
    <w:rsid w:val="00EA0D40"/>
    <w:rsid w:val="00EA3D8C"/>
    <w:rsid w:val="00EA4ABA"/>
    <w:rsid w:val="00EA4C28"/>
    <w:rsid w:val="00EA4D3C"/>
    <w:rsid w:val="00EA4DDC"/>
    <w:rsid w:val="00EA5643"/>
    <w:rsid w:val="00EA6AB9"/>
    <w:rsid w:val="00EA7621"/>
    <w:rsid w:val="00EB0283"/>
    <w:rsid w:val="00EB0EE8"/>
    <w:rsid w:val="00EB15EF"/>
    <w:rsid w:val="00EB2095"/>
    <w:rsid w:val="00EB248B"/>
    <w:rsid w:val="00EB296F"/>
    <w:rsid w:val="00EB2EDF"/>
    <w:rsid w:val="00EB38C7"/>
    <w:rsid w:val="00EB41E3"/>
    <w:rsid w:val="00EB570A"/>
    <w:rsid w:val="00EB5A84"/>
    <w:rsid w:val="00EB687C"/>
    <w:rsid w:val="00EB69FF"/>
    <w:rsid w:val="00EB7922"/>
    <w:rsid w:val="00EC2645"/>
    <w:rsid w:val="00EC2C1F"/>
    <w:rsid w:val="00EC31D7"/>
    <w:rsid w:val="00EC4017"/>
    <w:rsid w:val="00EC6D62"/>
    <w:rsid w:val="00EC773A"/>
    <w:rsid w:val="00EC79AA"/>
    <w:rsid w:val="00ED04EC"/>
    <w:rsid w:val="00ED15C2"/>
    <w:rsid w:val="00ED1C92"/>
    <w:rsid w:val="00ED2F0A"/>
    <w:rsid w:val="00ED375E"/>
    <w:rsid w:val="00ED375F"/>
    <w:rsid w:val="00ED3B05"/>
    <w:rsid w:val="00ED4F56"/>
    <w:rsid w:val="00ED5804"/>
    <w:rsid w:val="00ED5ED3"/>
    <w:rsid w:val="00ED6702"/>
    <w:rsid w:val="00ED77D1"/>
    <w:rsid w:val="00ED7D2D"/>
    <w:rsid w:val="00EE04EB"/>
    <w:rsid w:val="00EE0E40"/>
    <w:rsid w:val="00EE0F03"/>
    <w:rsid w:val="00EE1C2C"/>
    <w:rsid w:val="00EE2866"/>
    <w:rsid w:val="00EE3634"/>
    <w:rsid w:val="00EE3744"/>
    <w:rsid w:val="00EE38ED"/>
    <w:rsid w:val="00EE3DDF"/>
    <w:rsid w:val="00EE495C"/>
    <w:rsid w:val="00EE501A"/>
    <w:rsid w:val="00EE56DE"/>
    <w:rsid w:val="00EE6744"/>
    <w:rsid w:val="00EE6C26"/>
    <w:rsid w:val="00EE6CD2"/>
    <w:rsid w:val="00EE71E1"/>
    <w:rsid w:val="00EE7FB0"/>
    <w:rsid w:val="00EF0AAB"/>
    <w:rsid w:val="00EF0ECC"/>
    <w:rsid w:val="00EF1C87"/>
    <w:rsid w:val="00EF1E95"/>
    <w:rsid w:val="00EF221B"/>
    <w:rsid w:val="00EF384A"/>
    <w:rsid w:val="00EF4564"/>
    <w:rsid w:val="00EF4A13"/>
    <w:rsid w:val="00EF4AB0"/>
    <w:rsid w:val="00EF4D52"/>
    <w:rsid w:val="00EF5691"/>
    <w:rsid w:val="00EF5E2D"/>
    <w:rsid w:val="00EF60A0"/>
    <w:rsid w:val="00EF61DC"/>
    <w:rsid w:val="00EF6B75"/>
    <w:rsid w:val="00EF71A6"/>
    <w:rsid w:val="00F00B38"/>
    <w:rsid w:val="00F00D3B"/>
    <w:rsid w:val="00F010DE"/>
    <w:rsid w:val="00F018EC"/>
    <w:rsid w:val="00F01D65"/>
    <w:rsid w:val="00F01D73"/>
    <w:rsid w:val="00F0394A"/>
    <w:rsid w:val="00F03C70"/>
    <w:rsid w:val="00F041B4"/>
    <w:rsid w:val="00F04347"/>
    <w:rsid w:val="00F04469"/>
    <w:rsid w:val="00F0453E"/>
    <w:rsid w:val="00F066E1"/>
    <w:rsid w:val="00F0714C"/>
    <w:rsid w:val="00F07B16"/>
    <w:rsid w:val="00F07EA2"/>
    <w:rsid w:val="00F1115F"/>
    <w:rsid w:val="00F11336"/>
    <w:rsid w:val="00F11524"/>
    <w:rsid w:val="00F11600"/>
    <w:rsid w:val="00F1181B"/>
    <w:rsid w:val="00F11B6A"/>
    <w:rsid w:val="00F12252"/>
    <w:rsid w:val="00F128EE"/>
    <w:rsid w:val="00F12E24"/>
    <w:rsid w:val="00F14084"/>
    <w:rsid w:val="00F14A11"/>
    <w:rsid w:val="00F169CC"/>
    <w:rsid w:val="00F204BD"/>
    <w:rsid w:val="00F20588"/>
    <w:rsid w:val="00F20AFD"/>
    <w:rsid w:val="00F25290"/>
    <w:rsid w:val="00F25390"/>
    <w:rsid w:val="00F2558D"/>
    <w:rsid w:val="00F25CBE"/>
    <w:rsid w:val="00F2633C"/>
    <w:rsid w:val="00F26567"/>
    <w:rsid w:val="00F26D56"/>
    <w:rsid w:val="00F272DD"/>
    <w:rsid w:val="00F2755C"/>
    <w:rsid w:val="00F30775"/>
    <w:rsid w:val="00F30E37"/>
    <w:rsid w:val="00F315B9"/>
    <w:rsid w:val="00F31747"/>
    <w:rsid w:val="00F31F94"/>
    <w:rsid w:val="00F321C4"/>
    <w:rsid w:val="00F3355D"/>
    <w:rsid w:val="00F3364A"/>
    <w:rsid w:val="00F337C4"/>
    <w:rsid w:val="00F34A4E"/>
    <w:rsid w:val="00F355AE"/>
    <w:rsid w:val="00F35602"/>
    <w:rsid w:val="00F35B57"/>
    <w:rsid w:val="00F35E87"/>
    <w:rsid w:val="00F37874"/>
    <w:rsid w:val="00F40B20"/>
    <w:rsid w:val="00F41E5C"/>
    <w:rsid w:val="00F42091"/>
    <w:rsid w:val="00F43C62"/>
    <w:rsid w:val="00F43E07"/>
    <w:rsid w:val="00F44A95"/>
    <w:rsid w:val="00F44DE0"/>
    <w:rsid w:val="00F44EDB"/>
    <w:rsid w:val="00F45B3B"/>
    <w:rsid w:val="00F469BF"/>
    <w:rsid w:val="00F5182D"/>
    <w:rsid w:val="00F51AA9"/>
    <w:rsid w:val="00F536E8"/>
    <w:rsid w:val="00F53B85"/>
    <w:rsid w:val="00F54279"/>
    <w:rsid w:val="00F54B92"/>
    <w:rsid w:val="00F5596D"/>
    <w:rsid w:val="00F55D35"/>
    <w:rsid w:val="00F564A2"/>
    <w:rsid w:val="00F56C18"/>
    <w:rsid w:val="00F56DD2"/>
    <w:rsid w:val="00F57649"/>
    <w:rsid w:val="00F57BF1"/>
    <w:rsid w:val="00F57FC3"/>
    <w:rsid w:val="00F60154"/>
    <w:rsid w:val="00F61E02"/>
    <w:rsid w:val="00F63B89"/>
    <w:rsid w:val="00F643AF"/>
    <w:rsid w:val="00F6479E"/>
    <w:rsid w:val="00F6575E"/>
    <w:rsid w:val="00F66419"/>
    <w:rsid w:val="00F71543"/>
    <w:rsid w:val="00F717E6"/>
    <w:rsid w:val="00F71D5C"/>
    <w:rsid w:val="00F725A2"/>
    <w:rsid w:val="00F72984"/>
    <w:rsid w:val="00F729B4"/>
    <w:rsid w:val="00F7377B"/>
    <w:rsid w:val="00F73789"/>
    <w:rsid w:val="00F73B9F"/>
    <w:rsid w:val="00F74091"/>
    <w:rsid w:val="00F74201"/>
    <w:rsid w:val="00F74220"/>
    <w:rsid w:val="00F757A5"/>
    <w:rsid w:val="00F762CA"/>
    <w:rsid w:val="00F76559"/>
    <w:rsid w:val="00F81146"/>
    <w:rsid w:val="00F812B7"/>
    <w:rsid w:val="00F81495"/>
    <w:rsid w:val="00F81C6A"/>
    <w:rsid w:val="00F826DA"/>
    <w:rsid w:val="00F82BA9"/>
    <w:rsid w:val="00F84C7D"/>
    <w:rsid w:val="00F859CB"/>
    <w:rsid w:val="00F86A8B"/>
    <w:rsid w:val="00F86B87"/>
    <w:rsid w:val="00F86F4D"/>
    <w:rsid w:val="00F87025"/>
    <w:rsid w:val="00F9039D"/>
    <w:rsid w:val="00F92649"/>
    <w:rsid w:val="00F92A0F"/>
    <w:rsid w:val="00F94C4A"/>
    <w:rsid w:val="00F962DA"/>
    <w:rsid w:val="00F967BE"/>
    <w:rsid w:val="00F9683A"/>
    <w:rsid w:val="00F96DF2"/>
    <w:rsid w:val="00F96E64"/>
    <w:rsid w:val="00F9711F"/>
    <w:rsid w:val="00F97319"/>
    <w:rsid w:val="00F97457"/>
    <w:rsid w:val="00F978F1"/>
    <w:rsid w:val="00FA0995"/>
    <w:rsid w:val="00FA1604"/>
    <w:rsid w:val="00FA1F2E"/>
    <w:rsid w:val="00FA2005"/>
    <w:rsid w:val="00FA2A87"/>
    <w:rsid w:val="00FA47F2"/>
    <w:rsid w:val="00FA616C"/>
    <w:rsid w:val="00FA6506"/>
    <w:rsid w:val="00FA6649"/>
    <w:rsid w:val="00FA6BD0"/>
    <w:rsid w:val="00FA6C2A"/>
    <w:rsid w:val="00FA7460"/>
    <w:rsid w:val="00FA74AA"/>
    <w:rsid w:val="00FA757A"/>
    <w:rsid w:val="00FB0103"/>
    <w:rsid w:val="00FB04FB"/>
    <w:rsid w:val="00FB0595"/>
    <w:rsid w:val="00FB0E61"/>
    <w:rsid w:val="00FB1119"/>
    <w:rsid w:val="00FB1ACD"/>
    <w:rsid w:val="00FB2B42"/>
    <w:rsid w:val="00FB314B"/>
    <w:rsid w:val="00FB348B"/>
    <w:rsid w:val="00FB3615"/>
    <w:rsid w:val="00FB384A"/>
    <w:rsid w:val="00FB42E1"/>
    <w:rsid w:val="00FB47C0"/>
    <w:rsid w:val="00FB5FEF"/>
    <w:rsid w:val="00FB61AD"/>
    <w:rsid w:val="00FB6489"/>
    <w:rsid w:val="00FB6B61"/>
    <w:rsid w:val="00FB713A"/>
    <w:rsid w:val="00FB7907"/>
    <w:rsid w:val="00FB7FB1"/>
    <w:rsid w:val="00FC06B6"/>
    <w:rsid w:val="00FC0BE0"/>
    <w:rsid w:val="00FC1057"/>
    <w:rsid w:val="00FC13C0"/>
    <w:rsid w:val="00FC15B2"/>
    <w:rsid w:val="00FC1C01"/>
    <w:rsid w:val="00FC1CE3"/>
    <w:rsid w:val="00FC240E"/>
    <w:rsid w:val="00FC2B71"/>
    <w:rsid w:val="00FC2B7C"/>
    <w:rsid w:val="00FC2EB6"/>
    <w:rsid w:val="00FC35A0"/>
    <w:rsid w:val="00FC397D"/>
    <w:rsid w:val="00FC421E"/>
    <w:rsid w:val="00FC54A1"/>
    <w:rsid w:val="00FC57F2"/>
    <w:rsid w:val="00FC60FA"/>
    <w:rsid w:val="00FC65BE"/>
    <w:rsid w:val="00FC692C"/>
    <w:rsid w:val="00FD0A8B"/>
    <w:rsid w:val="00FD0B2E"/>
    <w:rsid w:val="00FD102F"/>
    <w:rsid w:val="00FD171C"/>
    <w:rsid w:val="00FD1750"/>
    <w:rsid w:val="00FD1F33"/>
    <w:rsid w:val="00FD22BC"/>
    <w:rsid w:val="00FD3206"/>
    <w:rsid w:val="00FD372B"/>
    <w:rsid w:val="00FD39E7"/>
    <w:rsid w:val="00FD3AB9"/>
    <w:rsid w:val="00FD3F0B"/>
    <w:rsid w:val="00FD4376"/>
    <w:rsid w:val="00FD55AC"/>
    <w:rsid w:val="00FD5678"/>
    <w:rsid w:val="00FD5735"/>
    <w:rsid w:val="00FD64D6"/>
    <w:rsid w:val="00FD6750"/>
    <w:rsid w:val="00FD6986"/>
    <w:rsid w:val="00FD782E"/>
    <w:rsid w:val="00FE01AE"/>
    <w:rsid w:val="00FE04CB"/>
    <w:rsid w:val="00FE07A7"/>
    <w:rsid w:val="00FE09EB"/>
    <w:rsid w:val="00FE1A26"/>
    <w:rsid w:val="00FE1B77"/>
    <w:rsid w:val="00FE28C0"/>
    <w:rsid w:val="00FE2D04"/>
    <w:rsid w:val="00FE2F05"/>
    <w:rsid w:val="00FE32E5"/>
    <w:rsid w:val="00FE3554"/>
    <w:rsid w:val="00FE4613"/>
    <w:rsid w:val="00FE47B2"/>
    <w:rsid w:val="00FE4DDC"/>
    <w:rsid w:val="00FE551E"/>
    <w:rsid w:val="00FE586F"/>
    <w:rsid w:val="00FE5A39"/>
    <w:rsid w:val="00FE6ADE"/>
    <w:rsid w:val="00FE6B44"/>
    <w:rsid w:val="00FE6CC1"/>
    <w:rsid w:val="00FE723B"/>
    <w:rsid w:val="00FE774A"/>
    <w:rsid w:val="00FF040B"/>
    <w:rsid w:val="00FF0B4F"/>
    <w:rsid w:val="00FF12FC"/>
    <w:rsid w:val="00FF2460"/>
    <w:rsid w:val="00FF289A"/>
    <w:rsid w:val="00FF3142"/>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B0CF1"/>
  <w15:docId w15:val="{1816C4AC-141A-440B-9215-866A8145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6CC0"/>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9306C3"/>
    <w:pPr>
      <w:keepNext/>
      <w:keepLines/>
      <w:spacing w:before="40" w:after="0"/>
      <w:jc w:val="center"/>
      <w:outlineLvl w:val="1"/>
    </w:pPr>
    <w:rPr>
      <w:rFonts w:ascii="Calibri" w:eastAsiaTheme="majorEastAsia" w:hAnsi="Calibri" w:cstheme="majorBidi"/>
      <w:b/>
      <w:color w:val="2F5496" w:themeColor="accent1" w:themeShade="BF"/>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9306C3"/>
    <w:rPr>
      <w:rFonts w:ascii="Calibri" w:eastAsiaTheme="majorEastAsia" w:hAnsi="Calibri" w:cstheme="majorBidi"/>
      <w:b/>
      <w:color w:val="2F5496" w:themeColor="accent1" w:themeShade="BF"/>
      <w:sz w:val="24"/>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single space,footnote text,fn,FOOTNOTES,ADB,Footnote Text Char Char Char Char Char,Footnote Text Char Char1,ft,Texto nota pie Car,ft Car,ft Car Car,Texto nota pie2,ft1,f,A,fn1"/>
    <w:basedOn w:val="Normal"/>
    <w:link w:val="FootnoteTextChar"/>
    <w:uiPriority w:val="99"/>
    <w:unhideWhenUsed/>
    <w:qFormat/>
    <w:rsid w:val="005556DC"/>
    <w:pPr>
      <w:spacing w:after="0" w:line="240" w:lineRule="auto"/>
    </w:pPr>
    <w:rPr>
      <w:szCs w:val="20"/>
    </w:rPr>
  </w:style>
  <w:style w:type="character" w:customStyle="1" w:styleId="FootnoteTextChar">
    <w:name w:val="Footnote Text Char"/>
    <w:aliases w:val="Footnote Text Char Char Char Char,Footnote Text Char Char Char1,single space Char,footnote text Char,fn Char,FOOTNOTES Char,ADB Char,Footnote Text Char Char Char Char Char Char,Footnote Text Char Char1 Char,ft Char,ft Car Char,f Char"/>
    <w:basedOn w:val="DefaultParagraphFont"/>
    <w:link w:val="FootnoteText"/>
    <w:uiPriority w:val="99"/>
    <w:qFormat/>
    <w:rsid w:val="005556DC"/>
    <w:rPr>
      <w:sz w:val="20"/>
      <w:szCs w:val="20"/>
    </w:rPr>
  </w:style>
  <w:style w:type="character" w:styleId="FootnoteReference">
    <w:name w:val="footnote reference"/>
    <w:aliases w:val="ftref,Normal + Font:9 Point,Superscript 3 Point Times,SUPERS,EN Footnote Reference,number,Char Char,BVI fnr,Footnote symbol,Footnote reference number,note TESI,ftref Char,BVI fnr Char,BVI fnr Car Char,Char Char Car Char,16 Point Char"/>
    <w:basedOn w:val="DefaultParagraphFont"/>
    <w:link w:val="NumPar1"/>
    <w:uiPriority w:val="99"/>
    <w:unhideWhenUsed/>
    <w:qFormat/>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0">
    <w:name w:val="Grid Table 5 Dark - Accent 51"/>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0">
    <w:name w:val="List Table 6 Colorful - Accent 61"/>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BB2F0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BB2F03"/>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BB2F03"/>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BB2F03"/>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
    <w:name w:val="Table Grid61"/>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BB2F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
    <w:name w:val="Grid Table 5 Dark - Accent 512"/>
    <w:basedOn w:val="TableNormal"/>
    <w:next w:val="GridTable5Dark-Accent510"/>
    <w:uiPriority w:val="50"/>
    <w:rsid w:val="00E124C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
    <w:name w:val="List Table 6 Colorful - Accent 611"/>
    <w:basedOn w:val="TableNormal"/>
    <w:next w:val="ListTable6Colorful-Accent610"/>
    <w:uiPriority w:val="51"/>
    <w:rsid w:val="00E124C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593E7B"/>
    <w:rPr>
      <w:color w:val="954F72" w:themeColor="followedHyperlink"/>
      <w:u w:val="single"/>
    </w:rPr>
  </w:style>
  <w:style w:type="paragraph" w:customStyle="1" w:styleId="NumPar1">
    <w:name w:val="NumPar 1"/>
    <w:basedOn w:val="Normal"/>
    <w:next w:val="Normal"/>
    <w:link w:val="FootnoteReference"/>
    <w:uiPriority w:val="99"/>
    <w:rsid w:val="00593E7B"/>
    <w:pPr>
      <w:numPr>
        <w:numId w:val="18"/>
      </w:numPr>
      <w:spacing w:before="120" w:after="120" w:line="240" w:lineRule="auto"/>
    </w:pPr>
    <w:rPr>
      <w:color w:val="auto"/>
      <w:sz w:val="22"/>
      <w:vertAlign w:val="superscript"/>
    </w:rPr>
  </w:style>
  <w:style w:type="paragraph" w:customStyle="1" w:styleId="NumPar2">
    <w:name w:val="NumPar 2"/>
    <w:basedOn w:val="Normal"/>
    <w:next w:val="Normal"/>
    <w:rsid w:val="00593E7B"/>
    <w:pPr>
      <w:numPr>
        <w:ilvl w:val="1"/>
        <w:numId w:val="18"/>
      </w:numPr>
      <w:spacing w:before="120" w:after="120" w:line="240" w:lineRule="auto"/>
    </w:pPr>
    <w:rPr>
      <w:rFonts w:ascii="Tunga" w:eastAsia="Arial Unicode MS" w:hAnsi="Tunga" w:cs="Tunga"/>
      <w:snapToGrid w:val="0"/>
      <w:color w:val="auto"/>
      <w:szCs w:val="20"/>
    </w:rPr>
  </w:style>
  <w:style w:type="paragraph" w:customStyle="1" w:styleId="NumPar3">
    <w:name w:val="NumPar 3"/>
    <w:basedOn w:val="Normal"/>
    <w:next w:val="Normal"/>
    <w:rsid w:val="00593E7B"/>
    <w:pPr>
      <w:numPr>
        <w:ilvl w:val="2"/>
        <w:numId w:val="18"/>
      </w:numPr>
      <w:spacing w:before="120" w:after="120" w:line="240" w:lineRule="auto"/>
    </w:pPr>
    <w:rPr>
      <w:rFonts w:ascii="Tunga" w:eastAsia="Arial Unicode MS" w:hAnsi="Tunga" w:cs="Tunga"/>
      <w:snapToGrid w:val="0"/>
      <w:color w:val="auto"/>
      <w:szCs w:val="20"/>
    </w:rPr>
  </w:style>
  <w:style w:type="paragraph" w:customStyle="1" w:styleId="NumPar4">
    <w:name w:val="NumPar 4"/>
    <w:basedOn w:val="Normal"/>
    <w:next w:val="Normal"/>
    <w:rsid w:val="00593E7B"/>
    <w:pPr>
      <w:numPr>
        <w:ilvl w:val="3"/>
        <w:numId w:val="18"/>
      </w:numPr>
      <w:spacing w:before="120" w:after="120" w:line="240" w:lineRule="auto"/>
    </w:pPr>
    <w:rPr>
      <w:rFonts w:ascii="Tunga" w:eastAsia="Arial Unicode MS" w:hAnsi="Tunga" w:cs="Tunga"/>
      <w:snapToGrid w:val="0"/>
      <w:color w:val="auto"/>
      <w:szCs w:val="20"/>
    </w:rPr>
  </w:style>
  <w:style w:type="paragraph" w:styleId="Revision">
    <w:name w:val="Revision"/>
    <w:hidden/>
    <w:uiPriority w:val="99"/>
    <w:semiHidden/>
    <w:rsid w:val="009377F8"/>
    <w:pPr>
      <w:spacing w:after="0" w:line="240" w:lineRule="auto"/>
    </w:pPr>
    <w:rPr>
      <w:color w:val="44546A" w:themeColor="text2"/>
      <w:sz w:val="20"/>
    </w:rPr>
  </w:style>
  <w:style w:type="character" w:customStyle="1" w:styleId="rynqvb">
    <w:name w:val="rynqvb"/>
    <w:basedOn w:val="DefaultParagraphFont"/>
    <w:rsid w:val="00907B95"/>
  </w:style>
  <w:style w:type="character" w:customStyle="1" w:styleId="hwtze">
    <w:name w:val="hwtze"/>
    <w:basedOn w:val="DefaultParagraphFont"/>
    <w:rsid w:val="00907B95"/>
  </w:style>
  <w:style w:type="table" w:customStyle="1" w:styleId="TableGrid621">
    <w:name w:val="Table Grid621"/>
    <w:basedOn w:val="TableNormal"/>
    <w:next w:val="TableGrid"/>
    <w:uiPriority w:val="39"/>
    <w:rsid w:val="000724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55">
    <w:name w:val="Light Shading - Accent 3355"/>
    <w:basedOn w:val="TableNormal"/>
    <w:next w:val="LightShading-Accent3"/>
    <w:uiPriority w:val="60"/>
    <w:rsid w:val="00AF42E4"/>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4">
    <w:name w:val="Light Shading - Accent 12214"/>
    <w:basedOn w:val="TableNormal"/>
    <w:uiPriority w:val="60"/>
    <w:rsid w:val="00DE7B2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4">
    <w:name w:val="Light Shading - Accent 12114"/>
    <w:basedOn w:val="TableNormal"/>
    <w:uiPriority w:val="60"/>
    <w:rsid w:val="00DE7B2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numbering" w:customStyle="1" w:styleId="NoList3">
    <w:name w:val="No List3"/>
    <w:next w:val="NoList"/>
    <w:uiPriority w:val="99"/>
    <w:semiHidden/>
    <w:unhideWhenUsed/>
    <w:rsid w:val="00330999"/>
  </w:style>
  <w:style w:type="table" w:customStyle="1" w:styleId="TableGrid7">
    <w:name w:val="Table Grid7"/>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
    <w:name w:val="Grid Table 5 Dark - Accent 513"/>
    <w:basedOn w:val="TableNormal"/>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
    <w:name w:val="Light Shading - Accent 3333"/>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
    <w:name w:val="Light Shading - Accent 33"/>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
    <w:name w:val="Table Grid23"/>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
    <w:name w:val="Light Shading - Accent 3353"/>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
    <w:name w:val="No List12"/>
    <w:next w:val="NoList"/>
    <w:uiPriority w:val="99"/>
    <w:semiHidden/>
    <w:unhideWhenUsed/>
    <w:rsid w:val="00330999"/>
  </w:style>
  <w:style w:type="table" w:customStyle="1" w:styleId="TableGrid13">
    <w:name w:val="Table Grid13"/>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
    <w:name w:val="Grid Table 5 Dark - Accent 514"/>
    <w:basedOn w:val="TableNormal"/>
    <w:next w:val="GridTable5Dark-Accent510"/>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
    <w:name w:val="Light Shading - Accent 33312"/>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
    <w:name w:val="Light Shading - Accent 312"/>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
    <w:name w:val="Table Grid212"/>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
    <w:name w:val="Light Shading - Accent 121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
    <w:name w:val="Light Shading - Accent 12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
    <w:name w:val="Light Shading - Accent 33512"/>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
    <w:name w:val="Light Shading - Accent 12212"/>
    <w:basedOn w:val="TableNormal"/>
    <w:uiPriority w:val="60"/>
    <w:rsid w:val="0033099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
    <w:name w:val="Light Shading - Accent 12112"/>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
    <w:name w:val="List Table 6 Colorful - Accent 612"/>
    <w:basedOn w:val="TableNormal"/>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
    <w:name w:val="List Table 1 Light - Accent 612"/>
    <w:basedOn w:val="TableNormal"/>
    <w:uiPriority w:val="46"/>
    <w:rsid w:val="00330999"/>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
    <w:name w:val="Light Shading - Accent 3362"/>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
    <w:name w:val="Light Shading - Accent 3373"/>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
    <w:name w:val="Light Shading - Accent 3383"/>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
    <w:name w:val="Light Shading - Accent 337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
    <w:name w:val="No List21"/>
    <w:next w:val="NoList"/>
    <w:uiPriority w:val="99"/>
    <w:semiHidden/>
    <w:unhideWhenUsed/>
    <w:rsid w:val="00330999"/>
  </w:style>
  <w:style w:type="table" w:customStyle="1" w:styleId="TableGrid31">
    <w:name w:val="Table Grid3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
    <w:name w:val="Grid Table 5 Dark - Accent 521"/>
    <w:basedOn w:val="TableNormal"/>
    <w:next w:val="GridTable5Dark-Accent510"/>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
    <w:name w:val="Light Shading - Accent 33321"/>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
    <w:name w:val="Light Shading - Accent 321"/>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
    <w:name w:val="Table Grid221"/>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
    <w:name w:val="Light Shading - Accent 33521"/>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
    <w:name w:val="No List111"/>
    <w:next w:val="NoList"/>
    <w:uiPriority w:val="99"/>
    <w:semiHidden/>
    <w:unhideWhenUsed/>
    <w:rsid w:val="00330999"/>
  </w:style>
  <w:style w:type="table" w:customStyle="1" w:styleId="TableGrid111">
    <w:name w:val="Table Grid111"/>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
    <w:name w:val="Grid Table 5 Dark - Accent 5111"/>
    <w:basedOn w:val="TableNormal"/>
    <w:next w:val="GridTable5Dark-Accent510"/>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
    <w:name w:val="Light Shading - Accent 333111"/>
    <w:basedOn w:val="TableNormal"/>
    <w:next w:val="LightShading-Accent3"/>
    <w:uiPriority w:val="60"/>
    <w:rsid w:val="00330999"/>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
    <w:name w:val="Light Shading - Accent 3111"/>
    <w:basedOn w:val="TableNormal"/>
    <w:next w:val="LightShading-Accent3"/>
    <w:uiPriority w:val="60"/>
    <w:semiHidden/>
    <w:unhideWhenUsed/>
    <w:rsid w:val="00330999"/>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
    <w:name w:val="Table Grid2111"/>
    <w:basedOn w:val="TableNormal"/>
    <w:next w:val="TableGrid"/>
    <w:uiPriority w:val="39"/>
    <w:rsid w:val="00330999"/>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
    <w:name w:val="Light Shading - Accent 12122"/>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
    <w:name w:val="Light Shading - Accent 1223"/>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
    <w:name w:val="Light Shading - Accent 335111"/>
    <w:basedOn w:val="TableNormal"/>
    <w:next w:val="LightShading-Accent3"/>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
    <w:name w:val="Light Shading - Accent 122111"/>
    <w:basedOn w:val="TableNormal"/>
    <w:uiPriority w:val="60"/>
    <w:rsid w:val="00330999"/>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
    <w:name w:val="Light Shading - Accent 12111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
    <w:name w:val="List Table 6 Colorful - Accent 613"/>
    <w:basedOn w:val="TableNormal"/>
    <w:next w:val="ListTable6Colorful-Accent610"/>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
    <w:name w:val="List Table 1 Light - Accent 6111"/>
    <w:basedOn w:val="TableNormal"/>
    <w:uiPriority w:val="46"/>
    <w:rsid w:val="00330999"/>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
    <w:name w:val="Light Shading - Accent 336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
    <w:name w:val="Light Shading - Accent 3372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
    <w:name w:val="Light Shading - Accent 3381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
    <w:name w:val="Table Grid4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
    <w:name w:val="Plain Table 412"/>
    <w:basedOn w:val="TableNormal"/>
    <w:uiPriority w:val="44"/>
    <w:rsid w:val="0033099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
    <w:name w:val="Grid Table 5 Dark - Accent 53"/>
    <w:basedOn w:val="TableNormal"/>
    <w:next w:val="GridTable5Dark-Accent5"/>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
    <w:name w:val="List Table 6 Colorful - Accent 62"/>
    <w:basedOn w:val="TableNormal"/>
    <w:next w:val="ListTable6Colorful-Accent6"/>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
    <w:name w:val="List Table 1 Light - Accent 31"/>
    <w:basedOn w:val="TableNormal"/>
    <w:next w:val="ListTable1Light-Accent3"/>
    <w:uiPriority w:val="46"/>
    <w:rsid w:val="00330999"/>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
    <w:name w:val="Plain Table 4111"/>
    <w:basedOn w:val="TableNormal"/>
    <w:uiPriority w:val="44"/>
    <w:rsid w:val="0033099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
    <w:name w:val="Grid Table 6 Colorful - Accent 11"/>
    <w:basedOn w:val="TableNormal"/>
    <w:next w:val="GridTable6Colorful-Accent1"/>
    <w:uiPriority w:val="51"/>
    <w:rsid w:val="0033099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
    <w:name w:val="Light Shading - Accent 33821"/>
    <w:basedOn w:val="TableNormal"/>
    <w:uiPriority w:val="60"/>
    <w:rsid w:val="00330999"/>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
    <w:name w:val="Light Shading - Accent 12121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
    <w:name w:val="Light Shading - Accent 12221"/>
    <w:basedOn w:val="TableNormal"/>
    <w:uiPriority w:val="60"/>
    <w:rsid w:val="00330999"/>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
    <w:name w:val="Table Grid61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
    <w:name w:val="Grid Table 5 Dark - Accent 5121"/>
    <w:basedOn w:val="TableNormal"/>
    <w:next w:val="GridTable5Dark-Accent510"/>
    <w:uiPriority w:val="50"/>
    <w:rsid w:val="003309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
    <w:name w:val="List Table 6 Colorful - Accent 6111"/>
    <w:basedOn w:val="TableNormal"/>
    <w:next w:val="ListTable6Colorful-Accent610"/>
    <w:uiPriority w:val="51"/>
    <w:rsid w:val="0033099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
    <w:name w:val="Table Grid6211"/>
    <w:basedOn w:val="TableNormal"/>
    <w:next w:val="TableGrid"/>
    <w:uiPriority w:val="39"/>
    <w:rsid w:val="00330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paragraph"/>
    <w:basedOn w:val="Normal"/>
    <w:rsid w:val="00330999"/>
    <w:pPr>
      <w:spacing w:before="100" w:beforeAutospacing="1" w:after="100" w:afterAutospacing="1" w:line="240" w:lineRule="auto"/>
      <w:jc w:val="left"/>
    </w:pPr>
    <w:rPr>
      <w:rFonts w:ascii="Times New Roman" w:hAnsi="Times New Roman" w:cs="Times New Roman"/>
      <w:color w:val="auto"/>
      <w:sz w:val="24"/>
      <w:szCs w:val="24"/>
    </w:rPr>
  </w:style>
  <w:style w:type="table" w:styleId="PlainTable2">
    <w:name w:val="Plain Table 2"/>
    <w:basedOn w:val="TableNormal"/>
    <w:uiPriority w:val="42"/>
    <w:rsid w:val="0068378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5Dark-Accent517">
    <w:name w:val="Grid Table 5 Dark - Accent 517"/>
    <w:basedOn w:val="TableNormal"/>
    <w:next w:val="GridTable5Dark-Accent510"/>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6">
    <w:name w:val="List Table 6 Colorful - Accent 616"/>
    <w:basedOn w:val="TableNormal"/>
    <w:next w:val="ListTable6Colorful-Accent610"/>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NoList4">
    <w:name w:val="No List4"/>
    <w:next w:val="NoList"/>
    <w:uiPriority w:val="99"/>
    <w:semiHidden/>
    <w:unhideWhenUsed/>
    <w:rsid w:val="008D31CC"/>
  </w:style>
  <w:style w:type="table" w:customStyle="1" w:styleId="TableGrid8">
    <w:name w:val="Table Grid8"/>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5">
    <w:name w:val="Grid Table 5 Dark - Accent 515"/>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4">
    <w:name w:val="Light Shading - Accent 3334"/>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4">
    <w:name w:val="Light Shading - Accent 34"/>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4">
    <w:name w:val="Table Grid24"/>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4">
    <w:name w:val="Light Shading - Accent 3354"/>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3">
    <w:name w:val="No List13"/>
    <w:next w:val="NoList"/>
    <w:uiPriority w:val="99"/>
    <w:semiHidden/>
    <w:unhideWhenUsed/>
    <w:rsid w:val="008D31CC"/>
  </w:style>
  <w:style w:type="table" w:customStyle="1" w:styleId="TableGrid14">
    <w:name w:val="Table Grid14"/>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313">
    <w:name w:val="Light Shading - Accent 3331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3">
    <w:name w:val="Light Shading - Accent 31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3">
    <w:name w:val="Table Grid21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4">
    <w:name w:val="Light Shading - Accent 121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4">
    <w:name w:val="Light Shading - Accent 1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3">
    <w:name w:val="Light Shading - Accent 3351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3">
    <w:name w:val="Light Shading - Accent 12213"/>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3">
    <w:name w:val="Light Shading - Accent 121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4">
    <w:name w:val="List Table 6 Colorful - Accent 614"/>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3">
    <w:name w:val="List Table 1 Light - Accent 613"/>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3">
    <w:name w:val="Light Shading - Accent 336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4">
    <w:name w:val="Light Shading - Accent 337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4">
    <w:name w:val="Light Shading - Accent 338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2">
    <w:name w:val="Light Shading - Accent 337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2">
    <w:name w:val="No List22"/>
    <w:next w:val="NoList"/>
    <w:uiPriority w:val="99"/>
    <w:semiHidden/>
    <w:unhideWhenUsed/>
    <w:rsid w:val="008D31CC"/>
  </w:style>
  <w:style w:type="table" w:customStyle="1" w:styleId="TableGrid32">
    <w:name w:val="Table Grid3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2">
    <w:name w:val="Grid Table 5 Dark - Accent 52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2">
    <w:name w:val="Light Shading - Accent 3332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2">
    <w:name w:val="Light Shading - Accent 32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2">
    <w:name w:val="Table Grid22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2">
    <w:name w:val="Light Shading - Accent 3352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2">
    <w:name w:val="No List112"/>
    <w:next w:val="NoList"/>
    <w:uiPriority w:val="99"/>
    <w:semiHidden/>
    <w:unhideWhenUsed/>
    <w:rsid w:val="008D31CC"/>
  </w:style>
  <w:style w:type="table" w:customStyle="1" w:styleId="TableGrid112">
    <w:name w:val="Table Grid1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2">
    <w:name w:val="Grid Table 5 Dark - Accent 511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2">
    <w:name w:val="Light Shading - Accent 3331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2">
    <w:name w:val="Light Shading - Accent 31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2">
    <w:name w:val="Table Grid21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3">
    <w:name w:val="Light Shading - Accent 1212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4">
    <w:name w:val="Light Shading - Accent 12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2">
    <w:name w:val="Light Shading - Accent 3351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2">
    <w:name w:val="Light Shading - Accent 12211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2">
    <w:name w:val="Light Shading - Accent 121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1Light-Accent6112">
    <w:name w:val="List Table 1 Light - Accent 611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2">
    <w:name w:val="Light Shading - Accent 336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2">
    <w:name w:val="Light Shading - Accent 337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2">
    <w:name w:val="Light Shading - Accent 338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2">
    <w:name w:val="Table Grid4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3">
    <w:name w:val="Plain Table 413"/>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4">
    <w:name w:val="Grid Table 5 Dark - Accent 54"/>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3">
    <w:name w:val="List Table 6 Colorful - Accent 63"/>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2">
    <w:name w:val="List Table 1 Light - Accent 32"/>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2">
    <w:name w:val="Plain Table 411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2">
    <w:name w:val="Grid Table 6 Colorful - Accent 12"/>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2">
    <w:name w:val="Light Shading - Accent 338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2">
    <w:name w:val="Light Shading - Accent 1212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2">
    <w:name w:val="Light Shading - Accent 122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2">
    <w:name w:val="Table Grid6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2">
    <w:name w:val="Grid Table 5 Dark - Accent 5122"/>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2">
    <w:name w:val="List Table 6 Colorful - Accent 6112"/>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2">
    <w:name w:val="Table Grid62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8D31CC"/>
  </w:style>
  <w:style w:type="table" w:customStyle="1" w:styleId="TableGrid71">
    <w:name w:val="Table Grid7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1">
    <w:name w:val="Grid Table 5 Dark - Accent 5131"/>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1">
    <w:name w:val="Light Shading - Accent 3333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1">
    <w:name w:val="Light Shading - Accent 33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1">
    <w:name w:val="Table Grid23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1">
    <w:name w:val="Light Shading - Accent 3353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1">
    <w:name w:val="No List121"/>
    <w:next w:val="NoList"/>
    <w:uiPriority w:val="99"/>
    <w:semiHidden/>
    <w:unhideWhenUsed/>
    <w:rsid w:val="008D31CC"/>
  </w:style>
  <w:style w:type="table" w:customStyle="1" w:styleId="TableGrid131">
    <w:name w:val="Table Grid13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1">
    <w:name w:val="Grid Table 5 Dark - Accent 514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1">
    <w:name w:val="Light Shading - Accent 33312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1">
    <w:name w:val="Light Shading - Accent 312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1">
    <w:name w:val="Table Grid212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1">
    <w:name w:val="Light Shading - Accent 121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1">
    <w:name w:val="Light Shading - Accent 12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1">
    <w:name w:val="Light Shading - Accent 33512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1">
    <w:name w:val="Light Shading - Accent 122121"/>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1">
    <w:name w:val="Light Shading - Accent 12112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1">
    <w:name w:val="List Table 6 Colorful - Accent 6121"/>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1">
    <w:name w:val="List Table 1 Light - Accent 6121"/>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1">
    <w:name w:val="Light Shading - Accent 3362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1">
    <w:name w:val="Light Shading - Accent 3373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1">
    <w:name w:val="Light Shading - Accent 3383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1">
    <w:name w:val="Light Shading - Accent 337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1">
    <w:name w:val="No List211"/>
    <w:next w:val="NoList"/>
    <w:uiPriority w:val="99"/>
    <w:semiHidden/>
    <w:unhideWhenUsed/>
    <w:rsid w:val="008D31CC"/>
  </w:style>
  <w:style w:type="table" w:customStyle="1" w:styleId="TableGrid311">
    <w:name w:val="Table Grid3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1">
    <w:name w:val="Grid Table 5 Dark - Accent 52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1">
    <w:name w:val="Light Shading - Accent 33321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1">
    <w:name w:val="Light Shading - Accent 321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1">
    <w:name w:val="Table Grid221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1">
    <w:name w:val="Light Shading - Accent 33521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1">
    <w:name w:val="No List1111"/>
    <w:next w:val="NoList"/>
    <w:uiPriority w:val="99"/>
    <w:semiHidden/>
    <w:unhideWhenUsed/>
    <w:rsid w:val="008D31CC"/>
  </w:style>
  <w:style w:type="table" w:customStyle="1" w:styleId="TableGrid1111">
    <w:name w:val="Table Grid111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1">
    <w:name w:val="Grid Table 5 Dark - Accent 511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1">
    <w:name w:val="Light Shading - Accent 3331111"/>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1">
    <w:name w:val="Light Shading - Accent 31111"/>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1">
    <w:name w:val="Table Grid21111"/>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1">
    <w:name w:val="Light Shading - Accent 12122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1">
    <w:name w:val="Light Shading - Accent 1223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1">
    <w:name w:val="Light Shading - Accent 335111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1">
    <w:name w:val="Light Shading - Accent 1221111"/>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1">
    <w:name w:val="Light Shading - Accent 12111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1">
    <w:name w:val="List Table 6 Colorful - Accent 613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1">
    <w:name w:val="List Table 1 Light - Accent 61111"/>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1">
    <w:name w:val="Light Shading - Accent 336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1">
    <w:name w:val="Light Shading - Accent 3372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1">
    <w:name w:val="Light Shading - Accent 3381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1">
    <w:name w:val="Table Grid4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1">
    <w:name w:val="Plain Table 4121"/>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1">
    <w:name w:val="Grid Table 5 Dark - Accent 531"/>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1">
    <w:name w:val="List Table 6 Colorful - Accent 621"/>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1">
    <w:name w:val="List Table 1 Light - Accent 311"/>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1">
    <w:name w:val="Plain Table 41111"/>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1">
    <w:name w:val="Grid Table 6 Colorful - Accent 111"/>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1">
    <w:name w:val="Light Shading - Accent 338211"/>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1">
    <w:name w:val="Light Shading - Accent 12121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1">
    <w:name w:val="Light Shading - Accent 122211"/>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1">
    <w:name w:val="Table Grid61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1">
    <w:name w:val="Grid Table 5 Dark - Accent 5121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1">
    <w:name w:val="List Table 6 Colorful - Accent 6111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1">
    <w:name w:val="Table Grid62111"/>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8D31CC"/>
  </w:style>
  <w:style w:type="table" w:customStyle="1" w:styleId="TableGrid9">
    <w:name w:val="Table Grid9"/>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6">
    <w:name w:val="Grid Table 5 Dark - Accent 516"/>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5">
    <w:name w:val="Light Shading - Accent 3335"/>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5">
    <w:name w:val="Light Shading - Accent 35"/>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5">
    <w:name w:val="Table Grid25"/>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numbering" w:customStyle="1" w:styleId="NoList14">
    <w:name w:val="No List14"/>
    <w:next w:val="NoList"/>
    <w:uiPriority w:val="99"/>
    <w:semiHidden/>
    <w:unhideWhenUsed/>
    <w:rsid w:val="008D31CC"/>
  </w:style>
  <w:style w:type="table" w:customStyle="1" w:styleId="TableGrid15">
    <w:name w:val="Table Grid15"/>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51">
    <w:name w:val="Grid Table 5 Dark - Accent 5151"/>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4">
    <w:name w:val="Light Shading - Accent 33314"/>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4">
    <w:name w:val="Light Shading - Accent 314"/>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4">
    <w:name w:val="Table Grid214"/>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5">
    <w:name w:val="Light Shading - Accent 121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5">
    <w:name w:val="Light Shading - Accent 12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4">
    <w:name w:val="Light Shading - Accent 33514"/>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Table6Colorful-Accent615">
    <w:name w:val="List Table 6 Colorful - Accent 615"/>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4">
    <w:name w:val="List Table 1 Light - Accent 614"/>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4">
    <w:name w:val="Light Shading - Accent 3364"/>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5">
    <w:name w:val="Light Shading - Accent 3375"/>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5">
    <w:name w:val="Light Shading - Accent 3385"/>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3">
    <w:name w:val="Light Shading - Accent 337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3">
    <w:name w:val="No List23"/>
    <w:next w:val="NoList"/>
    <w:uiPriority w:val="99"/>
    <w:semiHidden/>
    <w:unhideWhenUsed/>
    <w:rsid w:val="008D31CC"/>
  </w:style>
  <w:style w:type="table" w:customStyle="1" w:styleId="TableGrid33">
    <w:name w:val="Table Grid3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3">
    <w:name w:val="Grid Table 5 Dark - Accent 523"/>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3">
    <w:name w:val="Light Shading - Accent 3332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3">
    <w:name w:val="Light Shading - Accent 32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3">
    <w:name w:val="Table Grid22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3">
    <w:name w:val="Light Shading - Accent 3352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3">
    <w:name w:val="No List113"/>
    <w:next w:val="NoList"/>
    <w:uiPriority w:val="99"/>
    <w:semiHidden/>
    <w:unhideWhenUsed/>
    <w:rsid w:val="008D31CC"/>
  </w:style>
  <w:style w:type="table" w:customStyle="1" w:styleId="TableGrid113">
    <w:name w:val="Table Grid113"/>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3">
    <w:name w:val="Grid Table 5 Dark - Accent 5113"/>
    <w:basedOn w:val="TableNormal"/>
    <w:next w:val="GridTable5Dark-Accent517"/>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3">
    <w:name w:val="Light Shading - Accent 333113"/>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3">
    <w:name w:val="Light Shading - Accent 3113"/>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3">
    <w:name w:val="Table Grid2113"/>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4">
    <w:name w:val="Light Shading - Accent 12124"/>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5">
    <w:name w:val="Light Shading - Accent 1225"/>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3">
    <w:name w:val="Light Shading - Accent 335113"/>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3">
    <w:name w:val="Light Shading - Accent 122113"/>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3">
    <w:name w:val="Light Shading - Accent 1211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41">
    <w:name w:val="List Table 6 Colorful - Accent 6141"/>
    <w:basedOn w:val="TableNormal"/>
    <w:next w:val="ListTable6Colorful-Accent61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3">
    <w:name w:val="List Table 1 Light - Accent 6113"/>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3">
    <w:name w:val="Light Shading - Accent 336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3">
    <w:name w:val="Light Shading - Accent 3372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3">
    <w:name w:val="Light Shading - Accent 3381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3">
    <w:name w:val="Table Grid4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4">
    <w:name w:val="Plain Table 414"/>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5">
    <w:name w:val="Grid Table 5 Dark - Accent 55"/>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4">
    <w:name w:val="List Table 6 Colorful - Accent 64"/>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3">
    <w:name w:val="List Table 1 Light - Accent 33"/>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3">
    <w:name w:val="Plain Table 4113"/>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3">
    <w:name w:val="Grid Table 6 Colorful - Accent 13"/>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3">
    <w:name w:val="Light Shading - Accent 33823"/>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3">
    <w:name w:val="Light Shading - Accent 12121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3">
    <w:name w:val="Light Shading - Accent 12223"/>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3">
    <w:name w:val="Table Grid61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3">
    <w:name w:val="Grid Table 5 Dark - Accent 5123"/>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3">
    <w:name w:val="List Table 6 Colorful - Accent 6113"/>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3">
    <w:name w:val="Table Grid6213"/>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8D31CC"/>
  </w:style>
  <w:style w:type="table" w:customStyle="1" w:styleId="TableGrid72">
    <w:name w:val="Table Grid7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32">
    <w:name w:val="Grid Table 5 Dark - Accent 5132"/>
    <w:basedOn w:val="TableNormal"/>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32">
    <w:name w:val="Light Shading - Accent 3333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2">
    <w:name w:val="Light Shading - Accent 33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32">
    <w:name w:val="Table Grid23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32">
    <w:name w:val="Light Shading - Accent 3353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22">
    <w:name w:val="No List122"/>
    <w:next w:val="NoList"/>
    <w:uiPriority w:val="99"/>
    <w:semiHidden/>
    <w:unhideWhenUsed/>
    <w:rsid w:val="008D31CC"/>
  </w:style>
  <w:style w:type="table" w:customStyle="1" w:styleId="TableGrid132">
    <w:name w:val="Table Grid13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42">
    <w:name w:val="Grid Table 5 Dark - Accent 514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22">
    <w:name w:val="Light Shading - Accent 33312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22">
    <w:name w:val="Light Shading - Accent 312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22">
    <w:name w:val="Table Grid212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32">
    <w:name w:val="Light Shading - Accent 121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32">
    <w:name w:val="Light Shading - Accent 12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22">
    <w:name w:val="Light Shading - Accent 33512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22">
    <w:name w:val="Light Shading - Accent 12212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22">
    <w:name w:val="Light Shading - Accent 1211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22">
    <w:name w:val="List Table 6 Colorful - Accent 6122"/>
    <w:basedOn w:val="TableNormal"/>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22">
    <w:name w:val="List Table 1 Light - Accent 612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22">
    <w:name w:val="Light Shading - Accent 3362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32">
    <w:name w:val="Light Shading - Accent 3373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32">
    <w:name w:val="Light Shading - Accent 3383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112">
    <w:name w:val="Light Shading - Accent 337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12">
    <w:name w:val="No List212"/>
    <w:next w:val="NoList"/>
    <w:uiPriority w:val="99"/>
    <w:semiHidden/>
    <w:unhideWhenUsed/>
    <w:rsid w:val="008D31CC"/>
  </w:style>
  <w:style w:type="table" w:customStyle="1" w:styleId="TableGrid312">
    <w:name w:val="Table Grid3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12">
    <w:name w:val="Grid Table 5 Dark - Accent 52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12">
    <w:name w:val="Light Shading - Accent 3332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12">
    <w:name w:val="Light Shading - Accent 32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12">
    <w:name w:val="Table Grid22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12">
    <w:name w:val="Light Shading - Accent 3352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12">
    <w:name w:val="No List1112"/>
    <w:next w:val="NoList"/>
    <w:uiPriority w:val="99"/>
    <w:semiHidden/>
    <w:unhideWhenUsed/>
    <w:rsid w:val="008D31CC"/>
  </w:style>
  <w:style w:type="table" w:customStyle="1" w:styleId="TableGrid1112">
    <w:name w:val="Table Grid11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12">
    <w:name w:val="Grid Table 5 Dark - Accent 511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12">
    <w:name w:val="Light Shading - Accent 3331112"/>
    <w:basedOn w:val="TableNormal"/>
    <w:next w:val="LightShading-Accent3"/>
    <w:uiPriority w:val="60"/>
    <w:rsid w:val="008D31CC"/>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12">
    <w:name w:val="Light Shading - Accent 31112"/>
    <w:basedOn w:val="TableNormal"/>
    <w:next w:val="LightShading-Accent3"/>
    <w:uiPriority w:val="60"/>
    <w:semiHidden/>
    <w:unhideWhenUsed/>
    <w:rsid w:val="008D31CC"/>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12">
    <w:name w:val="Table Grid21112"/>
    <w:basedOn w:val="TableNormal"/>
    <w:next w:val="TableGrid"/>
    <w:uiPriority w:val="39"/>
    <w:rsid w:val="008D31CC"/>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22">
    <w:name w:val="Light Shading - Accent 12122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32">
    <w:name w:val="Light Shading - Accent 1223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12">
    <w:name w:val="Light Shading - Accent 3351112"/>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12">
    <w:name w:val="Light Shading - Accent 1221112"/>
    <w:basedOn w:val="TableNormal"/>
    <w:uiPriority w:val="60"/>
    <w:rsid w:val="008D31CC"/>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12">
    <w:name w:val="Light Shading - Accent 1211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32">
    <w:name w:val="List Table 6 Colorful - Accent 6132"/>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12">
    <w:name w:val="List Table 1 Light - Accent 61112"/>
    <w:basedOn w:val="TableNormal"/>
    <w:uiPriority w:val="46"/>
    <w:rsid w:val="008D31CC"/>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12">
    <w:name w:val="Light Shading - Accent 336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12">
    <w:name w:val="Light Shading - Accent 3372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12">
    <w:name w:val="Light Shading - Accent 3381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12">
    <w:name w:val="Table Grid4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22">
    <w:name w:val="Plain Table 412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532">
    <w:name w:val="Grid Table 5 Dark - Accent 532"/>
    <w:basedOn w:val="TableNormal"/>
    <w:next w:val="GridTable5Dark-Accent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22">
    <w:name w:val="List Table 6 Colorful - Accent 622"/>
    <w:basedOn w:val="TableNormal"/>
    <w:next w:val="ListTable6Colorful-Accent6"/>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312">
    <w:name w:val="List Table 1 Light - Accent 312"/>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12">
    <w:name w:val="Plain Table 41112"/>
    <w:basedOn w:val="TableNormal"/>
    <w:uiPriority w:val="44"/>
    <w:rsid w:val="008D31C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6Colorful-Accent112">
    <w:name w:val="Grid Table 6 Colorful - Accent 112"/>
    <w:basedOn w:val="TableNormal"/>
    <w:next w:val="GridTable6Colorful-Accent1"/>
    <w:uiPriority w:val="51"/>
    <w:rsid w:val="008D31CC"/>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12">
    <w:name w:val="Light Shading - Accent 338212"/>
    <w:basedOn w:val="TableNormal"/>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12">
    <w:name w:val="Light Shading - Accent 12121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12">
    <w:name w:val="Light Shading - Accent 122212"/>
    <w:basedOn w:val="TableNormal"/>
    <w:uiPriority w:val="60"/>
    <w:rsid w:val="008D31CC"/>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TableGrid6112">
    <w:name w:val="Table Grid61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212">
    <w:name w:val="Grid Table 5 Dark - Accent 51212"/>
    <w:basedOn w:val="TableNormal"/>
    <w:next w:val="GridTable5Dark-Accent515"/>
    <w:uiPriority w:val="50"/>
    <w:rsid w:val="008D31C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stTable6Colorful-Accent61112">
    <w:name w:val="List Table 6 Colorful - Accent 61112"/>
    <w:basedOn w:val="TableNormal"/>
    <w:next w:val="ListTable6Colorful-Accent614"/>
    <w:uiPriority w:val="51"/>
    <w:rsid w:val="008D31CC"/>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62112">
    <w:name w:val="Table Grid62112"/>
    <w:basedOn w:val="TableNormal"/>
    <w:next w:val="TableGrid"/>
    <w:uiPriority w:val="39"/>
    <w:rsid w:val="008D31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33541">
    <w:name w:val="Light Shading - Accent 33541"/>
    <w:basedOn w:val="TableNormal"/>
    <w:next w:val="LightShading-Accent3"/>
    <w:uiPriority w:val="60"/>
    <w:rsid w:val="008D31CC"/>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GridTable1Light-Accent51">
    <w:name w:val="Grid Table 1 Light - Accent 51"/>
    <w:basedOn w:val="TableNormal"/>
    <w:next w:val="GridTable1Light-Accent5"/>
    <w:uiPriority w:val="46"/>
    <w:rsid w:val="008D31CC"/>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D31C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Table1Light-Accent35">
    <w:name w:val="List Table 1 Light - Accent 35"/>
    <w:basedOn w:val="TableNormal"/>
    <w:next w:val="ListTable1Light-Accent3"/>
    <w:uiPriority w:val="46"/>
    <w:rsid w:val="008D31CC"/>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1">
    <w:name w:val="Grid Table 1 Light Accent 1"/>
    <w:basedOn w:val="TableNormal"/>
    <w:uiPriority w:val="46"/>
    <w:rsid w:val="00714AD2"/>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830950672">
      <w:bodyDiv w:val="1"/>
      <w:marLeft w:val="0"/>
      <w:marRight w:val="0"/>
      <w:marTop w:val="0"/>
      <w:marBottom w:val="0"/>
      <w:divBdr>
        <w:top w:val="none" w:sz="0" w:space="0" w:color="auto"/>
        <w:left w:val="none" w:sz="0" w:space="0" w:color="auto"/>
        <w:bottom w:val="none" w:sz="0" w:space="0" w:color="auto"/>
        <w:right w:val="none" w:sz="0" w:space="0" w:color="auto"/>
      </w:divBdr>
    </w:div>
    <w:div w:id="930700882">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19.xml"/><Relationship Id="rId21" Type="http://schemas.openxmlformats.org/officeDocument/2006/relationships/image" Target="media/image2.png"/><Relationship Id="rId63" Type="http://schemas.openxmlformats.org/officeDocument/2006/relationships/chart" Target="charts/chart28.xml"/><Relationship Id="rId84" Type="http://schemas.openxmlformats.org/officeDocument/2006/relationships/chart" Target="charts/chart46.xml"/><Relationship Id="rId138" Type="http://schemas.openxmlformats.org/officeDocument/2006/relationships/image" Target="media/image21.gif"/><Relationship Id="rId159" Type="http://schemas.openxmlformats.org/officeDocument/2006/relationships/footer" Target="footer36.xml"/><Relationship Id="rId170" Type="http://schemas.openxmlformats.org/officeDocument/2006/relationships/footer" Target="footer43.xml"/><Relationship Id="rId191" Type="http://schemas.openxmlformats.org/officeDocument/2006/relationships/header" Target="header44.xml"/><Relationship Id="rId205" Type="http://schemas.openxmlformats.org/officeDocument/2006/relationships/header" Target="header49.xml"/><Relationship Id="rId226" Type="http://schemas.openxmlformats.org/officeDocument/2006/relationships/footer" Target="footer58.xml"/><Relationship Id="rId107" Type="http://schemas.openxmlformats.org/officeDocument/2006/relationships/footer" Target="footer13.xml"/><Relationship Id="rId11" Type="http://schemas.openxmlformats.org/officeDocument/2006/relationships/image" Target="media/image1.gif"/><Relationship Id="rId32" Type="http://schemas.openxmlformats.org/officeDocument/2006/relationships/footer" Target="footer5.xml"/><Relationship Id="rId53" Type="http://schemas.openxmlformats.org/officeDocument/2006/relationships/chart" Target="charts/chart18.xml"/><Relationship Id="rId74" Type="http://schemas.openxmlformats.org/officeDocument/2006/relationships/chart" Target="charts/chart38.xml"/><Relationship Id="rId128" Type="http://schemas.openxmlformats.org/officeDocument/2006/relationships/header" Target="header21.xml"/><Relationship Id="rId149" Type="http://schemas.openxmlformats.org/officeDocument/2006/relationships/footer" Target="footer30.xml"/><Relationship Id="rId5" Type="http://schemas.openxmlformats.org/officeDocument/2006/relationships/webSettings" Target="webSettings.xml"/><Relationship Id="rId95" Type="http://schemas.openxmlformats.org/officeDocument/2006/relationships/chart" Target="charts/chart52.xml"/><Relationship Id="rId160" Type="http://schemas.openxmlformats.org/officeDocument/2006/relationships/footer" Target="footer37.xml"/><Relationship Id="rId181" Type="http://schemas.openxmlformats.org/officeDocument/2006/relationships/header" Target="header41.xml"/><Relationship Id="rId216" Type="http://schemas.openxmlformats.org/officeDocument/2006/relationships/image" Target="media/image16.emf"/><Relationship Id="rId237" Type="http://schemas.openxmlformats.org/officeDocument/2006/relationships/footer" Target="footer62.xml"/><Relationship Id="rId22" Type="http://schemas.openxmlformats.org/officeDocument/2006/relationships/chart" Target="charts/chart4.xml"/><Relationship Id="rId64" Type="http://schemas.openxmlformats.org/officeDocument/2006/relationships/chart" Target="charts/chart29.xml"/><Relationship Id="rId118" Type="http://schemas.openxmlformats.org/officeDocument/2006/relationships/header" Target="header15.xml"/><Relationship Id="rId139" Type="http://schemas.openxmlformats.org/officeDocument/2006/relationships/header" Target="header25.xml"/><Relationship Id="rId85" Type="http://schemas.openxmlformats.org/officeDocument/2006/relationships/chart" Target="charts/chart47.xml"/><Relationship Id="rId150" Type="http://schemas.openxmlformats.org/officeDocument/2006/relationships/footer" Target="footer31.xml"/><Relationship Id="rId171" Type="http://schemas.openxmlformats.org/officeDocument/2006/relationships/header" Target="header37.xml"/><Relationship Id="rId192" Type="http://schemas.openxmlformats.org/officeDocument/2006/relationships/footer" Target="footer50.xml"/><Relationship Id="rId206" Type="http://schemas.openxmlformats.org/officeDocument/2006/relationships/chart" Target="charts/chart71.xml"/><Relationship Id="rId227" Type="http://schemas.openxmlformats.org/officeDocument/2006/relationships/chart" Target="charts/chart77.xml"/><Relationship Id="rId12" Type="http://schemas.openxmlformats.org/officeDocument/2006/relationships/header" Target="header3.xml"/><Relationship Id="rId33" Type="http://schemas.openxmlformats.org/officeDocument/2006/relationships/footer" Target="footer6.xml"/><Relationship Id="rId108" Type="http://schemas.openxmlformats.org/officeDocument/2006/relationships/header" Target="header11.xml"/><Relationship Id="rId129" Type="http://schemas.openxmlformats.org/officeDocument/2006/relationships/footer" Target="footer24.xml"/><Relationship Id="rId54" Type="http://schemas.openxmlformats.org/officeDocument/2006/relationships/chart" Target="charts/chart19.xml"/><Relationship Id="rId75" Type="http://schemas.openxmlformats.org/officeDocument/2006/relationships/chart" Target="charts/chart39.xml"/><Relationship Id="rId96" Type="http://schemas.openxmlformats.org/officeDocument/2006/relationships/chart" Target="charts/chart53.xml"/><Relationship Id="rId140" Type="http://schemas.openxmlformats.org/officeDocument/2006/relationships/header" Target="header26.xml"/><Relationship Id="rId161" Type="http://schemas.openxmlformats.org/officeDocument/2006/relationships/footer" Target="footer38.xml"/><Relationship Id="rId182" Type="http://schemas.openxmlformats.org/officeDocument/2006/relationships/header" Target="header42.xml"/><Relationship Id="rId217" Type="http://schemas.openxmlformats.org/officeDocument/2006/relationships/image" Target="media/image17.emf"/><Relationship Id="rId6" Type="http://schemas.openxmlformats.org/officeDocument/2006/relationships/footnotes" Target="footnotes.xml"/><Relationship Id="rId238" Type="http://schemas.openxmlformats.org/officeDocument/2006/relationships/footer" Target="footer63.xml"/><Relationship Id="rId23" Type="http://schemas.openxmlformats.org/officeDocument/2006/relationships/chart" Target="charts/chart5.xml"/><Relationship Id="rId119" Type="http://schemas.openxmlformats.org/officeDocument/2006/relationships/header" Target="header16.xml"/><Relationship Id="rId65" Type="http://schemas.openxmlformats.org/officeDocument/2006/relationships/chart" Target="charts/chart30.xml"/><Relationship Id="rId86" Type="http://schemas.openxmlformats.org/officeDocument/2006/relationships/chart" Target="charts/chart48.xml"/><Relationship Id="rId130" Type="http://schemas.openxmlformats.org/officeDocument/2006/relationships/footer" Target="footer25.xml"/><Relationship Id="rId151" Type="http://schemas.openxmlformats.org/officeDocument/2006/relationships/header" Target="header30.xml"/><Relationship Id="rId172" Type="http://schemas.openxmlformats.org/officeDocument/2006/relationships/header" Target="header38.xml"/><Relationship Id="rId193" Type="http://schemas.openxmlformats.org/officeDocument/2006/relationships/footer" Target="footer51.xml"/><Relationship Id="rId207" Type="http://schemas.openxmlformats.org/officeDocument/2006/relationships/chart" Target="charts/chart72.xml"/><Relationship Id="rId228" Type="http://schemas.openxmlformats.org/officeDocument/2006/relationships/chart" Target="charts/chart78.xml"/><Relationship Id="rId13" Type="http://schemas.openxmlformats.org/officeDocument/2006/relationships/header" Target="header4.xml"/><Relationship Id="rId109" Type="http://schemas.openxmlformats.org/officeDocument/2006/relationships/footer" Target="footer14.xml"/><Relationship Id="rId34" Type="http://schemas.openxmlformats.org/officeDocument/2006/relationships/header" Target="header5.xml"/><Relationship Id="rId55" Type="http://schemas.openxmlformats.org/officeDocument/2006/relationships/chart" Target="charts/chart20.xml"/><Relationship Id="rId76" Type="http://schemas.openxmlformats.org/officeDocument/2006/relationships/chart" Target="charts/chart40.xml"/><Relationship Id="rId97" Type="http://schemas.openxmlformats.org/officeDocument/2006/relationships/chart" Target="charts/chart54.xml"/><Relationship Id="rId120" Type="http://schemas.openxmlformats.org/officeDocument/2006/relationships/header" Target="header17.xml"/><Relationship Id="rId141" Type="http://schemas.openxmlformats.org/officeDocument/2006/relationships/footer" Target="footer28.xml"/><Relationship Id="rId7" Type="http://schemas.openxmlformats.org/officeDocument/2006/relationships/endnotes" Target="endnotes.xml"/><Relationship Id="rId162" Type="http://schemas.openxmlformats.org/officeDocument/2006/relationships/header" Target="header34.xml"/><Relationship Id="rId183" Type="http://schemas.openxmlformats.org/officeDocument/2006/relationships/footer" Target="footer48.xml"/><Relationship Id="rId218" Type="http://schemas.openxmlformats.org/officeDocument/2006/relationships/image" Target="media/image18.emf"/><Relationship Id="rId239" Type="http://schemas.openxmlformats.org/officeDocument/2006/relationships/header" Target="header53.xml"/><Relationship Id="rId24" Type="http://schemas.openxmlformats.org/officeDocument/2006/relationships/chart" Target="charts/chart6.xml"/><Relationship Id="rId66" Type="http://schemas.openxmlformats.org/officeDocument/2006/relationships/image" Target="media/image4.png"/><Relationship Id="rId87" Type="http://schemas.openxmlformats.org/officeDocument/2006/relationships/chart" Target="charts/chart49.xml"/><Relationship Id="rId110" Type="http://schemas.openxmlformats.org/officeDocument/2006/relationships/footer" Target="footer15.xml"/><Relationship Id="rId131" Type="http://schemas.openxmlformats.org/officeDocument/2006/relationships/chart" Target="charts/chart62.xml"/><Relationship Id="rId152" Type="http://schemas.openxmlformats.org/officeDocument/2006/relationships/header" Target="header31.xml"/><Relationship Id="rId173" Type="http://schemas.openxmlformats.org/officeDocument/2006/relationships/footer" Target="footer44.xml"/><Relationship Id="rId194" Type="http://schemas.openxmlformats.org/officeDocument/2006/relationships/header" Target="header45.xml"/><Relationship Id="rId208" Type="http://schemas.openxmlformats.org/officeDocument/2006/relationships/chart" Target="charts/chart73.xml"/><Relationship Id="rId229" Type="http://schemas.openxmlformats.org/officeDocument/2006/relationships/chart" Target="charts/chart79.xml"/><Relationship Id="rId240" Type="http://schemas.openxmlformats.org/officeDocument/2006/relationships/footer" Target="footer64.xml"/><Relationship Id="rId14" Type="http://schemas.openxmlformats.org/officeDocument/2006/relationships/footer" Target="footer2.xml"/><Relationship Id="rId35" Type="http://schemas.openxmlformats.org/officeDocument/2006/relationships/footer" Target="footer7.xml"/><Relationship Id="rId56" Type="http://schemas.openxmlformats.org/officeDocument/2006/relationships/chart" Target="charts/chart21.xml"/><Relationship Id="rId77" Type="http://schemas.openxmlformats.org/officeDocument/2006/relationships/chart" Target="charts/chart41.xml"/><Relationship Id="rId100" Type="http://schemas.openxmlformats.org/officeDocument/2006/relationships/chart" Target="charts/chart57.xml"/><Relationship Id="rId8" Type="http://schemas.openxmlformats.org/officeDocument/2006/relationships/header" Target="header1.xml"/><Relationship Id="rId98" Type="http://schemas.openxmlformats.org/officeDocument/2006/relationships/chart" Target="charts/chart55.xml"/><Relationship Id="rId121" Type="http://schemas.openxmlformats.org/officeDocument/2006/relationships/footer" Target="footer20.xml"/><Relationship Id="rId142" Type="http://schemas.openxmlformats.org/officeDocument/2006/relationships/footer" Target="footer29.xml"/><Relationship Id="rId163" Type="http://schemas.openxmlformats.org/officeDocument/2006/relationships/chart" Target="charts/chart66.xml"/><Relationship Id="rId184" Type="http://schemas.openxmlformats.org/officeDocument/2006/relationships/footer" Target="footer49.xml"/><Relationship Id="rId219" Type="http://schemas.openxmlformats.org/officeDocument/2006/relationships/image" Target="media/image19.emf"/><Relationship Id="rId230" Type="http://schemas.openxmlformats.org/officeDocument/2006/relationships/image" Target="media/image23.emf"/><Relationship Id="rId25" Type="http://schemas.openxmlformats.org/officeDocument/2006/relationships/chart" Target="charts/chart7.xml"/><Relationship Id="rId67" Type="http://schemas.openxmlformats.org/officeDocument/2006/relationships/chart" Target="charts/chart31.xml"/><Relationship Id="rId116" Type="http://schemas.openxmlformats.org/officeDocument/2006/relationships/footer" Target="footer18.xml"/><Relationship Id="rId137" Type="http://schemas.openxmlformats.org/officeDocument/2006/relationships/image" Target="media/image5.png"/><Relationship Id="rId158" Type="http://schemas.openxmlformats.org/officeDocument/2006/relationships/footer" Target="footer35.xml"/><Relationship Id="rId20" Type="http://schemas.openxmlformats.org/officeDocument/2006/relationships/chart" Target="charts/chart3.xml"/><Relationship Id="rId62" Type="http://schemas.openxmlformats.org/officeDocument/2006/relationships/chart" Target="charts/chart27.xml"/><Relationship Id="rId83" Type="http://schemas.openxmlformats.org/officeDocument/2006/relationships/header" Target="header7.xml"/><Relationship Id="rId88" Type="http://schemas.openxmlformats.org/officeDocument/2006/relationships/header" Target="header8.xml"/><Relationship Id="rId111" Type="http://schemas.openxmlformats.org/officeDocument/2006/relationships/header" Target="header12.xml"/><Relationship Id="rId132" Type="http://schemas.openxmlformats.org/officeDocument/2006/relationships/header" Target="header22.xml"/><Relationship Id="rId153" Type="http://schemas.openxmlformats.org/officeDocument/2006/relationships/footer" Target="footer32.xml"/><Relationship Id="rId174" Type="http://schemas.openxmlformats.org/officeDocument/2006/relationships/footer" Target="footer45.xml"/><Relationship Id="rId179" Type="http://schemas.openxmlformats.org/officeDocument/2006/relationships/footer" Target="footer46.xml"/><Relationship Id="rId195" Type="http://schemas.openxmlformats.org/officeDocument/2006/relationships/chart" Target="charts/chart68.xml"/><Relationship Id="rId209" Type="http://schemas.openxmlformats.org/officeDocument/2006/relationships/chart" Target="charts/chart74.xml"/><Relationship Id="rId190" Type="http://schemas.openxmlformats.org/officeDocument/2006/relationships/image" Target="media/image11.png"/><Relationship Id="rId204" Type="http://schemas.openxmlformats.org/officeDocument/2006/relationships/footer" Target="footer55.xml"/><Relationship Id="rId220" Type="http://schemas.openxmlformats.org/officeDocument/2006/relationships/image" Target="media/image20.emf"/><Relationship Id="rId225" Type="http://schemas.openxmlformats.org/officeDocument/2006/relationships/footer" Target="footer57.xml"/><Relationship Id="rId241" Type="http://schemas.openxmlformats.org/officeDocument/2006/relationships/fontTable" Target="fontTable.xml"/><Relationship Id="rId15" Type="http://schemas.openxmlformats.org/officeDocument/2006/relationships/footer" Target="footer3.xml"/><Relationship Id="rId36" Type="http://schemas.openxmlformats.org/officeDocument/2006/relationships/header" Target="header6.xml"/><Relationship Id="rId57" Type="http://schemas.openxmlformats.org/officeDocument/2006/relationships/chart" Target="charts/chart22.xml"/><Relationship Id="rId106" Type="http://schemas.openxmlformats.org/officeDocument/2006/relationships/footer" Target="footer12.xml"/><Relationship Id="rId127" Type="http://schemas.openxmlformats.org/officeDocument/2006/relationships/header" Target="header20.xml"/><Relationship Id="rId10" Type="http://schemas.openxmlformats.org/officeDocument/2006/relationships/header" Target="header2.xml"/><Relationship Id="rId31" Type="http://schemas.openxmlformats.org/officeDocument/2006/relationships/chart" Target="charts/chart12.xml"/><Relationship Id="rId52" Type="http://schemas.openxmlformats.org/officeDocument/2006/relationships/chart" Target="charts/chart17.xml"/><Relationship Id="rId73" Type="http://schemas.openxmlformats.org/officeDocument/2006/relationships/chart" Target="charts/chart37.xml"/><Relationship Id="rId78" Type="http://schemas.openxmlformats.org/officeDocument/2006/relationships/chart" Target="charts/chart42.xml"/><Relationship Id="rId94" Type="http://schemas.openxmlformats.org/officeDocument/2006/relationships/chart" Target="charts/chart51.xml"/><Relationship Id="rId99" Type="http://schemas.openxmlformats.org/officeDocument/2006/relationships/chart" Target="charts/chart56.xml"/><Relationship Id="rId101" Type="http://schemas.openxmlformats.org/officeDocument/2006/relationships/chart" Target="charts/chart58.xml"/><Relationship Id="rId122" Type="http://schemas.openxmlformats.org/officeDocument/2006/relationships/footer" Target="footer21.xml"/><Relationship Id="rId143" Type="http://schemas.openxmlformats.org/officeDocument/2006/relationships/header" Target="header27.xml"/><Relationship Id="rId148" Type="http://schemas.openxmlformats.org/officeDocument/2006/relationships/header" Target="header29.xml"/><Relationship Id="rId164" Type="http://schemas.openxmlformats.org/officeDocument/2006/relationships/header" Target="header35.xml"/><Relationship Id="rId169" Type="http://schemas.openxmlformats.org/officeDocument/2006/relationships/footer" Target="footer42.xml"/><Relationship Id="rId185" Type="http://schemas.openxmlformats.org/officeDocument/2006/relationships/header" Target="header43.xm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footer" Target="footer47.xml"/><Relationship Id="rId210" Type="http://schemas.openxmlformats.org/officeDocument/2006/relationships/chart" Target="charts/chart75.xml"/><Relationship Id="rId215" Type="http://schemas.openxmlformats.org/officeDocument/2006/relationships/image" Target="media/image15.emf"/><Relationship Id="rId236" Type="http://schemas.openxmlformats.org/officeDocument/2006/relationships/header" Target="header52.xml"/><Relationship Id="rId26" Type="http://schemas.openxmlformats.org/officeDocument/2006/relationships/chart" Target="charts/chart8.xml"/><Relationship Id="rId231" Type="http://schemas.openxmlformats.org/officeDocument/2006/relationships/image" Target="media/image24.emf"/><Relationship Id="rId47" Type="http://schemas.openxmlformats.org/officeDocument/2006/relationships/image" Target="media/image20.gif"/><Relationship Id="rId68" Type="http://schemas.openxmlformats.org/officeDocument/2006/relationships/chart" Target="charts/chart32.xml"/><Relationship Id="rId89" Type="http://schemas.openxmlformats.org/officeDocument/2006/relationships/footer" Target="footer9.xml"/><Relationship Id="rId112" Type="http://schemas.openxmlformats.org/officeDocument/2006/relationships/footer" Target="footer16.xml"/><Relationship Id="rId133" Type="http://schemas.openxmlformats.org/officeDocument/2006/relationships/header" Target="header23.xml"/><Relationship Id="rId154" Type="http://schemas.openxmlformats.org/officeDocument/2006/relationships/footer" Target="footer33.xml"/><Relationship Id="rId175" Type="http://schemas.openxmlformats.org/officeDocument/2006/relationships/header" Target="header39.xml"/><Relationship Id="rId196" Type="http://schemas.openxmlformats.org/officeDocument/2006/relationships/chart" Target="charts/chart69.xml"/><Relationship Id="rId200" Type="http://schemas.openxmlformats.org/officeDocument/2006/relationships/footer" Target="footer53.xml"/><Relationship Id="rId16" Type="http://schemas.openxmlformats.org/officeDocument/2006/relationships/footer" Target="footer4.xml"/><Relationship Id="rId221" Type="http://schemas.openxmlformats.org/officeDocument/2006/relationships/image" Target="media/image21.emf"/><Relationship Id="rId242" Type="http://schemas.openxmlformats.org/officeDocument/2006/relationships/theme" Target="theme/theme1.xml"/><Relationship Id="rId58" Type="http://schemas.openxmlformats.org/officeDocument/2006/relationships/chart" Target="charts/chart23.xml"/><Relationship Id="rId79" Type="http://schemas.openxmlformats.org/officeDocument/2006/relationships/chart" Target="charts/chart43.xml"/><Relationship Id="rId102" Type="http://schemas.openxmlformats.org/officeDocument/2006/relationships/chart" Target="charts/chart59.xml"/><Relationship Id="rId123" Type="http://schemas.openxmlformats.org/officeDocument/2006/relationships/header" Target="header18.xml"/><Relationship Id="rId144" Type="http://schemas.openxmlformats.org/officeDocument/2006/relationships/chart" Target="charts/chart63.xml"/><Relationship Id="rId90" Type="http://schemas.openxmlformats.org/officeDocument/2006/relationships/footer" Target="footer10.xml"/><Relationship Id="rId165" Type="http://schemas.openxmlformats.org/officeDocument/2006/relationships/footer" Target="footer39.xml"/><Relationship Id="rId186" Type="http://schemas.openxmlformats.org/officeDocument/2006/relationships/image" Target="media/image7.png"/><Relationship Id="rId211" Type="http://schemas.openxmlformats.org/officeDocument/2006/relationships/chart" Target="charts/chart76.xml"/><Relationship Id="rId232" Type="http://schemas.openxmlformats.org/officeDocument/2006/relationships/header" Target="header51.xml"/><Relationship Id="rId27" Type="http://schemas.openxmlformats.org/officeDocument/2006/relationships/image" Target="media/image3.png"/><Relationship Id="rId48" Type="http://schemas.openxmlformats.org/officeDocument/2006/relationships/chart" Target="charts/chart13.xml"/><Relationship Id="rId69" Type="http://schemas.openxmlformats.org/officeDocument/2006/relationships/chart" Target="charts/chart33.xml"/><Relationship Id="rId113" Type="http://schemas.openxmlformats.org/officeDocument/2006/relationships/header" Target="header13.xml"/><Relationship Id="rId134" Type="http://schemas.openxmlformats.org/officeDocument/2006/relationships/footer" Target="footer26.xml"/><Relationship Id="rId80" Type="http://schemas.openxmlformats.org/officeDocument/2006/relationships/chart" Target="charts/chart44.xml"/><Relationship Id="rId155" Type="http://schemas.openxmlformats.org/officeDocument/2006/relationships/header" Target="header32.xml"/><Relationship Id="rId176" Type="http://schemas.openxmlformats.org/officeDocument/2006/relationships/image" Target="media/image6.png"/><Relationship Id="rId197" Type="http://schemas.openxmlformats.org/officeDocument/2006/relationships/chart" Target="charts/chart70.xml"/><Relationship Id="rId201" Type="http://schemas.openxmlformats.org/officeDocument/2006/relationships/header" Target="header47.xml"/><Relationship Id="rId222" Type="http://schemas.openxmlformats.org/officeDocument/2006/relationships/image" Target="media/image22.emf"/><Relationship Id="rId17" Type="http://schemas.openxmlformats.org/officeDocument/2006/relationships/image" Target="media/image1.png"/><Relationship Id="rId59" Type="http://schemas.openxmlformats.org/officeDocument/2006/relationships/chart" Target="charts/chart24.xml"/><Relationship Id="rId103" Type="http://schemas.openxmlformats.org/officeDocument/2006/relationships/chart" Target="charts/chart60.xml"/><Relationship Id="rId124" Type="http://schemas.openxmlformats.org/officeDocument/2006/relationships/footer" Target="footer22.xml"/><Relationship Id="rId70" Type="http://schemas.openxmlformats.org/officeDocument/2006/relationships/chart" Target="charts/chart34.xml"/><Relationship Id="rId91" Type="http://schemas.openxmlformats.org/officeDocument/2006/relationships/header" Target="header9.xml"/><Relationship Id="rId145" Type="http://schemas.openxmlformats.org/officeDocument/2006/relationships/chart" Target="charts/chart64.xml"/><Relationship Id="rId166" Type="http://schemas.openxmlformats.org/officeDocument/2006/relationships/footer" Target="footer40.xml"/><Relationship Id="rId187" Type="http://schemas.openxmlformats.org/officeDocument/2006/relationships/image" Target="media/image8.png"/><Relationship Id="rId1" Type="http://schemas.openxmlformats.org/officeDocument/2006/relationships/customXml" Target="../customXml/item1.xml"/><Relationship Id="rId212" Type="http://schemas.openxmlformats.org/officeDocument/2006/relationships/image" Target="media/image12.emf"/><Relationship Id="rId233" Type="http://schemas.openxmlformats.org/officeDocument/2006/relationships/footer" Target="footer59.xml"/><Relationship Id="rId28" Type="http://schemas.openxmlformats.org/officeDocument/2006/relationships/chart" Target="charts/chart9.xml"/><Relationship Id="rId49" Type="http://schemas.openxmlformats.org/officeDocument/2006/relationships/chart" Target="charts/chart14.xml"/><Relationship Id="rId114" Type="http://schemas.openxmlformats.org/officeDocument/2006/relationships/footer" Target="footer17.xml"/><Relationship Id="rId60" Type="http://schemas.openxmlformats.org/officeDocument/2006/relationships/chart" Target="charts/chart25.xml"/><Relationship Id="rId81" Type="http://schemas.openxmlformats.org/officeDocument/2006/relationships/chart" Target="charts/chart45.xml"/><Relationship Id="rId135" Type="http://schemas.openxmlformats.org/officeDocument/2006/relationships/footer" Target="footer27.xml"/><Relationship Id="rId156" Type="http://schemas.openxmlformats.org/officeDocument/2006/relationships/header" Target="header33.xml"/><Relationship Id="rId177" Type="http://schemas.openxmlformats.org/officeDocument/2006/relationships/chart" Target="charts/chart67.xml"/><Relationship Id="rId198" Type="http://schemas.openxmlformats.org/officeDocument/2006/relationships/header" Target="header46.xml"/><Relationship Id="rId202" Type="http://schemas.openxmlformats.org/officeDocument/2006/relationships/header" Target="header48.xml"/><Relationship Id="rId223" Type="http://schemas.openxmlformats.org/officeDocument/2006/relationships/header" Target="header50.xml"/><Relationship Id="rId18" Type="http://schemas.openxmlformats.org/officeDocument/2006/relationships/chart" Target="charts/chart1.xml"/><Relationship Id="rId50" Type="http://schemas.openxmlformats.org/officeDocument/2006/relationships/chart" Target="charts/chart15.xml"/><Relationship Id="rId104" Type="http://schemas.openxmlformats.org/officeDocument/2006/relationships/chart" Target="charts/chart61.xml"/><Relationship Id="rId125" Type="http://schemas.openxmlformats.org/officeDocument/2006/relationships/header" Target="header19.xml"/><Relationship Id="rId146" Type="http://schemas.openxmlformats.org/officeDocument/2006/relationships/chart" Target="charts/chart65.xml"/><Relationship Id="rId167" Type="http://schemas.openxmlformats.org/officeDocument/2006/relationships/footer" Target="footer41.xml"/><Relationship Id="rId188" Type="http://schemas.openxmlformats.org/officeDocument/2006/relationships/image" Target="media/image9.png"/><Relationship Id="rId71" Type="http://schemas.openxmlformats.org/officeDocument/2006/relationships/chart" Target="charts/chart35.xml"/><Relationship Id="rId92" Type="http://schemas.openxmlformats.org/officeDocument/2006/relationships/footer" Target="footer11.xml"/><Relationship Id="rId213" Type="http://schemas.openxmlformats.org/officeDocument/2006/relationships/image" Target="media/image13.emf"/><Relationship Id="rId234" Type="http://schemas.openxmlformats.org/officeDocument/2006/relationships/footer" Target="footer60.xml"/><Relationship Id="rId2" Type="http://schemas.openxmlformats.org/officeDocument/2006/relationships/numbering" Target="numbering.xml"/><Relationship Id="rId29" Type="http://schemas.openxmlformats.org/officeDocument/2006/relationships/chart" Target="charts/chart10.xml"/><Relationship Id="rId115" Type="http://schemas.openxmlformats.org/officeDocument/2006/relationships/header" Target="header14.xml"/><Relationship Id="rId136" Type="http://schemas.openxmlformats.org/officeDocument/2006/relationships/header" Target="header24.xml"/><Relationship Id="rId157" Type="http://schemas.openxmlformats.org/officeDocument/2006/relationships/footer" Target="footer34.xml"/><Relationship Id="rId178" Type="http://schemas.openxmlformats.org/officeDocument/2006/relationships/header" Target="header40.xml"/><Relationship Id="rId61" Type="http://schemas.openxmlformats.org/officeDocument/2006/relationships/chart" Target="charts/chart26.xml"/><Relationship Id="rId82" Type="http://schemas.openxmlformats.org/officeDocument/2006/relationships/footer" Target="footer8.xml"/><Relationship Id="rId199" Type="http://schemas.openxmlformats.org/officeDocument/2006/relationships/footer" Target="footer52.xml"/><Relationship Id="rId203" Type="http://schemas.openxmlformats.org/officeDocument/2006/relationships/footer" Target="footer54.xml"/><Relationship Id="rId19" Type="http://schemas.openxmlformats.org/officeDocument/2006/relationships/chart" Target="charts/chart2.xml"/><Relationship Id="rId224" Type="http://schemas.openxmlformats.org/officeDocument/2006/relationships/footer" Target="footer56.xml"/><Relationship Id="rId30" Type="http://schemas.openxmlformats.org/officeDocument/2006/relationships/chart" Target="charts/chart11.xml"/><Relationship Id="rId105" Type="http://schemas.openxmlformats.org/officeDocument/2006/relationships/header" Target="header10.xml"/><Relationship Id="rId126" Type="http://schemas.openxmlformats.org/officeDocument/2006/relationships/footer" Target="footer23.xml"/><Relationship Id="rId147" Type="http://schemas.openxmlformats.org/officeDocument/2006/relationships/header" Target="header28.xml"/><Relationship Id="rId168" Type="http://schemas.openxmlformats.org/officeDocument/2006/relationships/header" Target="header36.xml"/><Relationship Id="rId51" Type="http://schemas.openxmlformats.org/officeDocument/2006/relationships/chart" Target="charts/chart16.xml"/><Relationship Id="rId72" Type="http://schemas.openxmlformats.org/officeDocument/2006/relationships/chart" Target="charts/chart36.xml"/><Relationship Id="rId93" Type="http://schemas.openxmlformats.org/officeDocument/2006/relationships/chart" Target="charts/chart50.xml"/><Relationship Id="rId189" Type="http://schemas.openxmlformats.org/officeDocument/2006/relationships/image" Target="media/image10.png"/><Relationship Id="rId3" Type="http://schemas.openxmlformats.org/officeDocument/2006/relationships/styles" Target="styles.xml"/><Relationship Id="rId214" Type="http://schemas.openxmlformats.org/officeDocument/2006/relationships/image" Target="media/image14.emf"/><Relationship Id="rId235" Type="http://schemas.openxmlformats.org/officeDocument/2006/relationships/footer" Target="footer61.xml"/></Relationships>
</file>

<file path=word/_rels/footnotes.xml.rels><?xml version="1.0" encoding="UTF-8" standalone="yes"?>
<Relationships xmlns="http://schemas.openxmlformats.org/package/2006/relationships"><Relationship Id="rId1" Type="http://schemas.openxmlformats.org/officeDocument/2006/relationships/hyperlink" Target="https://www.mfin.gov.rs//upload/media/jzsbpL_601ab1585ca02.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sara.radulovic\Dropbox\Makro%20sektor\6.%20FS\FS%202026-2028\GRAFIKONI_MAKRO_maj2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11.xml.rels><?xml version="1.0" encoding="UTF-8" standalone="yes"?>
<Relationships xmlns="http://schemas.openxmlformats.org/package/2006/relationships"><Relationship Id="rId3" Type="http://schemas.openxmlformats.org/officeDocument/2006/relationships/oleObject" Target="file:///C:\Users\filip.filipovic\Dropbox\Makro%20sektor\6.%20FS\FS%202026-2028\Makro%20radni%20fajlovi\GRAFIKONI_MAKRO_maj25.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rade.ciric\Dropbox\Makro%20sektor\6.%20FS\FS%202026-2028\GRAFIKONI_MAKRO_maj25.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C:\Users\sara.radulovic\Dropbox\Makro%20sektor\6.%20FS\FS%202026-2028\GRAFIKONI_MAKRO_maj25.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2.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sara.radulovic\Dropbox\Makro%20sektor\6.%20FS\FS%202026-2028\GRAFIKONI_MAKRO_maj25.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3.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4.xml"/><Relationship Id="rId4" Type="http://schemas.openxmlformats.org/officeDocument/2006/relationships/oleObject" Target="file:///C:\Users\rade.ciric\Dropbox\Makro%20sektor\6.%20FS\FS%202026-2028\GRAFIKONI_MAKRO_maj25.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5.xml"/><Relationship Id="rId4" Type="http://schemas.openxmlformats.org/officeDocument/2006/relationships/oleObject" Target="file:///C:\Users\rade.ciric\Dropbox\Makro%20sektor\6.%20FS\FS%202026-2028\GRAFIKONI_MAKRO_maj25.xlsx"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sara.radulovic\Dropbox\Makro%20sektor\6.%20FS\FS%202026-2028\GRAFIKONI_MAKRO_maj25.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rade.ciric\Dropbox\Makro%20sektor\6.%20FS\FS%202026-2028\GRAFIKONI_MAKRO_maj25.xlsx" TargetMode="External"/></Relationships>
</file>

<file path=word/charts/_rels/chart19.xml.rels><?xml version="1.0" encoding="UTF-8" standalone="yes"?>
<Relationships xmlns="http://schemas.openxmlformats.org/package/2006/relationships"><Relationship Id="rId3" Type="http://schemas.openxmlformats.org/officeDocument/2006/relationships/oleObject" Target="file:///C:\Users\sara.radulovic\Dropbox\Makro%20sektor\6.%20FS\FS%202026-2028\GRAFIKONI_MAKRO_maj25.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8.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sara.radulovic\Dropbox\Makro%20sektor\6.%20FS\FS%202026-2028\GRAFIKONI_MAKRO_maj25.xlsx" TargetMode="External"/></Relationships>
</file>

<file path=word/charts/_rels/chart20.xml.rels><?xml version="1.0" encoding="UTF-8" standalone="yes"?>
<Relationships xmlns="http://schemas.openxmlformats.org/package/2006/relationships"><Relationship Id="rId3" Type="http://schemas.openxmlformats.org/officeDocument/2006/relationships/oleObject" Target="file:///C:\Users\sara.radulovic\Dropbox\Makro%20sektor\6.%20FS\FS%202026-2028\GRAFIKONI_MAKRO_maj25.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9.xm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sara.radulovic\Dropbox\Makro%20sektor\6.%20FS\FS%202026-2028\GRAFIKONI_MAKRO_maj25.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sara.radulovic\Dropbox\Makro%20sektor\6.%20FS\FS%202026-2028\GRAFIKONI_MAKRO_maj25.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rade.ciric\Dropbox\Makro%20sektor\6.%20FS\FS%202026-2028\GRAFIKONI_MAKRO_maj25.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rade.ciric\Dropbox\Makro%20sektor\6.%20FS\FS%202026-2028\GRAFIKONI_MAKRO_maj25.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sara.radulovic\Dropbox\Makro%20sektor\6.%20FS\FS%202026-2028\GRAFIKONI_MAKRO_maj25.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sara.radulovic\Dropbox\Makro%20sektor\6.%20FS\FS%202026-2028\GRAFIKONI_MAKRO_maj25.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sara.radulovic\Dropbox\Makro%20sektor\6.%20FS\FS%202026-2028\GRAFIKONI_MAKRO_maj25.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sara.radulovic\Dropbox\Makro%20sektor\6.%20FS\FS%202026-2028\GRAFIKONI_MAKRO_maj25.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sara.radulovic\Dropbox\Makro%20sektor\6.%20FS\FS%202026-2028\GRAFIKONI_MAKRO_maj25.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sara.radulovic\Dropbox\Makro%20sektor\6.%20FS\FS%202026-2028\GRAFIKONI_MAKRO_maj25.xlsx" TargetMode="Externa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7.xml"/><Relationship Id="rId1" Type="http://schemas.microsoft.com/office/2011/relationships/chartStyle" Target="style27.xml"/><Relationship Id="rId5" Type="http://schemas.openxmlformats.org/officeDocument/2006/relationships/chartUserShapes" Target="../drawings/drawing12.xml"/><Relationship Id="rId4" Type="http://schemas.openxmlformats.org/officeDocument/2006/relationships/oleObject" Target="file:///C:\Users\sara.radulovic\Dropbox\Makro%20sektor\6.%20FS\FS%202026-2028\GRAFIKONI_MAKRO_maj25.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sara.radulovic\Dropbox\Makro%20sektor\6.%20FS\FS%202026-2028\GRAFIKONI_MAKRO_maj25.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sara.radulovic\Dropbox\Makro%20sektor\6.%20FS\FS%202026-2028\GRAFIKONI_MAKRO_maj25.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sara.radulovic\Dropbox\Makro%20sektor\6.%20FS\FS%202026-2028\GRAFIKONI_MAKRO_maj25.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sara.radulovic\Dropbox\Makro%20sektor\6.%20FS\FS%202026-2028\GRAFIKONI_MAKRO_maj25.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sara.radulovic\Dropbox\Makro%20sektor\6.%20FS\FS%202026-2028\GRAFIKONI_MAKRO_maj25.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oleObject" Target="file:///C:\Users\sara.radulovic\Dropbox\Makro%20sektor\6.%20FS\FS%202026-2028\GRAFIKONI_MAKRO_maj25.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oleObject" Target="file:///C:\Users\sara.radulovic\Dropbox\Makro%20sektor\6.%20FS\FS%202026-2028\GRAFIKONI_MAKRO_maj25.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oleObject" Target="file:///C:\Users\sara.radulovic\Dropbox\Makro%20sektor\6.%20FS\FS%202026-2028\GRAFIKONI_MAKRO_maj25.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sara.radulovic\Dropbox\Makro%20sektor\6.%20FS\FS%202026-2028\GRAFIKONI_MAKRO_maj25.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oleObject" Target="file:///C:\Users\sara.radulovic\Dropbox\Makro%20sektor\6.%20FS\FS%202026-2028\GRAFIKONI_MAKRO_maj25.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C:\Users\sara.radulovic\Dropbox\Makro%20sektor\6.%20FS\FS%202026-2028\GRAFIKONI_MAKRO_maj25.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sara.radulovic\Dropbox\Makro%20sektor\6.%20FS\FS%202026-2028\GRAFIKONI_MAKRO_maj25.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oleObject" Target="file:///C:\Users\sara.radulovic\Dropbox\Makro%20sektor\6.%20FS\FS%202026-2028\GRAFIKONI_MAKRO_maj25.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C:\Users\sara.radulovic\Dropbox\Makro%20sektor\6.%20FS\FS%202026-2028\GRAFIKONI_MAKRO_maj25.xlsx" TargetMode="External"/></Relationships>
</file>

<file path=word/charts/_rels/chart45.xml.rels><?xml version="1.0" encoding="UTF-8" standalone="yes"?>
<Relationships xmlns="http://schemas.openxmlformats.org/package/2006/relationships"><Relationship Id="rId3" Type="http://schemas.openxmlformats.org/officeDocument/2006/relationships/oleObject" Target="file:///C:\Users\rade.ciric\Dropbox\Makro%20sektor\1.%20Baze%20makro\BDP\Projekcija\6.%20BDP%20(dynamic%20fan%20chart).xlsx" TargetMode="External"/><Relationship Id="rId2" Type="http://schemas.microsoft.com/office/2011/relationships/chartColorStyle" Target="colors41.xml"/><Relationship Id="rId1" Type="http://schemas.microsoft.com/office/2011/relationships/chartStyle" Target="style41.xm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42.xml"/><Relationship Id="rId1" Type="http://schemas.microsoft.com/office/2011/relationships/chartStyle" Target="style42.xml"/><Relationship Id="rId5" Type="http://schemas.openxmlformats.org/officeDocument/2006/relationships/chartUserShapes" Target="../drawings/drawing13.xml"/><Relationship Id="rId4" Type="http://schemas.openxmlformats.org/officeDocument/2006/relationships/oleObject" Target="file:///C:\Users\rade.ciric\Dropbox\Makro%20sektor\6.%20FS\FS%202026-2028\GRAFIKONI_MAKRO_maj25.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43.xml"/><Relationship Id="rId1" Type="http://schemas.microsoft.com/office/2011/relationships/chartStyle" Target="style43.xml"/><Relationship Id="rId5" Type="http://schemas.openxmlformats.org/officeDocument/2006/relationships/chartUserShapes" Target="../drawings/drawing14.xml"/><Relationship Id="rId4" Type="http://schemas.openxmlformats.org/officeDocument/2006/relationships/oleObject" Target="file:///C:\Users\rade.ciric\Dropbox\Makro%20sektor\6.%20FS\FS%202026-2028\GRAFIKONI_MAKRO_maj25.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oleObject" Target="file:///C:\Users\rade.ciric\Dropbox\Makro%20sektor\1.%20Baze%20makro\BDP\Projekcija\F%20an%20charts\New%20Fan%20Chart.xlsx" TargetMode="Externa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45.xml"/><Relationship Id="rId1" Type="http://schemas.microsoft.com/office/2011/relationships/chartStyle" Target="style45.xml"/><Relationship Id="rId5" Type="http://schemas.openxmlformats.org/officeDocument/2006/relationships/chartUserShapes" Target="../drawings/drawing15.xml"/><Relationship Id="rId4" Type="http://schemas.openxmlformats.org/officeDocument/2006/relationships/oleObject" Target="file:///C:\Users\rade.ciric\Dropbox\Makro%20sektor\6.%20FS\FS%202026-2028\GRAFIKONI_MAKRO_maj25.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sara.radulovic\Dropbox\Makro%20sektor\6.%20FS\FS%202026-2028\GRAFIKONI_MAKRO_maj25.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oleObject" Target="file:///C:\Users\marko.lisica\Dropbox\Makro%20sektor\6.%20FS\FS%202026-2028\GRAFIKONI_MAKRO_maj25.xlsx" TargetMode="External"/></Relationships>
</file>

<file path=word/charts/_rels/chart51.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file:///C:\Users\marko.lisica\Dropbox\Makro%20sektor\6.%20FS\FS%202026-2028\GRAFIKONI_MAKRO_maj25.xlsx" TargetMode="External"/><Relationship Id="rId1" Type="http://schemas.openxmlformats.org/officeDocument/2006/relationships/themeOverride" Target="../theme/themeOverride40.xm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oleObject" Target="file:///C:\Users\marko.lisica\Dropbox\Makro%20sektor\6.%20FS\FS%202026-2028\Makro%20radni%20fajlovi\GRAFIKONI_MAKRO_maj25.xlsx" TargetMode="External"/></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oleObject" Target="file:///C:\Users\marko.lisica\Dropbox\Makro%20sektor\6.%20FS\FS%202026-2028\GRAFIKONI_MAKRO_maj25.xlsx" TargetMode="External"/></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oleObject" Target="file:///C:\Users\marko.lisica\Dropbox\Makro%20sektor\6.%20FS\FS%202026-2028\GRAFIKONI_MAKRO_maj25.xlsx" TargetMode="External"/></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oleObject" Target="file:///C:\Users\marko.lisica\Dropbox\Makro%20sektor\6.%20FS\FS%202026-2028\GRAFIKONI_MAKRO_maj25.xlsx" TargetMode="Externa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51.xml"/><Relationship Id="rId1" Type="http://schemas.microsoft.com/office/2011/relationships/chartStyle" Target="style51.xml"/><Relationship Id="rId5" Type="http://schemas.openxmlformats.org/officeDocument/2006/relationships/chartUserShapes" Target="../drawings/drawing17.xml"/><Relationship Id="rId4" Type="http://schemas.openxmlformats.org/officeDocument/2006/relationships/oleObject" Target="file:///C:\Users\marko.lisica\Dropbox\Makro%20sektor\6.%20FS\FS%202026-2028\GRAFIKONI_MAKRO_maj25.xlsx" TargetMode="External"/></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52.xml"/><Relationship Id="rId1" Type="http://schemas.microsoft.com/office/2011/relationships/chartStyle" Target="style52.xml"/><Relationship Id="rId5" Type="http://schemas.openxmlformats.org/officeDocument/2006/relationships/chartUserShapes" Target="../drawings/drawing18.xml"/><Relationship Id="rId4" Type="http://schemas.openxmlformats.org/officeDocument/2006/relationships/oleObject" Target="file:///C:\Users\marko.lisica\Dropbox\Makro%20sektor\6.%20FS\FS%202026-2028\GRAFIKONI_MAKRO_maj25.xlsx" TargetMode="External"/></Relationships>
</file>

<file path=word/charts/_rels/chart58.xml.rels><?xml version="1.0" encoding="UTF-8" standalone="yes"?>
<Relationships xmlns="http://schemas.openxmlformats.org/package/2006/relationships"><Relationship Id="rId3" Type="http://schemas.openxmlformats.org/officeDocument/2006/relationships/oleObject" Target="file:///C:\Users\sara.radulovic\Dropbox\Makro%20sektor\6.%20FS\FS%202026-2028\Makro%20radni%20fajlovi\GRAFIKONI_MAKRO_maj25.xlsx" TargetMode="External"/><Relationship Id="rId2" Type="http://schemas.microsoft.com/office/2011/relationships/chartColorStyle" Target="colors53.xml"/><Relationship Id="rId1" Type="http://schemas.microsoft.com/office/2011/relationships/chartStyle" Target="style53.xml"/></Relationships>
</file>

<file path=word/charts/_rels/chart59.xml.rels><?xml version="1.0" encoding="UTF-8" standalone="yes"?>
<Relationships xmlns="http://schemas.openxmlformats.org/package/2006/relationships"><Relationship Id="rId1" Type="http://schemas.openxmlformats.org/officeDocument/2006/relationships/oleObject" Target="file:///C:\Users\sara.radulovic\Dropbox\Makro%20sektor\6.%20FS\FS%202026-2028\Makro%20radni%20fajlovi\GRAFIKONI_MAKRO_maj2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sara.radulovic\Dropbox\Makro%20sektor\6.%20FS\FS%202026-2028\GRAFIKONI_MAKRO_maj25.xlsx" TargetMode="Externa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54.xml"/><Relationship Id="rId1" Type="http://schemas.microsoft.com/office/2011/relationships/chartStyle" Target="style54.xml"/><Relationship Id="rId5" Type="http://schemas.openxmlformats.org/officeDocument/2006/relationships/chartUserShapes" Target="../drawings/drawing19.xml"/><Relationship Id="rId4" Type="http://schemas.openxmlformats.org/officeDocument/2006/relationships/oleObject" Target="file:///C:\Users\milos.gligorijevic\Dropbox\Makro%20sektor\6.%20FS\FS%202026-2028\GRAFIKONI_MAKRO_maj25.xlsx" TargetMode="External"/></Relationships>
</file>

<file path=word/charts/_rels/chart61.xml.rels><?xml version="1.0" encoding="UTF-8" standalone="yes"?>
<Relationships xmlns="http://schemas.openxmlformats.org/package/2006/relationships"><Relationship Id="rId3" Type="http://schemas.openxmlformats.org/officeDocument/2006/relationships/themeOverride" Target="../theme/themeOverride48.xml"/><Relationship Id="rId2" Type="http://schemas.microsoft.com/office/2011/relationships/chartColorStyle" Target="colors55.xml"/><Relationship Id="rId1" Type="http://schemas.microsoft.com/office/2011/relationships/chartStyle" Target="style55.xml"/><Relationship Id="rId5" Type="http://schemas.openxmlformats.org/officeDocument/2006/relationships/chartUserShapes" Target="../drawings/drawing20.xml"/><Relationship Id="rId4" Type="http://schemas.openxmlformats.org/officeDocument/2006/relationships/oleObject" Target="../embeddings/oleObject2.bin"/></Relationships>
</file>

<file path=word/charts/_rels/chart62.xml.rels><?xml version="1.0" encoding="UTF-8" standalone="yes"?>
<Relationships xmlns="http://schemas.openxmlformats.org/package/2006/relationships"><Relationship Id="rId3" Type="http://schemas.openxmlformats.org/officeDocument/2006/relationships/oleObject" Target="file:///C:\Users\vladimir.malbasic\Desktop\Novi%20RFZO%20Za%20bazu-%20GFS,%20SS%20bs%20,%20MMF%20table\GFS%20CONSOLIDATION_za%20analizu%20radni%20fajl-2080mq1.xlsx" TargetMode="External"/><Relationship Id="rId2" Type="http://schemas.microsoft.com/office/2011/relationships/chartColorStyle" Target="colors56.xml"/><Relationship Id="rId1" Type="http://schemas.microsoft.com/office/2011/relationships/chartStyle" Target="style56.xml"/></Relationships>
</file>

<file path=word/charts/_rels/chart63.xml.rels><?xml version="1.0" encoding="UTF-8" standalone="yes"?>
<Relationships xmlns="http://schemas.openxmlformats.org/package/2006/relationships"><Relationship Id="rId3" Type="http://schemas.openxmlformats.org/officeDocument/2006/relationships/oleObject" Target="file:///C:\Users\ivan.krstic\Dropbox\Makro%20sektor\6.%20FS\FS%202026-2028\fiskal\S0%202025%20final.xlsx" TargetMode="External"/><Relationship Id="rId2" Type="http://schemas.microsoft.com/office/2011/relationships/chartColorStyle" Target="colors57.xml"/><Relationship Id="rId1" Type="http://schemas.microsoft.com/office/2011/relationships/chartStyle" Target="style57.xml"/><Relationship Id="rId4" Type="http://schemas.openxmlformats.org/officeDocument/2006/relationships/chartUserShapes" Target="../drawings/drawing21.xml"/></Relationships>
</file>

<file path=word/charts/_rels/chart64.xml.rels><?xml version="1.0" encoding="UTF-8" standalone="yes"?>
<Relationships xmlns="http://schemas.openxmlformats.org/package/2006/relationships"><Relationship Id="rId3" Type="http://schemas.openxmlformats.org/officeDocument/2006/relationships/oleObject" Target="file:///C:\Users\ivan.krstic\Dropbox\Makro%20sektor\6.%20FS\FS%202026-2028\fiskal\S0%202025%20final.xlsx" TargetMode="External"/><Relationship Id="rId2" Type="http://schemas.microsoft.com/office/2011/relationships/chartColorStyle" Target="colors58.xml"/><Relationship Id="rId1" Type="http://schemas.microsoft.com/office/2011/relationships/chartStyle" Target="style58.xml"/><Relationship Id="rId4" Type="http://schemas.openxmlformats.org/officeDocument/2006/relationships/chartUserShapes" Target="../drawings/drawing22.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59.xml"/><Relationship Id="rId1" Type="http://schemas.microsoft.com/office/2011/relationships/chartStyle" Target="style59.xml"/></Relationships>
</file>

<file path=word/charts/_rels/chart66.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Excel_Worksheet2.xlsx"/></Relationships>
</file>

<file path=word/charts/_rels/chart67.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60.xml"/><Relationship Id="rId1" Type="http://schemas.microsoft.com/office/2011/relationships/chartStyle" Target="style60.xml"/></Relationships>
</file>

<file path=word/charts/_rels/chart68.xml.rels><?xml version="1.0" encoding="UTF-8" standalone="yes"?>
<Relationships xmlns="http://schemas.openxmlformats.org/package/2006/relationships"><Relationship Id="rId3" Type="http://schemas.openxmlformats.org/officeDocument/2006/relationships/oleObject" Target="file:///C:\Users\vladimir.malbasic\Dropbox\Makro%20sektor\6.%20FS\Fiskal%20radni%20fajlovi\Grafikoni%20ciklicnog%20deficita,%20poreske%20elasticnosti%20i%20osetljivost%20balansa%20novi%20BDP.xlsx" TargetMode="External"/><Relationship Id="rId2" Type="http://schemas.microsoft.com/office/2011/relationships/chartColorStyle" Target="colors61.xml"/><Relationship Id="rId1" Type="http://schemas.microsoft.com/office/2011/relationships/chartStyle" Target="style61.xml"/><Relationship Id="rId4" Type="http://schemas.openxmlformats.org/officeDocument/2006/relationships/chartUserShapes" Target="../drawings/drawing24.xml"/></Relationships>
</file>

<file path=word/charts/_rels/chart69.xml.rels><?xml version="1.0" encoding="UTF-8" standalone="yes"?>
<Relationships xmlns="http://schemas.openxmlformats.org/package/2006/relationships"><Relationship Id="rId3" Type="http://schemas.openxmlformats.org/officeDocument/2006/relationships/oleObject" Target="file:///C:\Users\vladimir.malbasic\Dropbox\Makro%20sektor\6.%20FS\Fiskal%20radni%20fajlovi\Grafikoni%20ciklicnog%20deficita,%20poreske%20elasticnosti%20i%20osetljivost%20balansa%20novi%20BDP.xlsx" TargetMode="External"/><Relationship Id="rId2" Type="http://schemas.microsoft.com/office/2011/relationships/chartColorStyle" Target="colors62.xml"/><Relationship Id="rId1" Type="http://schemas.microsoft.com/office/2011/relationships/chartStyle" Target="style62.xml"/><Relationship Id="rId4" Type="http://schemas.openxmlformats.org/officeDocument/2006/relationships/chartUserShapes" Target="../drawings/drawing25.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sara.radulovic\Dropbox\Makro%20sektor\6.%20FS\FS%202026-2028\GRAFIKONI_MAKRO_maj25.xlsx" TargetMode="External"/></Relationships>
</file>

<file path=word/charts/_rels/chart70.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oleObject" Target="file:///C:\Users\vladimir.malbasic\Dropbox\Makro%20sektor\6.%20FS\Fiskal%20radni%20fajlovi\Grafikoni%20ciklicnog%20deficita,%20poreske%20elasticnosti%20i%20osetljivost%20balansa%20novi%20BDP.xlsx" TargetMode="External"/><Relationship Id="rId1" Type="http://schemas.openxmlformats.org/officeDocument/2006/relationships/themeOverride" Target="../theme/themeOverride49.xml"/></Relationships>
</file>

<file path=word/charts/_rels/chart71.xml.rels><?xml version="1.0" encoding="UTF-8" standalone="yes"?>
<Relationships xmlns="http://schemas.openxmlformats.org/package/2006/relationships"><Relationship Id="rId3" Type="http://schemas.openxmlformats.org/officeDocument/2006/relationships/oleObject" Target="file:///C:\Users\vladimir.malbasic\Dropbox\Makro%20sektor\6.%20FS\Fiskal%20radni%20fajlovi\Scenarija%20javni%20dug%20fiskalno%20prilagodjavanje%20novi%20BDP.xlsx" TargetMode="External"/><Relationship Id="rId2" Type="http://schemas.microsoft.com/office/2011/relationships/chartColorStyle" Target="colors63.xml"/><Relationship Id="rId1" Type="http://schemas.microsoft.com/office/2011/relationships/chartStyle" Target="style63.xml"/></Relationships>
</file>

<file path=word/charts/_rels/chart72.xml.rels><?xml version="1.0" encoding="UTF-8" standalone="yes"?>
<Relationships xmlns="http://schemas.openxmlformats.org/package/2006/relationships"><Relationship Id="rId3" Type="http://schemas.openxmlformats.org/officeDocument/2006/relationships/oleObject" Target="file:///C:\Users\vladimir.malbasic\Desktop\Novi%20RFZO%20Za%20bazu-%20GFS,%20SS%20bs%20,%20MMF%20table\GFS%20CONSOLIDATION_za%20analizu%20radni%20fajl-2080mq1.xlsx" TargetMode="External"/><Relationship Id="rId2" Type="http://schemas.microsoft.com/office/2011/relationships/chartColorStyle" Target="colors64.xml"/><Relationship Id="rId1" Type="http://schemas.microsoft.com/office/2011/relationships/chartStyle" Target="style64.xml"/></Relationships>
</file>

<file path=word/charts/_rels/chart73.xml.rels><?xml version="1.0" encoding="UTF-8" standalone="yes"?>
<Relationships xmlns="http://schemas.openxmlformats.org/package/2006/relationships"><Relationship Id="rId3" Type="http://schemas.openxmlformats.org/officeDocument/2006/relationships/oleObject" Target="file:///C:\Users\vladimir.malbasic\Dropbox\Makro%20sektor\6.%20FS\Fiskal%20radni%20fajlovi\Scenarija%20javni%20dug%20fiskalno%20prilagodjavanje%20novi%20BDP.xlsx" TargetMode="External"/><Relationship Id="rId2" Type="http://schemas.microsoft.com/office/2011/relationships/chartColorStyle" Target="colors65.xml"/><Relationship Id="rId1" Type="http://schemas.microsoft.com/office/2011/relationships/chartStyle" Target="style65.xml"/><Relationship Id="rId4" Type="http://schemas.openxmlformats.org/officeDocument/2006/relationships/chartUserShapes" Target="../drawings/drawing27.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50.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1.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2.xml"/></Relationships>
</file>

<file path=word/charts/_rels/chart77.xml.rels><?xml version="1.0" encoding="UTF-8" standalone="yes"?>
<Relationships xmlns="http://schemas.openxmlformats.org/package/2006/relationships"><Relationship Id="rId2" Type="http://schemas.openxmlformats.org/officeDocument/2006/relationships/oleObject" Target="file:///C:\Users\Milena\Desktop\304692-\!%20RI%202024-12\Strategija%202025-2028\MTDS%202025-2028%20-%20V0.xlsm" TargetMode="External"/><Relationship Id="rId1" Type="http://schemas.openxmlformats.org/officeDocument/2006/relationships/themeOverride" Target="../theme/themeOverride53.xml"/></Relationships>
</file>

<file path=word/charts/_rels/chart78.xml.rels><?xml version="1.0" encoding="UTF-8" standalone="yes"?>
<Relationships xmlns="http://schemas.openxmlformats.org/package/2006/relationships"><Relationship Id="rId1" Type="http://schemas.openxmlformats.org/officeDocument/2006/relationships/oleObject" Target="file:///C:\Users\Milena\Desktop\304692-\!%20RI%202024-12\Strategija%202025-2028\MTDS%202025-2028%20-%20V0.xlsm" TargetMode="External"/></Relationships>
</file>

<file path=word/charts/_rels/chart79.xml.rels><?xml version="1.0" encoding="UTF-8" standalone="yes"?>
<Relationships xmlns="http://schemas.openxmlformats.org/package/2006/relationships"><Relationship Id="rId3" Type="http://schemas.openxmlformats.org/officeDocument/2006/relationships/oleObject" Target="file:///C:\Users\oliver.minic\Desktop\STRATEGIJA%202026-2028\STRAT2026-2028.xlsx" TargetMode="External"/><Relationship Id="rId2" Type="http://schemas.microsoft.com/office/2011/relationships/chartColorStyle" Target="colors66.xml"/><Relationship Id="rId1" Type="http://schemas.microsoft.com/office/2011/relationships/chartStyle" Target="style66.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sara.radulovic\Dropbox\Makro%20sektor\6.%20FS\FS%202026-2028\GRAFIKONI_MAKRO_maj25.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C:\Users\sara.radulovic\Dropbox\Makro%20sektor\6.%20FS\FS%202026-2028\GRAFIKONI_MAKRO_maj25.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892351997666959"/>
          <c:y val="2.6823793231530207E-2"/>
          <c:w val="0.70797535724701077"/>
          <c:h val="0.72413675363535901"/>
        </c:manualLayout>
      </c:layout>
      <c:lineChart>
        <c:grouping val="standard"/>
        <c:varyColors val="0"/>
        <c:ser>
          <c:idx val="0"/>
          <c:order val="0"/>
          <c:tx>
            <c:strRef>
              <c:f>'Ekonomska neizvesnost WEO25'!$M$7</c:f>
              <c:strCache>
                <c:ptCount val="1"/>
                <c:pt idx="0">
                  <c:v>Укупна неизвесност</c:v>
                </c:pt>
              </c:strCache>
            </c:strRef>
          </c:tx>
          <c:spPr>
            <a:ln w="15875" cap="rnd">
              <a:solidFill>
                <a:schemeClr val="accent1">
                  <a:lumMod val="75000"/>
                </a:schemeClr>
              </a:solidFill>
              <a:round/>
            </a:ln>
            <a:effectLst/>
          </c:spPr>
          <c:marker>
            <c:symbol val="none"/>
          </c:marker>
          <c:cat>
            <c:strRef>
              <c:f>'Ekonomska neizvesnost WEO25'!$K$9:$K$131</c:f>
              <c:strCache>
                <c:ptCount val="123"/>
                <c:pt idx="0">
                  <c:v>Јан 2015</c:v>
                </c:pt>
                <c:pt idx="24">
                  <c:v>Јан 17</c:v>
                </c:pt>
                <c:pt idx="48">
                  <c:v>Јан 19</c:v>
                </c:pt>
                <c:pt idx="72">
                  <c:v>Јан 21</c:v>
                </c:pt>
                <c:pt idx="96">
                  <c:v>Јан 23</c:v>
                </c:pt>
                <c:pt idx="122">
                  <c:v>Мар 25</c:v>
                </c:pt>
              </c:strCache>
            </c:strRef>
          </c:cat>
          <c:val>
            <c:numRef>
              <c:f>'Ekonomska neizvesnost WEO25'!$M$9:$M$131</c:f>
              <c:numCache>
                <c:formatCode>0.0</c:formatCode>
                <c:ptCount val="123"/>
                <c:pt idx="0">
                  <c:v>25443.97</c:v>
                </c:pt>
                <c:pt idx="1">
                  <c:v>29456.69</c:v>
                </c:pt>
                <c:pt idx="2">
                  <c:v>29700.53</c:v>
                </c:pt>
                <c:pt idx="3">
                  <c:v>22530.23</c:v>
                </c:pt>
                <c:pt idx="4">
                  <c:v>21803.69</c:v>
                </c:pt>
                <c:pt idx="5">
                  <c:v>25042.18</c:v>
                </c:pt>
                <c:pt idx="6">
                  <c:v>26689.86</c:v>
                </c:pt>
                <c:pt idx="7">
                  <c:v>22015.01</c:v>
                </c:pt>
                <c:pt idx="8">
                  <c:v>20895.169999999998</c:v>
                </c:pt>
                <c:pt idx="9">
                  <c:v>25572.94</c:v>
                </c:pt>
                <c:pt idx="10">
                  <c:v>21316.99</c:v>
                </c:pt>
                <c:pt idx="11">
                  <c:v>16845.93</c:v>
                </c:pt>
                <c:pt idx="12">
                  <c:v>18498.77</c:v>
                </c:pt>
                <c:pt idx="13">
                  <c:v>20446.37</c:v>
                </c:pt>
                <c:pt idx="14">
                  <c:v>22191.53</c:v>
                </c:pt>
                <c:pt idx="15">
                  <c:v>15032.11</c:v>
                </c:pt>
                <c:pt idx="16">
                  <c:v>21466.45</c:v>
                </c:pt>
                <c:pt idx="17">
                  <c:v>17423.54</c:v>
                </c:pt>
                <c:pt idx="18">
                  <c:v>45973.39</c:v>
                </c:pt>
                <c:pt idx="19">
                  <c:v>44083.75</c:v>
                </c:pt>
                <c:pt idx="20">
                  <c:v>28374.06</c:v>
                </c:pt>
                <c:pt idx="21">
                  <c:v>18582.509999999998</c:v>
                </c:pt>
                <c:pt idx="22">
                  <c:v>26743.54</c:v>
                </c:pt>
                <c:pt idx="23">
                  <c:v>30556.11</c:v>
                </c:pt>
                <c:pt idx="24">
                  <c:v>38065.040000000001</c:v>
                </c:pt>
                <c:pt idx="25">
                  <c:v>34721.72</c:v>
                </c:pt>
                <c:pt idx="26">
                  <c:v>28585.07</c:v>
                </c:pt>
                <c:pt idx="27">
                  <c:v>22038.28</c:v>
                </c:pt>
                <c:pt idx="28">
                  <c:v>20300.89</c:v>
                </c:pt>
                <c:pt idx="29">
                  <c:v>15384.21</c:v>
                </c:pt>
                <c:pt idx="30">
                  <c:v>16915.2</c:v>
                </c:pt>
                <c:pt idx="31">
                  <c:v>21567.95</c:v>
                </c:pt>
                <c:pt idx="32">
                  <c:v>15468.96</c:v>
                </c:pt>
                <c:pt idx="33">
                  <c:v>20376.240000000002</c:v>
                </c:pt>
                <c:pt idx="34">
                  <c:v>20821.27</c:v>
                </c:pt>
                <c:pt idx="35">
                  <c:v>27945.3</c:v>
                </c:pt>
                <c:pt idx="36">
                  <c:v>21420.12</c:v>
                </c:pt>
                <c:pt idx="37">
                  <c:v>17493.080000000002</c:v>
                </c:pt>
                <c:pt idx="38">
                  <c:v>12197.86</c:v>
                </c:pt>
                <c:pt idx="39">
                  <c:v>12920.08</c:v>
                </c:pt>
                <c:pt idx="40">
                  <c:v>19883.07</c:v>
                </c:pt>
                <c:pt idx="41">
                  <c:v>25859.360000000001</c:v>
                </c:pt>
                <c:pt idx="42">
                  <c:v>22117.7</c:v>
                </c:pt>
                <c:pt idx="43">
                  <c:v>30926.84</c:v>
                </c:pt>
                <c:pt idx="44">
                  <c:v>27915.26</c:v>
                </c:pt>
                <c:pt idx="45">
                  <c:v>22779.45</c:v>
                </c:pt>
                <c:pt idx="46">
                  <c:v>18793.39</c:v>
                </c:pt>
                <c:pt idx="47">
                  <c:v>26231.1</c:v>
                </c:pt>
                <c:pt idx="48">
                  <c:v>36382.28</c:v>
                </c:pt>
                <c:pt idx="49">
                  <c:v>51178.63</c:v>
                </c:pt>
                <c:pt idx="50">
                  <c:v>35809.01</c:v>
                </c:pt>
                <c:pt idx="51">
                  <c:v>27627.57</c:v>
                </c:pt>
                <c:pt idx="52">
                  <c:v>57517.98</c:v>
                </c:pt>
                <c:pt idx="53">
                  <c:v>41085.629999999997</c:v>
                </c:pt>
                <c:pt idx="54">
                  <c:v>22822.22</c:v>
                </c:pt>
                <c:pt idx="55">
                  <c:v>33126.300000000003</c:v>
                </c:pt>
                <c:pt idx="56">
                  <c:v>32220.86</c:v>
                </c:pt>
                <c:pt idx="57">
                  <c:v>39475.35</c:v>
                </c:pt>
                <c:pt idx="58">
                  <c:v>39040.36</c:v>
                </c:pt>
                <c:pt idx="59">
                  <c:v>52683.16</c:v>
                </c:pt>
                <c:pt idx="60">
                  <c:v>42258.74</c:v>
                </c:pt>
                <c:pt idx="61">
                  <c:v>39762.47</c:v>
                </c:pt>
                <c:pt idx="62">
                  <c:v>56223.62</c:v>
                </c:pt>
                <c:pt idx="63">
                  <c:v>21438.99</c:v>
                </c:pt>
                <c:pt idx="64">
                  <c:v>26490.73</c:v>
                </c:pt>
                <c:pt idx="65">
                  <c:v>28737.919999999998</c:v>
                </c:pt>
                <c:pt idx="66">
                  <c:v>26888.29</c:v>
                </c:pt>
                <c:pt idx="67">
                  <c:v>20430.03</c:v>
                </c:pt>
                <c:pt idx="68">
                  <c:v>26409.8</c:v>
                </c:pt>
                <c:pt idx="69">
                  <c:v>28194.52</c:v>
                </c:pt>
                <c:pt idx="70">
                  <c:v>25062.17</c:v>
                </c:pt>
                <c:pt idx="71">
                  <c:v>14886.35</c:v>
                </c:pt>
                <c:pt idx="72">
                  <c:v>11956.53</c:v>
                </c:pt>
                <c:pt idx="73">
                  <c:v>9050.2710000000006</c:v>
                </c:pt>
                <c:pt idx="74">
                  <c:v>13602.12</c:v>
                </c:pt>
                <c:pt idx="75">
                  <c:v>14889.97</c:v>
                </c:pt>
                <c:pt idx="76">
                  <c:v>15392.93</c:v>
                </c:pt>
                <c:pt idx="77">
                  <c:v>21543.41</c:v>
                </c:pt>
                <c:pt idx="78">
                  <c:v>19371.39</c:v>
                </c:pt>
                <c:pt idx="79">
                  <c:v>17169.7</c:v>
                </c:pt>
                <c:pt idx="80">
                  <c:v>23904</c:v>
                </c:pt>
                <c:pt idx="81">
                  <c:v>10477.780000000001</c:v>
                </c:pt>
                <c:pt idx="82">
                  <c:v>14556.52</c:v>
                </c:pt>
                <c:pt idx="83">
                  <c:v>28225.75</c:v>
                </c:pt>
                <c:pt idx="84">
                  <c:v>25576.78</c:v>
                </c:pt>
                <c:pt idx="85">
                  <c:v>25212.720000000001</c:v>
                </c:pt>
                <c:pt idx="86">
                  <c:v>27256.75</c:v>
                </c:pt>
                <c:pt idx="87">
                  <c:v>41669.1</c:v>
                </c:pt>
                <c:pt idx="88">
                  <c:v>25064.35</c:v>
                </c:pt>
                <c:pt idx="89">
                  <c:v>23022.65</c:v>
                </c:pt>
                <c:pt idx="90">
                  <c:v>19588.13</c:v>
                </c:pt>
                <c:pt idx="91">
                  <c:v>31577.91</c:v>
                </c:pt>
                <c:pt idx="92">
                  <c:v>22559.72</c:v>
                </c:pt>
                <c:pt idx="93">
                  <c:v>28962.720000000001</c:v>
                </c:pt>
                <c:pt idx="94">
                  <c:v>34628.480000000003</c:v>
                </c:pt>
                <c:pt idx="95">
                  <c:v>17405.95</c:v>
                </c:pt>
                <c:pt idx="96">
                  <c:v>29339.84</c:v>
                </c:pt>
                <c:pt idx="97">
                  <c:v>32027.81</c:v>
                </c:pt>
                <c:pt idx="98">
                  <c:v>17736.47</c:v>
                </c:pt>
                <c:pt idx="99">
                  <c:v>37638.800000000003</c:v>
                </c:pt>
                <c:pt idx="100">
                  <c:v>37309.42</c:v>
                </c:pt>
                <c:pt idx="101">
                  <c:v>17679.009999999998</c:v>
                </c:pt>
                <c:pt idx="102">
                  <c:v>15649.48</c:v>
                </c:pt>
                <c:pt idx="103">
                  <c:v>22258</c:v>
                </c:pt>
                <c:pt idx="104">
                  <c:v>16389.48</c:v>
                </c:pt>
                <c:pt idx="105">
                  <c:v>15354.48</c:v>
                </c:pt>
                <c:pt idx="106">
                  <c:v>17278.77</c:v>
                </c:pt>
                <c:pt idx="107">
                  <c:v>17108.95</c:v>
                </c:pt>
                <c:pt idx="108">
                  <c:v>17865.73</c:v>
                </c:pt>
                <c:pt idx="109">
                  <c:v>16358.07</c:v>
                </c:pt>
                <c:pt idx="110">
                  <c:v>17273.86</c:v>
                </c:pt>
                <c:pt idx="111">
                  <c:v>16746.02</c:v>
                </c:pt>
                <c:pt idx="112">
                  <c:v>15083.26</c:v>
                </c:pt>
                <c:pt idx="113">
                  <c:v>14606.01</c:v>
                </c:pt>
                <c:pt idx="114">
                  <c:v>15929.92</c:v>
                </c:pt>
                <c:pt idx="115">
                  <c:v>21425.35</c:v>
                </c:pt>
                <c:pt idx="116">
                  <c:v>20372.419999999998</c:v>
                </c:pt>
                <c:pt idx="117">
                  <c:v>21669.22</c:v>
                </c:pt>
                <c:pt idx="118">
                  <c:v>24333.03</c:v>
                </c:pt>
                <c:pt idx="119">
                  <c:v>30375.61</c:v>
                </c:pt>
                <c:pt idx="120">
                  <c:v>41383.230000000003</c:v>
                </c:pt>
                <c:pt idx="121">
                  <c:v>48816.02</c:v>
                </c:pt>
                <c:pt idx="122">
                  <c:v>53189.5</c:v>
                </c:pt>
              </c:numCache>
            </c:numRef>
          </c:val>
          <c:smooth val="0"/>
          <c:extLst>
            <c:ext xmlns:c16="http://schemas.microsoft.com/office/drawing/2014/chart" uri="{C3380CC4-5D6E-409C-BE32-E72D297353CC}">
              <c16:uniqueId val="{00000000-6C35-4111-BDAC-79E451863F7B}"/>
            </c:ext>
          </c:extLst>
        </c:ser>
        <c:dLbls>
          <c:showLegendKey val="0"/>
          <c:showVal val="0"/>
          <c:showCatName val="0"/>
          <c:showSerName val="0"/>
          <c:showPercent val="0"/>
          <c:showBubbleSize val="0"/>
        </c:dLbls>
        <c:marker val="1"/>
        <c:smooth val="0"/>
        <c:axId val="1774207632"/>
        <c:axId val="1774208464"/>
      </c:lineChart>
      <c:lineChart>
        <c:grouping val="standard"/>
        <c:varyColors val="0"/>
        <c:ser>
          <c:idx val="1"/>
          <c:order val="1"/>
          <c:tx>
            <c:strRef>
              <c:f>'Ekonomska neizvesnost WEO25'!$N$7</c:f>
              <c:strCache>
                <c:ptCount val="1"/>
                <c:pt idx="0">
                  <c:v>Неизвесност трговинске политике (десна скала)</c:v>
                </c:pt>
              </c:strCache>
            </c:strRef>
          </c:tx>
          <c:spPr>
            <a:ln w="15875" cap="rnd">
              <a:solidFill>
                <a:srgbClr val="9E0000"/>
              </a:solidFill>
              <a:round/>
            </a:ln>
            <a:effectLst/>
          </c:spPr>
          <c:marker>
            <c:symbol val="none"/>
          </c:marker>
          <c:cat>
            <c:strRef>
              <c:f>'Ekonomska neizvesnost WEO25'!$K$9:$K$130</c:f>
              <c:strCache>
                <c:ptCount val="97"/>
                <c:pt idx="0">
                  <c:v>Јан 2015</c:v>
                </c:pt>
                <c:pt idx="24">
                  <c:v>Јан 17</c:v>
                </c:pt>
                <c:pt idx="48">
                  <c:v>Јан 19</c:v>
                </c:pt>
                <c:pt idx="72">
                  <c:v>Јан 21</c:v>
                </c:pt>
                <c:pt idx="96">
                  <c:v>Јан 23</c:v>
                </c:pt>
              </c:strCache>
            </c:strRef>
          </c:cat>
          <c:val>
            <c:numRef>
              <c:f>'Ekonomska neizvesnost WEO25'!$N$9:$N$131</c:f>
              <c:numCache>
                <c:formatCode>0.0</c:formatCode>
                <c:ptCount val="123"/>
                <c:pt idx="0">
                  <c:v>26.613</c:v>
                </c:pt>
                <c:pt idx="1">
                  <c:v>25.193000000000001</c:v>
                </c:pt>
                <c:pt idx="2">
                  <c:v>20.874000000000002</c:v>
                </c:pt>
                <c:pt idx="3">
                  <c:v>21.368000000000002</c:v>
                </c:pt>
                <c:pt idx="4">
                  <c:v>43.44</c:v>
                </c:pt>
                <c:pt idx="5">
                  <c:v>44.503999999999998</c:v>
                </c:pt>
                <c:pt idx="6">
                  <c:v>26.479000000000003</c:v>
                </c:pt>
                <c:pt idx="7">
                  <c:v>35.422999999999995</c:v>
                </c:pt>
                <c:pt idx="8">
                  <c:v>29.248000000000001</c:v>
                </c:pt>
                <c:pt idx="9">
                  <c:v>53.253</c:v>
                </c:pt>
                <c:pt idx="10">
                  <c:v>30.721</c:v>
                </c:pt>
                <c:pt idx="11">
                  <c:v>31.822000000000003</c:v>
                </c:pt>
                <c:pt idx="12">
                  <c:v>36.033999999999999</c:v>
                </c:pt>
                <c:pt idx="13">
                  <c:v>32.207999999999998</c:v>
                </c:pt>
                <c:pt idx="14">
                  <c:v>54.326999999999998</c:v>
                </c:pt>
                <c:pt idx="15">
                  <c:v>46.850999999999999</c:v>
                </c:pt>
                <c:pt idx="16">
                  <c:v>57.421999999999997</c:v>
                </c:pt>
                <c:pt idx="17">
                  <c:v>74.692000000000007</c:v>
                </c:pt>
                <c:pt idx="18">
                  <c:v>46.107999999999997</c:v>
                </c:pt>
                <c:pt idx="19">
                  <c:v>43.670999999999999</c:v>
                </c:pt>
                <c:pt idx="20">
                  <c:v>44.245999999999995</c:v>
                </c:pt>
                <c:pt idx="21">
                  <c:v>50.460999999999999</c:v>
                </c:pt>
                <c:pt idx="22">
                  <c:v>111.29700000000001</c:v>
                </c:pt>
                <c:pt idx="23">
                  <c:v>105.839</c:v>
                </c:pt>
                <c:pt idx="24">
                  <c:v>166.42099999999999</c:v>
                </c:pt>
                <c:pt idx="25">
                  <c:v>122.703</c:v>
                </c:pt>
                <c:pt idx="26">
                  <c:v>90.582999999999998</c:v>
                </c:pt>
                <c:pt idx="27">
                  <c:v>97.093000000000004</c:v>
                </c:pt>
                <c:pt idx="28">
                  <c:v>54.455999999999996</c:v>
                </c:pt>
                <c:pt idx="29">
                  <c:v>60.116</c:v>
                </c:pt>
                <c:pt idx="30">
                  <c:v>65.978000000000009</c:v>
                </c:pt>
                <c:pt idx="31">
                  <c:v>54.826000000000001</c:v>
                </c:pt>
                <c:pt idx="32">
                  <c:v>51.305</c:v>
                </c:pt>
                <c:pt idx="33">
                  <c:v>47.738</c:v>
                </c:pt>
                <c:pt idx="34">
                  <c:v>44.03</c:v>
                </c:pt>
                <c:pt idx="35">
                  <c:v>46.753</c:v>
                </c:pt>
                <c:pt idx="36">
                  <c:v>73.215000000000003</c:v>
                </c:pt>
                <c:pt idx="37">
                  <c:v>57.03</c:v>
                </c:pt>
                <c:pt idx="38">
                  <c:v>260.55599999999998</c:v>
                </c:pt>
                <c:pt idx="39">
                  <c:v>174.209</c:v>
                </c:pt>
                <c:pt idx="40">
                  <c:v>152.25</c:v>
                </c:pt>
                <c:pt idx="41">
                  <c:v>228.624</c:v>
                </c:pt>
                <c:pt idx="42">
                  <c:v>246.38200000000001</c:v>
                </c:pt>
                <c:pt idx="43">
                  <c:v>225.82900000000001</c:v>
                </c:pt>
                <c:pt idx="44">
                  <c:v>150.10900000000001</c:v>
                </c:pt>
                <c:pt idx="45">
                  <c:v>155.208</c:v>
                </c:pt>
                <c:pt idx="46">
                  <c:v>144.83199999999999</c:v>
                </c:pt>
                <c:pt idx="47">
                  <c:v>164.64600000000002</c:v>
                </c:pt>
                <c:pt idx="48">
                  <c:v>141.71100000000001</c:v>
                </c:pt>
                <c:pt idx="49">
                  <c:v>127.47200000000001</c:v>
                </c:pt>
                <c:pt idx="50">
                  <c:v>94.097999999999999</c:v>
                </c:pt>
                <c:pt idx="51">
                  <c:v>91.160000000000011</c:v>
                </c:pt>
                <c:pt idx="52">
                  <c:v>189.79400000000001</c:v>
                </c:pt>
                <c:pt idx="53">
                  <c:v>266.005</c:v>
                </c:pt>
                <c:pt idx="54">
                  <c:v>145.11500000000001</c:v>
                </c:pt>
                <c:pt idx="55">
                  <c:v>254.221</c:v>
                </c:pt>
                <c:pt idx="56">
                  <c:v>136.93200000000002</c:v>
                </c:pt>
                <c:pt idx="57">
                  <c:v>139.267</c:v>
                </c:pt>
                <c:pt idx="58">
                  <c:v>119.836</c:v>
                </c:pt>
                <c:pt idx="59">
                  <c:v>146.316</c:v>
                </c:pt>
                <c:pt idx="60">
                  <c:v>139.64099999999999</c:v>
                </c:pt>
                <c:pt idx="61">
                  <c:v>95.738</c:v>
                </c:pt>
                <c:pt idx="62">
                  <c:v>61.234999999999999</c:v>
                </c:pt>
                <c:pt idx="63">
                  <c:v>55.478999999999999</c:v>
                </c:pt>
                <c:pt idx="64">
                  <c:v>66.5</c:v>
                </c:pt>
                <c:pt idx="65">
                  <c:v>59.9</c:v>
                </c:pt>
                <c:pt idx="66">
                  <c:v>57.4</c:v>
                </c:pt>
                <c:pt idx="67">
                  <c:v>67.2</c:v>
                </c:pt>
                <c:pt idx="68">
                  <c:v>67.8</c:v>
                </c:pt>
                <c:pt idx="69">
                  <c:v>70.25</c:v>
                </c:pt>
                <c:pt idx="70">
                  <c:v>69.876000000000005</c:v>
                </c:pt>
                <c:pt idx="71">
                  <c:v>98.012</c:v>
                </c:pt>
                <c:pt idx="72">
                  <c:v>75.442999999999998</c:v>
                </c:pt>
                <c:pt idx="73">
                  <c:v>36.855999999999995</c:v>
                </c:pt>
                <c:pt idx="74">
                  <c:v>46.824999999999996</c:v>
                </c:pt>
                <c:pt idx="75">
                  <c:v>47.951000000000001</c:v>
                </c:pt>
                <c:pt idx="76">
                  <c:v>49.259</c:v>
                </c:pt>
                <c:pt idx="77">
                  <c:v>49.348999999999997</c:v>
                </c:pt>
                <c:pt idx="78">
                  <c:v>57.22</c:v>
                </c:pt>
                <c:pt idx="79">
                  <c:v>39.460999999999999</c:v>
                </c:pt>
                <c:pt idx="80">
                  <c:v>51.543999999999997</c:v>
                </c:pt>
                <c:pt idx="81">
                  <c:v>56.062999999999995</c:v>
                </c:pt>
                <c:pt idx="82">
                  <c:v>48.491</c:v>
                </c:pt>
                <c:pt idx="83">
                  <c:v>37.116999999999997</c:v>
                </c:pt>
                <c:pt idx="84">
                  <c:v>46.606999999999999</c:v>
                </c:pt>
                <c:pt idx="85">
                  <c:v>54.305</c:v>
                </c:pt>
                <c:pt idx="86">
                  <c:v>53.628</c:v>
                </c:pt>
                <c:pt idx="87">
                  <c:v>41.192999999999998</c:v>
                </c:pt>
                <c:pt idx="88">
                  <c:v>63.287999999999997</c:v>
                </c:pt>
                <c:pt idx="89">
                  <c:v>74.51100000000001</c:v>
                </c:pt>
                <c:pt idx="90">
                  <c:v>67.037000000000006</c:v>
                </c:pt>
                <c:pt idx="91">
                  <c:v>65.858000000000004</c:v>
                </c:pt>
                <c:pt idx="92">
                  <c:v>48.506999999999998</c:v>
                </c:pt>
                <c:pt idx="93">
                  <c:v>46.552999999999997</c:v>
                </c:pt>
                <c:pt idx="94">
                  <c:v>49.305</c:v>
                </c:pt>
                <c:pt idx="95">
                  <c:v>48.771000000000001</c:v>
                </c:pt>
                <c:pt idx="96">
                  <c:v>52.738999999999997</c:v>
                </c:pt>
                <c:pt idx="97">
                  <c:v>43.681999999999995</c:v>
                </c:pt>
                <c:pt idx="98">
                  <c:v>65.442000000000007</c:v>
                </c:pt>
                <c:pt idx="99">
                  <c:v>33.893999999999998</c:v>
                </c:pt>
                <c:pt idx="100">
                  <c:v>59.655999999999999</c:v>
                </c:pt>
                <c:pt idx="101">
                  <c:v>52.330999999999996</c:v>
                </c:pt>
                <c:pt idx="102">
                  <c:v>63.295999999999999</c:v>
                </c:pt>
                <c:pt idx="103">
                  <c:v>59.966000000000001</c:v>
                </c:pt>
                <c:pt idx="104">
                  <c:v>63.604999999999997</c:v>
                </c:pt>
                <c:pt idx="105">
                  <c:v>44.46</c:v>
                </c:pt>
                <c:pt idx="106">
                  <c:v>40.948999999999998</c:v>
                </c:pt>
                <c:pt idx="107">
                  <c:v>65.308000000000007</c:v>
                </c:pt>
                <c:pt idx="108">
                  <c:v>69.603999999999999</c:v>
                </c:pt>
                <c:pt idx="109">
                  <c:v>62.576999999999998</c:v>
                </c:pt>
                <c:pt idx="110">
                  <c:v>82.19</c:v>
                </c:pt>
                <c:pt idx="111">
                  <c:v>90.975000000000009</c:v>
                </c:pt>
                <c:pt idx="112">
                  <c:v>94.478000000000009</c:v>
                </c:pt>
                <c:pt idx="113">
                  <c:v>89.056000000000012</c:v>
                </c:pt>
                <c:pt idx="114">
                  <c:v>101.367</c:v>
                </c:pt>
                <c:pt idx="115">
                  <c:v>98.141000000000005</c:v>
                </c:pt>
                <c:pt idx="116">
                  <c:v>128.64099999999999</c:v>
                </c:pt>
                <c:pt idx="117">
                  <c:v>147.92699999999999</c:v>
                </c:pt>
                <c:pt idx="118">
                  <c:v>373.31299999999999</c:v>
                </c:pt>
                <c:pt idx="119">
                  <c:v>247.67600000000002</c:v>
                </c:pt>
                <c:pt idx="120">
                  <c:v>360.892</c:v>
                </c:pt>
                <c:pt idx="121">
                  <c:v>469.77199999999999</c:v>
                </c:pt>
                <c:pt idx="122">
                  <c:v>603.07799999999997</c:v>
                </c:pt>
              </c:numCache>
            </c:numRef>
          </c:val>
          <c:smooth val="0"/>
          <c:extLst>
            <c:ext xmlns:c16="http://schemas.microsoft.com/office/drawing/2014/chart" uri="{C3380CC4-5D6E-409C-BE32-E72D297353CC}">
              <c16:uniqueId val="{00000001-6C35-4111-BDAC-79E451863F7B}"/>
            </c:ext>
          </c:extLst>
        </c:ser>
        <c:ser>
          <c:idx val="2"/>
          <c:order val="2"/>
          <c:tx>
            <c:strRef>
              <c:f>'Ekonomska neizvesnost WEO25'!$O$7</c:f>
              <c:strCache>
                <c:ptCount val="1"/>
                <c:pt idx="0">
                  <c:v>Неизвесност економске политике (десна скала)</c:v>
                </c:pt>
              </c:strCache>
            </c:strRef>
          </c:tx>
          <c:spPr>
            <a:ln w="15875" cap="rnd">
              <a:solidFill>
                <a:schemeClr val="accent4"/>
              </a:solidFill>
              <a:round/>
            </a:ln>
            <a:effectLst/>
          </c:spPr>
          <c:marker>
            <c:symbol val="none"/>
          </c:marker>
          <c:cat>
            <c:strRef>
              <c:f>'Ekonomska neizvesnost WEO25'!$K$9:$K$130</c:f>
              <c:strCache>
                <c:ptCount val="97"/>
                <c:pt idx="0">
                  <c:v>Јан 2015</c:v>
                </c:pt>
                <c:pt idx="24">
                  <c:v>Јан 17</c:v>
                </c:pt>
                <c:pt idx="48">
                  <c:v>Јан 19</c:v>
                </c:pt>
                <c:pt idx="72">
                  <c:v>Јан 21</c:v>
                </c:pt>
                <c:pt idx="96">
                  <c:v>Јан 23</c:v>
                </c:pt>
              </c:strCache>
            </c:strRef>
          </c:cat>
          <c:val>
            <c:numRef>
              <c:f>'Ekonomska neizvesnost WEO25'!$O$9:$O$131</c:f>
              <c:numCache>
                <c:formatCode>0.0</c:formatCode>
                <c:ptCount val="123"/>
                <c:pt idx="0">
                  <c:v>142.34300000000002</c:v>
                </c:pt>
                <c:pt idx="1">
                  <c:v>118.64400000000001</c:v>
                </c:pt>
                <c:pt idx="2">
                  <c:v>106.571</c:v>
                </c:pt>
                <c:pt idx="3">
                  <c:v>100.77900000000001</c:v>
                </c:pt>
                <c:pt idx="4">
                  <c:v>103.01700000000001</c:v>
                </c:pt>
                <c:pt idx="5">
                  <c:v>115.21600000000001</c:v>
                </c:pt>
                <c:pt idx="6">
                  <c:v>127.94</c:v>
                </c:pt>
                <c:pt idx="7">
                  <c:v>129.72499999999999</c:v>
                </c:pt>
                <c:pt idx="8">
                  <c:v>177.85300000000001</c:v>
                </c:pt>
                <c:pt idx="9">
                  <c:v>125.699</c:v>
                </c:pt>
                <c:pt idx="10">
                  <c:v>100.506</c:v>
                </c:pt>
                <c:pt idx="11">
                  <c:v>116.44</c:v>
                </c:pt>
                <c:pt idx="12">
                  <c:v>146.256</c:v>
                </c:pt>
                <c:pt idx="13">
                  <c:v>155.10599999999999</c:v>
                </c:pt>
                <c:pt idx="14">
                  <c:v>169.20400000000001</c:v>
                </c:pt>
                <c:pt idx="15">
                  <c:v>147.721</c:v>
                </c:pt>
                <c:pt idx="16">
                  <c:v>130.61199999999999</c:v>
                </c:pt>
                <c:pt idx="17">
                  <c:v>235.441</c:v>
                </c:pt>
                <c:pt idx="18">
                  <c:v>227.83600000000001</c:v>
                </c:pt>
                <c:pt idx="19">
                  <c:v>146.23699999999999</c:v>
                </c:pt>
                <c:pt idx="20">
                  <c:v>154.12700000000001</c:v>
                </c:pt>
                <c:pt idx="21">
                  <c:v>131.20699999999999</c:v>
                </c:pt>
                <c:pt idx="22">
                  <c:v>241.61100000000002</c:v>
                </c:pt>
                <c:pt idx="23">
                  <c:v>231.309</c:v>
                </c:pt>
                <c:pt idx="24">
                  <c:v>275.05199999999996</c:v>
                </c:pt>
                <c:pt idx="25">
                  <c:v>207.73500000000001</c:v>
                </c:pt>
                <c:pt idx="26">
                  <c:v>245.63900000000001</c:v>
                </c:pt>
                <c:pt idx="27">
                  <c:v>181.42600000000002</c:v>
                </c:pt>
                <c:pt idx="28">
                  <c:v>167.30600000000001</c:v>
                </c:pt>
                <c:pt idx="29">
                  <c:v>170.63300000000001</c:v>
                </c:pt>
                <c:pt idx="30">
                  <c:v>150.12</c:v>
                </c:pt>
                <c:pt idx="31">
                  <c:v>141.001</c:v>
                </c:pt>
                <c:pt idx="32">
                  <c:v>160.68700000000001</c:v>
                </c:pt>
                <c:pt idx="33">
                  <c:v>155.67000000000002</c:v>
                </c:pt>
                <c:pt idx="34">
                  <c:v>160.51500000000001</c:v>
                </c:pt>
                <c:pt idx="35">
                  <c:v>154.78100000000001</c:v>
                </c:pt>
                <c:pt idx="36">
                  <c:v>146.404</c:v>
                </c:pt>
                <c:pt idx="37">
                  <c:v>127.00200000000001</c:v>
                </c:pt>
                <c:pt idx="38">
                  <c:v>162.834</c:v>
                </c:pt>
                <c:pt idx="39">
                  <c:v>161.95500000000001</c:v>
                </c:pt>
                <c:pt idx="40">
                  <c:v>175.38200000000001</c:v>
                </c:pt>
                <c:pt idx="41">
                  <c:v>177.47</c:v>
                </c:pt>
                <c:pt idx="42">
                  <c:v>228.67400000000001</c:v>
                </c:pt>
                <c:pt idx="43">
                  <c:v>188.28200000000001</c:v>
                </c:pt>
                <c:pt idx="44">
                  <c:v>205.51300000000001</c:v>
                </c:pt>
                <c:pt idx="45">
                  <c:v>231.65700000000001</c:v>
                </c:pt>
                <c:pt idx="46">
                  <c:v>260.267</c:v>
                </c:pt>
                <c:pt idx="47">
                  <c:v>274.49099999999999</c:v>
                </c:pt>
                <c:pt idx="48">
                  <c:v>263.334</c:v>
                </c:pt>
                <c:pt idx="49">
                  <c:v>213.44900000000001</c:v>
                </c:pt>
                <c:pt idx="50">
                  <c:v>259.88799999999998</c:v>
                </c:pt>
                <c:pt idx="51">
                  <c:v>202.08700000000002</c:v>
                </c:pt>
                <c:pt idx="52">
                  <c:v>255.46100000000001</c:v>
                </c:pt>
                <c:pt idx="53">
                  <c:v>337.49699999999996</c:v>
                </c:pt>
                <c:pt idx="54">
                  <c:v>270.96699999999998</c:v>
                </c:pt>
                <c:pt idx="55">
                  <c:v>320.72399999999999</c:v>
                </c:pt>
                <c:pt idx="56">
                  <c:v>290.07099999999997</c:v>
                </c:pt>
                <c:pt idx="57">
                  <c:v>273.21699999999998</c:v>
                </c:pt>
                <c:pt idx="58">
                  <c:v>267.17499999999995</c:v>
                </c:pt>
                <c:pt idx="59">
                  <c:v>281.608</c:v>
                </c:pt>
                <c:pt idx="60">
                  <c:v>238.87700000000001</c:v>
                </c:pt>
                <c:pt idx="61">
                  <c:v>235.45500000000001</c:v>
                </c:pt>
                <c:pt idx="62">
                  <c:v>354.613</c:v>
                </c:pt>
                <c:pt idx="63">
                  <c:v>366.97899999999998</c:v>
                </c:pt>
                <c:pt idx="64">
                  <c:v>436.65899999999999</c:v>
                </c:pt>
                <c:pt idx="65">
                  <c:v>342.04499999999996</c:v>
                </c:pt>
                <c:pt idx="66">
                  <c:v>350.06099999999998</c:v>
                </c:pt>
                <c:pt idx="67">
                  <c:v>313.01599999999996</c:v>
                </c:pt>
                <c:pt idx="68">
                  <c:v>298.73199999999997</c:v>
                </c:pt>
                <c:pt idx="69">
                  <c:v>310.32</c:v>
                </c:pt>
                <c:pt idx="70">
                  <c:v>378.61899999999997</c:v>
                </c:pt>
                <c:pt idx="71">
                  <c:v>301.18699999999995</c:v>
                </c:pt>
                <c:pt idx="72">
                  <c:v>287.81099999999998</c:v>
                </c:pt>
                <c:pt idx="73">
                  <c:v>220.495</c:v>
                </c:pt>
                <c:pt idx="74">
                  <c:v>220.798</c:v>
                </c:pt>
                <c:pt idx="75">
                  <c:v>207.66400000000002</c:v>
                </c:pt>
                <c:pt idx="76">
                  <c:v>195.80199999999999</c:v>
                </c:pt>
                <c:pt idx="77">
                  <c:v>187.06800000000001</c:v>
                </c:pt>
                <c:pt idx="78">
                  <c:v>205.869</c:v>
                </c:pt>
                <c:pt idx="79">
                  <c:v>222.62</c:v>
                </c:pt>
                <c:pt idx="80">
                  <c:v>208.364</c:v>
                </c:pt>
                <c:pt idx="81">
                  <c:v>200.36700000000002</c:v>
                </c:pt>
                <c:pt idx="82">
                  <c:v>228.654</c:v>
                </c:pt>
                <c:pt idx="83">
                  <c:v>270.18199999999996</c:v>
                </c:pt>
                <c:pt idx="84">
                  <c:v>240.11</c:v>
                </c:pt>
                <c:pt idx="85">
                  <c:v>201.78200000000001</c:v>
                </c:pt>
                <c:pt idx="86">
                  <c:v>337.71699999999998</c:v>
                </c:pt>
                <c:pt idx="87">
                  <c:v>322.29299999999995</c:v>
                </c:pt>
                <c:pt idx="88">
                  <c:v>302.42599999999999</c:v>
                </c:pt>
                <c:pt idx="89">
                  <c:v>291.63499999999999</c:v>
                </c:pt>
                <c:pt idx="90">
                  <c:v>327.56899999999996</c:v>
                </c:pt>
                <c:pt idx="91">
                  <c:v>262.17899999999997</c:v>
                </c:pt>
                <c:pt idx="92">
                  <c:v>288.14799999999997</c:v>
                </c:pt>
                <c:pt idx="93">
                  <c:v>306.45999999999998</c:v>
                </c:pt>
                <c:pt idx="94">
                  <c:v>345.065</c:v>
                </c:pt>
                <c:pt idx="95">
                  <c:v>277.98599999999999</c:v>
                </c:pt>
                <c:pt idx="96">
                  <c:v>261.86699999999996</c:v>
                </c:pt>
                <c:pt idx="97">
                  <c:v>260.07899999999995</c:v>
                </c:pt>
                <c:pt idx="98">
                  <c:v>328.15699999999998</c:v>
                </c:pt>
                <c:pt idx="99">
                  <c:v>249.57599999999999</c:v>
                </c:pt>
                <c:pt idx="100">
                  <c:v>230.82300000000001</c:v>
                </c:pt>
                <c:pt idx="101">
                  <c:v>243.643</c:v>
                </c:pt>
                <c:pt idx="102">
                  <c:v>241.63400000000001</c:v>
                </c:pt>
                <c:pt idx="103">
                  <c:v>228.62800000000001</c:v>
                </c:pt>
                <c:pt idx="104">
                  <c:v>262.13099999999997</c:v>
                </c:pt>
                <c:pt idx="105">
                  <c:v>239.93200000000002</c:v>
                </c:pt>
                <c:pt idx="106">
                  <c:v>264.80099999999999</c:v>
                </c:pt>
                <c:pt idx="107">
                  <c:v>284.87599999999998</c:v>
                </c:pt>
                <c:pt idx="108">
                  <c:v>244.501</c:v>
                </c:pt>
                <c:pt idx="109">
                  <c:v>215.364</c:v>
                </c:pt>
                <c:pt idx="110">
                  <c:v>183.03300000000002</c:v>
                </c:pt>
                <c:pt idx="111">
                  <c:v>192.636</c:v>
                </c:pt>
                <c:pt idx="112">
                  <c:v>210.74299999999999</c:v>
                </c:pt>
                <c:pt idx="113">
                  <c:v>224.53100000000001</c:v>
                </c:pt>
                <c:pt idx="114">
                  <c:v>243.47800000000001</c:v>
                </c:pt>
                <c:pt idx="115">
                  <c:v>240.66</c:v>
                </c:pt>
                <c:pt idx="116">
                  <c:v>233.19</c:v>
                </c:pt>
                <c:pt idx="117">
                  <c:v>234.08799999999999</c:v>
                </c:pt>
                <c:pt idx="118">
                  <c:v>380.96899999999999</c:v>
                </c:pt>
                <c:pt idx="119">
                  <c:v>394.38199999999995</c:v>
                </c:pt>
                <c:pt idx="120">
                  <c:v>460.18199999999996</c:v>
                </c:pt>
              </c:numCache>
            </c:numRef>
          </c:val>
          <c:smooth val="0"/>
          <c:extLst>
            <c:ext xmlns:c16="http://schemas.microsoft.com/office/drawing/2014/chart" uri="{C3380CC4-5D6E-409C-BE32-E72D297353CC}">
              <c16:uniqueId val="{00000002-6C35-4111-BDAC-79E451863F7B}"/>
            </c:ext>
          </c:extLst>
        </c:ser>
        <c:dLbls>
          <c:showLegendKey val="0"/>
          <c:showVal val="0"/>
          <c:showCatName val="0"/>
          <c:showSerName val="0"/>
          <c:showPercent val="0"/>
          <c:showBubbleSize val="0"/>
        </c:dLbls>
        <c:marker val="1"/>
        <c:smooth val="0"/>
        <c:axId val="1757812912"/>
        <c:axId val="1757811664"/>
      </c:lineChart>
      <c:catAx>
        <c:axId val="1774207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 spcFirstLastPara="1" vertOverflow="ellipsis"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774208464"/>
        <c:crosses val="autoZero"/>
        <c:auto val="1"/>
        <c:lblAlgn val="ctr"/>
        <c:lblOffset val="100"/>
        <c:noMultiLvlLbl val="0"/>
      </c:catAx>
      <c:valAx>
        <c:axId val="17742084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774207632"/>
        <c:crosses val="autoZero"/>
        <c:crossBetween val="between"/>
      </c:valAx>
      <c:valAx>
        <c:axId val="1757811664"/>
        <c:scaling>
          <c:orientation val="minMax"/>
          <c:max val="70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757812912"/>
        <c:crosses val="max"/>
        <c:crossBetween val="between"/>
        <c:majorUnit val="100"/>
      </c:valAx>
      <c:catAx>
        <c:axId val="1757812912"/>
        <c:scaling>
          <c:orientation val="minMax"/>
        </c:scaling>
        <c:delete val="1"/>
        <c:axPos val="b"/>
        <c:numFmt formatCode="General" sourceLinked="1"/>
        <c:majorTickMark val="out"/>
        <c:minorTickMark val="none"/>
        <c:tickLblPos val="nextTo"/>
        <c:crossAx val="1757811664"/>
        <c:crosses val="autoZero"/>
        <c:auto val="1"/>
        <c:lblAlgn val="ctr"/>
        <c:lblOffset val="100"/>
        <c:noMultiLvlLbl val="0"/>
      </c:catAx>
      <c:spPr>
        <a:noFill/>
        <a:ln>
          <a:noFill/>
        </a:ln>
        <a:effectLst/>
      </c:spPr>
    </c:plotArea>
    <c:legend>
      <c:legendPos val="b"/>
      <c:layout>
        <c:manualLayout>
          <c:xMode val="edge"/>
          <c:yMode val="edge"/>
          <c:x val="3.1370297462817151E-2"/>
          <c:y val="0.82234623982872346"/>
          <c:w val="0.9582745168217609"/>
          <c:h val="0.16495252908201288"/>
        </c:manualLayout>
      </c:layout>
      <c:overlay val="0"/>
      <c:spPr>
        <a:noFill/>
        <a:ln>
          <a:noFill/>
        </a:ln>
        <a:effectLst/>
      </c:spPr>
      <c:txPr>
        <a:bodyPr rot="0" spcFirstLastPara="1" vertOverflow="ellipsis" vert="horz" wrap="square" anchor="ctr" anchorCtr="1"/>
        <a:lstStyle/>
        <a:p>
          <a:pPr>
            <a:defRPr sz="6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410569105691"/>
          <c:y val="5.8005314731772131E-2"/>
          <c:w val="0.83454945799457991"/>
          <c:h val="0.60627480775429388"/>
        </c:manualLayout>
      </c:layout>
      <c:lineChart>
        <c:grouping val="standard"/>
        <c:varyColors val="0"/>
        <c:ser>
          <c:idx val="0"/>
          <c:order val="0"/>
          <c:tx>
            <c:strRef>
              <c:f>'Commodities 2'!$K$113</c:f>
              <c:strCache>
                <c:ptCount val="1"/>
              </c:strCache>
            </c:strRef>
          </c:tx>
          <c:spPr>
            <a:ln w="22225" cap="rnd">
              <a:solidFill>
                <a:srgbClr val="00A651"/>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2'!$K$115:$K$124</c:f>
              <c:numCache>
                <c:formatCode>0.0</c:formatCode>
                <c:ptCount val="10"/>
                <c:pt idx="0">
                  <c:v>100</c:v>
                </c:pt>
                <c:pt idx="1">
                  <c:v>101.73694273925733</c:v>
                </c:pt>
                <c:pt idx="2">
                  <c:v>129.16775686827012</c:v>
                </c:pt>
                <c:pt idx="3">
                  <c:v>148.3365200764818</c:v>
                </c:pt>
                <c:pt idx="4">
                  <c:v>138.31639327764918</c:v>
                </c:pt>
                <c:pt idx="5">
                  <c:v>131.0596759585388</c:v>
                </c:pt>
                <c:pt idx="6">
                  <c:v>125.12126396296668</c:v>
                </c:pt>
                <c:pt idx="7">
                  <c:v>125.49360974137062</c:v>
                </c:pt>
                <c:pt idx="8">
                  <c:v>125.69789674952199</c:v>
                </c:pt>
                <c:pt idx="9">
                  <c:v>125.69789674952199</c:v>
                </c:pt>
              </c:numCache>
            </c:numRef>
          </c:val>
          <c:smooth val="0"/>
          <c:extLst>
            <c:ext xmlns:c16="http://schemas.microsoft.com/office/drawing/2014/chart" uri="{C3380CC4-5D6E-409C-BE32-E72D297353CC}">
              <c16:uniqueId val="{00000000-4D07-4128-AE77-3F44A4658AA4}"/>
            </c:ext>
          </c:extLst>
        </c:ser>
        <c:ser>
          <c:idx val="1"/>
          <c:order val="1"/>
          <c:tx>
            <c:strRef>
              <c:f>'Commodities 2'!$L$113</c:f>
              <c:strCache>
                <c:ptCount val="1"/>
              </c:strCache>
            </c:strRef>
          </c:tx>
          <c:spPr>
            <a:ln w="22225" cap="rnd">
              <a:solidFill>
                <a:srgbClr val="EC008C"/>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2'!$L$115:$L$124</c:f>
              <c:numCache>
                <c:formatCode>0.0</c:formatCode>
                <c:ptCount val="10"/>
                <c:pt idx="0">
                  <c:v>100</c:v>
                </c:pt>
                <c:pt idx="1">
                  <c:v>103.46585870529117</c:v>
                </c:pt>
                <c:pt idx="2">
                  <c:v>151.79796039018626</c:v>
                </c:pt>
                <c:pt idx="3">
                  <c:v>143.28628436299144</c:v>
                </c:pt>
                <c:pt idx="4">
                  <c:v>139.33490984333432</c:v>
                </c:pt>
                <c:pt idx="5">
                  <c:v>138.98906296186817</c:v>
                </c:pt>
                <c:pt idx="6">
                  <c:v>136.36934673366835</c:v>
                </c:pt>
                <c:pt idx="7">
                  <c:v>136.73219036358265</c:v>
                </c:pt>
                <c:pt idx="8">
                  <c:v>137.18445167011529</c:v>
                </c:pt>
                <c:pt idx="9">
                  <c:v>137.89683712681054</c:v>
                </c:pt>
              </c:numCache>
            </c:numRef>
          </c:val>
          <c:smooth val="0"/>
          <c:extLst>
            <c:ext xmlns:c16="http://schemas.microsoft.com/office/drawing/2014/chart" uri="{C3380CC4-5D6E-409C-BE32-E72D297353CC}">
              <c16:uniqueId val="{00000001-4D07-4128-AE77-3F44A4658AA4}"/>
            </c:ext>
          </c:extLst>
        </c:ser>
        <c:ser>
          <c:idx val="2"/>
          <c:order val="2"/>
          <c:tx>
            <c:strRef>
              <c:f>'Commodities 2'!$M$113</c:f>
              <c:strCache>
                <c:ptCount val="1"/>
              </c:strCache>
            </c:strRef>
          </c:tx>
          <c:spPr>
            <a:ln w="22225" cap="rnd">
              <a:solidFill>
                <a:srgbClr val="003891"/>
              </a:solidFill>
              <a:prstDash val="sysDot"/>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2'!$M$115:$M$124</c:f>
              <c:numCache>
                <c:formatCode>0.0</c:formatCode>
                <c:ptCount val="10"/>
                <c:pt idx="0">
                  <c:v>100</c:v>
                </c:pt>
                <c:pt idx="1">
                  <c:v>67.984943361711103</c:v>
                </c:pt>
                <c:pt idx="2">
                  <c:v>112.70738056708647</c:v>
                </c:pt>
                <c:pt idx="3">
                  <c:v>156.808555547738</c:v>
                </c:pt>
                <c:pt idx="4">
                  <c:v>131.21156687539576</c:v>
                </c:pt>
                <c:pt idx="5">
                  <c:v>132.35910785900234</c:v>
                </c:pt>
                <c:pt idx="6">
                  <c:v>118.57524801238304</c:v>
                </c:pt>
                <c:pt idx="7">
                  <c:v>114.31576725532963</c:v>
                </c:pt>
                <c:pt idx="8">
                  <c:v>111.61049743192852</c:v>
                </c:pt>
                <c:pt idx="9">
                  <c:v>110.03447548019419</c:v>
                </c:pt>
              </c:numCache>
            </c:numRef>
          </c:val>
          <c:smooth val="0"/>
          <c:extLst>
            <c:ext xmlns:c16="http://schemas.microsoft.com/office/drawing/2014/chart" uri="{C3380CC4-5D6E-409C-BE32-E72D297353CC}">
              <c16:uniqueId val="{00000002-4D07-4128-AE77-3F44A4658AA4}"/>
            </c:ext>
          </c:extLst>
        </c:ser>
        <c:ser>
          <c:idx val="3"/>
          <c:order val="3"/>
          <c:tx>
            <c:strRef>
              <c:f>'Commodities 2'!$N$113</c:f>
              <c:strCache>
                <c:ptCount val="1"/>
              </c:strCache>
            </c:strRef>
          </c:tx>
          <c:spPr>
            <a:ln w="22225" cap="rnd">
              <a:solidFill>
                <a:srgbClr val="00A651"/>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2'!$N$115:$N$124</c:f>
              <c:numCache>
                <c:formatCode>0.0</c:formatCode>
                <c:ptCount val="10"/>
                <c:pt idx="0">
                  <c:v>100</c:v>
                </c:pt>
                <c:pt idx="1">
                  <c:v>101.73694273925733</c:v>
                </c:pt>
                <c:pt idx="2">
                  <c:v>129.16775686827012</c:v>
                </c:pt>
                <c:pt idx="3">
                  <c:v>148.3365200764818</c:v>
                </c:pt>
                <c:pt idx="4">
                  <c:v>138.31739961759081</c:v>
                </c:pt>
                <c:pt idx="5">
                  <c:v>133.98611250880546</c:v>
                </c:pt>
                <c:pt idx="6">
                  <c:v>129.14259836972931</c:v>
                </c:pt>
                <c:pt idx="7">
                  <c:v>129.2180738653517</c:v>
                </c:pt>
                <c:pt idx="8">
                  <c:v>129.02686927644157</c:v>
                </c:pt>
                <c:pt idx="9">
                  <c:v>129.04498339539097</c:v>
                </c:pt>
              </c:numCache>
            </c:numRef>
          </c:val>
          <c:smooth val="0"/>
          <c:extLst>
            <c:ext xmlns:c16="http://schemas.microsoft.com/office/drawing/2014/chart" uri="{C3380CC4-5D6E-409C-BE32-E72D297353CC}">
              <c16:uniqueId val="{00000003-4D07-4128-AE77-3F44A4658AA4}"/>
            </c:ext>
          </c:extLst>
        </c:ser>
        <c:ser>
          <c:idx val="4"/>
          <c:order val="4"/>
          <c:tx>
            <c:strRef>
              <c:f>'Commodities 2'!$O$113</c:f>
              <c:strCache>
                <c:ptCount val="1"/>
              </c:strCache>
            </c:strRef>
          </c:tx>
          <c:spPr>
            <a:ln w="22225" cap="rnd">
              <a:solidFill>
                <a:srgbClr val="EC008C"/>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2'!$O$115:$O$124</c:f>
              <c:numCache>
                <c:formatCode>0.0</c:formatCode>
                <c:ptCount val="10"/>
                <c:pt idx="0">
                  <c:v>100</c:v>
                </c:pt>
                <c:pt idx="1">
                  <c:v>103.46585870529117</c:v>
                </c:pt>
                <c:pt idx="2">
                  <c:v>151.79796039018626</c:v>
                </c:pt>
                <c:pt idx="3">
                  <c:v>143.28628436299144</c:v>
                </c:pt>
                <c:pt idx="4">
                  <c:v>139.33490984333432</c:v>
                </c:pt>
                <c:pt idx="5">
                  <c:v>136.67528820573457</c:v>
                </c:pt>
                <c:pt idx="6">
                  <c:v>131.1454330475909</c:v>
                </c:pt>
                <c:pt idx="7">
                  <c:v>128.06237067691399</c:v>
                </c:pt>
                <c:pt idx="8">
                  <c:v>128.72376588826486</c:v>
                </c:pt>
                <c:pt idx="9">
                  <c:v>130.03103754064441</c:v>
                </c:pt>
              </c:numCache>
            </c:numRef>
          </c:val>
          <c:smooth val="0"/>
          <c:extLst>
            <c:ext xmlns:c16="http://schemas.microsoft.com/office/drawing/2014/chart" uri="{C3380CC4-5D6E-409C-BE32-E72D297353CC}">
              <c16:uniqueId val="{00000004-4D07-4128-AE77-3F44A4658AA4}"/>
            </c:ext>
          </c:extLst>
        </c:ser>
        <c:ser>
          <c:idx val="5"/>
          <c:order val="5"/>
          <c:tx>
            <c:strRef>
              <c:f>'Commodities 2'!$P$113</c:f>
              <c:strCache>
                <c:ptCount val="1"/>
              </c:strCache>
            </c:strRef>
          </c:tx>
          <c:spPr>
            <a:ln w="22225" cap="rnd">
              <a:solidFill>
                <a:srgbClr val="003891"/>
              </a:solidFill>
              <a:round/>
            </a:ln>
            <a:effectLst/>
          </c:spPr>
          <c:marker>
            <c:symbol val="none"/>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2'!$P$115:$P$124</c:f>
              <c:numCache>
                <c:formatCode>0.0</c:formatCode>
                <c:ptCount val="10"/>
                <c:pt idx="0">
                  <c:v>100</c:v>
                </c:pt>
                <c:pt idx="1">
                  <c:v>67.984943361711103</c:v>
                </c:pt>
                <c:pt idx="2">
                  <c:v>112.70738056708647</c:v>
                </c:pt>
                <c:pt idx="3">
                  <c:v>156.808555547738</c:v>
                </c:pt>
                <c:pt idx="4">
                  <c:v>131.21156687539576</c:v>
                </c:pt>
                <c:pt idx="5">
                  <c:v>128.92703862660943</c:v>
                </c:pt>
                <c:pt idx="6">
                  <c:v>109.01428269893761</c:v>
                </c:pt>
                <c:pt idx="7">
                  <c:v>101.59150073876029</c:v>
                </c:pt>
                <c:pt idx="8">
                  <c:v>102.15788362766483</c:v>
                </c:pt>
                <c:pt idx="9">
                  <c:v>103.55449236614366</c:v>
                </c:pt>
              </c:numCache>
            </c:numRef>
          </c:val>
          <c:smooth val="0"/>
          <c:extLst>
            <c:ext xmlns:c16="http://schemas.microsoft.com/office/drawing/2014/chart" uri="{C3380CC4-5D6E-409C-BE32-E72D297353CC}">
              <c16:uniqueId val="{00000005-4D07-4128-AE77-3F44A4658AA4}"/>
            </c:ext>
          </c:extLst>
        </c:ser>
        <c:ser>
          <c:idx val="6"/>
          <c:order val="6"/>
          <c:tx>
            <c:strRef>
              <c:f>'Commodities 2'!$Q$113</c:f>
              <c:strCache>
                <c:ptCount val="1"/>
              </c:strCache>
            </c:strRef>
          </c:tx>
          <c:spPr>
            <a:ln w="28575" cap="rnd">
              <a:noFill/>
              <a:round/>
            </a:ln>
            <a:effectLst/>
          </c:spPr>
          <c:marker>
            <c:symbol val="square"/>
            <c:size val="2"/>
            <c:spPr>
              <a:solidFill>
                <a:schemeClr val="bg1"/>
              </a:solidFill>
              <a:ln w="9525">
                <a:noFill/>
              </a:ln>
              <a:effectLst/>
            </c:spPr>
          </c:marker>
          <c:cat>
            <c:numRef>
              <c:f>'Commodities 2'!$J$115:$J$124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'Commodities 2'!$Q$115:$Q$124</c:f>
              <c:numCache>
                <c:formatCode>General</c:formatCode>
                <c:ptCount val="10"/>
                <c:pt idx="0">
                  <c:v>60</c:v>
                </c:pt>
                <c:pt idx="1">
                  <c:v>60</c:v>
                </c:pt>
                <c:pt idx="2">
                  <c:v>60</c:v>
                </c:pt>
                <c:pt idx="3">
                  <c:v>60</c:v>
                </c:pt>
                <c:pt idx="4">
                  <c:v>60</c:v>
                </c:pt>
                <c:pt idx="5">
                  <c:v>60</c:v>
                </c:pt>
                <c:pt idx="6">
                  <c:v>60</c:v>
                </c:pt>
                <c:pt idx="7">
                  <c:v>60</c:v>
                </c:pt>
                <c:pt idx="8">
                  <c:v>60</c:v>
                </c:pt>
                <c:pt idx="9">
                  <c:v>60</c:v>
                </c:pt>
              </c:numCache>
            </c:numRef>
          </c:val>
          <c:smooth val="0"/>
          <c:extLst>
            <c:ext xmlns:c16="http://schemas.microsoft.com/office/drawing/2014/chart" uri="{C3380CC4-5D6E-409C-BE32-E72D297353CC}">
              <c16:uniqueId val="{00000006-4D07-4128-AE77-3F44A4658AA4}"/>
            </c:ext>
          </c:extLst>
        </c:ser>
        <c:dLbls>
          <c:showLegendKey val="0"/>
          <c:showVal val="0"/>
          <c:showCatName val="0"/>
          <c:showSerName val="0"/>
          <c:showPercent val="0"/>
          <c:showBubbleSize val="0"/>
        </c:dLbls>
        <c:smooth val="0"/>
        <c:axId val="1767812416"/>
        <c:axId val="1767804256"/>
      </c:lineChart>
      <c:catAx>
        <c:axId val="176781241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04256"/>
        <c:crosses val="autoZero"/>
        <c:auto val="1"/>
        <c:lblAlgn val="ctr"/>
        <c:lblOffset val="100"/>
        <c:noMultiLvlLbl val="0"/>
      </c:catAx>
      <c:valAx>
        <c:axId val="1767804256"/>
        <c:scaling>
          <c:orientation val="minMax"/>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7812416"/>
        <c:crosses val="autoZero"/>
        <c:crossBetween val="midCat"/>
        <c:majorUnit val="10"/>
      </c:valAx>
      <c:spPr>
        <a:noFill/>
        <a:ln>
          <a:noFill/>
        </a:ln>
        <a:effectLst/>
      </c:spPr>
    </c:plotArea>
    <c:legend>
      <c:legendPos val="b"/>
      <c:layout>
        <c:manualLayout>
          <c:xMode val="edge"/>
          <c:yMode val="edge"/>
          <c:x val="0.32921296296296299"/>
          <c:y val="0.87949164249205691"/>
          <c:w val="0.55453703703703705"/>
          <c:h val="0.1069415665147119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055612097101833E-2"/>
          <c:y val="5.8666642029756626E-2"/>
          <c:w val="0.86447596098653134"/>
          <c:h val="0.66094333333333333"/>
        </c:manualLayout>
      </c:layout>
      <c:lineChart>
        <c:grouping val="standard"/>
        <c:varyColors val="0"/>
        <c:ser>
          <c:idx val="0"/>
          <c:order val="0"/>
          <c:tx>
            <c:strRef>
              <c:f>'NBS kretanje referentne ks'!$J$10</c:f>
              <c:strCache>
                <c:ptCount val="1"/>
                <c:pt idx="0">
                  <c:v>САД</c:v>
                </c:pt>
              </c:strCache>
            </c:strRef>
          </c:tx>
          <c:spPr>
            <a:ln w="22225" cap="rnd">
              <a:solidFill>
                <a:srgbClr val="00A651"/>
              </a:solidFill>
              <a:round/>
            </a:ln>
            <a:effectLst/>
          </c:spPr>
          <c:marker>
            <c:symbol val="none"/>
          </c:marker>
          <c:cat>
            <c:multiLvlStrRef>
              <c:f>'NBS kretanje referentne ks'!$H$143:$I$184</c:f>
              <c:multiLvlStrCache>
                <c:ptCount val="4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lvl>
                <c:lvl>
                  <c:pt idx="0">
                    <c:v>2022</c:v>
                  </c:pt>
                  <c:pt idx="12">
                    <c:v>2023</c:v>
                  </c:pt>
                  <c:pt idx="24">
                    <c:v>2024</c:v>
                  </c:pt>
                  <c:pt idx="36">
                    <c:v>2025</c:v>
                  </c:pt>
                </c:lvl>
              </c:multiLvlStrCache>
            </c:multiLvlStrRef>
          </c:cat>
          <c:val>
            <c:numRef>
              <c:f>'NBS kretanje referentne ks'!$J$143:$J$184</c:f>
              <c:numCache>
                <c:formatCode>0.00</c:formatCode>
                <c:ptCount val="42"/>
                <c:pt idx="0">
                  <c:v>0.25</c:v>
                </c:pt>
                <c:pt idx="1">
                  <c:v>0.25</c:v>
                </c:pt>
                <c:pt idx="2">
                  <c:v>0.5</c:v>
                </c:pt>
                <c:pt idx="3">
                  <c:v>0.5</c:v>
                </c:pt>
                <c:pt idx="4">
                  <c:v>1</c:v>
                </c:pt>
                <c:pt idx="5">
                  <c:v>1.75</c:v>
                </c:pt>
                <c:pt idx="6">
                  <c:v>2.5</c:v>
                </c:pt>
                <c:pt idx="7">
                  <c:v>2.5</c:v>
                </c:pt>
                <c:pt idx="8">
                  <c:v>3.25</c:v>
                </c:pt>
                <c:pt idx="9">
                  <c:v>3.25</c:v>
                </c:pt>
                <c:pt idx="10">
                  <c:v>4</c:v>
                </c:pt>
                <c:pt idx="11">
                  <c:v>4.5</c:v>
                </c:pt>
                <c:pt idx="12">
                  <c:v>4.5</c:v>
                </c:pt>
                <c:pt idx="13">
                  <c:v>4.75</c:v>
                </c:pt>
                <c:pt idx="14">
                  <c:v>5</c:v>
                </c:pt>
                <c:pt idx="15">
                  <c:v>5</c:v>
                </c:pt>
                <c:pt idx="16">
                  <c:v>5.25</c:v>
                </c:pt>
                <c:pt idx="17">
                  <c:v>5.25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c:v>
                </c:pt>
                <c:pt idx="33">
                  <c:v>5</c:v>
                </c:pt>
                <c:pt idx="34">
                  <c:v>4.75</c:v>
                </c:pt>
                <c:pt idx="35">
                  <c:v>4.5</c:v>
                </c:pt>
                <c:pt idx="36">
                  <c:v>4.5</c:v>
                </c:pt>
                <c:pt idx="37">
                  <c:v>4.5</c:v>
                </c:pt>
                <c:pt idx="38">
                  <c:v>4.5</c:v>
                </c:pt>
                <c:pt idx="39">
                  <c:v>4.5</c:v>
                </c:pt>
                <c:pt idx="40">
                  <c:v>4.5</c:v>
                </c:pt>
                <c:pt idx="41">
                  <c:v>4.5</c:v>
                </c:pt>
              </c:numCache>
            </c:numRef>
          </c:val>
          <c:smooth val="0"/>
          <c:extLst>
            <c:ext xmlns:c16="http://schemas.microsoft.com/office/drawing/2014/chart" uri="{C3380CC4-5D6E-409C-BE32-E72D297353CC}">
              <c16:uniqueId val="{00000000-6578-4DEB-B73E-B43B70E68B65}"/>
            </c:ext>
          </c:extLst>
        </c:ser>
        <c:ser>
          <c:idx val="1"/>
          <c:order val="1"/>
          <c:tx>
            <c:strRef>
              <c:f>'NBS kretanje referentne ks'!$K$10</c:f>
              <c:strCache>
                <c:ptCount val="1"/>
                <c:pt idx="0">
                  <c:v>Еврозона</c:v>
                </c:pt>
              </c:strCache>
            </c:strRef>
          </c:tx>
          <c:spPr>
            <a:ln w="22225" cap="rnd">
              <a:solidFill>
                <a:srgbClr val="7F3F98"/>
              </a:solidFill>
              <a:round/>
            </a:ln>
            <a:effectLst/>
          </c:spPr>
          <c:marker>
            <c:symbol val="none"/>
          </c:marker>
          <c:cat>
            <c:multiLvlStrRef>
              <c:f>'NBS kretanje referentne ks'!$H$143:$I$184</c:f>
              <c:multiLvlStrCache>
                <c:ptCount val="4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lvl>
                <c:lvl>
                  <c:pt idx="0">
                    <c:v>2022</c:v>
                  </c:pt>
                  <c:pt idx="12">
                    <c:v>2023</c:v>
                  </c:pt>
                  <c:pt idx="24">
                    <c:v>2024</c:v>
                  </c:pt>
                  <c:pt idx="36">
                    <c:v>2025</c:v>
                  </c:pt>
                </c:lvl>
              </c:multiLvlStrCache>
            </c:multiLvlStrRef>
          </c:cat>
          <c:val>
            <c:numRef>
              <c:f>'NBS kretanje referentne ks'!$K$143:$K$184</c:f>
              <c:numCache>
                <c:formatCode>0.00</c:formatCode>
                <c:ptCount val="42"/>
                <c:pt idx="0">
                  <c:v>0</c:v>
                </c:pt>
                <c:pt idx="1">
                  <c:v>0</c:v>
                </c:pt>
                <c:pt idx="2">
                  <c:v>0</c:v>
                </c:pt>
                <c:pt idx="3">
                  <c:v>0</c:v>
                </c:pt>
                <c:pt idx="4">
                  <c:v>0</c:v>
                </c:pt>
                <c:pt idx="5">
                  <c:v>0</c:v>
                </c:pt>
                <c:pt idx="6">
                  <c:v>0.5</c:v>
                </c:pt>
                <c:pt idx="7">
                  <c:v>0.5</c:v>
                </c:pt>
                <c:pt idx="8">
                  <c:v>1.25</c:v>
                </c:pt>
                <c:pt idx="9">
                  <c:v>1.25</c:v>
                </c:pt>
                <c:pt idx="10">
                  <c:v>2</c:v>
                </c:pt>
                <c:pt idx="11">
                  <c:v>2.5</c:v>
                </c:pt>
                <c:pt idx="12">
                  <c:v>2.5</c:v>
                </c:pt>
                <c:pt idx="13">
                  <c:v>3</c:v>
                </c:pt>
                <c:pt idx="14">
                  <c:v>3.5</c:v>
                </c:pt>
                <c:pt idx="15">
                  <c:v>3.5</c:v>
                </c:pt>
                <c:pt idx="16">
                  <c:v>3.75</c:v>
                </c:pt>
                <c:pt idx="17">
                  <c:v>4</c:v>
                </c:pt>
                <c:pt idx="18">
                  <c:v>4.25</c:v>
                </c:pt>
                <c:pt idx="19">
                  <c:v>4.25</c:v>
                </c:pt>
                <c:pt idx="20">
                  <c:v>4.5</c:v>
                </c:pt>
                <c:pt idx="21">
                  <c:v>4.5</c:v>
                </c:pt>
                <c:pt idx="22">
                  <c:v>4.5</c:v>
                </c:pt>
                <c:pt idx="23">
                  <c:v>4.5</c:v>
                </c:pt>
                <c:pt idx="24">
                  <c:v>4.5</c:v>
                </c:pt>
                <c:pt idx="25">
                  <c:v>4.5</c:v>
                </c:pt>
                <c:pt idx="26">
                  <c:v>4.5</c:v>
                </c:pt>
                <c:pt idx="27">
                  <c:v>4.5</c:v>
                </c:pt>
                <c:pt idx="28">
                  <c:v>4.5</c:v>
                </c:pt>
                <c:pt idx="29">
                  <c:v>4.25</c:v>
                </c:pt>
                <c:pt idx="30">
                  <c:v>4.25</c:v>
                </c:pt>
                <c:pt idx="31">
                  <c:v>4.25</c:v>
                </c:pt>
                <c:pt idx="32">
                  <c:v>3.65</c:v>
                </c:pt>
                <c:pt idx="33">
                  <c:v>3.4</c:v>
                </c:pt>
                <c:pt idx="34">
                  <c:v>3.4</c:v>
                </c:pt>
                <c:pt idx="35">
                  <c:v>3.15</c:v>
                </c:pt>
                <c:pt idx="36">
                  <c:v>3.15</c:v>
                </c:pt>
                <c:pt idx="37">
                  <c:v>2.9</c:v>
                </c:pt>
                <c:pt idx="38">
                  <c:v>2.65</c:v>
                </c:pt>
                <c:pt idx="39">
                  <c:v>2.4</c:v>
                </c:pt>
                <c:pt idx="40">
                  <c:v>2.4</c:v>
                </c:pt>
                <c:pt idx="41">
                  <c:v>2.15</c:v>
                </c:pt>
              </c:numCache>
            </c:numRef>
          </c:val>
          <c:smooth val="0"/>
          <c:extLst>
            <c:ext xmlns:c16="http://schemas.microsoft.com/office/drawing/2014/chart" uri="{C3380CC4-5D6E-409C-BE32-E72D297353CC}">
              <c16:uniqueId val="{00000001-6578-4DEB-B73E-B43B70E68B65}"/>
            </c:ext>
          </c:extLst>
        </c:ser>
        <c:ser>
          <c:idx val="2"/>
          <c:order val="2"/>
          <c:tx>
            <c:strRef>
              <c:f>'NBS kretanje referentne ks'!$L$10</c:f>
              <c:strCache>
                <c:ptCount val="1"/>
                <c:pt idx="0">
                  <c:v>Велика Британија</c:v>
                </c:pt>
              </c:strCache>
            </c:strRef>
          </c:tx>
          <c:spPr>
            <a:ln w="22225" cap="rnd">
              <a:solidFill>
                <a:srgbClr val="EC008C"/>
              </a:solidFill>
              <a:round/>
            </a:ln>
            <a:effectLst/>
          </c:spPr>
          <c:marker>
            <c:symbol val="none"/>
          </c:marker>
          <c:cat>
            <c:multiLvlStrRef>
              <c:f>'NBS kretanje referentne ks'!$H$143:$I$184</c:f>
              <c:multiLvlStrCache>
                <c:ptCount val="42"/>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lvl>
                <c:lvl>
                  <c:pt idx="0">
                    <c:v>2022</c:v>
                  </c:pt>
                  <c:pt idx="12">
                    <c:v>2023</c:v>
                  </c:pt>
                  <c:pt idx="24">
                    <c:v>2024</c:v>
                  </c:pt>
                  <c:pt idx="36">
                    <c:v>2025</c:v>
                  </c:pt>
                </c:lvl>
              </c:multiLvlStrCache>
            </c:multiLvlStrRef>
          </c:cat>
          <c:val>
            <c:numRef>
              <c:f>'NBS kretanje referentne ks'!$L$143:$L$184</c:f>
              <c:numCache>
                <c:formatCode>0.00</c:formatCode>
                <c:ptCount val="42"/>
                <c:pt idx="0">
                  <c:v>0.25</c:v>
                </c:pt>
                <c:pt idx="1">
                  <c:v>0.5</c:v>
                </c:pt>
                <c:pt idx="2">
                  <c:v>0.75</c:v>
                </c:pt>
                <c:pt idx="3">
                  <c:v>0.75</c:v>
                </c:pt>
                <c:pt idx="4">
                  <c:v>1</c:v>
                </c:pt>
                <c:pt idx="5">
                  <c:v>1.25</c:v>
                </c:pt>
                <c:pt idx="6">
                  <c:v>1.25</c:v>
                </c:pt>
                <c:pt idx="7">
                  <c:v>1.75</c:v>
                </c:pt>
                <c:pt idx="8">
                  <c:v>2.25</c:v>
                </c:pt>
                <c:pt idx="9">
                  <c:v>2.25</c:v>
                </c:pt>
                <c:pt idx="10">
                  <c:v>3</c:v>
                </c:pt>
                <c:pt idx="11">
                  <c:v>3.5</c:v>
                </c:pt>
                <c:pt idx="12">
                  <c:v>3.5</c:v>
                </c:pt>
                <c:pt idx="13">
                  <c:v>4</c:v>
                </c:pt>
                <c:pt idx="14">
                  <c:v>4.25</c:v>
                </c:pt>
                <c:pt idx="15">
                  <c:v>4.25</c:v>
                </c:pt>
                <c:pt idx="16">
                  <c:v>4.5</c:v>
                </c:pt>
                <c:pt idx="17">
                  <c:v>5</c:v>
                </c:pt>
                <c:pt idx="18">
                  <c:v>5</c:v>
                </c:pt>
                <c:pt idx="19">
                  <c:v>5.25</c:v>
                </c:pt>
                <c:pt idx="20">
                  <c:v>5.25</c:v>
                </c:pt>
                <c:pt idx="21">
                  <c:v>5.25</c:v>
                </c:pt>
                <c:pt idx="22">
                  <c:v>5.25</c:v>
                </c:pt>
                <c:pt idx="23">
                  <c:v>5.25</c:v>
                </c:pt>
                <c:pt idx="24">
                  <c:v>5.25</c:v>
                </c:pt>
                <c:pt idx="25">
                  <c:v>5.25</c:v>
                </c:pt>
                <c:pt idx="26">
                  <c:v>5.25</c:v>
                </c:pt>
                <c:pt idx="27">
                  <c:v>5.25</c:v>
                </c:pt>
                <c:pt idx="28">
                  <c:v>5.25</c:v>
                </c:pt>
                <c:pt idx="29">
                  <c:v>5.25</c:v>
                </c:pt>
                <c:pt idx="30">
                  <c:v>5.25</c:v>
                </c:pt>
                <c:pt idx="31">
                  <c:v>5</c:v>
                </c:pt>
                <c:pt idx="32">
                  <c:v>5</c:v>
                </c:pt>
                <c:pt idx="33">
                  <c:v>5</c:v>
                </c:pt>
                <c:pt idx="34">
                  <c:v>4.75</c:v>
                </c:pt>
                <c:pt idx="35">
                  <c:v>4.75</c:v>
                </c:pt>
                <c:pt idx="36">
                  <c:v>4.75</c:v>
                </c:pt>
                <c:pt idx="37">
                  <c:v>4.5</c:v>
                </c:pt>
                <c:pt idx="38">
                  <c:v>4.5</c:v>
                </c:pt>
                <c:pt idx="39">
                  <c:v>4.5</c:v>
                </c:pt>
                <c:pt idx="40">
                  <c:v>4.25</c:v>
                </c:pt>
                <c:pt idx="41">
                  <c:v>4.25</c:v>
                </c:pt>
              </c:numCache>
            </c:numRef>
          </c:val>
          <c:smooth val="0"/>
          <c:extLst>
            <c:ext xmlns:c16="http://schemas.microsoft.com/office/drawing/2014/chart" uri="{C3380CC4-5D6E-409C-BE32-E72D297353CC}">
              <c16:uniqueId val="{00000002-6578-4DEB-B73E-B43B70E68B65}"/>
            </c:ext>
          </c:extLst>
        </c:ser>
        <c:dLbls>
          <c:showLegendKey val="0"/>
          <c:showVal val="0"/>
          <c:showCatName val="0"/>
          <c:showSerName val="0"/>
          <c:showPercent val="0"/>
          <c:showBubbleSize val="0"/>
        </c:dLbls>
        <c:smooth val="0"/>
        <c:axId val="1425258495"/>
        <c:axId val="1425258911"/>
      </c:lineChart>
      <c:catAx>
        <c:axId val="1425258495"/>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911"/>
        <c:crosses val="autoZero"/>
        <c:auto val="1"/>
        <c:lblAlgn val="ctr"/>
        <c:lblOffset val="100"/>
        <c:tickMarkSkip val="1"/>
        <c:noMultiLvlLbl val="1"/>
      </c:catAx>
      <c:valAx>
        <c:axId val="1425258911"/>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425258495"/>
        <c:crosses val="autoZero"/>
        <c:crossBetween val="between"/>
        <c:majorUnit val="2"/>
      </c:valAx>
      <c:spPr>
        <a:noFill/>
        <a:ln>
          <a:noFill/>
        </a:ln>
        <a:effectLst/>
      </c:spPr>
    </c:plotArea>
    <c:legend>
      <c:legendPos val="b"/>
      <c:layout>
        <c:manualLayout>
          <c:xMode val="edge"/>
          <c:yMode val="edge"/>
          <c:x val="6.0106305519149555E-2"/>
          <c:y val="0.90279486428431943"/>
          <c:w val="0.89288044269695666"/>
          <c:h val="8.033844395235949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2965050169756509E-2"/>
          <c:y val="3.9470652263859096E-2"/>
          <c:w val="0.91452855959424695"/>
          <c:h val="0.83714218422777997"/>
        </c:manualLayout>
      </c:layout>
      <c:areaChart>
        <c:grouping val="stacked"/>
        <c:varyColors val="0"/>
        <c:ser>
          <c:idx val="0"/>
          <c:order val="0"/>
          <c:tx>
            <c:strRef>
              <c:f>'Global fan charts'!$C$49</c:f>
              <c:strCache>
                <c:ptCount val="1"/>
                <c:pt idx="0">
                  <c:v>5</c:v>
                </c:pt>
              </c:strCache>
            </c:strRef>
          </c:tx>
          <c:spPr>
            <a:noFill/>
            <a:ln>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charts'!$D$49:$L$49</c:f>
              <c:numCache>
                <c:formatCode>General</c:formatCode>
                <c:ptCount val="9"/>
                <c:pt idx="2" formatCode="#,##0.00">
                  <c:v>3.3</c:v>
                </c:pt>
                <c:pt idx="3" formatCode="#,##0.00">
                  <c:v>0.1</c:v>
                </c:pt>
                <c:pt idx="4" formatCode="#,##0.00">
                  <c:v>0.2</c:v>
                </c:pt>
                <c:pt idx="5" formatCode="#,##0.00">
                  <c:v>0.5</c:v>
                </c:pt>
                <c:pt idx="6" formatCode="#,##0.00">
                  <c:v>0.5</c:v>
                </c:pt>
                <c:pt idx="7" formatCode="#,##0.00">
                  <c:v>0.6</c:v>
                </c:pt>
                <c:pt idx="8" formatCode="#,##0.00">
                  <c:v>0.5</c:v>
                </c:pt>
              </c:numCache>
            </c:numRef>
          </c:val>
          <c:extLst>
            <c:ext xmlns:c16="http://schemas.microsoft.com/office/drawing/2014/chart" uri="{C3380CC4-5D6E-409C-BE32-E72D297353CC}">
              <c16:uniqueId val="{00000000-E2B2-4DB1-AFDF-EE26EADE37EA}"/>
            </c:ext>
          </c:extLst>
        </c:ser>
        <c:ser>
          <c:idx val="1"/>
          <c:order val="1"/>
          <c:tx>
            <c:strRef>
              <c:f>'Global fan charts'!$C$48</c:f>
              <c:strCache>
                <c:ptCount val="1"/>
                <c:pt idx="0">
                  <c:v>10</c:v>
                </c:pt>
              </c:strCache>
            </c:strRef>
          </c:tx>
          <c:spPr>
            <a:solidFill>
              <a:schemeClr val="accent1">
                <a:lumMod val="50000"/>
                <a:alpha val="2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charts'!$D$48:$L$48</c:f>
              <c:numCache>
                <c:formatCode>General</c:formatCode>
                <c:ptCount val="9"/>
                <c:pt idx="2" formatCode="#,##0.00">
                  <c:v>0</c:v>
                </c:pt>
                <c:pt idx="3" formatCode="#,##0.00">
                  <c:v>0.5</c:v>
                </c:pt>
                <c:pt idx="4" formatCode="#,##0.00">
                  <c:v>0.60000000000000009</c:v>
                </c:pt>
                <c:pt idx="5" formatCode="#,##0.00">
                  <c:v>0.60000000000000009</c:v>
                </c:pt>
                <c:pt idx="6" formatCode="#,##0.00">
                  <c:v>0.7</c:v>
                </c:pt>
                <c:pt idx="7" formatCode="#,##0.00">
                  <c:v>0.6</c:v>
                </c:pt>
                <c:pt idx="8" formatCode="#,##0.00">
                  <c:v>0.7</c:v>
                </c:pt>
              </c:numCache>
            </c:numRef>
          </c:val>
          <c:extLst>
            <c:ext xmlns:c16="http://schemas.microsoft.com/office/drawing/2014/chart" uri="{C3380CC4-5D6E-409C-BE32-E72D297353CC}">
              <c16:uniqueId val="{00000001-E2B2-4DB1-AFDF-EE26EADE37EA}"/>
            </c:ext>
          </c:extLst>
        </c:ser>
        <c:ser>
          <c:idx val="2"/>
          <c:order val="2"/>
          <c:tx>
            <c:strRef>
              <c:f>'Global fan charts'!$C$47</c:f>
              <c:strCache>
                <c:ptCount val="1"/>
                <c:pt idx="0">
                  <c:v>15</c:v>
                </c:pt>
              </c:strCache>
            </c:strRef>
          </c:tx>
          <c:spPr>
            <a:solidFill>
              <a:schemeClr val="accent1">
                <a:lumMod val="50000"/>
                <a:alpha val="3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charts'!$D$47:$L$47</c:f>
              <c:numCache>
                <c:formatCode>General</c:formatCode>
                <c:ptCount val="9"/>
                <c:pt idx="2" formatCode="#,##0.00">
                  <c:v>0</c:v>
                </c:pt>
                <c:pt idx="3" formatCode="#,##0.00">
                  <c:v>0.50000000000000011</c:v>
                </c:pt>
                <c:pt idx="4" formatCode="#,##0.00">
                  <c:v>0.39999999999999991</c:v>
                </c:pt>
                <c:pt idx="5" formatCode="#,##0.00">
                  <c:v>0.39999999999999991</c:v>
                </c:pt>
                <c:pt idx="6" formatCode="#,##0.00">
                  <c:v>0.40000000000000013</c:v>
                </c:pt>
                <c:pt idx="7" formatCode="#,##0.00">
                  <c:v>0.40000000000000013</c:v>
                </c:pt>
                <c:pt idx="8" formatCode="#,##0.00">
                  <c:v>0.40000000000000013</c:v>
                </c:pt>
              </c:numCache>
            </c:numRef>
          </c:val>
          <c:extLst>
            <c:ext xmlns:c16="http://schemas.microsoft.com/office/drawing/2014/chart" uri="{C3380CC4-5D6E-409C-BE32-E72D297353CC}">
              <c16:uniqueId val="{00000002-E2B2-4DB1-AFDF-EE26EADE37EA}"/>
            </c:ext>
          </c:extLst>
        </c:ser>
        <c:ser>
          <c:idx val="3"/>
          <c:order val="3"/>
          <c:tx>
            <c:strRef>
              <c:f>'Global fan charts'!$C$46</c:f>
              <c:strCache>
                <c:ptCount val="1"/>
                <c:pt idx="0">
                  <c:v>20</c:v>
                </c:pt>
              </c:strCache>
            </c:strRef>
          </c:tx>
          <c:spPr>
            <a:solidFill>
              <a:schemeClr val="accent1">
                <a:lumMod val="50000"/>
                <a:alpha val="4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charts'!$D$46:$L$46</c:f>
              <c:numCache>
                <c:formatCode>General</c:formatCode>
                <c:ptCount val="9"/>
                <c:pt idx="2" formatCode="#,##0.00">
                  <c:v>0</c:v>
                </c:pt>
                <c:pt idx="3" formatCode="#,##0.00">
                  <c:v>0.5</c:v>
                </c:pt>
                <c:pt idx="4" formatCode="#,##0.00">
                  <c:v>0.40000000000000013</c:v>
                </c:pt>
                <c:pt idx="5" formatCode="#,##0.00">
                  <c:v>0.39999999999999991</c:v>
                </c:pt>
                <c:pt idx="6" formatCode="#,##0.00">
                  <c:v>0.39999999999999991</c:v>
                </c:pt>
                <c:pt idx="7" formatCode="#,##0.00">
                  <c:v>0.39999999999999991</c:v>
                </c:pt>
                <c:pt idx="8" formatCode="#,##0.00">
                  <c:v>0.39999999999999991</c:v>
                </c:pt>
              </c:numCache>
            </c:numRef>
          </c:val>
          <c:extLst>
            <c:ext xmlns:c16="http://schemas.microsoft.com/office/drawing/2014/chart" uri="{C3380CC4-5D6E-409C-BE32-E72D297353CC}">
              <c16:uniqueId val="{00000003-E2B2-4DB1-AFDF-EE26EADE37EA}"/>
            </c:ext>
          </c:extLst>
        </c:ser>
        <c:ser>
          <c:idx val="4"/>
          <c:order val="4"/>
          <c:tx>
            <c:strRef>
              <c:f>'Global fan charts'!$C$45</c:f>
              <c:strCache>
                <c:ptCount val="1"/>
                <c:pt idx="0">
                  <c:v>25</c:v>
                </c:pt>
              </c:strCache>
            </c:strRef>
          </c:tx>
          <c:spPr>
            <a:solidFill>
              <a:schemeClr val="accent1">
                <a:lumMod val="50000"/>
                <a:alpha val="5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charts'!$D$45:$L$45</c:f>
              <c:numCache>
                <c:formatCode>General</c:formatCode>
                <c:ptCount val="9"/>
                <c:pt idx="2" formatCode="#,##0.00">
                  <c:v>0</c:v>
                </c:pt>
                <c:pt idx="3" formatCode="#,##0.00">
                  <c:v>0.29999999999999982</c:v>
                </c:pt>
                <c:pt idx="4" formatCode="#,##0.00">
                  <c:v>0.29999999999999982</c:v>
                </c:pt>
                <c:pt idx="5" formatCode="#,##0.00">
                  <c:v>0.30000000000000027</c:v>
                </c:pt>
                <c:pt idx="6" formatCode="#,##0.00">
                  <c:v>0.29999999999999982</c:v>
                </c:pt>
                <c:pt idx="7" formatCode="#,##0.00">
                  <c:v>0.29999999999999982</c:v>
                </c:pt>
                <c:pt idx="8" formatCode="#,##0.00">
                  <c:v>0.29999999999999982</c:v>
                </c:pt>
              </c:numCache>
            </c:numRef>
          </c:val>
          <c:extLst>
            <c:ext xmlns:c16="http://schemas.microsoft.com/office/drawing/2014/chart" uri="{C3380CC4-5D6E-409C-BE32-E72D297353CC}">
              <c16:uniqueId val="{00000004-E2B2-4DB1-AFDF-EE26EADE37EA}"/>
            </c:ext>
          </c:extLst>
        </c:ser>
        <c:ser>
          <c:idx val="5"/>
          <c:order val="5"/>
          <c:tx>
            <c:strRef>
              <c:f>'Global fan charts'!$C$44</c:f>
              <c:strCache>
                <c:ptCount val="1"/>
                <c:pt idx="0">
                  <c:v>30</c:v>
                </c:pt>
              </c:strCache>
            </c:strRef>
          </c:tx>
          <c:spPr>
            <a:solidFill>
              <a:schemeClr val="accent1">
                <a:lumMod val="50000"/>
                <a:alpha val="6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charts'!$D$44:$L$44</c:f>
              <c:numCache>
                <c:formatCode>General</c:formatCode>
                <c:ptCount val="9"/>
                <c:pt idx="2" formatCode="#,##0.00">
                  <c:v>0</c:v>
                </c:pt>
                <c:pt idx="3" formatCode="#,##0.00">
                  <c:v>0.20000000000000018</c:v>
                </c:pt>
                <c:pt idx="4" formatCode="#,##0.00">
                  <c:v>0.30000000000000027</c:v>
                </c:pt>
                <c:pt idx="5" formatCode="#,##0.00">
                  <c:v>0.19999999999999973</c:v>
                </c:pt>
                <c:pt idx="6" formatCode="#,##0.00">
                  <c:v>0.20000000000000018</c:v>
                </c:pt>
                <c:pt idx="7" formatCode="#,##0.00">
                  <c:v>0.20000000000000018</c:v>
                </c:pt>
                <c:pt idx="8" formatCode="#,##0.00">
                  <c:v>0.20000000000000018</c:v>
                </c:pt>
              </c:numCache>
            </c:numRef>
          </c:val>
          <c:extLst>
            <c:ext xmlns:c16="http://schemas.microsoft.com/office/drawing/2014/chart" uri="{C3380CC4-5D6E-409C-BE32-E72D297353CC}">
              <c16:uniqueId val="{00000005-E2B2-4DB1-AFDF-EE26EADE37EA}"/>
            </c:ext>
          </c:extLst>
        </c:ser>
        <c:ser>
          <c:idx val="6"/>
          <c:order val="6"/>
          <c:tx>
            <c:strRef>
              <c:f>'Global fan charts'!$C$43</c:f>
              <c:strCache>
                <c:ptCount val="1"/>
                <c:pt idx="0">
                  <c:v>35</c:v>
                </c:pt>
              </c:strCache>
            </c:strRef>
          </c:tx>
          <c:spPr>
            <a:solidFill>
              <a:schemeClr val="accent1">
                <a:lumMod val="50000"/>
                <a:alpha val="7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charts'!$D$43:$L$43</c:f>
              <c:numCache>
                <c:formatCode>General</c:formatCode>
                <c:ptCount val="9"/>
                <c:pt idx="2" formatCode="#,##0.00">
                  <c:v>0</c:v>
                </c:pt>
                <c:pt idx="3" formatCode="#,##0.00">
                  <c:v>0.19999999999999973</c:v>
                </c:pt>
                <c:pt idx="4" formatCode="#,##0.00">
                  <c:v>0.19999999999999973</c:v>
                </c:pt>
                <c:pt idx="5" formatCode="#,##0.00">
                  <c:v>0.20000000000000018</c:v>
                </c:pt>
                <c:pt idx="6" formatCode="#,##0.00">
                  <c:v>0.20000000000000018</c:v>
                </c:pt>
                <c:pt idx="7" formatCode="#,##0.00">
                  <c:v>0.20000000000000018</c:v>
                </c:pt>
                <c:pt idx="8" formatCode="#,##0.00">
                  <c:v>0.20000000000000018</c:v>
                </c:pt>
              </c:numCache>
            </c:numRef>
          </c:val>
          <c:extLst>
            <c:ext xmlns:c16="http://schemas.microsoft.com/office/drawing/2014/chart" uri="{C3380CC4-5D6E-409C-BE32-E72D297353CC}">
              <c16:uniqueId val="{00000006-E2B2-4DB1-AFDF-EE26EADE37EA}"/>
            </c:ext>
          </c:extLst>
        </c:ser>
        <c:ser>
          <c:idx val="7"/>
          <c:order val="7"/>
          <c:tx>
            <c:strRef>
              <c:f>'Global fan charts'!$C$42</c:f>
              <c:strCache>
                <c:ptCount val="1"/>
                <c:pt idx="0">
                  <c:v>40</c:v>
                </c:pt>
              </c:strCache>
            </c:strRef>
          </c:tx>
          <c:spPr>
            <a:solidFill>
              <a:schemeClr val="accent1">
                <a:lumMod val="50000"/>
                <a:alpha val="8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charts'!$D$42:$L$42</c:f>
              <c:numCache>
                <c:formatCode>General</c:formatCode>
                <c:ptCount val="9"/>
                <c:pt idx="2" formatCode="#,##0.00">
                  <c:v>0</c:v>
                </c:pt>
                <c:pt idx="3" formatCode="#,##0.00">
                  <c:v>0.10000000000000009</c:v>
                </c:pt>
                <c:pt idx="4" formatCode="#,##0.00">
                  <c:v>0.10000000000000009</c:v>
                </c:pt>
                <c:pt idx="5" formatCode="#,##0.00">
                  <c:v>0.19999999999999973</c:v>
                </c:pt>
                <c:pt idx="6" formatCode="#,##0.00">
                  <c:v>0.19999999999999973</c:v>
                </c:pt>
                <c:pt idx="7" formatCode="#,##0.00">
                  <c:v>0.19999999999999973</c:v>
                </c:pt>
                <c:pt idx="8" formatCode="#,##0.00">
                  <c:v>9.9999999999999645E-2</c:v>
                </c:pt>
              </c:numCache>
            </c:numRef>
          </c:val>
          <c:extLst>
            <c:ext xmlns:c16="http://schemas.microsoft.com/office/drawing/2014/chart" uri="{C3380CC4-5D6E-409C-BE32-E72D297353CC}">
              <c16:uniqueId val="{00000007-E2B2-4DB1-AFDF-EE26EADE37EA}"/>
            </c:ext>
          </c:extLst>
        </c:ser>
        <c:ser>
          <c:idx val="8"/>
          <c:order val="8"/>
          <c:tx>
            <c:strRef>
              <c:f>'Global fan charts'!$C$41</c:f>
              <c:strCache>
                <c:ptCount val="1"/>
                <c:pt idx="0">
                  <c:v>45</c:v>
                </c:pt>
              </c:strCache>
            </c:strRef>
          </c:tx>
          <c:spPr>
            <a:solidFill>
              <a:schemeClr val="accent1">
                <a:lumMod val="50000"/>
                <a:alpha val="9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charts'!$D$41:$L$41</c:f>
              <c:numCache>
                <c:formatCode>General</c:formatCode>
                <c:ptCount val="9"/>
                <c:pt idx="2" formatCode="#,##0.00">
                  <c:v>0</c:v>
                </c:pt>
                <c:pt idx="3" formatCode="#,##0.00">
                  <c:v>0.10000000000000009</c:v>
                </c:pt>
                <c:pt idx="4" formatCode="#,##0.00">
                  <c:v>0.20000000000000018</c:v>
                </c:pt>
                <c:pt idx="5" formatCode="#,##0.00">
                  <c:v>0.20000000000000018</c:v>
                </c:pt>
                <c:pt idx="6" formatCode="#,##0.00">
                  <c:v>0.20000000000000018</c:v>
                </c:pt>
                <c:pt idx="7" formatCode="#,##0.00">
                  <c:v>0.10000000000000009</c:v>
                </c:pt>
                <c:pt idx="8" formatCode="#,##0.00">
                  <c:v>0.20000000000000018</c:v>
                </c:pt>
              </c:numCache>
            </c:numRef>
          </c:val>
          <c:extLst>
            <c:ext xmlns:c16="http://schemas.microsoft.com/office/drawing/2014/chart" uri="{C3380CC4-5D6E-409C-BE32-E72D297353CC}">
              <c16:uniqueId val="{00000008-E2B2-4DB1-AFDF-EE26EADE37EA}"/>
            </c:ext>
          </c:extLst>
        </c:ser>
        <c:ser>
          <c:idx val="9"/>
          <c:order val="9"/>
          <c:tx>
            <c:strRef>
              <c:f>'Global fan charts'!$C$40</c:f>
              <c:strCache>
                <c:ptCount val="1"/>
                <c:pt idx="0">
                  <c:v>55</c:v>
                </c:pt>
              </c:strCache>
            </c:strRef>
          </c:tx>
          <c:spPr>
            <a:solidFill>
              <a:schemeClr val="accent1">
                <a:lumMod val="5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charts'!$D$40:$L$40</c:f>
              <c:numCache>
                <c:formatCode>General</c:formatCode>
                <c:ptCount val="9"/>
                <c:pt idx="2" formatCode="#,##0.00">
                  <c:v>0</c:v>
                </c:pt>
                <c:pt idx="3" formatCode="#,##0.00">
                  <c:v>0.20000000000000018</c:v>
                </c:pt>
                <c:pt idx="4" formatCode="#,##0.00">
                  <c:v>0.29999999999999982</c:v>
                </c:pt>
                <c:pt idx="5" formatCode="#,##0.00">
                  <c:v>0.29999999999999982</c:v>
                </c:pt>
                <c:pt idx="6" formatCode="#,##0.00">
                  <c:v>0.29999999999999982</c:v>
                </c:pt>
                <c:pt idx="7" formatCode="#,##0.00">
                  <c:v>0.29999999999999982</c:v>
                </c:pt>
                <c:pt idx="8" formatCode="#,##0.00">
                  <c:v>0.29999999999999982</c:v>
                </c:pt>
              </c:numCache>
            </c:numRef>
          </c:val>
          <c:extLst>
            <c:ext xmlns:c16="http://schemas.microsoft.com/office/drawing/2014/chart" uri="{C3380CC4-5D6E-409C-BE32-E72D297353CC}">
              <c16:uniqueId val="{00000009-E2B2-4DB1-AFDF-EE26EADE37EA}"/>
            </c:ext>
          </c:extLst>
        </c:ser>
        <c:ser>
          <c:idx val="10"/>
          <c:order val="10"/>
          <c:tx>
            <c:strRef>
              <c:f>'Global fan charts'!$C$39</c:f>
              <c:strCache>
                <c:ptCount val="1"/>
                <c:pt idx="0">
                  <c:v>60</c:v>
                </c:pt>
              </c:strCache>
            </c:strRef>
          </c:tx>
          <c:spPr>
            <a:solidFill>
              <a:schemeClr val="accent1">
                <a:lumMod val="50000"/>
                <a:alpha val="9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charts'!$D$39:$L$39</c:f>
              <c:numCache>
                <c:formatCode>General</c:formatCode>
                <c:ptCount val="9"/>
                <c:pt idx="2" formatCode="#,##0.00">
                  <c:v>0</c:v>
                </c:pt>
                <c:pt idx="3" formatCode="#,##0.00">
                  <c:v>0.19999999999999973</c:v>
                </c:pt>
                <c:pt idx="4" formatCode="#,##0.00">
                  <c:v>0.10000000000000009</c:v>
                </c:pt>
                <c:pt idx="5" formatCode="#,##0.00">
                  <c:v>0.10000000000000009</c:v>
                </c:pt>
                <c:pt idx="6" formatCode="#,##0.00">
                  <c:v>0.10000000000000009</c:v>
                </c:pt>
                <c:pt idx="7" formatCode="#,##0.00">
                  <c:v>0.20000000000000018</c:v>
                </c:pt>
                <c:pt idx="8" formatCode="#,##0.00">
                  <c:v>0.20000000000000018</c:v>
                </c:pt>
              </c:numCache>
            </c:numRef>
          </c:val>
          <c:extLst>
            <c:ext xmlns:c16="http://schemas.microsoft.com/office/drawing/2014/chart" uri="{C3380CC4-5D6E-409C-BE32-E72D297353CC}">
              <c16:uniqueId val="{0000000A-E2B2-4DB1-AFDF-EE26EADE37EA}"/>
            </c:ext>
          </c:extLst>
        </c:ser>
        <c:ser>
          <c:idx val="11"/>
          <c:order val="11"/>
          <c:tx>
            <c:strRef>
              <c:f>'Global fan charts'!$C$38</c:f>
              <c:strCache>
                <c:ptCount val="1"/>
                <c:pt idx="0">
                  <c:v>65</c:v>
                </c:pt>
              </c:strCache>
            </c:strRef>
          </c:tx>
          <c:spPr>
            <a:solidFill>
              <a:schemeClr val="accent1">
                <a:lumMod val="50000"/>
                <a:alpha val="8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charts'!$D$38:$L$38</c:f>
              <c:numCache>
                <c:formatCode>General</c:formatCode>
                <c:ptCount val="9"/>
                <c:pt idx="2" formatCode="#,##0.00">
                  <c:v>0</c:v>
                </c:pt>
                <c:pt idx="3" formatCode="#,##0.00">
                  <c:v>0.10000000000000009</c:v>
                </c:pt>
                <c:pt idx="4" formatCode="#,##0.00">
                  <c:v>0.19999999999999973</c:v>
                </c:pt>
                <c:pt idx="5" formatCode="#,##0.00">
                  <c:v>0.20000000000000018</c:v>
                </c:pt>
                <c:pt idx="6" formatCode="#,##0.00">
                  <c:v>0.20000000000000018</c:v>
                </c:pt>
                <c:pt idx="7" formatCode="#,##0.00">
                  <c:v>0.20000000000000018</c:v>
                </c:pt>
                <c:pt idx="8" formatCode="#,##0.00">
                  <c:v>0.10000000000000009</c:v>
                </c:pt>
              </c:numCache>
            </c:numRef>
          </c:val>
          <c:extLst>
            <c:ext xmlns:c16="http://schemas.microsoft.com/office/drawing/2014/chart" uri="{C3380CC4-5D6E-409C-BE32-E72D297353CC}">
              <c16:uniqueId val="{0000000B-E2B2-4DB1-AFDF-EE26EADE37EA}"/>
            </c:ext>
          </c:extLst>
        </c:ser>
        <c:ser>
          <c:idx val="12"/>
          <c:order val="12"/>
          <c:tx>
            <c:strRef>
              <c:f>'Global fan charts'!$C$37</c:f>
              <c:strCache>
                <c:ptCount val="1"/>
                <c:pt idx="0">
                  <c:v>70</c:v>
                </c:pt>
              </c:strCache>
            </c:strRef>
          </c:tx>
          <c:spPr>
            <a:solidFill>
              <a:schemeClr val="accent1">
                <a:lumMod val="50000"/>
                <a:alpha val="7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charts'!$D$37:$L$37</c:f>
              <c:numCache>
                <c:formatCode>General</c:formatCode>
                <c:ptCount val="9"/>
                <c:pt idx="2" formatCode="#,##0.00">
                  <c:v>0</c:v>
                </c:pt>
                <c:pt idx="3" formatCode="#,##0.00">
                  <c:v>0.10000000000000009</c:v>
                </c:pt>
                <c:pt idx="4" formatCode="#,##0.00">
                  <c:v>0.10000000000000009</c:v>
                </c:pt>
                <c:pt idx="5" formatCode="#,##0.00">
                  <c:v>0.10000000000000009</c:v>
                </c:pt>
                <c:pt idx="6" formatCode="#,##0.00">
                  <c:v>9.9999999999999645E-2</c:v>
                </c:pt>
                <c:pt idx="7" formatCode="#,##0.00">
                  <c:v>9.9999999999999645E-2</c:v>
                </c:pt>
                <c:pt idx="8" formatCode="#,##0.00">
                  <c:v>0.19999999999999973</c:v>
                </c:pt>
              </c:numCache>
            </c:numRef>
          </c:val>
          <c:extLst>
            <c:ext xmlns:c16="http://schemas.microsoft.com/office/drawing/2014/chart" uri="{C3380CC4-5D6E-409C-BE32-E72D297353CC}">
              <c16:uniqueId val="{0000000C-E2B2-4DB1-AFDF-EE26EADE37EA}"/>
            </c:ext>
          </c:extLst>
        </c:ser>
        <c:ser>
          <c:idx val="13"/>
          <c:order val="13"/>
          <c:tx>
            <c:strRef>
              <c:f>'Global fan charts'!$C$36</c:f>
              <c:strCache>
                <c:ptCount val="1"/>
                <c:pt idx="0">
                  <c:v>75</c:v>
                </c:pt>
              </c:strCache>
            </c:strRef>
          </c:tx>
          <c:spPr>
            <a:solidFill>
              <a:schemeClr val="accent1">
                <a:lumMod val="50000"/>
                <a:alpha val="6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charts'!$D$36:$L$36</c:f>
              <c:numCache>
                <c:formatCode>General</c:formatCode>
                <c:ptCount val="9"/>
                <c:pt idx="2" formatCode="#,##0.00">
                  <c:v>0</c:v>
                </c:pt>
                <c:pt idx="3" formatCode="#,##0.00">
                  <c:v>0.19999999999999973</c:v>
                </c:pt>
                <c:pt idx="4" formatCode="#,##0.00">
                  <c:v>0.20000000000000018</c:v>
                </c:pt>
                <c:pt idx="5" formatCode="#,##0.00">
                  <c:v>0.19999999999999973</c:v>
                </c:pt>
                <c:pt idx="6" formatCode="#,##0.00">
                  <c:v>0.20000000000000018</c:v>
                </c:pt>
                <c:pt idx="7" formatCode="#,##0.00">
                  <c:v>0.20000000000000018</c:v>
                </c:pt>
                <c:pt idx="8" formatCode="#,##0.00">
                  <c:v>0.20000000000000018</c:v>
                </c:pt>
              </c:numCache>
            </c:numRef>
          </c:val>
          <c:extLst>
            <c:ext xmlns:c16="http://schemas.microsoft.com/office/drawing/2014/chart" uri="{C3380CC4-5D6E-409C-BE32-E72D297353CC}">
              <c16:uniqueId val="{0000000D-E2B2-4DB1-AFDF-EE26EADE37EA}"/>
            </c:ext>
          </c:extLst>
        </c:ser>
        <c:ser>
          <c:idx val="14"/>
          <c:order val="14"/>
          <c:tx>
            <c:strRef>
              <c:f>'Global fan charts'!$C$35</c:f>
              <c:strCache>
                <c:ptCount val="1"/>
                <c:pt idx="0">
                  <c:v>80</c:v>
                </c:pt>
              </c:strCache>
            </c:strRef>
          </c:tx>
          <c:spPr>
            <a:solidFill>
              <a:schemeClr val="accent1">
                <a:lumMod val="50000"/>
                <a:alpha val="5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charts'!$D$35:$L$35</c:f>
              <c:numCache>
                <c:formatCode>General</c:formatCode>
                <c:ptCount val="9"/>
                <c:pt idx="2" formatCode="#,##0.00">
                  <c:v>0</c:v>
                </c:pt>
                <c:pt idx="3" formatCode="#,##0.00">
                  <c:v>0.10000000000000009</c:v>
                </c:pt>
                <c:pt idx="4" formatCode="#,##0.00">
                  <c:v>0.19999999999999973</c:v>
                </c:pt>
                <c:pt idx="5" formatCode="#,##0.00">
                  <c:v>0.19999999999999973</c:v>
                </c:pt>
                <c:pt idx="6" formatCode="#,##0.00">
                  <c:v>0.20000000000000018</c:v>
                </c:pt>
                <c:pt idx="7" formatCode="#,##0.00">
                  <c:v>0.20000000000000018</c:v>
                </c:pt>
                <c:pt idx="8" formatCode="#,##0.00">
                  <c:v>0.20000000000000018</c:v>
                </c:pt>
              </c:numCache>
            </c:numRef>
          </c:val>
          <c:extLst>
            <c:ext xmlns:c16="http://schemas.microsoft.com/office/drawing/2014/chart" uri="{C3380CC4-5D6E-409C-BE32-E72D297353CC}">
              <c16:uniqueId val="{0000000E-E2B2-4DB1-AFDF-EE26EADE37EA}"/>
            </c:ext>
          </c:extLst>
        </c:ser>
        <c:ser>
          <c:idx val="15"/>
          <c:order val="15"/>
          <c:tx>
            <c:strRef>
              <c:f>'Global fan charts'!$C$34</c:f>
              <c:strCache>
                <c:ptCount val="1"/>
                <c:pt idx="0">
                  <c:v>85</c:v>
                </c:pt>
              </c:strCache>
            </c:strRef>
          </c:tx>
          <c:spPr>
            <a:solidFill>
              <a:schemeClr val="accent1">
                <a:lumMod val="50000"/>
                <a:alpha val="4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charts'!$D$34:$L$34</c:f>
              <c:numCache>
                <c:formatCode>General</c:formatCode>
                <c:ptCount val="9"/>
                <c:pt idx="2" formatCode="#,##0.00">
                  <c:v>0</c:v>
                </c:pt>
                <c:pt idx="3" formatCode="#,##0.00">
                  <c:v>0.20000000000000018</c:v>
                </c:pt>
                <c:pt idx="4" formatCode="#,##0.00">
                  <c:v>0.20000000000000018</c:v>
                </c:pt>
                <c:pt idx="5" formatCode="#,##0.00">
                  <c:v>0.30000000000000071</c:v>
                </c:pt>
                <c:pt idx="6" formatCode="#,##0.00">
                  <c:v>0.29999999999999982</c:v>
                </c:pt>
                <c:pt idx="7" formatCode="#,##0.00">
                  <c:v>0.29999999999999982</c:v>
                </c:pt>
                <c:pt idx="8" formatCode="#,##0.00">
                  <c:v>0.20000000000000018</c:v>
                </c:pt>
              </c:numCache>
            </c:numRef>
          </c:val>
          <c:extLst>
            <c:ext xmlns:c16="http://schemas.microsoft.com/office/drawing/2014/chart" uri="{C3380CC4-5D6E-409C-BE32-E72D297353CC}">
              <c16:uniqueId val="{0000000F-E2B2-4DB1-AFDF-EE26EADE37EA}"/>
            </c:ext>
          </c:extLst>
        </c:ser>
        <c:ser>
          <c:idx val="16"/>
          <c:order val="16"/>
          <c:tx>
            <c:strRef>
              <c:f>'Global fan charts'!$C$33</c:f>
              <c:strCache>
                <c:ptCount val="1"/>
                <c:pt idx="0">
                  <c:v>90</c:v>
                </c:pt>
              </c:strCache>
            </c:strRef>
          </c:tx>
          <c:spPr>
            <a:solidFill>
              <a:schemeClr val="accent1">
                <a:lumMod val="50000"/>
                <a:alpha val="3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charts'!$D$33:$L$33</c:f>
              <c:numCache>
                <c:formatCode>General</c:formatCode>
                <c:ptCount val="9"/>
                <c:pt idx="2" formatCode="#,##0.00">
                  <c:v>0</c:v>
                </c:pt>
                <c:pt idx="3" formatCode="#,##0.00">
                  <c:v>0.39999999999999991</c:v>
                </c:pt>
                <c:pt idx="4" formatCode="#,##0.00">
                  <c:v>0.29999999999999982</c:v>
                </c:pt>
                <c:pt idx="5" formatCode="#,##0.00">
                  <c:v>0.29999999999999982</c:v>
                </c:pt>
                <c:pt idx="6" formatCode="#,##0.00">
                  <c:v>0.29999999999999982</c:v>
                </c:pt>
                <c:pt idx="7" formatCode="#,##0.00">
                  <c:v>0.20000000000000018</c:v>
                </c:pt>
                <c:pt idx="8" formatCode="#,##0.00">
                  <c:v>0.29999999999999982</c:v>
                </c:pt>
              </c:numCache>
            </c:numRef>
          </c:val>
          <c:extLst>
            <c:ext xmlns:c16="http://schemas.microsoft.com/office/drawing/2014/chart" uri="{C3380CC4-5D6E-409C-BE32-E72D297353CC}">
              <c16:uniqueId val="{00000010-E2B2-4DB1-AFDF-EE26EADE37EA}"/>
            </c:ext>
          </c:extLst>
        </c:ser>
        <c:ser>
          <c:idx val="17"/>
          <c:order val="17"/>
          <c:tx>
            <c:strRef>
              <c:f>'Global fan charts'!$C$32</c:f>
              <c:strCache>
                <c:ptCount val="1"/>
                <c:pt idx="0">
                  <c:v>95</c:v>
                </c:pt>
              </c:strCache>
            </c:strRef>
          </c:tx>
          <c:spPr>
            <a:solidFill>
              <a:schemeClr val="accent1">
                <a:lumMod val="50000"/>
                <a:alpha val="20000"/>
              </a:schemeClr>
            </a:solidFill>
            <a:ln w="25400">
              <a:noFill/>
            </a:ln>
            <a:effectLst/>
          </c:spPr>
          <c:cat>
            <c:numRef>
              <c:f>'Global fan charts'!$D$31:$L$31</c:f>
              <c:numCache>
                <c:formatCode>General</c:formatCode>
                <c:ptCount val="9"/>
                <c:pt idx="0">
                  <c:v>2022</c:v>
                </c:pt>
                <c:pt idx="1">
                  <c:v>2023</c:v>
                </c:pt>
                <c:pt idx="2">
                  <c:v>2024</c:v>
                </c:pt>
                <c:pt idx="3">
                  <c:v>2025</c:v>
                </c:pt>
                <c:pt idx="4">
                  <c:v>2026</c:v>
                </c:pt>
                <c:pt idx="5">
                  <c:v>2027</c:v>
                </c:pt>
                <c:pt idx="6">
                  <c:v>2028</c:v>
                </c:pt>
                <c:pt idx="7">
                  <c:v>2029</c:v>
                </c:pt>
                <c:pt idx="8">
                  <c:v>2030</c:v>
                </c:pt>
              </c:numCache>
            </c:numRef>
          </c:cat>
          <c:val>
            <c:numRef>
              <c:f>'Global fan charts'!$D$32:$L$32</c:f>
              <c:numCache>
                <c:formatCode>General</c:formatCode>
                <c:ptCount val="9"/>
                <c:pt idx="2" formatCode="#,##0.00">
                  <c:v>0</c:v>
                </c:pt>
                <c:pt idx="3" formatCode="#,##0.00">
                  <c:v>0.40000000000000036</c:v>
                </c:pt>
                <c:pt idx="4" formatCode="#,##0.00">
                  <c:v>0.5</c:v>
                </c:pt>
                <c:pt idx="5" formatCode="#,##0.00">
                  <c:v>0.5</c:v>
                </c:pt>
                <c:pt idx="6" formatCode="#,##0.00">
                  <c:v>0.5</c:v>
                </c:pt>
                <c:pt idx="7" formatCode="#,##0.00">
                  <c:v>0.5</c:v>
                </c:pt>
                <c:pt idx="8" formatCode="#,##0.00">
                  <c:v>0.5</c:v>
                </c:pt>
              </c:numCache>
            </c:numRef>
          </c:val>
          <c:extLst>
            <c:ext xmlns:c16="http://schemas.microsoft.com/office/drawing/2014/chart" uri="{C3380CC4-5D6E-409C-BE32-E72D297353CC}">
              <c16:uniqueId val="{00000011-E2B2-4DB1-AFDF-EE26EADE37EA}"/>
            </c:ext>
          </c:extLst>
        </c:ser>
        <c:dLbls>
          <c:showLegendKey val="0"/>
          <c:showVal val="0"/>
          <c:showCatName val="0"/>
          <c:showSerName val="0"/>
          <c:showPercent val="0"/>
          <c:showBubbleSize val="0"/>
        </c:dLbls>
        <c:axId val="411631183"/>
        <c:axId val="411639919"/>
      </c:areaChart>
      <c:lineChart>
        <c:grouping val="standard"/>
        <c:varyColors val="0"/>
        <c:ser>
          <c:idx val="18"/>
          <c:order val="18"/>
          <c:tx>
            <c:strRef>
              <c:f>'Global fan charts'!$C$9</c:f>
              <c:strCache>
                <c:ptCount val="1"/>
                <c:pt idx="0">
                  <c:v>WEO reference forecast</c:v>
                </c:pt>
              </c:strCache>
            </c:strRef>
          </c:tx>
          <c:spPr>
            <a:ln w="28575" cap="rnd">
              <a:solidFill>
                <a:srgbClr val="C00000"/>
              </a:solidFill>
              <a:round/>
            </a:ln>
            <a:effectLst/>
          </c:spPr>
          <c:marker>
            <c:symbol val="none"/>
          </c:marker>
          <c:val>
            <c:numRef>
              <c:f>'Global fan charts'!$D$9:$L$9</c:f>
              <c:numCache>
                <c:formatCode>General</c:formatCode>
                <c:ptCount val="9"/>
                <c:pt idx="0">
                  <c:v>3.6</c:v>
                </c:pt>
                <c:pt idx="1">
                  <c:v>3.5</c:v>
                </c:pt>
                <c:pt idx="2" formatCode="#,##0.0">
                  <c:v>3.3</c:v>
                </c:pt>
                <c:pt idx="3" formatCode="#,##0.0">
                  <c:v>2.8</c:v>
                </c:pt>
                <c:pt idx="4" formatCode="#,##0.0">
                  <c:v>3</c:v>
                </c:pt>
                <c:pt idx="5" formatCode="#,##0.0">
                  <c:v>3.2</c:v>
                </c:pt>
                <c:pt idx="6" formatCode="#,##0.0">
                  <c:v>3.2</c:v>
                </c:pt>
                <c:pt idx="7" formatCode="#,##0.0">
                  <c:v>3.2</c:v>
                </c:pt>
                <c:pt idx="8" formatCode="#,##0.0">
                  <c:v>3.1</c:v>
                </c:pt>
              </c:numCache>
            </c:numRef>
          </c:val>
          <c:smooth val="0"/>
          <c:extLst>
            <c:ext xmlns:c16="http://schemas.microsoft.com/office/drawing/2014/chart" uri="{C3380CC4-5D6E-409C-BE32-E72D297353CC}">
              <c16:uniqueId val="{00000012-E2B2-4DB1-AFDF-EE26EADE37EA}"/>
            </c:ext>
          </c:extLst>
        </c:ser>
        <c:dLbls>
          <c:showLegendKey val="0"/>
          <c:showVal val="0"/>
          <c:showCatName val="0"/>
          <c:showSerName val="0"/>
          <c:showPercent val="0"/>
          <c:showBubbleSize val="0"/>
        </c:dLbls>
        <c:marker val="1"/>
        <c:smooth val="0"/>
        <c:axId val="411631183"/>
        <c:axId val="411639919"/>
      </c:lineChart>
      <c:catAx>
        <c:axId val="411631183"/>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1639919"/>
        <c:crosses val="autoZero"/>
        <c:auto val="1"/>
        <c:lblAlgn val="ctr"/>
        <c:lblOffset val="100"/>
        <c:noMultiLvlLbl val="0"/>
      </c:catAx>
      <c:valAx>
        <c:axId val="411639919"/>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11631183"/>
        <c:crosses val="autoZero"/>
        <c:crossBetween val="between"/>
      </c:valAx>
      <c:spPr>
        <a:noFill/>
        <a:ln w="25400">
          <a:noFill/>
        </a:ln>
        <a:effectLst/>
      </c:spPr>
    </c:plotArea>
    <c:plotVisOnly val="1"/>
    <c:dispBlanksAs val="zero"/>
    <c:showDLblsOverMax val="0"/>
  </c:chart>
  <c:spPr>
    <a:solidFill>
      <a:schemeClr val="bg1"/>
    </a:solidFill>
    <a:ln w="9525" cap="flat" cmpd="sng" algn="ctr">
      <a:noFill/>
      <a:round/>
    </a:ln>
    <a:effectLst/>
  </c:spPr>
  <c:txPr>
    <a:bodyPr/>
    <a:lstStyle/>
    <a:p>
      <a:pPr>
        <a:defRPr sz="800" b="0"/>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2.026834515047983E-2"/>
          <c:w val="0.91418918918918923"/>
          <c:h val="0.82717902874893356"/>
        </c:manualLayout>
      </c:layout>
      <c:barChart>
        <c:barDir val="col"/>
        <c:grouping val="clustered"/>
        <c:varyColors val="0"/>
        <c:ser>
          <c:idx val="0"/>
          <c:order val="0"/>
          <c:tx>
            <c:strRef>
              <c:f>'Osn. makroekon. agregati'!$B$6</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9F28-4771-8187-4662F8D5160B}"/>
              </c:ext>
            </c:extLst>
          </c:dPt>
          <c:dPt>
            <c:idx val="1"/>
            <c:invertIfNegative val="0"/>
            <c:bubble3D val="0"/>
            <c:spPr>
              <a:solidFill>
                <a:srgbClr val="ED1C24"/>
              </a:solidFill>
              <a:ln>
                <a:noFill/>
              </a:ln>
              <a:effectLst/>
            </c:spPr>
            <c:extLst>
              <c:ext xmlns:c16="http://schemas.microsoft.com/office/drawing/2014/chart" uri="{C3380CC4-5D6E-409C-BE32-E72D297353CC}">
                <c16:uniqueId val="{00000003-9F28-4771-8187-4662F8D5160B}"/>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9F28-4771-8187-4662F8D5160B}"/>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9F28-4771-8187-4662F8D5160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4.2</c:v>
                </c:pt>
                <c:pt idx="1">
                  <c:v>3</c:v>
                </c:pt>
              </c:numCache>
            </c:numRef>
          </c:val>
          <c:extLst>
            <c:ext xmlns:c16="http://schemas.microsoft.com/office/drawing/2014/chart" uri="{C3380CC4-5D6E-409C-BE32-E72D297353CC}">
              <c16:uniqueId val="{00000004-9F28-4771-8187-4662F8D5160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590421037E-2"/>
          <c:y val="9.802312813542156E-3"/>
          <c:w val="0.91418918918918923"/>
          <c:h val="0.83671356788022011"/>
        </c:manualLayout>
      </c:layout>
      <c:barChart>
        <c:barDir val="col"/>
        <c:grouping val="clustered"/>
        <c:varyColors val="0"/>
        <c:ser>
          <c:idx val="0"/>
          <c:order val="0"/>
          <c:tx>
            <c:strRef>
              <c:f>'Osn. makroekon. agregati'!$B$6</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3828-4C3F-BD16-E60FCA15599E}"/>
              </c:ext>
            </c:extLst>
          </c:dPt>
          <c:dPt>
            <c:idx val="1"/>
            <c:invertIfNegative val="0"/>
            <c:bubble3D val="0"/>
            <c:spPr>
              <a:solidFill>
                <a:srgbClr val="ED1C24"/>
              </a:solidFill>
              <a:ln>
                <a:noFill/>
              </a:ln>
              <a:effectLst/>
            </c:spPr>
            <c:extLst>
              <c:ext xmlns:c16="http://schemas.microsoft.com/office/drawing/2014/chart" uri="{C3380CC4-5D6E-409C-BE32-E72D297353CC}">
                <c16:uniqueId val="{00000003-3828-4C3F-BD16-E60FCA15599E}"/>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28-4C3F-BD16-E60FCA15599E}"/>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28-4C3F-BD16-E60FCA15599E}"/>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4</c:v>
                </c:pt>
                <c:pt idx="1">
                  <c:v>4.2</c:v>
                </c:pt>
              </c:numCache>
            </c:numRef>
          </c:val>
          <c:extLst>
            <c:ext xmlns:c16="http://schemas.microsoft.com/office/drawing/2014/chart" uri="{C3380CC4-5D6E-409C-BE32-E72D297353CC}">
              <c16:uniqueId val="{00000004-3828-4C3F-BD16-E60FCA15599E}"/>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agregati'!$B$7</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B7A0-47F8-9404-1FB69798D117}"/>
              </c:ext>
            </c:extLst>
          </c:dPt>
          <c:dPt>
            <c:idx val="1"/>
            <c:invertIfNegative val="0"/>
            <c:bubble3D val="0"/>
            <c:spPr>
              <a:solidFill>
                <a:srgbClr val="ED1C24"/>
              </a:solidFill>
              <a:ln>
                <a:noFill/>
              </a:ln>
              <a:effectLst/>
            </c:spPr>
            <c:extLst>
              <c:ext xmlns:c16="http://schemas.microsoft.com/office/drawing/2014/chart" uri="{C3380CC4-5D6E-409C-BE32-E72D297353CC}">
                <c16:uniqueId val="{00000003-B7A0-47F8-9404-1FB69798D117}"/>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A0-47F8-9404-1FB69798D117}"/>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A0-47F8-9404-1FB69798D11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-5.2</c:v>
                </c:pt>
                <c:pt idx="1">
                  <c:v>-5</c:v>
                </c:pt>
              </c:numCache>
            </c:numRef>
          </c:val>
          <c:extLst>
            <c:ext xmlns:c16="http://schemas.microsoft.com/office/drawing/2014/chart" uri="{C3380CC4-5D6E-409C-BE32-E72D297353CC}">
              <c16:uniqueId val="{00000004-B7A0-47F8-9404-1FB69798D117}"/>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agregati'!$B$7</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900-4E5C-88F4-CC99AD4E9C89}"/>
              </c:ext>
            </c:extLst>
          </c:dPt>
          <c:dPt>
            <c:idx val="1"/>
            <c:invertIfNegative val="0"/>
            <c:bubble3D val="0"/>
            <c:spPr>
              <a:solidFill>
                <a:srgbClr val="ED1C24"/>
              </a:solidFill>
              <a:ln>
                <a:noFill/>
              </a:ln>
              <a:effectLst/>
            </c:spPr>
            <c:extLst>
              <c:ext xmlns:c16="http://schemas.microsoft.com/office/drawing/2014/chart" uri="{C3380CC4-5D6E-409C-BE32-E72D297353CC}">
                <c16:uniqueId val="{00000003-2900-4E5C-88F4-CC99AD4E9C89}"/>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00-4E5C-88F4-CC99AD4E9C89}"/>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00-4E5C-88F4-CC99AD4E9C8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-5.4</c:v>
                </c:pt>
                <c:pt idx="1">
                  <c:v>-5.4</c:v>
                </c:pt>
              </c:numCache>
            </c:numRef>
          </c:val>
          <c:extLst>
            <c:ext xmlns:c16="http://schemas.microsoft.com/office/drawing/2014/chart" uri="{C3380CC4-5D6E-409C-BE32-E72D297353CC}">
              <c16:uniqueId val="{00000004-2900-4E5C-88F4-CC99AD4E9C89}"/>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1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userShapes r:id="rId5"/>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1.2913584665553176E-2"/>
          <c:w val="0.91418918918918923"/>
          <c:h val="0.79925634295713033"/>
        </c:manualLayout>
      </c:layout>
      <c:barChart>
        <c:barDir val="col"/>
        <c:grouping val="clustered"/>
        <c:varyColors val="0"/>
        <c:ser>
          <c:idx val="0"/>
          <c:order val="0"/>
          <c:tx>
            <c:strRef>
              <c:f>'Osn. makroekon. agregati'!$B$8</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5783-4E3D-94D1-363E3C01F30E}"/>
              </c:ext>
            </c:extLst>
          </c:dPt>
          <c:dPt>
            <c:idx val="1"/>
            <c:invertIfNegative val="0"/>
            <c:bubble3D val="0"/>
            <c:spPr>
              <a:solidFill>
                <a:srgbClr val="ED1C24"/>
              </a:solidFill>
              <a:ln>
                <a:noFill/>
              </a:ln>
              <a:effectLst/>
            </c:spPr>
            <c:extLst>
              <c:ext xmlns:c16="http://schemas.microsoft.com/office/drawing/2014/chart" uri="{C3380CC4-5D6E-409C-BE32-E72D297353CC}">
                <c16:uniqueId val="{00000003-5783-4E3D-94D1-363E3C01F30E}"/>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5783-4E3D-94D1-363E3C01F30E}"/>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5783-4E3D-94D1-363E3C01F3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3.5</c:v>
                </c:pt>
                <c:pt idx="1">
                  <c:v>4</c:v>
                </c:pt>
              </c:numCache>
            </c:numRef>
          </c:val>
          <c:extLst>
            <c:ext xmlns:c16="http://schemas.microsoft.com/office/drawing/2014/chart" uri="{C3380CC4-5D6E-409C-BE32-E72D297353CC}">
              <c16:uniqueId val="{00000004-5783-4E3D-94D1-363E3C01F30E}"/>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agregati'!$B$8</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D246-40E0-91A9-C4F0A183139F}"/>
              </c:ext>
            </c:extLst>
          </c:dPt>
          <c:dPt>
            <c:idx val="1"/>
            <c:invertIfNegative val="0"/>
            <c:bubble3D val="0"/>
            <c:spPr>
              <a:solidFill>
                <a:srgbClr val="ED1C24"/>
              </a:solidFill>
              <a:ln>
                <a:noFill/>
              </a:ln>
              <a:effectLst/>
            </c:spPr>
            <c:extLst>
              <c:ext xmlns:c16="http://schemas.microsoft.com/office/drawing/2014/chart" uri="{C3380CC4-5D6E-409C-BE32-E72D297353CC}">
                <c16:uniqueId val="{00000003-D246-40E0-91A9-C4F0A183139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D246-40E0-91A9-C4F0A183139F}"/>
                </c:ext>
              </c:extLst>
            </c:dLbl>
            <c:dLbl>
              <c:idx val="1"/>
              <c:spPr>
                <a:noFill/>
                <a:ln>
                  <a:noFill/>
                </a:ln>
                <a:effectLst/>
              </c:spPr>
              <c:txPr>
                <a:bodyPr rot="0" spcFirstLastPara="1" vertOverflow="ellipsis" vert="horz" wrap="none" lIns="38100" tIns="19050" rIns="38100" bIns="19050" anchor="ctr" anchorCtr="1">
                  <a:no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246-40E0-91A9-C4F0A183139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3.5</c:v>
                </c:pt>
                <c:pt idx="1">
                  <c:v>3.5</c:v>
                </c:pt>
              </c:numCache>
            </c:numRef>
          </c:val>
          <c:extLst>
            <c:ext xmlns:c16="http://schemas.microsoft.com/office/drawing/2014/chart" uri="{C3380CC4-5D6E-409C-BE32-E72D297353CC}">
              <c16:uniqueId val="{00000004-D246-40E0-91A9-C4F0A183139F}"/>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10"/>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0.17162162162162162"/>
          <c:w val="0.91418918918918923"/>
          <c:h val="0.82837829563684007"/>
        </c:manualLayout>
      </c:layout>
      <c:barChart>
        <c:barDir val="col"/>
        <c:grouping val="clustered"/>
        <c:varyColors val="0"/>
        <c:ser>
          <c:idx val="0"/>
          <c:order val="0"/>
          <c:tx>
            <c:strRef>
              <c:f>'Osn. makroekon. agregati'!$B$9</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FE70-40F0-A000-CAAE43BBA852}"/>
              </c:ext>
            </c:extLst>
          </c:dPt>
          <c:dPt>
            <c:idx val="1"/>
            <c:invertIfNegative val="0"/>
            <c:bubble3D val="0"/>
            <c:spPr>
              <a:solidFill>
                <a:srgbClr val="ED1C24"/>
              </a:solidFill>
              <a:ln>
                <a:noFill/>
              </a:ln>
              <a:effectLst/>
            </c:spPr>
            <c:extLst>
              <c:ext xmlns:c16="http://schemas.microsoft.com/office/drawing/2014/chart" uri="{C3380CC4-5D6E-409C-BE32-E72D297353CC}">
                <c16:uniqueId val="{00000003-FE70-40F0-A000-CAAE43BBA852}"/>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FE70-40F0-A000-CAAE43BBA852}"/>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FE70-40F0-A000-CAAE43BBA85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-3</c:v>
                </c:pt>
                <c:pt idx="1">
                  <c:v>-3</c:v>
                </c:pt>
              </c:numCache>
            </c:numRef>
          </c:val>
          <c:extLst>
            <c:ext xmlns:c16="http://schemas.microsoft.com/office/drawing/2014/chart" uri="{C3380CC4-5D6E-409C-BE32-E72D297353CC}">
              <c16:uniqueId val="{00000004-FE70-40F0-A000-CAAE43BBA852}"/>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79221347331585E-2"/>
          <c:y val="5.0925925925925923E-2"/>
          <c:w val="0.91179855643044616"/>
          <c:h val="0.48762632215883189"/>
        </c:manualLayout>
      </c:layout>
      <c:barChart>
        <c:barDir val="col"/>
        <c:grouping val="stacked"/>
        <c:varyColors val="0"/>
        <c:ser>
          <c:idx val="0"/>
          <c:order val="0"/>
          <c:tx>
            <c:strRef>
              <c:f>'WEO_ekon. rast'!$B$25</c:f>
              <c:strCache>
                <c:ptCount val="1"/>
                <c:pt idx="0">
                  <c:v>Развијене економије искључујући САД и ЕУ</c:v>
                </c:pt>
              </c:strCache>
            </c:strRef>
          </c:tx>
          <c:spPr>
            <a:solidFill>
              <a:srgbClr val="10103C"/>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rast'!$G$25:$P$25</c:f>
              <c:numCache>
                <c:formatCode>0.00</c:formatCode>
                <c:ptCount val="10"/>
                <c:pt idx="0">
                  <c:v>7.8066159999999996E-2</c:v>
                </c:pt>
                <c:pt idx="1">
                  <c:v>-0.48760771000000008</c:v>
                </c:pt>
                <c:pt idx="2">
                  <c:v>0.59615943000000016</c:v>
                </c:pt>
                <c:pt idx="3">
                  <c:v>0.28325619999999996</c:v>
                </c:pt>
                <c:pt idx="4">
                  <c:v>0.18464261999999998</c:v>
                </c:pt>
                <c:pt idx="5">
                  <c:v>0.14142875999999999</c:v>
                </c:pt>
                <c:pt idx="6">
                  <c:v>0.10974963999999998</c:v>
                </c:pt>
                <c:pt idx="7">
                  <c:v>0.12487507999999997</c:v>
                </c:pt>
                <c:pt idx="8">
                  <c:v>0.14069475000000004</c:v>
                </c:pt>
                <c:pt idx="9">
                  <c:v>0.14069475000000004</c:v>
                </c:pt>
              </c:numCache>
            </c:numRef>
          </c:val>
          <c:extLst>
            <c:ext xmlns:c16="http://schemas.microsoft.com/office/drawing/2014/chart" uri="{C3380CC4-5D6E-409C-BE32-E72D297353CC}">
              <c16:uniqueId val="{00000000-1899-42B9-A9DE-11C8204C6C0E}"/>
            </c:ext>
          </c:extLst>
        </c:ser>
        <c:ser>
          <c:idx val="1"/>
          <c:order val="1"/>
          <c:tx>
            <c:strRef>
              <c:f>'WEO_ekon. rast'!$B$26</c:f>
              <c:strCache>
                <c:ptCount val="1"/>
                <c:pt idx="0">
                  <c:v>САД</c:v>
                </c:pt>
              </c:strCache>
            </c:strRef>
          </c:tx>
          <c:spPr>
            <a:solidFill>
              <a:srgbClr val="2A489A"/>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rast'!$G$26:$P$26</c:f>
              <c:numCache>
                <c:formatCode>0.00</c:formatCode>
                <c:ptCount val="10"/>
                <c:pt idx="0">
                  <c:v>0.39793600000000007</c:v>
                </c:pt>
                <c:pt idx="1">
                  <c:v>-0.33091736999999993</c:v>
                </c:pt>
                <c:pt idx="2">
                  <c:v>0.91811964999999995</c:v>
                </c:pt>
                <c:pt idx="3">
                  <c:v>0.37712656</c:v>
                </c:pt>
                <c:pt idx="4">
                  <c:v>0.43126006000000006</c:v>
                </c:pt>
                <c:pt idx="5">
                  <c:v>0.41607275999999999</c:v>
                </c:pt>
                <c:pt idx="6">
                  <c:v>0.26926196000000002</c:v>
                </c:pt>
                <c:pt idx="7">
                  <c:v>0.25422287999999998</c:v>
                </c:pt>
                <c:pt idx="8">
                  <c:v>0.28569081000000002</c:v>
                </c:pt>
                <c:pt idx="9">
                  <c:v>0.28569081000000002</c:v>
                </c:pt>
              </c:numCache>
            </c:numRef>
          </c:val>
          <c:extLst>
            <c:ext xmlns:c16="http://schemas.microsoft.com/office/drawing/2014/chart" uri="{C3380CC4-5D6E-409C-BE32-E72D297353CC}">
              <c16:uniqueId val="{00000001-1899-42B9-A9DE-11C8204C6C0E}"/>
            </c:ext>
          </c:extLst>
        </c:ser>
        <c:ser>
          <c:idx val="2"/>
          <c:order val="2"/>
          <c:tx>
            <c:strRef>
              <c:f>'WEO_ekon. rast'!$B$27</c:f>
              <c:strCache>
                <c:ptCount val="1"/>
                <c:pt idx="0">
                  <c:v>ЕУ</c:v>
                </c:pt>
              </c:strCache>
            </c:strRef>
          </c:tx>
          <c:spPr>
            <a:solidFill>
              <a:srgbClr val="2183C4"/>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rast'!$G$27:$P$27</c:f>
              <c:numCache>
                <c:formatCode>0.00</c:formatCode>
                <c:ptCount val="10"/>
                <c:pt idx="0">
                  <c:v>0.31735144000000004</c:v>
                </c:pt>
                <c:pt idx="1">
                  <c:v>-0.83983733999999999</c:v>
                </c:pt>
                <c:pt idx="2">
                  <c:v>0.96456262000000015</c:v>
                </c:pt>
                <c:pt idx="3">
                  <c:v>0.55148380000000008</c:v>
                </c:pt>
                <c:pt idx="4">
                  <c:v>8.715307999999998E-2</c:v>
                </c:pt>
                <c:pt idx="5">
                  <c:v>0.15990048000000001</c:v>
                </c:pt>
                <c:pt idx="6">
                  <c:v>0.16303067999999998</c:v>
                </c:pt>
                <c:pt idx="7">
                  <c:v>0.20550111999999998</c:v>
                </c:pt>
                <c:pt idx="8">
                  <c:v>0.21972449999999999</c:v>
                </c:pt>
                <c:pt idx="9">
                  <c:v>0.21972449999999999</c:v>
                </c:pt>
              </c:numCache>
            </c:numRef>
          </c:val>
          <c:extLst>
            <c:ext xmlns:c16="http://schemas.microsoft.com/office/drawing/2014/chart" uri="{C3380CC4-5D6E-409C-BE32-E72D297353CC}">
              <c16:uniqueId val="{00000002-1899-42B9-A9DE-11C8204C6C0E}"/>
            </c:ext>
          </c:extLst>
        </c:ser>
        <c:ser>
          <c:idx val="3"/>
          <c:order val="3"/>
          <c:tx>
            <c:strRef>
              <c:f>'WEO_ekon. rast'!$B$28</c:f>
              <c:strCache>
                <c:ptCount val="1"/>
                <c:pt idx="0">
                  <c:v>Земље у успону Азијског континента без Кине</c:v>
                </c:pt>
              </c:strCache>
            </c:strRef>
          </c:tx>
          <c:spPr>
            <a:solidFill>
              <a:srgbClr val="51BBE7"/>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rast'!$G$28:$P$28</c:f>
              <c:numCache>
                <c:formatCode>0.00</c:formatCode>
                <c:ptCount val="10"/>
                <c:pt idx="0">
                  <c:v>0.63357755000000004</c:v>
                </c:pt>
                <c:pt idx="1">
                  <c:v>-0.59847064000000005</c:v>
                </c:pt>
                <c:pt idx="2">
                  <c:v>0.93502202000000012</c:v>
                </c:pt>
                <c:pt idx="3">
                  <c:v>0.96848509999999977</c:v>
                </c:pt>
                <c:pt idx="4">
                  <c:v>1.0320802600000001</c:v>
                </c:pt>
                <c:pt idx="5">
                  <c:v>0.86692937999999964</c:v>
                </c:pt>
                <c:pt idx="6">
                  <c:v>0.82357525999999992</c:v>
                </c:pt>
                <c:pt idx="7">
                  <c:v>0.86503932000000028</c:v>
                </c:pt>
                <c:pt idx="8">
                  <c:v>0.92152284000000007</c:v>
                </c:pt>
                <c:pt idx="9">
                  <c:v>0.92152284000000007</c:v>
                </c:pt>
              </c:numCache>
            </c:numRef>
          </c:val>
          <c:extLst>
            <c:ext xmlns:c16="http://schemas.microsoft.com/office/drawing/2014/chart" uri="{C3380CC4-5D6E-409C-BE32-E72D297353CC}">
              <c16:uniqueId val="{00000003-1899-42B9-A9DE-11C8204C6C0E}"/>
            </c:ext>
          </c:extLst>
        </c:ser>
        <c:ser>
          <c:idx val="4"/>
          <c:order val="4"/>
          <c:tx>
            <c:strRef>
              <c:f>'WEO_ekon. rast'!$B$29</c:f>
              <c:strCache>
                <c:ptCount val="1"/>
                <c:pt idx="0">
                  <c:v>Кина</c:v>
                </c:pt>
              </c:strCache>
            </c:strRef>
          </c:tx>
          <c:spPr>
            <a:solidFill>
              <a:srgbClr val="90CAE2"/>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rast'!$G$29:$P$29</c:f>
              <c:numCache>
                <c:formatCode>0.00</c:formatCode>
                <c:ptCount val="10"/>
                <c:pt idx="0">
                  <c:v>1.07526385</c:v>
                </c:pt>
                <c:pt idx="1">
                  <c:v>0.43465863000000005</c:v>
                </c:pt>
                <c:pt idx="2">
                  <c:v>1.6117792799999997</c:v>
                </c:pt>
                <c:pt idx="3">
                  <c:v>0.58381120000000009</c:v>
                </c:pt>
                <c:pt idx="4">
                  <c:v>1.0279748599999998</c:v>
                </c:pt>
                <c:pt idx="5">
                  <c:v>0.97328362000000002</c:v>
                </c:pt>
                <c:pt idx="6">
                  <c:v>0.77818673999999999</c:v>
                </c:pt>
                <c:pt idx="7">
                  <c:v>0.78657246000000003</c:v>
                </c:pt>
                <c:pt idx="8">
                  <c:v>0.84620339999999994</c:v>
                </c:pt>
                <c:pt idx="9">
                  <c:v>0.84620339999999994</c:v>
                </c:pt>
              </c:numCache>
            </c:numRef>
          </c:val>
          <c:extLst>
            <c:ext xmlns:c16="http://schemas.microsoft.com/office/drawing/2014/chart" uri="{C3380CC4-5D6E-409C-BE32-E72D297353CC}">
              <c16:uniqueId val="{00000004-1899-42B9-A9DE-11C8204C6C0E}"/>
            </c:ext>
          </c:extLst>
        </c:ser>
        <c:ser>
          <c:idx val="5"/>
          <c:order val="5"/>
          <c:tx>
            <c:strRef>
              <c:f>'WEO_ekon. rast'!$B$30</c:f>
              <c:strCache>
                <c:ptCount val="1"/>
                <c:pt idx="0">
                  <c:v>Остале земље у успону</c:v>
                </c:pt>
              </c:strCache>
            </c:strRef>
          </c:tx>
          <c:spPr>
            <a:solidFill>
              <a:srgbClr val="C9E4EB"/>
            </a:solidFill>
            <a:ln>
              <a:noFill/>
            </a:ln>
            <a:effectLst/>
          </c:spPr>
          <c:invertIfNegative val="0"/>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rast'!$G$30:$P$30</c:f>
              <c:numCache>
                <c:formatCode>0.00</c:formatCode>
                <c:ptCount val="10"/>
                <c:pt idx="0">
                  <c:v>0.44480499999999967</c:v>
                </c:pt>
                <c:pt idx="1">
                  <c:v>-0.8448255699999998</c:v>
                </c:pt>
                <c:pt idx="2">
                  <c:v>1.5793570000000008</c:v>
                </c:pt>
                <c:pt idx="3">
                  <c:v>0.88083714000000013</c:v>
                </c:pt>
                <c:pt idx="4">
                  <c:v>0.72988911999999972</c:v>
                </c:pt>
                <c:pt idx="5">
                  <c:v>0.73438500000000007</c:v>
                </c:pt>
                <c:pt idx="6">
                  <c:v>0.64119572000000025</c:v>
                </c:pt>
                <c:pt idx="7">
                  <c:v>0.72678913999999972</c:v>
                </c:pt>
                <c:pt idx="8">
                  <c:v>0.80216370000000037</c:v>
                </c:pt>
                <c:pt idx="9">
                  <c:v>0.80216370000000037</c:v>
                </c:pt>
              </c:numCache>
            </c:numRef>
          </c:val>
          <c:extLst>
            <c:ext xmlns:c16="http://schemas.microsoft.com/office/drawing/2014/chart" uri="{C3380CC4-5D6E-409C-BE32-E72D297353CC}">
              <c16:uniqueId val="{00000005-1899-42B9-A9DE-11C8204C6C0E}"/>
            </c:ext>
          </c:extLst>
        </c:ser>
        <c:dLbls>
          <c:showLegendKey val="0"/>
          <c:showVal val="0"/>
          <c:showCatName val="0"/>
          <c:showSerName val="0"/>
          <c:showPercent val="0"/>
          <c:showBubbleSize val="0"/>
        </c:dLbls>
        <c:gapWidth val="30"/>
        <c:overlap val="100"/>
        <c:axId val="1642271680"/>
        <c:axId val="1642274400"/>
      </c:barChart>
      <c:lineChart>
        <c:grouping val="standard"/>
        <c:varyColors val="0"/>
        <c:ser>
          <c:idx val="6"/>
          <c:order val="6"/>
          <c:tx>
            <c:strRef>
              <c:f>'WEO_ekon. rast'!$B$31</c:f>
              <c:strCache>
                <c:ptCount val="1"/>
                <c:pt idx="0">
                  <c:v>Светски раст</c:v>
                </c:pt>
              </c:strCache>
            </c:strRef>
          </c:tx>
          <c:spPr>
            <a:ln w="25400" cap="rnd">
              <a:solidFill>
                <a:srgbClr val="FF0000"/>
              </a:solidFill>
              <a:round/>
            </a:ln>
            <a:effectLst/>
          </c:spPr>
          <c:marker>
            <c:symbol val="none"/>
          </c:marker>
          <c:dLbls>
            <c:dLbl>
              <c:idx val="1"/>
              <c:layout>
                <c:manualLayout>
                  <c:x val="-6.6898148148148151E-2"/>
                  <c:y val="4.5503341687552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99-42B9-A9DE-11C8204C6C0E}"/>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rast'!$G$31:$P$31</c:f>
              <c:numCache>
                <c:formatCode>0.0</c:formatCode>
                <c:ptCount val="10"/>
                <c:pt idx="0">
                  <c:v>2.9470000000000001</c:v>
                </c:pt>
                <c:pt idx="1">
                  <c:v>-2.6669999999999998</c:v>
                </c:pt>
                <c:pt idx="2">
                  <c:v>6.6050000000000004</c:v>
                </c:pt>
                <c:pt idx="3">
                  <c:v>3.645</c:v>
                </c:pt>
                <c:pt idx="4">
                  <c:v>3.4929999999999999</c:v>
                </c:pt>
                <c:pt idx="5">
                  <c:v>3.2919999999999998</c:v>
                </c:pt>
                <c:pt idx="6">
                  <c:v>2.7850000000000001</c:v>
                </c:pt>
                <c:pt idx="7">
                  <c:v>2.9630000000000001</c:v>
                </c:pt>
                <c:pt idx="8">
                  <c:v>3.2160000000000002</c:v>
                </c:pt>
                <c:pt idx="9">
                  <c:v>3.2160000000000002</c:v>
                </c:pt>
              </c:numCache>
            </c:numRef>
          </c:val>
          <c:smooth val="0"/>
          <c:extLst>
            <c:ext xmlns:c16="http://schemas.microsoft.com/office/drawing/2014/chart" uri="{C3380CC4-5D6E-409C-BE32-E72D297353CC}">
              <c16:uniqueId val="{00000007-1899-42B9-A9DE-11C8204C6C0E}"/>
            </c:ext>
          </c:extLst>
        </c:ser>
        <c:ser>
          <c:idx val="7"/>
          <c:order val="7"/>
          <c:tx>
            <c:strRef>
              <c:f>'WEO_ekon. rast'!$B$32</c:f>
              <c:strCache>
                <c:ptCount val="1"/>
              </c:strCache>
            </c:strRef>
          </c:tx>
          <c:spPr>
            <a:ln w="28575" cap="rnd">
              <a:noFill/>
              <a:round/>
            </a:ln>
            <a:effectLst/>
          </c:spPr>
          <c:marker>
            <c:symbol val="none"/>
          </c:marker>
          <c:dLbls>
            <c:dLbl>
              <c:idx val="1"/>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b"/>
              <c:showLegendKey val="0"/>
              <c:showVal val="0"/>
              <c:showCatName val="1"/>
              <c:showSerName val="0"/>
              <c:showPercent val="0"/>
              <c:showBubbleSize val="0"/>
              <c:extLst>
                <c:ext xmlns:c16="http://schemas.microsoft.com/office/drawing/2014/chart" uri="{C3380CC4-5D6E-409C-BE32-E72D297353CC}">
                  <c16:uniqueId val="{00000008-1899-42B9-A9DE-11C8204C6C0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'WEO_ekon. rast'!$G$24:$P$24</c:f>
              <c:numCache>
                <c:formatCode>General</c:formatCode>
                <c:ptCount val="10"/>
                <c:pt idx="0">
                  <c:v>2019</c:v>
                </c:pt>
                <c:pt idx="1">
                  <c:v>2020</c:v>
                </c:pt>
                <c:pt idx="2">
                  <c:v>2021</c:v>
                </c:pt>
                <c:pt idx="3">
                  <c:v>2022</c:v>
                </c:pt>
                <c:pt idx="4">
                  <c:v>2023</c:v>
                </c:pt>
                <c:pt idx="5">
                  <c:v>2024</c:v>
                </c:pt>
                <c:pt idx="6">
                  <c:v>2025</c:v>
                </c:pt>
                <c:pt idx="7">
                  <c:v>2026</c:v>
                </c:pt>
                <c:pt idx="8">
                  <c:v>2027</c:v>
                </c:pt>
                <c:pt idx="9">
                  <c:v>2028</c:v>
                </c:pt>
              </c:numCache>
            </c:numRef>
          </c:cat>
          <c:val>
            <c:numRef>
              <c:f>'WEO_ekon. rast'!$G$32:$P$32</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9-1899-42B9-A9DE-11C8204C6C0E}"/>
            </c:ext>
          </c:extLst>
        </c:ser>
        <c:dLbls>
          <c:showLegendKey val="0"/>
          <c:showVal val="0"/>
          <c:showCatName val="0"/>
          <c:showSerName val="0"/>
          <c:showPercent val="0"/>
          <c:showBubbleSize val="0"/>
        </c:dLbls>
        <c:marker val="1"/>
        <c:smooth val="0"/>
        <c:axId val="1642271680"/>
        <c:axId val="1642274400"/>
      </c:lineChart>
      <c:catAx>
        <c:axId val="164227168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4400"/>
        <c:crosses val="autoZero"/>
        <c:auto val="1"/>
        <c:lblAlgn val="ctr"/>
        <c:lblOffset val="100"/>
        <c:noMultiLvlLbl val="0"/>
      </c:catAx>
      <c:valAx>
        <c:axId val="1642274400"/>
        <c:scaling>
          <c:orientation val="minMax"/>
          <c:min val="-4.5"/>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42271680"/>
        <c:crosses val="autoZero"/>
        <c:crossBetween val="between"/>
        <c:majorUnit val="1.5"/>
      </c:valAx>
      <c:spPr>
        <a:noFill/>
        <a:ln>
          <a:noFill/>
        </a:ln>
        <a:effectLst/>
      </c:spPr>
    </c:plotArea>
    <c:legend>
      <c:legendPos val="b"/>
      <c:legendEntry>
        <c:idx val="7"/>
        <c:delete val="1"/>
      </c:legendEntry>
      <c:layout>
        <c:manualLayout>
          <c:xMode val="edge"/>
          <c:yMode val="edge"/>
          <c:x val="2.7777777777777776E-2"/>
          <c:y val="0.58038734631855227"/>
          <c:w val="0.97222222222222221"/>
          <c:h val="0.4196126536814477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0.17162162162162162"/>
          <c:w val="0.91418918918918923"/>
          <c:h val="0.82837829563684007"/>
        </c:manualLayout>
      </c:layout>
      <c:barChart>
        <c:barDir val="col"/>
        <c:grouping val="clustered"/>
        <c:varyColors val="0"/>
        <c:ser>
          <c:idx val="0"/>
          <c:order val="0"/>
          <c:tx>
            <c:strRef>
              <c:f>'Osn. makroekon. agregati'!$B$9</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6D4A-44C4-A40C-5CBBAF4F649C}"/>
              </c:ext>
            </c:extLst>
          </c:dPt>
          <c:dPt>
            <c:idx val="1"/>
            <c:invertIfNegative val="0"/>
            <c:bubble3D val="0"/>
            <c:spPr>
              <a:solidFill>
                <a:srgbClr val="ED1C24"/>
              </a:solidFill>
              <a:ln>
                <a:noFill/>
              </a:ln>
              <a:effectLst/>
            </c:spPr>
            <c:extLst>
              <c:ext xmlns:c16="http://schemas.microsoft.com/office/drawing/2014/chart" uri="{C3380CC4-5D6E-409C-BE32-E72D297353CC}">
                <c16:uniqueId val="{00000003-6D4A-44C4-A40C-5CBBAF4F649C}"/>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6D4A-44C4-A40C-5CBBAF4F649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-3</c:v>
                </c:pt>
                <c:pt idx="1">
                  <c:v>-3</c:v>
                </c:pt>
              </c:numCache>
            </c:numRef>
          </c:val>
          <c:extLst>
            <c:ext xmlns:c16="http://schemas.microsoft.com/office/drawing/2014/chart" uri="{C3380CC4-5D6E-409C-BE32-E72D297353CC}">
              <c16:uniqueId val="{00000004-6D4A-44C4-A40C-5CBBAF4F649C}"/>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0"/>
          <c:w val="0.91418918918918923"/>
          <c:h val="0.84791516146018298"/>
        </c:manualLayout>
      </c:layout>
      <c:barChart>
        <c:barDir val="col"/>
        <c:grouping val="clustered"/>
        <c:varyColors val="0"/>
        <c:ser>
          <c:idx val="0"/>
          <c:order val="0"/>
          <c:tx>
            <c:strRef>
              <c:f>'Osn. makroekon. agregati'!$B$10</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F4CF-4943-909B-DB58CAAF7655}"/>
              </c:ext>
            </c:extLst>
          </c:dPt>
          <c:dPt>
            <c:idx val="1"/>
            <c:invertIfNegative val="0"/>
            <c:bubble3D val="0"/>
            <c:spPr>
              <a:solidFill>
                <a:srgbClr val="ED1C24"/>
              </a:solidFill>
              <a:ln>
                <a:noFill/>
              </a:ln>
              <a:effectLst/>
            </c:spPr>
            <c:extLst>
              <c:ext xmlns:c16="http://schemas.microsoft.com/office/drawing/2014/chart" uri="{C3380CC4-5D6E-409C-BE32-E72D297353CC}">
                <c16:uniqueId val="{00000003-F4CF-4943-909B-DB58CAAF7655}"/>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F4CF-4943-909B-DB58CAAF7655}"/>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F4CF-4943-909B-DB58CAAF7655}"/>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agregati'!$C$10,'Osn. makroekon. agregati'!$D$10)</c:f>
              <c:numCache>
                <c:formatCode>0.0</c:formatCode>
                <c:ptCount val="2"/>
                <c:pt idx="0">
                  <c:v>47.5</c:v>
                </c:pt>
                <c:pt idx="1">
                  <c:v>46.8</c:v>
                </c:pt>
              </c:numCache>
            </c:numRef>
          </c:val>
          <c:extLst>
            <c:ext xmlns:c16="http://schemas.microsoft.com/office/drawing/2014/chart" uri="{C3380CC4-5D6E-409C-BE32-E72D297353CC}">
              <c16:uniqueId val="{00000004-F4CF-4943-909B-DB58CAAF765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agregati'!$D$5</c:f>
              <c:strCache>
                <c:ptCount val="1"/>
                <c:pt idx="0">
                  <c:v>2025</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138138138138135E-2"/>
          <c:y val="9.9002787948551524E-3"/>
          <c:w val="0.91418918918918923"/>
          <c:h val="0.83754709510455827"/>
        </c:manualLayout>
      </c:layout>
      <c:barChart>
        <c:barDir val="col"/>
        <c:grouping val="clustered"/>
        <c:varyColors val="0"/>
        <c:ser>
          <c:idx val="0"/>
          <c:order val="0"/>
          <c:tx>
            <c:strRef>
              <c:f>'Osn. makroekon. agregati'!$B$10</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E739-4AA3-8B65-E2BF65764455}"/>
              </c:ext>
            </c:extLst>
          </c:dPt>
          <c:dPt>
            <c:idx val="1"/>
            <c:invertIfNegative val="0"/>
            <c:bubble3D val="0"/>
            <c:spPr>
              <a:solidFill>
                <a:srgbClr val="ED1C24"/>
              </a:solidFill>
              <a:ln>
                <a:noFill/>
              </a:ln>
              <a:effectLst/>
            </c:spPr>
            <c:extLst>
              <c:ext xmlns:c16="http://schemas.microsoft.com/office/drawing/2014/chart" uri="{C3380CC4-5D6E-409C-BE32-E72D297353CC}">
                <c16:uniqueId val="{00000003-E739-4AA3-8B65-E2BF65764455}"/>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E739-4AA3-8B65-E2BF65764455}"/>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agregati'!$E$10,'Osn. makroekon. agregati'!$F$10)</c:f>
              <c:numCache>
                <c:formatCode>0.0</c:formatCode>
                <c:ptCount val="2"/>
                <c:pt idx="0">
                  <c:v>47</c:v>
                </c:pt>
                <c:pt idx="1">
                  <c:v>46.5</c:v>
                </c:pt>
              </c:numCache>
            </c:numRef>
          </c:val>
          <c:extLst>
            <c:ext xmlns:c16="http://schemas.microsoft.com/office/drawing/2014/chart" uri="{C3380CC4-5D6E-409C-BE32-E72D297353CC}">
              <c16:uniqueId val="{00000004-E739-4AA3-8B65-E2BF6576445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strRef>
              <c:f>'Osn. makroekon. agregati'!$F$5</c:f>
              <c:strCache>
                <c:ptCount val="1"/>
                <c:pt idx="0">
                  <c:v>2026</c:v>
                </c:pt>
              </c:strCache>
            </c:strRef>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53440"/>
        <c:crossesAt val="0"/>
        <c:auto val="1"/>
        <c:lblAlgn val="ctr"/>
        <c:lblOffset val="100"/>
        <c:noMultiLvlLbl val="0"/>
      </c:catAx>
      <c:valAx>
        <c:axId val="1768853440"/>
        <c:scaling>
          <c:orientation val="minMax"/>
          <c:max val="60"/>
          <c:min val="3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2091256084322588"/>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BDPQ_doprinosi!$BK$34:$BS$34</c:f>
              <c:numCache>
                <c:formatCode>0.0</c:formatCode>
                <c:ptCount val="9"/>
                <c:pt idx="0">
                  <c:v>0.22269753247600746</c:v>
                </c:pt>
                <c:pt idx="1">
                  <c:v>0.2153921133876919</c:v>
                </c:pt>
                <c:pt idx="2">
                  <c:v>0.67867761058146792</c:v>
                </c:pt>
                <c:pt idx="3">
                  <c:v>0.45660108939302813</c:v>
                </c:pt>
                <c:pt idx="4">
                  <c:v>4.7453164869642364E-2</c:v>
                </c:pt>
                <c:pt idx="5">
                  <c:v>-4.9381302363665953E-2</c:v>
                </c:pt>
                <c:pt idx="6">
                  <c:v>-0.76432248579815876</c:v>
                </c:pt>
                <c:pt idx="7">
                  <c:v>-0.41724621905858894</c:v>
                </c:pt>
                <c:pt idx="8">
                  <c:v>0.20319086806299</c:v>
                </c:pt>
              </c:numCache>
            </c:numRef>
          </c:val>
          <c:extLst>
            <c:ext xmlns:c16="http://schemas.microsoft.com/office/drawing/2014/chart" uri="{C3380CC4-5D6E-409C-BE32-E72D297353CC}">
              <c16:uniqueId val="{00000000-E485-4449-82B6-415C5D7909C0}"/>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BDPQ_doprinosi!$BK$35:$BS$35</c:f>
              <c:numCache>
                <c:formatCode>0.0</c:formatCode>
                <c:ptCount val="9"/>
                <c:pt idx="0">
                  <c:v>0.28475908865083494</c:v>
                </c:pt>
                <c:pt idx="1">
                  <c:v>5.6267164164747627E-2</c:v>
                </c:pt>
                <c:pt idx="2">
                  <c:v>0.7470607679012653</c:v>
                </c:pt>
                <c:pt idx="3">
                  <c:v>0.60221828119106557</c:v>
                </c:pt>
                <c:pt idx="4">
                  <c:v>0.51744718792634214</c:v>
                </c:pt>
                <c:pt idx="5">
                  <c:v>0.32681426646830969</c:v>
                </c:pt>
                <c:pt idx="6">
                  <c:v>0.69053195564820735</c:v>
                </c:pt>
                <c:pt idx="7">
                  <c:v>0.68009681926447652</c:v>
                </c:pt>
                <c:pt idx="8">
                  <c:v>0.36969207574449536</c:v>
                </c:pt>
              </c:numCache>
            </c:numRef>
          </c:val>
          <c:extLst>
            <c:ext xmlns:c16="http://schemas.microsoft.com/office/drawing/2014/chart" uri="{C3380CC4-5D6E-409C-BE32-E72D297353CC}">
              <c16:uniqueId val="{00000001-E485-4449-82B6-415C5D7909C0}"/>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BDPQ_doprinosi!$BK$36:$BS$36</c:f>
              <c:numCache>
                <c:formatCode>0.0</c:formatCode>
                <c:ptCount val="9"/>
                <c:pt idx="0">
                  <c:v>8.5202416419324686E-3</c:v>
                </c:pt>
                <c:pt idx="1">
                  <c:v>0.76024876003348985</c:v>
                </c:pt>
                <c:pt idx="2">
                  <c:v>0.74100680183294676</c:v>
                </c:pt>
                <c:pt idx="3">
                  <c:v>0.46979934788165306</c:v>
                </c:pt>
                <c:pt idx="4">
                  <c:v>0.5814560187847716</c:v>
                </c:pt>
                <c:pt idx="5">
                  <c:v>0.415169980817791</c:v>
                </c:pt>
                <c:pt idx="6">
                  <c:v>-1.9457680877647047E-2</c:v>
                </c:pt>
                <c:pt idx="7">
                  <c:v>-0.33106369552120507</c:v>
                </c:pt>
                <c:pt idx="8">
                  <c:v>-0.25128503130068236</c:v>
                </c:pt>
              </c:numCache>
            </c:numRef>
          </c:val>
          <c:extLst>
            <c:ext xmlns:c16="http://schemas.microsoft.com/office/drawing/2014/chart" uri="{C3380CC4-5D6E-409C-BE32-E72D297353CC}">
              <c16:uniqueId val="{00000002-E485-4449-82B6-415C5D7909C0}"/>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BDPQ_doprinosi!$BK$37:$BS$37</c:f>
              <c:numCache>
                <c:formatCode>0.0</c:formatCode>
                <c:ptCount val="9"/>
                <c:pt idx="0">
                  <c:v>2.1484373830007879</c:v>
                </c:pt>
                <c:pt idx="1">
                  <c:v>2.4363704346393966</c:v>
                </c:pt>
                <c:pt idx="2">
                  <c:v>2.9087859274136481</c:v>
                </c:pt>
                <c:pt idx="3">
                  <c:v>3.5351129829030317</c:v>
                </c:pt>
                <c:pt idx="4">
                  <c:v>3.010153736601112</c:v>
                </c:pt>
                <c:pt idx="5">
                  <c:v>3.2487010838205816</c:v>
                </c:pt>
                <c:pt idx="6">
                  <c:v>2.6159783588917889</c:v>
                </c:pt>
                <c:pt idx="7">
                  <c:v>2.7656980171826184</c:v>
                </c:pt>
                <c:pt idx="8">
                  <c:v>1.300586728018748</c:v>
                </c:pt>
              </c:numCache>
            </c:numRef>
          </c:val>
          <c:extLst>
            <c:ext xmlns:c16="http://schemas.microsoft.com/office/drawing/2014/chart" uri="{C3380CC4-5D6E-409C-BE32-E72D297353CC}">
              <c16:uniqueId val="{00000003-E485-4449-82B6-415C5D7909C0}"/>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BDPQ_doprinosi!$BK$38:$BS$38</c:f>
              <c:numCache>
                <c:formatCode>0.0</c:formatCode>
                <c:ptCount val="9"/>
                <c:pt idx="0">
                  <c:v>-0.34370473342958285</c:v>
                </c:pt>
                <c:pt idx="1">
                  <c:v>-0.43824910064523204</c:v>
                </c:pt>
                <c:pt idx="2">
                  <c:v>-0.27342824451538994</c:v>
                </c:pt>
                <c:pt idx="3">
                  <c:v>1.8895200821628294E-2</c:v>
                </c:pt>
                <c:pt idx="4">
                  <c:v>0.42363984241746838</c:v>
                </c:pt>
                <c:pt idx="5">
                  <c:v>0.56999119720583225</c:v>
                </c:pt>
                <c:pt idx="6">
                  <c:v>0.71558552921571306</c:v>
                </c:pt>
                <c:pt idx="7">
                  <c:v>0.5874846404660462</c:v>
                </c:pt>
                <c:pt idx="8">
                  <c:v>0.33006532050432341</c:v>
                </c:pt>
              </c:numCache>
            </c:numRef>
          </c:val>
          <c:extLst>
            <c:ext xmlns:c16="http://schemas.microsoft.com/office/drawing/2014/chart" uri="{C3380CC4-5D6E-409C-BE32-E72D297353CC}">
              <c16:uniqueId val="{00000004-E485-4449-82B6-415C5D7909C0}"/>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BDPQ_doprinosi!$BK$32:$BS$33</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BDPQ_doprinosi!$BK$39:$BS$39</c:f>
              <c:numCache>
                <c:formatCode>0.0</c:formatCode>
                <c:ptCount val="9"/>
                <c:pt idx="0">
                  <c:v>2.3207095123400308</c:v>
                </c:pt>
                <c:pt idx="1">
                  <c:v>3.0300293715801274</c:v>
                </c:pt>
                <c:pt idx="2">
                  <c:v>4.8021028632140599</c:v>
                </c:pt>
                <c:pt idx="3">
                  <c:v>5.0826269021904977</c:v>
                </c:pt>
                <c:pt idx="4">
                  <c:v>4.5801499504263745</c:v>
                </c:pt>
                <c:pt idx="5">
                  <c:v>4.5112952261276291</c:v>
                </c:pt>
                <c:pt idx="6">
                  <c:v>3.2383156772741017</c:v>
                </c:pt>
                <c:pt idx="7">
                  <c:v>3.2849695627374444</c:v>
                </c:pt>
                <c:pt idx="8">
                  <c:v>1.952249961349878</c:v>
                </c:pt>
              </c:numCache>
            </c:numRef>
          </c:val>
          <c:smooth val="0"/>
          <c:extLst>
            <c:ext xmlns:c16="http://schemas.microsoft.com/office/drawing/2014/chart" uri="{C3380CC4-5D6E-409C-BE32-E72D297353CC}">
              <c16:uniqueId val="{00000005-E485-4449-82B6-415C5D7909C0}"/>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0"/>
        <c:noMultiLvlLbl val="0"/>
      </c:catAx>
      <c:valAx>
        <c:axId val="1768858336"/>
        <c:scaling>
          <c:orientation val="minMax"/>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3880572945331671"/>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BDPQ_doprinosi!$BK$8:$BS$8</c:f>
              <c:numCache>
                <c:formatCode>0.0</c:formatCode>
                <c:ptCount val="9"/>
                <c:pt idx="0">
                  <c:v>-0.17859795362691033</c:v>
                </c:pt>
                <c:pt idx="1">
                  <c:v>-0.85511654475844212</c:v>
                </c:pt>
                <c:pt idx="2">
                  <c:v>0.72013207013652192</c:v>
                </c:pt>
                <c:pt idx="3">
                  <c:v>1.5487960391477393</c:v>
                </c:pt>
                <c:pt idx="4">
                  <c:v>2.7097850847028622</c:v>
                </c:pt>
                <c:pt idx="5">
                  <c:v>2.9919659711924513</c:v>
                </c:pt>
                <c:pt idx="6">
                  <c:v>2.456632927065709</c:v>
                </c:pt>
                <c:pt idx="7">
                  <c:v>2.3454223854284471</c:v>
                </c:pt>
                <c:pt idx="8">
                  <c:v>1.0514163966835792</c:v>
                </c:pt>
              </c:numCache>
            </c:numRef>
          </c:val>
          <c:extLst>
            <c:ext xmlns:c16="http://schemas.microsoft.com/office/drawing/2014/chart" uri="{C3380CC4-5D6E-409C-BE32-E72D297353CC}">
              <c16:uniqueId val="{00000000-49F1-4CBE-87D9-6D7D4A572AF1}"/>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BDPQ_doprinosi!$BK$9:$BS$9</c:f>
              <c:numCache>
                <c:formatCode>0.0</c:formatCode>
                <c:ptCount val="9"/>
                <c:pt idx="0">
                  <c:v>-1.5864007047842152</c:v>
                </c:pt>
                <c:pt idx="1">
                  <c:v>-0.81939508111800663</c:v>
                </c:pt>
                <c:pt idx="2">
                  <c:v>-0.14770903967899057</c:v>
                </c:pt>
                <c:pt idx="3">
                  <c:v>0.66509810456636886</c:v>
                </c:pt>
                <c:pt idx="4">
                  <c:v>0.60366343547899337</c:v>
                </c:pt>
                <c:pt idx="5">
                  <c:v>0.78563405819665966</c:v>
                </c:pt>
                <c:pt idx="6">
                  <c:v>0.42310436796990863</c:v>
                </c:pt>
                <c:pt idx="7">
                  <c:v>-6.4785761236071937E-2</c:v>
                </c:pt>
                <c:pt idx="8">
                  <c:v>7.5133917678846279E-2</c:v>
                </c:pt>
              </c:numCache>
            </c:numRef>
          </c:val>
          <c:extLst>
            <c:ext xmlns:c16="http://schemas.microsoft.com/office/drawing/2014/chart" uri="{C3380CC4-5D6E-409C-BE32-E72D297353CC}">
              <c16:uniqueId val="{00000001-49F1-4CBE-87D9-6D7D4A572AF1}"/>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BDPQ_doprinosi!$BK$10:$BS$10</c:f>
              <c:numCache>
                <c:formatCode>0.0</c:formatCode>
                <c:ptCount val="9"/>
                <c:pt idx="0">
                  <c:v>1.6932192512107991</c:v>
                </c:pt>
                <c:pt idx="1">
                  <c:v>2.0267992925921186</c:v>
                </c:pt>
                <c:pt idx="2">
                  <c:v>2.5238683803961921</c:v>
                </c:pt>
                <c:pt idx="3">
                  <c:v>2.9731661643532399</c:v>
                </c:pt>
                <c:pt idx="4">
                  <c:v>1.8544577258591706</c:v>
                </c:pt>
                <c:pt idx="5">
                  <c:v>2.3236937477355046</c:v>
                </c:pt>
                <c:pt idx="6">
                  <c:v>1.95471544049107</c:v>
                </c:pt>
                <c:pt idx="7">
                  <c:v>7.3944771991072078E-2</c:v>
                </c:pt>
                <c:pt idx="8">
                  <c:v>-0.20238375178041074</c:v>
                </c:pt>
              </c:numCache>
            </c:numRef>
          </c:val>
          <c:extLst>
            <c:ext xmlns:c16="http://schemas.microsoft.com/office/drawing/2014/chart" uri="{C3380CC4-5D6E-409C-BE32-E72D297353CC}">
              <c16:uniqueId val="{00000002-49F1-4CBE-87D9-6D7D4A572AF1}"/>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BDPQ_doprinosi!$BK$11:$BS$11</c:f>
              <c:numCache>
                <c:formatCode>0.0</c:formatCode>
                <c:ptCount val="9"/>
                <c:pt idx="0">
                  <c:v>6.7021925054660123</c:v>
                </c:pt>
                <c:pt idx="1">
                  <c:v>6.1635865224273729</c:v>
                </c:pt>
                <c:pt idx="2">
                  <c:v>0.92070541307283216</c:v>
                </c:pt>
                <c:pt idx="3">
                  <c:v>-2.0405343190694185</c:v>
                </c:pt>
                <c:pt idx="4">
                  <c:v>-0.32069839698601643</c:v>
                </c:pt>
                <c:pt idx="5">
                  <c:v>-1.3559485110901246</c:v>
                </c:pt>
                <c:pt idx="6">
                  <c:v>-4.6142390333432282</c:v>
                </c:pt>
                <c:pt idx="7">
                  <c:v>0.29650386775328919</c:v>
                </c:pt>
                <c:pt idx="8">
                  <c:v>-2.6375437196640945</c:v>
                </c:pt>
              </c:numCache>
            </c:numRef>
          </c:val>
          <c:extLst>
            <c:ext xmlns:c16="http://schemas.microsoft.com/office/drawing/2014/chart" uri="{C3380CC4-5D6E-409C-BE32-E72D297353CC}">
              <c16:uniqueId val="{00000003-49F1-4CBE-87D9-6D7D4A572AF1}"/>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BDPQ_doprinosi!$BK$12:$BS$12</c:f>
              <c:numCache>
                <c:formatCode>0.0</c:formatCode>
                <c:ptCount val="9"/>
                <c:pt idx="0">
                  <c:v>-4.3097035859256643</c:v>
                </c:pt>
                <c:pt idx="1">
                  <c:v>-3.4858448175629251</c:v>
                </c:pt>
                <c:pt idx="2">
                  <c:v>0.78510603928750355</c:v>
                </c:pt>
                <c:pt idx="3">
                  <c:v>1.9361009131925613</c:v>
                </c:pt>
                <c:pt idx="4">
                  <c:v>-0.26705789862863427</c:v>
                </c:pt>
                <c:pt idx="5">
                  <c:v>-0.23405003990685902</c:v>
                </c:pt>
                <c:pt idx="6">
                  <c:v>3.0181019750906408</c:v>
                </c:pt>
                <c:pt idx="7">
                  <c:v>0.63388429880071628</c:v>
                </c:pt>
                <c:pt idx="8">
                  <c:v>3.6656271184319689</c:v>
                </c:pt>
              </c:numCache>
            </c:numRef>
          </c:val>
          <c:extLst>
            <c:ext xmlns:c16="http://schemas.microsoft.com/office/drawing/2014/chart" uri="{C3380CC4-5D6E-409C-BE32-E72D297353CC}">
              <c16:uniqueId val="{00000004-49F1-4CBE-87D9-6D7D4A572AF1}"/>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BDPQ_doprinosi!$BK$5:$BS$6</c:f>
              <c:multiLvlStrCache>
                <c:ptCount val="9"/>
                <c:lvl>
                  <c:pt idx="0">
                    <c:v>Q1</c:v>
                  </c:pt>
                  <c:pt idx="1">
                    <c:v>Q2</c:v>
                  </c:pt>
                  <c:pt idx="2">
                    <c:v>Q3</c:v>
                  </c:pt>
                  <c:pt idx="3">
                    <c:v>Q4</c:v>
                  </c:pt>
                  <c:pt idx="4">
                    <c:v>Q1</c:v>
                  </c:pt>
                  <c:pt idx="5">
                    <c:v>Q2</c:v>
                  </c:pt>
                  <c:pt idx="6">
                    <c:v>Q3</c:v>
                  </c:pt>
                  <c:pt idx="7">
                    <c:v>Q4</c:v>
                  </c:pt>
                  <c:pt idx="8">
                    <c:v>Q1</c:v>
                  </c:pt>
                </c:lvl>
                <c:lvl>
                  <c:pt idx="0">
                    <c:v>2023</c:v>
                  </c:pt>
                  <c:pt idx="4">
                    <c:v>2024</c:v>
                  </c:pt>
                  <c:pt idx="8">
                    <c:v>2025</c:v>
                  </c:pt>
                </c:lvl>
              </c:multiLvlStrCache>
            </c:multiLvlStrRef>
          </c:cat>
          <c:val>
            <c:numRef>
              <c:f>BDPQ_doprinosi!$BK$13:$BS$13</c:f>
              <c:numCache>
                <c:formatCode>0.0</c:formatCode>
                <c:ptCount val="9"/>
                <c:pt idx="0">
                  <c:v>2.3207095123400308</c:v>
                </c:pt>
                <c:pt idx="1">
                  <c:v>3.0300293715801274</c:v>
                </c:pt>
                <c:pt idx="2">
                  <c:v>4.8021028632140599</c:v>
                </c:pt>
                <c:pt idx="3">
                  <c:v>5.0826269021904977</c:v>
                </c:pt>
                <c:pt idx="4">
                  <c:v>4.5801499504263745</c:v>
                </c:pt>
                <c:pt idx="5">
                  <c:v>4.5112952261276291</c:v>
                </c:pt>
                <c:pt idx="6">
                  <c:v>3.2383156772741017</c:v>
                </c:pt>
                <c:pt idx="7">
                  <c:v>3.2849695627374444</c:v>
                </c:pt>
                <c:pt idx="8">
                  <c:v>1.952249961349878</c:v>
                </c:pt>
              </c:numCache>
            </c:numRef>
          </c:val>
          <c:smooth val="0"/>
          <c:extLst>
            <c:ext xmlns:c16="http://schemas.microsoft.com/office/drawing/2014/chart" uri="{C3380CC4-5D6E-409C-BE32-E72D297353CC}">
              <c16:uniqueId val="{00000005-49F1-4CBE-87D9-6D7D4A572AF1}"/>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0"/>
        <c:noMultiLvlLbl val="0"/>
      </c:catAx>
      <c:valAx>
        <c:axId val="1768855072"/>
        <c:scaling>
          <c:orientation val="minMax"/>
          <c:max val="8"/>
          <c:min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2"/>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Usluge!$E$5</c:f>
              <c:strCache>
                <c:ptCount val="1"/>
                <c:pt idx="0">
                  <c:v>y</c:v>
                </c:pt>
              </c:strCache>
            </c:strRef>
          </c:tx>
          <c:spPr>
            <a:ln w="12700" cap="rnd">
              <a:solidFill>
                <a:srgbClr val="7F3F98"/>
              </a:solidFill>
              <a:prstDash val="sysDash"/>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Usluge!$E$162:$E$200</c:f>
              <c:numCache>
                <c:formatCode>0.0</c:formatCode>
                <c:ptCount val="39"/>
                <c:pt idx="0">
                  <c:v>81.362131332999994</c:v>
                </c:pt>
                <c:pt idx="1">
                  <c:v>82.738767060000001</c:v>
                </c:pt>
                <c:pt idx="2">
                  <c:v>100.224414982</c:v>
                </c:pt>
                <c:pt idx="3">
                  <c:v>98.405265710999998</c:v>
                </c:pt>
                <c:pt idx="4">
                  <c:v>98.502562316999999</c:v>
                </c:pt>
                <c:pt idx="5">
                  <c:v>99.378231775000003</c:v>
                </c:pt>
                <c:pt idx="6">
                  <c:v>101.91319575</c:v>
                </c:pt>
                <c:pt idx="7">
                  <c:v>100.531561326</c:v>
                </c:pt>
                <c:pt idx="8">
                  <c:v>97.159691890000005</c:v>
                </c:pt>
                <c:pt idx="9">
                  <c:v>101.36405667699999</c:v>
                </c:pt>
                <c:pt idx="10">
                  <c:v>96.596522961000005</c:v>
                </c:pt>
                <c:pt idx="11">
                  <c:v>104.983038345</c:v>
                </c:pt>
                <c:pt idx="12">
                  <c:v>83.246076837000004</c:v>
                </c:pt>
                <c:pt idx="13">
                  <c:v>79.914472910000001</c:v>
                </c:pt>
                <c:pt idx="14">
                  <c:v>91.467343444999997</c:v>
                </c:pt>
                <c:pt idx="15">
                  <c:v>92.806409857999995</c:v>
                </c:pt>
                <c:pt idx="16">
                  <c:v>92.359305065000001</c:v>
                </c:pt>
                <c:pt idx="17">
                  <c:v>93.438145956</c:v>
                </c:pt>
                <c:pt idx="18">
                  <c:v>98.798891843000007</c:v>
                </c:pt>
                <c:pt idx="19">
                  <c:v>99.277481608000002</c:v>
                </c:pt>
                <c:pt idx="20">
                  <c:v>96.588565790999994</c:v>
                </c:pt>
                <c:pt idx="21">
                  <c:v>101.36575942499999</c:v>
                </c:pt>
                <c:pt idx="22">
                  <c:v>100.271893226</c:v>
                </c:pt>
                <c:pt idx="23">
                  <c:v>108.949395317</c:v>
                </c:pt>
                <c:pt idx="24">
                  <c:v>87.049659202000001</c:v>
                </c:pt>
                <c:pt idx="25">
                  <c:v>87.236180904999998</c:v>
                </c:pt>
                <c:pt idx="26">
                  <c:v>97.9</c:v>
                </c:pt>
                <c:pt idx="27">
                  <c:v>103.260255984</c:v>
                </c:pt>
                <c:pt idx="28">
                  <c:v>98.601183660000004</c:v>
                </c:pt>
                <c:pt idx="29">
                  <c:v>100.312679616</c:v>
                </c:pt>
                <c:pt idx="30">
                  <c:v>104.496336396</c:v>
                </c:pt>
                <c:pt idx="31">
                  <c:v>104.591419504</c:v>
                </c:pt>
                <c:pt idx="32">
                  <c:v>99.647097854999998</c:v>
                </c:pt>
                <c:pt idx="33">
                  <c:v>104.87666883</c:v>
                </c:pt>
                <c:pt idx="34">
                  <c:v>101.738926245</c:v>
                </c:pt>
                <c:pt idx="35">
                  <c:v>109.82099048000001</c:v>
                </c:pt>
                <c:pt idx="36">
                  <c:v>89.4</c:v>
                </c:pt>
                <c:pt idx="37">
                  <c:v>86.8</c:v>
                </c:pt>
                <c:pt idx="38">
                  <c:v>97.9</c:v>
                </c:pt>
              </c:numCache>
            </c:numRef>
          </c:val>
          <c:smooth val="0"/>
          <c:extLst>
            <c:ext xmlns:c16="http://schemas.microsoft.com/office/drawing/2014/chart" uri="{C3380CC4-5D6E-409C-BE32-E72D297353CC}">
              <c16:uniqueId val="{00000000-F802-488F-BE11-7CBE241864CF}"/>
            </c:ext>
          </c:extLst>
        </c:ser>
        <c:ser>
          <c:idx val="1"/>
          <c:order val="1"/>
          <c:tx>
            <c:strRef>
              <c:f>Usluge!$F$5</c:f>
              <c:strCache>
                <c:ptCount val="1"/>
                <c:pt idx="0">
                  <c:v>sa</c:v>
                </c:pt>
              </c:strCache>
            </c:strRef>
          </c:tx>
          <c:spPr>
            <a:ln w="22225" cap="rnd">
              <a:solidFill>
                <a:srgbClr val="25AAE1"/>
              </a:solidFill>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Usluge!$F$162:$F$200</c:f>
              <c:numCache>
                <c:formatCode>0.0</c:formatCode>
                <c:ptCount val="39"/>
                <c:pt idx="0">
                  <c:v>93.361229288999994</c:v>
                </c:pt>
                <c:pt idx="1">
                  <c:v>97.199359774000001</c:v>
                </c:pt>
                <c:pt idx="2">
                  <c:v>102.612248147</c:v>
                </c:pt>
                <c:pt idx="3">
                  <c:v>97.059699688999999</c:v>
                </c:pt>
                <c:pt idx="4">
                  <c:v>98.513910258999999</c:v>
                </c:pt>
                <c:pt idx="5">
                  <c:v>97.741833310999994</c:v>
                </c:pt>
                <c:pt idx="6">
                  <c:v>97.741463392</c:v>
                </c:pt>
                <c:pt idx="7">
                  <c:v>96.134184035000004</c:v>
                </c:pt>
                <c:pt idx="8">
                  <c:v>96.556078951000003</c:v>
                </c:pt>
                <c:pt idx="9">
                  <c:v>96.570922035999999</c:v>
                </c:pt>
                <c:pt idx="10">
                  <c:v>95.324905346999998</c:v>
                </c:pt>
                <c:pt idx="11">
                  <c:v>94.180180993999997</c:v>
                </c:pt>
                <c:pt idx="12">
                  <c:v>94.720790644000004</c:v>
                </c:pt>
                <c:pt idx="13">
                  <c:v>93.644238195</c:v>
                </c:pt>
                <c:pt idx="14">
                  <c:v>93.196446637999998</c:v>
                </c:pt>
                <c:pt idx="15">
                  <c:v>92.742330678000002</c:v>
                </c:pt>
                <c:pt idx="16">
                  <c:v>92.589764243000005</c:v>
                </c:pt>
                <c:pt idx="17">
                  <c:v>91.957079250000007</c:v>
                </c:pt>
                <c:pt idx="18">
                  <c:v>94.760792867999996</c:v>
                </c:pt>
                <c:pt idx="19">
                  <c:v>95.217773831000002</c:v>
                </c:pt>
                <c:pt idx="20">
                  <c:v>95.540910878000005</c:v>
                </c:pt>
                <c:pt idx="21">
                  <c:v>97.169770884000002</c:v>
                </c:pt>
                <c:pt idx="22">
                  <c:v>98.734216262000004</c:v>
                </c:pt>
                <c:pt idx="23">
                  <c:v>98.934550115999997</c:v>
                </c:pt>
                <c:pt idx="24">
                  <c:v>97.715345384000003</c:v>
                </c:pt>
                <c:pt idx="25">
                  <c:v>98.381811146000004</c:v>
                </c:pt>
                <c:pt idx="26">
                  <c:v>100.25667903999999</c:v>
                </c:pt>
                <c:pt idx="27">
                  <c:v>101.748987407</c:v>
                </c:pt>
                <c:pt idx="28">
                  <c:v>99.301028522999999</c:v>
                </c:pt>
                <c:pt idx="29">
                  <c:v>99.874916068999994</c:v>
                </c:pt>
                <c:pt idx="30">
                  <c:v>99.656862477000004</c:v>
                </c:pt>
                <c:pt idx="31">
                  <c:v>99.586325549999998</c:v>
                </c:pt>
                <c:pt idx="32">
                  <c:v>100.409042445</c:v>
                </c:pt>
                <c:pt idx="33">
                  <c:v>99.435515163000005</c:v>
                </c:pt>
                <c:pt idx="34">
                  <c:v>99.325019423000001</c:v>
                </c:pt>
                <c:pt idx="35">
                  <c:v>100.27081821</c:v>
                </c:pt>
                <c:pt idx="36">
                  <c:v>100.955461742</c:v>
                </c:pt>
                <c:pt idx="37">
                  <c:v>101.471598179</c:v>
                </c:pt>
                <c:pt idx="38">
                  <c:v>100.248820857</c:v>
                </c:pt>
              </c:numCache>
            </c:numRef>
          </c:val>
          <c:smooth val="0"/>
          <c:extLst>
            <c:ext xmlns:c16="http://schemas.microsoft.com/office/drawing/2014/chart" uri="{C3380CC4-5D6E-409C-BE32-E72D297353CC}">
              <c16:uniqueId val="{00000001-F802-488F-BE11-7CBE241864CF}"/>
            </c:ext>
          </c:extLst>
        </c:ser>
        <c:ser>
          <c:idx val="2"/>
          <c:order val="2"/>
          <c:tx>
            <c:strRef>
              <c:f>Usluge!$G$5</c:f>
              <c:strCache>
                <c:ptCount val="1"/>
                <c:pt idx="0">
                  <c:v>t</c:v>
                </c:pt>
              </c:strCache>
            </c:strRef>
          </c:tx>
          <c:spPr>
            <a:ln w="25400" cap="rnd">
              <a:solidFill>
                <a:srgbClr val="FF0000"/>
              </a:solidFill>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Usluge!$G$162:$G$200</c:f>
              <c:numCache>
                <c:formatCode>0.0</c:formatCode>
                <c:ptCount val="39"/>
                <c:pt idx="0">
                  <c:v>95.612259347000006</c:v>
                </c:pt>
                <c:pt idx="1">
                  <c:v>96.628440955000002</c:v>
                </c:pt>
                <c:pt idx="2">
                  <c:v>97.375096846000005</c:v>
                </c:pt>
                <c:pt idx="3">
                  <c:v>97.761766768000001</c:v>
                </c:pt>
                <c:pt idx="4">
                  <c:v>97.857568666999995</c:v>
                </c:pt>
                <c:pt idx="5">
                  <c:v>97.734267556000006</c:v>
                </c:pt>
                <c:pt idx="6">
                  <c:v>97.424031528</c:v>
                </c:pt>
                <c:pt idx="7">
                  <c:v>97.002407539999993</c:v>
                </c:pt>
                <c:pt idx="8">
                  <c:v>96.498192775999996</c:v>
                </c:pt>
                <c:pt idx="9">
                  <c:v>95.944029954000001</c:v>
                </c:pt>
                <c:pt idx="10">
                  <c:v>95.377781794000001</c:v>
                </c:pt>
                <c:pt idx="11">
                  <c:v>94.815432095000006</c:v>
                </c:pt>
                <c:pt idx="12">
                  <c:v>94.194667783</c:v>
                </c:pt>
                <c:pt idx="13">
                  <c:v>93.575213934000004</c:v>
                </c:pt>
                <c:pt idx="14">
                  <c:v>93.085524448000001</c:v>
                </c:pt>
                <c:pt idx="15">
                  <c:v>92.849740615000002</c:v>
                </c:pt>
                <c:pt idx="16">
                  <c:v>92.900521990000001</c:v>
                </c:pt>
                <c:pt idx="17">
                  <c:v>93.281588483999997</c:v>
                </c:pt>
                <c:pt idx="18">
                  <c:v>94.043764980999995</c:v>
                </c:pt>
                <c:pt idx="19">
                  <c:v>95.083893610000004</c:v>
                </c:pt>
                <c:pt idx="20">
                  <c:v>96.149527203000005</c:v>
                </c:pt>
                <c:pt idx="21">
                  <c:v>97.076048240000006</c:v>
                </c:pt>
                <c:pt idx="22">
                  <c:v>97.811328582000002</c:v>
                </c:pt>
                <c:pt idx="23">
                  <c:v>98.366371462000004</c:v>
                </c:pt>
                <c:pt idx="24">
                  <c:v>98.796525591000005</c:v>
                </c:pt>
                <c:pt idx="25">
                  <c:v>99.146867224000005</c:v>
                </c:pt>
                <c:pt idx="26">
                  <c:v>99.396923815999997</c:v>
                </c:pt>
                <c:pt idx="27">
                  <c:v>99.600515401999999</c:v>
                </c:pt>
                <c:pt idx="28">
                  <c:v>99.773571115999999</c:v>
                </c:pt>
                <c:pt idx="29">
                  <c:v>99.848417717000004</c:v>
                </c:pt>
                <c:pt idx="30">
                  <c:v>99.795199006999994</c:v>
                </c:pt>
                <c:pt idx="31">
                  <c:v>99.692286999999993</c:v>
                </c:pt>
                <c:pt idx="32">
                  <c:v>99.693238539999996</c:v>
                </c:pt>
                <c:pt idx="33">
                  <c:v>99.806162155999999</c:v>
                </c:pt>
                <c:pt idx="34">
                  <c:v>99.989497224000004</c:v>
                </c:pt>
                <c:pt idx="35">
                  <c:v>100.233839936</c:v>
                </c:pt>
                <c:pt idx="36">
                  <c:v>100.536594761</c:v>
                </c:pt>
                <c:pt idx="37">
                  <c:v>100.839241517</c:v>
                </c:pt>
                <c:pt idx="38">
                  <c:v>101.11096725100001</c:v>
                </c:pt>
              </c:numCache>
            </c:numRef>
          </c:val>
          <c:smooth val="0"/>
          <c:extLst>
            <c:ext xmlns:c16="http://schemas.microsoft.com/office/drawing/2014/chart" uri="{C3380CC4-5D6E-409C-BE32-E72D297353CC}">
              <c16:uniqueId val="{00000002-F802-488F-BE11-7CBE241864CF}"/>
            </c:ext>
          </c:extLst>
        </c:ser>
        <c:ser>
          <c:idx val="3"/>
          <c:order val="3"/>
          <c:tx>
            <c:strRef>
              <c:f>Usluge!$H$5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4717578042577767E-2"/>
                  <c:y val="5.82890390390390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802-488F-BE11-7CBE241864CF}"/>
                </c:ext>
              </c:extLst>
            </c:dLbl>
            <c:dLbl>
              <c:idx val="12"/>
              <c:layout>
                <c:manualLayout>
                  <c:x val="8.6673887986223941E-2"/>
                  <c:y val="5.82887410391528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802-488F-BE11-7CBE241864CF}"/>
                </c:ext>
              </c:extLst>
            </c:dLbl>
            <c:dLbl>
              <c:idx val="24"/>
              <c:layout>
                <c:manualLayout>
                  <c:x val="7.9133511088891509E-2"/>
                  <c:y val="5.82887410391528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802-488F-BE11-7CBE241864CF}"/>
                </c:ext>
              </c:extLst>
            </c:dLbl>
            <c:dLbl>
              <c:idx val="36"/>
              <c:layout>
                <c:manualLayout>
                  <c:x val="-1.635212265133525E-4"/>
                  <c:y val="6.503489389407719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E98-4F90-B819-E4C288AB414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Usluge!$H$162:$H$200</c:f>
              <c:numCache>
                <c:formatCode>General</c:formatCode>
                <c:ptCount val="39"/>
                <c:pt idx="0">
                  <c:v>60</c:v>
                </c:pt>
                <c:pt idx="12">
                  <c:v>60</c:v>
                </c:pt>
                <c:pt idx="24">
                  <c:v>60</c:v>
                </c:pt>
                <c:pt idx="36">
                  <c:v>60</c:v>
                </c:pt>
              </c:numCache>
            </c:numRef>
          </c:val>
          <c:smooth val="0"/>
          <c:extLst>
            <c:ext xmlns:c16="http://schemas.microsoft.com/office/drawing/2014/chart" uri="{C3380CC4-5D6E-409C-BE32-E72D297353CC}">
              <c16:uniqueId val="{00000006-F802-488F-BE11-7CBE241864CF}"/>
            </c:ext>
          </c:extLst>
        </c:ser>
        <c:ser>
          <c:idx val="4"/>
          <c:order val="4"/>
          <c:tx>
            <c:strRef>
              <c:f>Usluge!$I$5</c:f>
              <c:strCache>
                <c:ptCount val="1"/>
                <c:pt idx="0">
                  <c:v>Series5</c:v>
                </c:pt>
              </c:strCache>
            </c:strRef>
          </c:tx>
          <c:spPr>
            <a:ln w="28575" cap="rnd">
              <a:noFill/>
              <a:round/>
            </a:ln>
            <a:effectLst/>
          </c:spPr>
          <c:marker>
            <c:symbol val="none"/>
          </c:marker>
          <c:dLbls>
            <c:dLbl>
              <c:idx val="0"/>
              <c:tx>
                <c:rich>
                  <a:bodyPr/>
                  <a:lstStyle/>
                  <a:p>
                    <a:fld id="{3103C497-6199-47AF-9E00-1F923001F4C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F802-488F-BE11-7CBE241864CF}"/>
                </c:ext>
              </c:extLst>
            </c:dLbl>
            <c:dLbl>
              <c:idx val="1"/>
              <c:tx>
                <c:rich>
                  <a:bodyPr/>
                  <a:lstStyle/>
                  <a:p>
                    <a:fld id="{430E7E76-8946-4756-AB6F-56E2AED680C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F802-488F-BE11-7CBE241864CF}"/>
                </c:ext>
              </c:extLst>
            </c:dLbl>
            <c:dLbl>
              <c:idx val="2"/>
              <c:tx>
                <c:rich>
                  <a:bodyPr/>
                  <a:lstStyle/>
                  <a:p>
                    <a:fld id="{001DA178-5640-4ABF-9CDD-92D45C3615B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F802-488F-BE11-7CBE241864CF}"/>
                </c:ext>
              </c:extLst>
            </c:dLbl>
            <c:dLbl>
              <c:idx val="3"/>
              <c:tx>
                <c:rich>
                  <a:bodyPr/>
                  <a:lstStyle/>
                  <a:p>
                    <a:fld id="{1EBA28D1-64E8-4F1B-AD31-A47BB3D23A9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802-488F-BE11-7CBE241864CF}"/>
                </c:ext>
              </c:extLst>
            </c:dLbl>
            <c:dLbl>
              <c:idx val="4"/>
              <c:tx>
                <c:rich>
                  <a:bodyPr/>
                  <a:lstStyle/>
                  <a:p>
                    <a:fld id="{67AA62A9-CDBC-46E2-9E71-BCB6EC5D135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F802-488F-BE11-7CBE241864CF}"/>
                </c:ext>
              </c:extLst>
            </c:dLbl>
            <c:dLbl>
              <c:idx val="5"/>
              <c:tx>
                <c:rich>
                  <a:bodyPr/>
                  <a:lstStyle/>
                  <a:p>
                    <a:fld id="{7BFF6A82-9372-4646-8BD0-BE7B179EC0A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F802-488F-BE11-7CBE241864CF}"/>
                </c:ext>
              </c:extLst>
            </c:dLbl>
            <c:dLbl>
              <c:idx val="6"/>
              <c:tx>
                <c:rich>
                  <a:bodyPr/>
                  <a:lstStyle/>
                  <a:p>
                    <a:fld id="{E3DE2850-41A7-483E-ACA3-5C4C842C471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F802-488F-BE11-7CBE241864CF}"/>
                </c:ext>
              </c:extLst>
            </c:dLbl>
            <c:dLbl>
              <c:idx val="7"/>
              <c:tx>
                <c:rich>
                  <a:bodyPr/>
                  <a:lstStyle/>
                  <a:p>
                    <a:fld id="{16815FB8-F586-48B6-A707-16FBC2994C8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F802-488F-BE11-7CBE241864CF}"/>
                </c:ext>
              </c:extLst>
            </c:dLbl>
            <c:dLbl>
              <c:idx val="8"/>
              <c:tx>
                <c:rich>
                  <a:bodyPr/>
                  <a:lstStyle/>
                  <a:p>
                    <a:fld id="{CCED6440-7D9D-4B2D-8C96-4B0D212C3BE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F802-488F-BE11-7CBE241864CF}"/>
                </c:ext>
              </c:extLst>
            </c:dLbl>
            <c:dLbl>
              <c:idx val="9"/>
              <c:tx>
                <c:rich>
                  <a:bodyPr/>
                  <a:lstStyle/>
                  <a:p>
                    <a:fld id="{2FEBB298-E2DC-4CBD-8A1B-3AB20097264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F802-488F-BE11-7CBE241864CF}"/>
                </c:ext>
              </c:extLst>
            </c:dLbl>
            <c:dLbl>
              <c:idx val="10"/>
              <c:tx>
                <c:rich>
                  <a:bodyPr/>
                  <a:lstStyle/>
                  <a:p>
                    <a:fld id="{88A87757-331C-4564-84A1-A10FBDF3B93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F802-488F-BE11-7CBE241864CF}"/>
                </c:ext>
              </c:extLst>
            </c:dLbl>
            <c:dLbl>
              <c:idx val="11"/>
              <c:tx>
                <c:rich>
                  <a:bodyPr/>
                  <a:lstStyle/>
                  <a:p>
                    <a:fld id="{337F078B-E540-47F7-9BC1-CBAE4E098C1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F802-488F-BE11-7CBE241864CF}"/>
                </c:ext>
              </c:extLst>
            </c:dLbl>
            <c:dLbl>
              <c:idx val="12"/>
              <c:tx>
                <c:rich>
                  <a:bodyPr/>
                  <a:lstStyle/>
                  <a:p>
                    <a:fld id="{AE621C7C-57B1-4D7C-8455-49BAA349960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F802-488F-BE11-7CBE241864CF}"/>
                </c:ext>
              </c:extLst>
            </c:dLbl>
            <c:dLbl>
              <c:idx val="13"/>
              <c:tx>
                <c:rich>
                  <a:bodyPr/>
                  <a:lstStyle/>
                  <a:p>
                    <a:fld id="{6184536F-A0CF-431B-9963-9EBA2BEAE79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F802-488F-BE11-7CBE241864CF}"/>
                </c:ext>
              </c:extLst>
            </c:dLbl>
            <c:dLbl>
              <c:idx val="14"/>
              <c:tx>
                <c:rich>
                  <a:bodyPr/>
                  <a:lstStyle/>
                  <a:p>
                    <a:fld id="{D13C5CCA-15B5-4BB8-962B-F15511E73B5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F802-488F-BE11-7CBE241864CF}"/>
                </c:ext>
              </c:extLst>
            </c:dLbl>
            <c:dLbl>
              <c:idx val="15"/>
              <c:tx>
                <c:rich>
                  <a:bodyPr/>
                  <a:lstStyle/>
                  <a:p>
                    <a:fld id="{EC6836C2-D79A-4D56-B896-4D9308FA573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F802-488F-BE11-7CBE241864CF}"/>
                </c:ext>
              </c:extLst>
            </c:dLbl>
            <c:dLbl>
              <c:idx val="16"/>
              <c:tx>
                <c:rich>
                  <a:bodyPr/>
                  <a:lstStyle/>
                  <a:p>
                    <a:fld id="{98D245C0-78A5-4439-9A27-534A8E4BC1D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F802-488F-BE11-7CBE241864CF}"/>
                </c:ext>
              </c:extLst>
            </c:dLbl>
            <c:dLbl>
              <c:idx val="17"/>
              <c:tx>
                <c:rich>
                  <a:bodyPr/>
                  <a:lstStyle/>
                  <a:p>
                    <a:fld id="{847B5047-8DC0-4FEA-8E68-F8B1C1B177D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F802-488F-BE11-7CBE241864CF}"/>
                </c:ext>
              </c:extLst>
            </c:dLbl>
            <c:dLbl>
              <c:idx val="18"/>
              <c:tx>
                <c:rich>
                  <a:bodyPr/>
                  <a:lstStyle/>
                  <a:p>
                    <a:fld id="{39002521-988A-4F1A-B012-98C12F2D8A6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F802-488F-BE11-7CBE241864CF}"/>
                </c:ext>
              </c:extLst>
            </c:dLbl>
            <c:dLbl>
              <c:idx val="19"/>
              <c:tx>
                <c:rich>
                  <a:bodyPr/>
                  <a:lstStyle/>
                  <a:p>
                    <a:fld id="{854666A4-220C-47C7-9813-AEBF325103C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F802-488F-BE11-7CBE241864CF}"/>
                </c:ext>
              </c:extLst>
            </c:dLbl>
            <c:dLbl>
              <c:idx val="20"/>
              <c:tx>
                <c:rich>
                  <a:bodyPr/>
                  <a:lstStyle/>
                  <a:p>
                    <a:fld id="{7790D699-084C-4FE5-8152-200C3EEA9FF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F802-488F-BE11-7CBE241864CF}"/>
                </c:ext>
              </c:extLst>
            </c:dLbl>
            <c:dLbl>
              <c:idx val="21"/>
              <c:tx>
                <c:rich>
                  <a:bodyPr/>
                  <a:lstStyle/>
                  <a:p>
                    <a:fld id="{7215DE50-1527-4525-A555-989AAC8CCB0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F802-488F-BE11-7CBE241864CF}"/>
                </c:ext>
              </c:extLst>
            </c:dLbl>
            <c:dLbl>
              <c:idx val="22"/>
              <c:tx>
                <c:rich>
                  <a:bodyPr/>
                  <a:lstStyle/>
                  <a:p>
                    <a:fld id="{F513E9C6-C4B7-4BE7-893C-A5CA93876CD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F802-488F-BE11-7CBE241864CF}"/>
                </c:ext>
              </c:extLst>
            </c:dLbl>
            <c:dLbl>
              <c:idx val="23"/>
              <c:tx>
                <c:rich>
                  <a:bodyPr/>
                  <a:lstStyle/>
                  <a:p>
                    <a:fld id="{6C49CEFD-ABE7-45E4-A581-6063D59FB62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F802-488F-BE11-7CBE241864CF}"/>
                </c:ext>
              </c:extLst>
            </c:dLbl>
            <c:dLbl>
              <c:idx val="24"/>
              <c:tx>
                <c:rich>
                  <a:bodyPr/>
                  <a:lstStyle/>
                  <a:p>
                    <a:fld id="{740DAA7F-945F-43C1-8005-9118ED1F691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F802-488F-BE11-7CBE241864CF}"/>
                </c:ext>
              </c:extLst>
            </c:dLbl>
            <c:dLbl>
              <c:idx val="25"/>
              <c:tx>
                <c:rich>
                  <a:bodyPr/>
                  <a:lstStyle/>
                  <a:p>
                    <a:fld id="{B48F0C4D-ACD0-4F6B-8ADC-9DFA6894024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F802-488F-BE11-7CBE241864CF}"/>
                </c:ext>
              </c:extLst>
            </c:dLbl>
            <c:dLbl>
              <c:idx val="26"/>
              <c:tx>
                <c:rich>
                  <a:bodyPr/>
                  <a:lstStyle/>
                  <a:p>
                    <a:fld id="{4B6367D3-A07E-4BAA-8252-5CA5FEE76AB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F802-488F-BE11-7CBE241864CF}"/>
                </c:ext>
              </c:extLst>
            </c:dLbl>
            <c:dLbl>
              <c:idx val="27"/>
              <c:tx>
                <c:rich>
                  <a:bodyPr/>
                  <a:lstStyle/>
                  <a:p>
                    <a:fld id="{F29F6887-CE81-4642-9F4B-60337F33686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F802-488F-BE11-7CBE241864CF}"/>
                </c:ext>
              </c:extLst>
            </c:dLbl>
            <c:dLbl>
              <c:idx val="28"/>
              <c:tx>
                <c:rich>
                  <a:bodyPr/>
                  <a:lstStyle/>
                  <a:p>
                    <a:fld id="{CDA1F166-14A2-46CB-8A1F-AE3ED61F60C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F802-488F-BE11-7CBE241864CF}"/>
                </c:ext>
              </c:extLst>
            </c:dLbl>
            <c:dLbl>
              <c:idx val="29"/>
              <c:tx>
                <c:rich>
                  <a:bodyPr/>
                  <a:lstStyle/>
                  <a:p>
                    <a:fld id="{64B26E5E-0258-47F0-840B-7797486C80B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F802-488F-BE11-7CBE241864CF}"/>
                </c:ext>
              </c:extLst>
            </c:dLbl>
            <c:dLbl>
              <c:idx val="30"/>
              <c:tx>
                <c:rich>
                  <a:bodyPr/>
                  <a:lstStyle/>
                  <a:p>
                    <a:fld id="{C65A3AE2-4487-4ED4-B93A-56E74ECDAB5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F802-488F-BE11-7CBE241864CF}"/>
                </c:ext>
              </c:extLst>
            </c:dLbl>
            <c:dLbl>
              <c:idx val="31"/>
              <c:tx>
                <c:rich>
                  <a:bodyPr/>
                  <a:lstStyle/>
                  <a:p>
                    <a:fld id="{C1895203-24A2-4F34-AB78-724233681BC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F802-488F-BE11-7CBE241864CF}"/>
                </c:ext>
              </c:extLst>
            </c:dLbl>
            <c:dLbl>
              <c:idx val="32"/>
              <c:tx>
                <c:rich>
                  <a:bodyPr/>
                  <a:lstStyle/>
                  <a:p>
                    <a:fld id="{E91D712E-244A-430B-A6B5-5FA1086466E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F802-488F-BE11-7CBE241864CF}"/>
                </c:ext>
              </c:extLst>
            </c:dLbl>
            <c:dLbl>
              <c:idx val="33"/>
              <c:tx>
                <c:rich>
                  <a:bodyPr/>
                  <a:lstStyle/>
                  <a:p>
                    <a:fld id="{06CF688F-D59F-4F8D-853A-337CF3EB79F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F802-488F-BE11-7CBE241864CF}"/>
                </c:ext>
              </c:extLst>
            </c:dLbl>
            <c:dLbl>
              <c:idx val="34"/>
              <c:tx>
                <c:rich>
                  <a:bodyPr/>
                  <a:lstStyle/>
                  <a:p>
                    <a:fld id="{5E919F1B-39B3-4800-BAF2-BB2D384667E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F802-488F-BE11-7CBE241864CF}"/>
                </c:ext>
              </c:extLst>
            </c:dLbl>
            <c:dLbl>
              <c:idx val="35"/>
              <c:tx>
                <c:rich>
                  <a:bodyPr/>
                  <a:lstStyle/>
                  <a:p>
                    <a:fld id="{E4E81BB4-ED94-4F7C-839B-B4D9EE42002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F802-488F-BE11-7CBE241864CF}"/>
                </c:ext>
              </c:extLst>
            </c:dLbl>
            <c:dLbl>
              <c:idx val="36"/>
              <c:tx>
                <c:rich>
                  <a:bodyPr/>
                  <a:lstStyle/>
                  <a:p>
                    <a:fld id="{09AA6FD0-645B-4111-8193-4C68AA602BE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F802-488F-BE11-7CBE241864CF}"/>
                </c:ext>
              </c:extLst>
            </c:dLbl>
            <c:dLbl>
              <c:idx val="37"/>
              <c:tx>
                <c:rich>
                  <a:bodyPr/>
                  <a:lstStyle/>
                  <a:p>
                    <a:fld id="{F3DB4138-5582-400F-8746-5C7B9307653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F802-488F-BE11-7CBE241864CF}"/>
                </c:ext>
              </c:extLst>
            </c:dLbl>
            <c:dLbl>
              <c:idx val="38"/>
              <c:tx>
                <c:rich>
                  <a:bodyPr/>
                  <a:lstStyle/>
                  <a:p>
                    <a:fld id="{DC0B5FFB-E0F0-4600-A8B7-B8BF824AEBD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F802-488F-BE11-7CBE241864C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Usluge!$I$162:$I$200</c:f>
              <c:numCache>
                <c:formatCode>General</c:formatCode>
                <c:ptCount val="39"/>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numCache>
            </c:numRef>
          </c:val>
          <c:smooth val="0"/>
          <c:extLst>
            <c:ext xmlns:c15="http://schemas.microsoft.com/office/drawing/2012/chart" uri="{02D57815-91ED-43cb-92C2-25804820EDAC}">
              <c15:datalabelsRange>
                <c15:f>Usluge!$J$150:$J$193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E-F802-488F-BE11-7CBE241864CF}"/>
            </c:ext>
          </c:extLst>
        </c:ser>
        <c:dLbls>
          <c:showLegendKey val="0"/>
          <c:showVal val="0"/>
          <c:showCatName val="0"/>
          <c:showSerName val="0"/>
          <c:showPercent val="0"/>
          <c:showBubbleSize val="0"/>
        </c:dLbls>
        <c:smooth val="0"/>
        <c:axId val="2092186640"/>
        <c:axId val="2092182288"/>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82288"/>
        <c:crosses val="autoZero"/>
        <c:auto val="1"/>
        <c:lblOffset val="0"/>
        <c:baseTimeUnit val="months"/>
      </c:dateAx>
      <c:valAx>
        <c:axId val="2092182288"/>
        <c:scaling>
          <c:orientation val="minMax"/>
          <c:max val="11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664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Usluge!$L$5</c:f>
              <c:strCache>
                <c:ptCount val="1"/>
                <c:pt idx="0">
                  <c:v>y</c:v>
                </c:pt>
              </c:strCache>
            </c:strRef>
          </c:tx>
          <c:spPr>
            <a:ln w="12700" cap="rnd">
              <a:solidFill>
                <a:srgbClr val="7F3F98"/>
              </a:solidFill>
              <a:prstDash val="sysDash"/>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Usluge!$L$162:$L$200</c:f>
              <c:numCache>
                <c:formatCode>0.0</c:formatCode>
                <c:ptCount val="39"/>
                <c:pt idx="0">
                  <c:v>75.182253208000006</c:v>
                </c:pt>
                <c:pt idx="1">
                  <c:v>75.637936170000003</c:v>
                </c:pt>
                <c:pt idx="2">
                  <c:v>84.328947834000004</c:v>
                </c:pt>
                <c:pt idx="3">
                  <c:v>81.492933500999996</c:v>
                </c:pt>
                <c:pt idx="4">
                  <c:v>96.953785830000001</c:v>
                </c:pt>
                <c:pt idx="5">
                  <c:v>95.307067830999998</c:v>
                </c:pt>
                <c:pt idx="6">
                  <c:v>98.186733532999995</c:v>
                </c:pt>
                <c:pt idx="7">
                  <c:v>100.931263532</c:v>
                </c:pt>
                <c:pt idx="8">
                  <c:v>93.521032534</c:v>
                </c:pt>
                <c:pt idx="9">
                  <c:v>101.205716532</c:v>
                </c:pt>
                <c:pt idx="10">
                  <c:v>89.197224974999997</c:v>
                </c:pt>
                <c:pt idx="11">
                  <c:v>103.83471830400001</c:v>
                </c:pt>
                <c:pt idx="12">
                  <c:v>89.763615919000003</c:v>
                </c:pt>
                <c:pt idx="13">
                  <c:v>87.763615919000003</c:v>
                </c:pt>
                <c:pt idx="14">
                  <c:v>96.863615918999997</c:v>
                </c:pt>
                <c:pt idx="15">
                  <c:v>90.463615919000006</c:v>
                </c:pt>
                <c:pt idx="16">
                  <c:v>99.463615919000006</c:v>
                </c:pt>
                <c:pt idx="17">
                  <c:v>103.96361591900001</c:v>
                </c:pt>
                <c:pt idx="18">
                  <c:v>101.063615919</c:v>
                </c:pt>
                <c:pt idx="19">
                  <c:v>107.263615919</c:v>
                </c:pt>
                <c:pt idx="20">
                  <c:v>102.1</c:v>
                </c:pt>
                <c:pt idx="21">
                  <c:v>105.8</c:v>
                </c:pt>
                <c:pt idx="22">
                  <c:v>99.8</c:v>
                </c:pt>
                <c:pt idx="23">
                  <c:v>114.6</c:v>
                </c:pt>
                <c:pt idx="24">
                  <c:v>94.940474308000006</c:v>
                </c:pt>
                <c:pt idx="25">
                  <c:v>91.1</c:v>
                </c:pt>
                <c:pt idx="26">
                  <c:v>101</c:v>
                </c:pt>
                <c:pt idx="27">
                  <c:v>99.3</c:v>
                </c:pt>
                <c:pt idx="28">
                  <c:v>104</c:v>
                </c:pt>
                <c:pt idx="29">
                  <c:v>101.6</c:v>
                </c:pt>
                <c:pt idx="30">
                  <c:v>99.6</c:v>
                </c:pt>
                <c:pt idx="31">
                  <c:v>102.9</c:v>
                </c:pt>
                <c:pt idx="32">
                  <c:v>101.071400641</c:v>
                </c:pt>
                <c:pt idx="33">
                  <c:v>102.948306874</c:v>
                </c:pt>
                <c:pt idx="34">
                  <c:v>93.1</c:v>
                </c:pt>
                <c:pt idx="35">
                  <c:v>107.54672714500001</c:v>
                </c:pt>
                <c:pt idx="36">
                  <c:v>91</c:v>
                </c:pt>
                <c:pt idx="37">
                  <c:v>82.1</c:v>
                </c:pt>
                <c:pt idx="38">
                  <c:v>94.7</c:v>
                </c:pt>
              </c:numCache>
            </c:numRef>
          </c:val>
          <c:smooth val="0"/>
          <c:extLst>
            <c:ext xmlns:c16="http://schemas.microsoft.com/office/drawing/2014/chart" uri="{C3380CC4-5D6E-409C-BE32-E72D297353CC}">
              <c16:uniqueId val="{00000000-89C3-451B-B78D-DAE1C73A774F}"/>
            </c:ext>
          </c:extLst>
        </c:ser>
        <c:ser>
          <c:idx val="1"/>
          <c:order val="1"/>
          <c:tx>
            <c:strRef>
              <c:f>Usluge!$M$5</c:f>
              <c:strCache>
                <c:ptCount val="1"/>
                <c:pt idx="0">
                  <c:v>sa</c:v>
                </c:pt>
              </c:strCache>
            </c:strRef>
          </c:tx>
          <c:spPr>
            <a:ln w="22225" cap="rnd">
              <a:solidFill>
                <a:srgbClr val="25AAE1"/>
              </a:solidFill>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Usluge!$M$162:$M$200</c:f>
              <c:numCache>
                <c:formatCode>0.0</c:formatCode>
                <c:ptCount val="39"/>
                <c:pt idx="0">
                  <c:v>78.612423828000004</c:v>
                </c:pt>
                <c:pt idx="1">
                  <c:v>80.749956611000002</c:v>
                </c:pt>
                <c:pt idx="2">
                  <c:v>83.199347316000001</c:v>
                </c:pt>
                <c:pt idx="3">
                  <c:v>86.132689803000005</c:v>
                </c:pt>
                <c:pt idx="4">
                  <c:v>92.653006984000001</c:v>
                </c:pt>
                <c:pt idx="5">
                  <c:v>91.477193917999998</c:v>
                </c:pt>
                <c:pt idx="6">
                  <c:v>95.472820916000003</c:v>
                </c:pt>
                <c:pt idx="7">
                  <c:v>95.327946716</c:v>
                </c:pt>
                <c:pt idx="8">
                  <c:v>93.912103219000002</c:v>
                </c:pt>
                <c:pt idx="9">
                  <c:v>98.411626145</c:v>
                </c:pt>
                <c:pt idx="10">
                  <c:v>96.186115939000004</c:v>
                </c:pt>
                <c:pt idx="11">
                  <c:v>97.351413230000006</c:v>
                </c:pt>
                <c:pt idx="12">
                  <c:v>95.427540257999993</c:v>
                </c:pt>
                <c:pt idx="13">
                  <c:v>96.324752173999997</c:v>
                </c:pt>
                <c:pt idx="14">
                  <c:v>96.711696314999998</c:v>
                </c:pt>
                <c:pt idx="15">
                  <c:v>95.289931226999997</c:v>
                </c:pt>
                <c:pt idx="16">
                  <c:v>95.820677748999998</c:v>
                </c:pt>
                <c:pt idx="17">
                  <c:v>100.023703067</c:v>
                </c:pt>
                <c:pt idx="18">
                  <c:v>99.030889231000003</c:v>
                </c:pt>
                <c:pt idx="19">
                  <c:v>101.429800886</c:v>
                </c:pt>
                <c:pt idx="20">
                  <c:v>101.61691342899999</c:v>
                </c:pt>
                <c:pt idx="21">
                  <c:v>101.907701221</c:v>
                </c:pt>
                <c:pt idx="22">
                  <c:v>105.74463166300001</c:v>
                </c:pt>
                <c:pt idx="23">
                  <c:v>105.29315063999999</c:v>
                </c:pt>
                <c:pt idx="24">
                  <c:v>101.72071600699999</c:v>
                </c:pt>
                <c:pt idx="25">
                  <c:v>102.60156542599999</c:v>
                </c:pt>
                <c:pt idx="26">
                  <c:v>101.546968729</c:v>
                </c:pt>
                <c:pt idx="27">
                  <c:v>103.381788003</c:v>
                </c:pt>
                <c:pt idx="28">
                  <c:v>100.56611631</c:v>
                </c:pt>
                <c:pt idx="29">
                  <c:v>98.616902534999994</c:v>
                </c:pt>
                <c:pt idx="30">
                  <c:v>98.501682350999999</c:v>
                </c:pt>
                <c:pt idx="31">
                  <c:v>97.919387628999999</c:v>
                </c:pt>
                <c:pt idx="32">
                  <c:v>99.747393177000006</c:v>
                </c:pt>
                <c:pt idx="33">
                  <c:v>98.620682431999995</c:v>
                </c:pt>
                <c:pt idx="34">
                  <c:v>97.644366969999993</c:v>
                </c:pt>
                <c:pt idx="35">
                  <c:v>97.424122772999993</c:v>
                </c:pt>
                <c:pt idx="36">
                  <c:v>97.348603514999994</c:v>
                </c:pt>
                <c:pt idx="37">
                  <c:v>94.130020348000002</c:v>
                </c:pt>
                <c:pt idx="38">
                  <c:v>95.547937046000001</c:v>
                </c:pt>
              </c:numCache>
            </c:numRef>
          </c:val>
          <c:smooth val="0"/>
          <c:extLst>
            <c:ext xmlns:c16="http://schemas.microsoft.com/office/drawing/2014/chart" uri="{C3380CC4-5D6E-409C-BE32-E72D297353CC}">
              <c16:uniqueId val="{00000001-89C3-451B-B78D-DAE1C73A774F}"/>
            </c:ext>
          </c:extLst>
        </c:ser>
        <c:ser>
          <c:idx val="2"/>
          <c:order val="2"/>
          <c:tx>
            <c:strRef>
              <c:f>Usluge!$N$5</c:f>
              <c:strCache>
                <c:ptCount val="1"/>
                <c:pt idx="0">
                  <c:v>t</c:v>
                </c:pt>
              </c:strCache>
            </c:strRef>
          </c:tx>
          <c:spPr>
            <a:ln w="25400" cap="rnd">
              <a:solidFill>
                <a:srgbClr val="FF0000"/>
              </a:solidFill>
              <a:round/>
            </a:ln>
            <a:effectLst/>
          </c:spPr>
          <c:marker>
            <c:symbol val="none"/>
          </c:marker>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Usluge!$N$162:$N$200</c:f>
              <c:numCache>
                <c:formatCode>0.0</c:formatCode>
                <c:ptCount val="39"/>
                <c:pt idx="0">
                  <c:v>78.055603922000003</c:v>
                </c:pt>
                <c:pt idx="1">
                  <c:v>80.609620466999999</c:v>
                </c:pt>
                <c:pt idx="2">
                  <c:v>83.752462223999999</c:v>
                </c:pt>
                <c:pt idx="3">
                  <c:v>86.979009570000002</c:v>
                </c:pt>
                <c:pt idx="4">
                  <c:v>89.909853245999997</c:v>
                </c:pt>
                <c:pt idx="5">
                  <c:v>92.294896620000003</c:v>
                </c:pt>
                <c:pt idx="6">
                  <c:v>94.115751137999993</c:v>
                </c:pt>
                <c:pt idx="7">
                  <c:v>95.381532393000001</c:v>
                </c:pt>
                <c:pt idx="8">
                  <c:v>96.113492917000002</c:v>
                </c:pt>
                <c:pt idx="9">
                  <c:v>96.494494044999996</c:v>
                </c:pt>
                <c:pt idx="10">
                  <c:v>96.662314412000001</c:v>
                </c:pt>
                <c:pt idx="11">
                  <c:v>96.584045450000005</c:v>
                </c:pt>
                <c:pt idx="12">
                  <c:v>96.323741267000003</c:v>
                </c:pt>
                <c:pt idx="13">
                  <c:v>96.0844168</c:v>
                </c:pt>
                <c:pt idx="14">
                  <c:v>96.042728566999997</c:v>
                </c:pt>
                <c:pt idx="15">
                  <c:v>96.422758357000006</c:v>
                </c:pt>
                <c:pt idx="16">
                  <c:v>97.204610079999995</c:v>
                </c:pt>
                <c:pt idx="17">
                  <c:v>98.230536608999998</c:v>
                </c:pt>
                <c:pt idx="18">
                  <c:v>99.527877570000001</c:v>
                </c:pt>
                <c:pt idx="19">
                  <c:v>100.921882709</c:v>
                </c:pt>
                <c:pt idx="20">
                  <c:v>102.221370268</c:v>
                </c:pt>
                <c:pt idx="21">
                  <c:v>103.136219344</c:v>
                </c:pt>
                <c:pt idx="22">
                  <c:v>103.61015963200001</c:v>
                </c:pt>
                <c:pt idx="23">
                  <c:v>103.74143652399999</c:v>
                </c:pt>
                <c:pt idx="24">
                  <c:v>103.546033384</c:v>
                </c:pt>
                <c:pt idx="25">
                  <c:v>103.014035194</c:v>
                </c:pt>
                <c:pt idx="26">
                  <c:v>102.22528825400001</c:v>
                </c:pt>
                <c:pt idx="27">
                  <c:v>101.300605053</c:v>
                </c:pt>
                <c:pt idx="28">
                  <c:v>100.434428075</c:v>
                </c:pt>
                <c:pt idx="29">
                  <c:v>99.709791694000003</c:v>
                </c:pt>
                <c:pt idx="30">
                  <c:v>99.092553605999996</c:v>
                </c:pt>
                <c:pt idx="31">
                  <c:v>98.695005003000006</c:v>
                </c:pt>
                <c:pt idx="32">
                  <c:v>98.496128287999994</c:v>
                </c:pt>
                <c:pt idx="33">
                  <c:v>98.270548070999993</c:v>
                </c:pt>
                <c:pt idx="34">
                  <c:v>97.851534208999993</c:v>
                </c:pt>
                <c:pt idx="35">
                  <c:v>97.197104506000002</c:v>
                </c:pt>
                <c:pt idx="36">
                  <c:v>96.496459942000001</c:v>
                </c:pt>
                <c:pt idx="37">
                  <c:v>95.951695818999994</c:v>
                </c:pt>
                <c:pt idx="38">
                  <c:v>95.658118074000001</c:v>
                </c:pt>
              </c:numCache>
            </c:numRef>
          </c:val>
          <c:smooth val="0"/>
          <c:extLst>
            <c:ext xmlns:c16="http://schemas.microsoft.com/office/drawing/2014/chart" uri="{C3380CC4-5D6E-409C-BE32-E72D297353CC}">
              <c16:uniqueId val="{00000002-89C3-451B-B78D-DAE1C73A774F}"/>
            </c:ext>
          </c:extLst>
        </c:ser>
        <c:ser>
          <c:idx val="3"/>
          <c:order val="3"/>
          <c:tx>
            <c:strRef>
              <c:f>Usluge!$O$5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0963888888888891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C3-451B-B78D-DAE1C73A774F}"/>
                </c:ext>
              </c:extLst>
            </c:dLbl>
            <c:dLbl>
              <c:idx val="12"/>
              <c:layout>
                <c:manualLayout>
                  <c:x val="9.5568262300545687E-2"/>
                  <c:y val="6.51818522684662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9C3-451B-B78D-DAE1C73A774F}"/>
                </c:ext>
              </c:extLst>
            </c:dLbl>
            <c:dLbl>
              <c:idx val="24"/>
              <c:layout>
                <c:manualLayout>
                  <c:x val="8.0169145523476232E-2"/>
                  <c:y val="6.51818522684662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9C3-451B-B78D-DAE1C73A774F}"/>
                </c:ext>
              </c:extLst>
            </c:dLbl>
            <c:dLbl>
              <c:idx val="36"/>
              <c:layout>
                <c:manualLayout>
                  <c:x val="-1.2696676804288353E-2"/>
                  <c:y val="7.050891365851995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17-494D-8685-78EDB86F1FE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Usluge!$O$162:$O$200</c:f>
              <c:numCache>
                <c:formatCode>General</c:formatCode>
                <c:ptCount val="39"/>
                <c:pt idx="0">
                  <c:v>60</c:v>
                </c:pt>
                <c:pt idx="12">
                  <c:v>60</c:v>
                </c:pt>
                <c:pt idx="24">
                  <c:v>60</c:v>
                </c:pt>
                <c:pt idx="36">
                  <c:v>60</c:v>
                </c:pt>
              </c:numCache>
            </c:numRef>
          </c:val>
          <c:smooth val="0"/>
          <c:extLst>
            <c:ext xmlns:c16="http://schemas.microsoft.com/office/drawing/2014/chart" uri="{C3380CC4-5D6E-409C-BE32-E72D297353CC}">
              <c16:uniqueId val="{00000006-89C3-451B-B78D-DAE1C73A774F}"/>
            </c:ext>
          </c:extLst>
        </c:ser>
        <c:ser>
          <c:idx val="4"/>
          <c:order val="4"/>
          <c:tx>
            <c:strRef>
              <c:f>Usluge!$P$5</c:f>
              <c:strCache>
                <c:ptCount val="1"/>
                <c:pt idx="0">
                  <c:v>Series5</c:v>
                </c:pt>
              </c:strCache>
            </c:strRef>
          </c:tx>
          <c:spPr>
            <a:ln w="25400" cap="rnd">
              <a:noFill/>
              <a:round/>
            </a:ln>
            <a:effectLst/>
          </c:spPr>
          <c:marker>
            <c:symbol val="none"/>
          </c:marker>
          <c:dLbls>
            <c:dLbl>
              <c:idx val="0"/>
              <c:tx>
                <c:rich>
                  <a:bodyPr/>
                  <a:lstStyle/>
                  <a:p>
                    <a:fld id="{DB36E7B7-B02E-46A3-B419-3C30C33E104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89C3-451B-B78D-DAE1C73A774F}"/>
                </c:ext>
              </c:extLst>
            </c:dLbl>
            <c:dLbl>
              <c:idx val="1"/>
              <c:tx>
                <c:rich>
                  <a:bodyPr/>
                  <a:lstStyle/>
                  <a:p>
                    <a:fld id="{5166E31D-A60F-46BF-ABF9-7F61EFC0B01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89C3-451B-B78D-DAE1C73A774F}"/>
                </c:ext>
              </c:extLst>
            </c:dLbl>
            <c:dLbl>
              <c:idx val="2"/>
              <c:tx>
                <c:rich>
                  <a:bodyPr/>
                  <a:lstStyle/>
                  <a:p>
                    <a:fld id="{3B71613D-1FF8-4663-9BC8-2CA36564E45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89C3-451B-B78D-DAE1C73A774F}"/>
                </c:ext>
              </c:extLst>
            </c:dLbl>
            <c:dLbl>
              <c:idx val="3"/>
              <c:tx>
                <c:rich>
                  <a:bodyPr/>
                  <a:lstStyle/>
                  <a:p>
                    <a:fld id="{16904A02-CB82-45C9-AB0F-9CCE038C361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89C3-451B-B78D-DAE1C73A774F}"/>
                </c:ext>
              </c:extLst>
            </c:dLbl>
            <c:dLbl>
              <c:idx val="4"/>
              <c:tx>
                <c:rich>
                  <a:bodyPr/>
                  <a:lstStyle/>
                  <a:p>
                    <a:fld id="{2A553206-B139-4706-9871-C9C90311370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89C3-451B-B78D-DAE1C73A774F}"/>
                </c:ext>
              </c:extLst>
            </c:dLbl>
            <c:dLbl>
              <c:idx val="5"/>
              <c:tx>
                <c:rich>
                  <a:bodyPr/>
                  <a:lstStyle/>
                  <a:p>
                    <a:fld id="{9BE76FC3-0F4A-44EC-87F3-784234006CE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89C3-451B-B78D-DAE1C73A774F}"/>
                </c:ext>
              </c:extLst>
            </c:dLbl>
            <c:dLbl>
              <c:idx val="6"/>
              <c:tx>
                <c:rich>
                  <a:bodyPr/>
                  <a:lstStyle/>
                  <a:p>
                    <a:fld id="{ACEF2FD9-099C-4044-840C-5AD79E3A60E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89C3-451B-B78D-DAE1C73A774F}"/>
                </c:ext>
              </c:extLst>
            </c:dLbl>
            <c:dLbl>
              <c:idx val="7"/>
              <c:tx>
                <c:rich>
                  <a:bodyPr/>
                  <a:lstStyle/>
                  <a:p>
                    <a:fld id="{7BD336EE-04DB-4BE7-946A-4D8C58F9C58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89C3-451B-B78D-DAE1C73A774F}"/>
                </c:ext>
              </c:extLst>
            </c:dLbl>
            <c:dLbl>
              <c:idx val="8"/>
              <c:tx>
                <c:rich>
                  <a:bodyPr/>
                  <a:lstStyle/>
                  <a:p>
                    <a:fld id="{712F023B-555F-4B26-8087-C0CEB9D745F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89C3-451B-B78D-DAE1C73A774F}"/>
                </c:ext>
              </c:extLst>
            </c:dLbl>
            <c:dLbl>
              <c:idx val="9"/>
              <c:tx>
                <c:rich>
                  <a:bodyPr/>
                  <a:lstStyle/>
                  <a:p>
                    <a:fld id="{49CDE116-DF07-438E-9EF5-42FFF91965D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89C3-451B-B78D-DAE1C73A774F}"/>
                </c:ext>
              </c:extLst>
            </c:dLbl>
            <c:dLbl>
              <c:idx val="10"/>
              <c:tx>
                <c:rich>
                  <a:bodyPr/>
                  <a:lstStyle/>
                  <a:p>
                    <a:fld id="{610B3CAC-1AAD-4F1F-AA5D-4E9BFE68754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89C3-451B-B78D-DAE1C73A774F}"/>
                </c:ext>
              </c:extLst>
            </c:dLbl>
            <c:dLbl>
              <c:idx val="11"/>
              <c:tx>
                <c:rich>
                  <a:bodyPr/>
                  <a:lstStyle/>
                  <a:p>
                    <a:fld id="{93D40E38-9A09-4761-B9BD-AA3B6DA28E2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89C3-451B-B78D-DAE1C73A774F}"/>
                </c:ext>
              </c:extLst>
            </c:dLbl>
            <c:dLbl>
              <c:idx val="12"/>
              <c:tx>
                <c:rich>
                  <a:bodyPr/>
                  <a:lstStyle/>
                  <a:p>
                    <a:fld id="{96A975F2-961A-42B1-9DC0-2EC5908BFF2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89C3-451B-B78D-DAE1C73A774F}"/>
                </c:ext>
              </c:extLst>
            </c:dLbl>
            <c:dLbl>
              <c:idx val="13"/>
              <c:tx>
                <c:rich>
                  <a:bodyPr/>
                  <a:lstStyle/>
                  <a:p>
                    <a:fld id="{B29B1E37-4E4E-4F4F-846D-AA9EC7ED0CD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89C3-451B-B78D-DAE1C73A774F}"/>
                </c:ext>
              </c:extLst>
            </c:dLbl>
            <c:dLbl>
              <c:idx val="14"/>
              <c:tx>
                <c:rich>
                  <a:bodyPr/>
                  <a:lstStyle/>
                  <a:p>
                    <a:fld id="{3C086E26-D33F-47F0-B49F-68A9D9589B0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89C3-451B-B78D-DAE1C73A774F}"/>
                </c:ext>
              </c:extLst>
            </c:dLbl>
            <c:dLbl>
              <c:idx val="15"/>
              <c:tx>
                <c:rich>
                  <a:bodyPr/>
                  <a:lstStyle/>
                  <a:p>
                    <a:fld id="{49BEA295-1DF9-49EA-9BBB-FC3842E36D0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89C3-451B-B78D-DAE1C73A774F}"/>
                </c:ext>
              </c:extLst>
            </c:dLbl>
            <c:dLbl>
              <c:idx val="16"/>
              <c:tx>
                <c:rich>
                  <a:bodyPr/>
                  <a:lstStyle/>
                  <a:p>
                    <a:fld id="{44DF0F56-9421-400B-B4FA-96DA68AC05D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89C3-451B-B78D-DAE1C73A774F}"/>
                </c:ext>
              </c:extLst>
            </c:dLbl>
            <c:dLbl>
              <c:idx val="17"/>
              <c:tx>
                <c:rich>
                  <a:bodyPr/>
                  <a:lstStyle/>
                  <a:p>
                    <a:fld id="{7ED1C40F-CB01-40A1-955A-E84B03AB1E7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89C3-451B-B78D-DAE1C73A774F}"/>
                </c:ext>
              </c:extLst>
            </c:dLbl>
            <c:dLbl>
              <c:idx val="18"/>
              <c:tx>
                <c:rich>
                  <a:bodyPr/>
                  <a:lstStyle/>
                  <a:p>
                    <a:fld id="{F664E9A6-3257-48AC-9913-0A5A7CFE6DB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89C3-451B-B78D-DAE1C73A774F}"/>
                </c:ext>
              </c:extLst>
            </c:dLbl>
            <c:dLbl>
              <c:idx val="19"/>
              <c:tx>
                <c:rich>
                  <a:bodyPr/>
                  <a:lstStyle/>
                  <a:p>
                    <a:fld id="{D42173D2-971E-4FE9-A9FD-9E582EF9AA2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89C3-451B-B78D-DAE1C73A774F}"/>
                </c:ext>
              </c:extLst>
            </c:dLbl>
            <c:dLbl>
              <c:idx val="20"/>
              <c:tx>
                <c:rich>
                  <a:bodyPr/>
                  <a:lstStyle/>
                  <a:p>
                    <a:fld id="{AC8131F8-F3C8-4930-86EB-37A8F79BC91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89C3-451B-B78D-DAE1C73A774F}"/>
                </c:ext>
              </c:extLst>
            </c:dLbl>
            <c:dLbl>
              <c:idx val="21"/>
              <c:tx>
                <c:rich>
                  <a:bodyPr/>
                  <a:lstStyle/>
                  <a:p>
                    <a:fld id="{D8D7F3C0-8CC4-40D4-8E11-80EA0D905D8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89C3-451B-B78D-DAE1C73A774F}"/>
                </c:ext>
              </c:extLst>
            </c:dLbl>
            <c:dLbl>
              <c:idx val="22"/>
              <c:tx>
                <c:rich>
                  <a:bodyPr/>
                  <a:lstStyle/>
                  <a:p>
                    <a:fld id="{956C1BCE-6E0D-41C7-B5F6-4574E6C6C62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89C3-451B-B78D-DAE1C73A774F}"/>
                </c:ext>
              </c:extLst>
            </c:dLbl>
            <c:dLbl>
              <c:idx val="23"/>
              <c:tx>
                <c:rich>
                  <a:bodyPr/>
                  <a:lstStyle/>
                  <a:p>
                    <a:fld id="{5F7CA538-11A8-4760-A829-EC1C3D09CDF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89C3-451B-B78D-DAE1C73A774F}"/>
                </c:ext>
              </c:extLst>
            </c:dLbl>
            <c:dLbl>
              <c:idx val="24"/>
              <c:tx>
                <c:rich>
                  <a:bodyPr/>
                  <a:lstStyle/>
                  <a:p>
                    <a:fld id="{876C5452-2EB1-44DA-ABF8-4B5A1A123C2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89C3-451B-B78D-DAE1C73A774F}"/>
                </c:ext>
              </c:extLst>
            </c:dLbl>
            <c:dLbl>
              <c:idx val="25"/>
              <c:tx>
                <c:rich>
                  <a:bodyPr/>
                  <a:lstStyle/>
                  <a:p>
                    <a:fld id="{780AEB25-F884-4FE7-8A1F-D5D1CAB9407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89C3-451B-B78D-DAE1C73A774F}"/>
                </c:ext>
              </c:extLst>
            </c:dLbl>
            <c:dLbl>
              <c:idx val="26"/>
              <c:tx>
                <c:rich>
                  <a:bodyPr/>
                  <a:lstStyle/>
                  <a:p>
                    <a:fld id="{AFF4EC12-4758-49A8-B8B5-64B8F8211C3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89C3-451B-B78D-DAE1C73A774F}"/>
                </c:ext>
              </c:extLst>
            </c:dLbl>
            <c:dLbl>
              <c:idx val="27"/>
              <c:tx>
                <c:rich>
                  <a:bodyPr/>
                  <a:lstStyle/>
                  <a:p>
                    <a:fld id="{84CE9280-5545-4236-AC86-1FC0D6896AB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89C3-451B-B78D-DAE1C73A774F}"/>
                </c:ext>
              </c:extLst>
            </c:dLbl>
            <c:dLbl>
              <c:idx val="28"/>
              <c:tx>
                <c:rich>
                  <a:bodyPr/>
                  <a:lstStyle/>
                  <a:p>
                    <a:fld id="{0EC4F276-7CB4-43E9-864A-EF1FD2312AF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89C3-451B-B78D-DAE1C73A774F}"/>
                </c:ext>
              </c:extLst>
            </c:dLbl>
            <c:dLbl>
              <c:idx val="29"/>
              <c:tx>
                <c:rich>
                  <a:bodyPr/>
                  <a:lstStyle/>
                  <a:p>
                    <a:fld id="{3393B061-A727-4845-BE75-3D2C0893988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89C3-451B-B78D-DAE1C73A774F}"/>
                </c:ext>
              </c:extLst>
            </c:dLbl>
            <c:dLbl>
              <c:idx val="30"/>
              <c:tx>
                <c:rich>
                  <a:bodyPr/>
                  <a:lstStyle/>
                  <a:p>
                    <a:fld id="{D135BF48-2D4D-41A2-90F3-CE31C0CB80A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89C3-451B-B78D-DAE1C73A774F}"/>
                </c:ext>
              </c:extLst>
            </c:dLbl>
            <c:dLbl>
              <c:idx val="31"/>
              <c:tx>
                <c:rich>
                  <a:bodyPr/>
                  <a:lstStyle/>
                  <a:p>
                    <a:fld id="{CBFE37B7-9885-4B8C-B1C7-3E0B2A7C044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89C3-451B-B78D-DAE1C73A774F}"/>
                </c:ext>
              </c:extLst>
            </c:dLbl>
            <c:dLbl>
              <c:idx val="32"/>
              <c:tx>
                <c:rich>
                  <a:bodyPr/>
                  <a:lstStyle/>
                  <a:p>
                    <a:fld id="{1C1E9D2E-4B30-4DE2-B1D3-DE0DBFE59F9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89C3-451B-B78D-DAE1C73A774F}"/>
                </c:ext>
              </c:extLst>
            </c:dLbl>
            <c:dLbl>
              <c:idx val="33"/>
              <c:tx>
                <c:rich>
                  <a:bodyPr/>
                  <a:lstStyle/>
                  <a:p>
                    <a:fld id="{6016D46D-EB21-4816-8955-3BCBA0B6774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89C3-451B-B78D-DAE1C73A774F}"/>
                </c:ext>
              </c:extLst>
            </c:dLbl>
            <c:dLbl>
              <c:idx val="34"/>
              <c:tx>
                <c:rich>
                  <a:bodyPr/>
                  <a:lstStyle/>
                  <a:p>
                    <a:fld id="{7BEA8708-37F8-42B6-AE75-2F71911C169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89C3-451B-B78D-DAE1C73A774F}"/>
                </c:ext>
              </c:extLst>
            </c:dLbl>
            <c:dLbl>
              <c:idx val="35"/>
              <c:tx>
                <c:rich>
                  <a:bodyPr/>
                  <a:lstStyle/>
                  <a:p>
                    <a:fld id="{077FC789-2157-44AB-BFAB-F1B0DB6F2BA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89C3-451B-B78D-DAE1C73A774F}"/>
                </c:ext>
              </c:extLst>
            </c:dLbl>
            <c:dLbl>
              <c:idx val="36"/>
              <c:tx>
                <c:rich>
                  <a:bodyPr/>
                  <a:lstStyle/>
                  <a:p>
                    <a:fld id="{8E7BEAC9-5FFA-487A-83AD-678167BF635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89C3-451B-B78D-DAE1C73A774F}"/>
                </c:ext>
              </c:extLst>
            </c:dLbl>
            <c:dLbl>
              <c:idx val="37"/>
              <c:tx>
                <c:rich>
                  <a:bodyPr/>
                  <a:lstStyle/>
                  <a:p>
                    <a:fld id="{CC177D64-C24F-45AE-92B9-3DF684D83F2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89C3-451B-B78D-DAE1C73A774F}"/>
                </c:ext>
              </c:extLst>
            </c:dLbl>
            <c:dLbl>
              <c:idx val="38"/>
              <c:tx>
                <c:rich>
                  <a:bodyPr/>
                  <a:lstStyle/>
                  <a:p>
                    <a:fld id="{13A2CD5E-0DF9-40E9-B045-A55F2ECAC37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89C3-451B-B78D-DAE1C73A774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Usluge!$A$162:$A$200</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Usluge!$P$162:$P$200</c:f>
              <c:numCache>
                <c:formatCode>General</c:formatCode>
                <c:ptCount val="39"/>
                <c:pt idx="0">
                  <c:v>60</c:v>
                </c:pt>
                <c:pt idx="1">
                  <c:v>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numCache>
            </c:numRef>
          </c:val>
          <c:smooth val="0"/>
          <c:extLst>
            <c:ext xmlns:c15="http://schemas.microsoft.com/office/drawing/2012/chart" uri="{02D57815-91ED-43cb-92C2-25804820EDAC}">
              <c15:datalabelsRange>
                <c15:f>Usluge!$J$150:$J$192</c15:f>
                <c15:dlblRangeCache>
                  <c:ptCount val="43"/>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E-89C3-451B-B78D-DAE1C73A774F}"/>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37552"/>
        <c:crosses val="autoZero"/>
        <c:auto val="1"/>
        <c:lblOffset val="0"/>
        <c:baseTimeUnit val="months"/>
        <c:majorUnit val="12"/>
        <c:majorTimeUnit val="months"/>
      </c:dateAx>
      <c:valAx>
        <c:axId val="1828937552"/>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107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'Nocenja turista'!$L$5</c:f>
              <c:strCache>
                <c:ptCount val="1"/>
                <c:pt idx="0">
                  <c:v>y</c:v>
                </c:pt>
              </c:strCache>
            </c:strRef>
          </c:tx>
          <c:spPr>
            <a:ln w="12700" cap="rnd">
              <a:solidFill>
                <a:srgbClr val="7F3F98"/>
              </a:solidFill>
              <a:prstDash val="sysDash"/>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turista'!$L$162:$L$201</c:f>
              <c:numCache>
                <c:formatCode>0.0</c:formatCode>
                <c:ptCount val="40"/>
                <c:pt idx="0">
                  <c:v>79.090037447</c:v>
                </c:pt>
                <c:pt idx="1">
                  <c:v>77.149388474000006</c:v>
                </c:pt>
                <c:pt idx="2">
                  <c:v>74.614991586000002</c:v>
                </c:pt>
                <c:pt idx="3">
                  <c:v>82.900224574999996</c:v>
                </c:pt>
                <c:pt idx="4">
                  <c:v>107.892843857</c:v>
                </c:pt>
                <c:pt idx="5">
                  <c:v>117.33486157599999</c:v>
                </c:pt>
                <c:pt idx="6">
                  <c:v>147.16539297899999</c:v>
                </c:pt>
                <c:pt idx="7">
                  <c:v>202.57388258700001</c:v>
                </c:pt>
                <c:pt idx="8">
                  <c:v>154.93548384100001</c:v>
                </c:pt>
                <c:pt idx="9">
                  <c:v>137.654640895</c:v>
                </c:pt>
                <c:pt idx="10">
                  <c:v>89.773112616000006</c:v>
                </c:pt>
                <c:pt idx="11">
                  <c:v>64.522373857999995</c:v>
                </c:pt>
                <c:pt idx="12">
                  <c:v>75.274548999000004</c:v>
                </c:pt>
                <c:pt idx="13">
                  <c:v>83.674948608999998</c:v>
                </c:pt>
                <c:pt idx="14">
                  <c:v>80.926488049</c:v>
                </c:pt>
                <c:pt idx="15">
                  <c:v>90.745447948000006</c:v>
                </c:pt>
                <c:pt idx="16">
                  <c:v>109.13755738899999</c:v>
                </c:pt>
                <c:pt idx="17">
                  <c:v>110.79010700400001</c:v>
                </c:pt>
                <c:pt idx="18">
                  <c:v>156.674499825</c:v>
                </c:pt>
                <c:pt idx="19">
                  <c:v>174.51344387500001</c:v>
                </c:pt>
                <c:pt idx="20">
                  <c:v>120.96919110100001</c:v>
                </c:pt>
                <c:pt idx="21">
                  <c:v>108.210557489</c:v>
                </c:pt>
                <c:pt idx="22">
                  <c:v>75.046592211000004</c:v>
                </c:pt>
                <c:pt idx="23">
                  <c:v>67.768061736999996</c:v>
                </c:pt>
                <c:pt idx="24">
                  <c:v>80.089062186999996</c:v>
                </c:pt>
                <c:pt idx="25">
                  <c:v>85.430234162999994</c:v>
                </c:pt>
                <c:pt idx="26">
                  <c:v>89.197096704000003</c:v>
                </c:pt>
                <c:pt idx="27">
                  <c:v>100.71083398</c:v>
                </c:pt>
                <c:pt idx="28">
                  <c:v>116.742210486</c:v>
                </c:pt>
                <c:pt idx="29">
                  <c:v>112.808996158</c:v>
                </c:pt>
                <c:pt idx="30">
                  <c:v>132.878699385</c:v>
                </c:pt>
                <c:pt idx="31">
                  <c:v>148.09769420000001</c:v>
                </c:pt>
                <c:pt idx="32">
                  <c:v>93.914906490999996</c:v>
                </c:pt>
                <c:pt idx="33">
                  <c:v>92.368748897000003</c:v>
                </c:pt>
                <c:pt idx="34">
                  <c:v>75.359735737999998</c:v>
                </c:pt>
                <c:pt idx="35">
                  <c:v>72.401781608999997</c:v>
                </c:pt>
                <c:pt idx="36">
                  <c:v>92.178815373999996</c:v>
                </c:pt>
                <c:pt idx="37">
                  <c:v>72.152802342000001</c:v>
                </c:pt>
                <c:pt idx="38">
                  <c:v>68.898522667999998</c:v>
                </c:pt>
                <c:pt idx="39">
                  <c:v>80.125988628000002</c:v>
                </c:pt>
              </c:numCache>
            </c:numRef>
          </c:val>
          <c:smooth val="0"/>
          <c:extLst>
            <c:ext xmlns:c16="http://schemas.microsoft.com/office/drawing/2014/chart" uri="{C3380CC4-5D6E-409C-BE32-E72D297353CC}">
              <c16:uniqueId val="{00000000-BA67-46CB-A520-AFDA447C22F7}"/>
            </c:ext>
          </c:extLst>
        </c:ser>
        <c:ser>
          <c:idx val="1"/>
          <c:order val="1"/>
          <c:tx>
            <c:strRef>
              <c:f>'Nocenja turista'!$M$5</c:f>
              <c:strCache>
                <c:ptCount val="1"/>
                <c:pt idx="0">
                  <c:v>sa</c:v>
                </c:pt>
              </c:strCache>
            </c:strRef>
          </c:tx>
          <c:spPr>
            <a:ln w="22225" cap="rnd">
              <a:solidFill>
                <a:srgbClr val="25AAE1"/>
              </a:solidFill>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turista'!$M$162:$M$201</c:f>
              <c:numCache>
                <c:formatCode>0.0</c:formatCode>
                <c:ptCount val="40"/>
                <c:pt idx="0">
                  <c:v>101.350383068</c:v>
                </c:pt>
                <c:pt idx="1">
                  <c:v>97.074385125999996</c:v>
                </c:pt>
                <c:pt idx="2">
                  <c:v>103.564106299</c:v>
                </c:pt>
                <c:pt idx="3">
                  <c:v>102.682284811</c:v>
                </c:pt>
                <c:pt idx="4">
                  <c:v>106.23586296800001</c:v>
                </c:pt>
                <c:pt idx="5">
                  <c:v>106.244719905</c:v>
                </c:pt>
                <c:pt idx="6">
                  <c:v>99.438717474000001</c:v>
                </c:pt>
                <c:pt idx="7">
                  <c:v>113.543264471</c:v>
                </c:pt>
                <c:pt idx="8">
                  <c:v>130.54582443699999</c:v>
                </c:pt>
                <c:pt idx="9">
                  <c:v>141.00309625200001</c:v>
                </c:pt>
                <c:pt idx="10">
                  <c:v>128.188477543</c:v>
                </c:pt>
                <c:pt idx="11">
                  <c:v>100.267077445</c:v>
                </c:pt>
                <c:pt idx="12">
                  <c:v>95.905244542999995</c:v>
                </c:pt>
                <c:pt idx="13">
                  <c:v>106.823335054</c:v>
                </c:pt>
                <c:pt idx="14">
                  <c:v>109.586692765</c:v>
                </c:pt>
                <c:pt idx="15">
                  <c:v>110.54599487599999</c:v>
                </c:pt>
                <c:pt idx="16">
                  <c:v>105.219100844</c:v>
                </c:pt>
                <c:pt idx="17">
                  <c:v>99.539955195000005</c:v>
                </c:pt>
                <c:pt idx="18">
                  <c:v>107.613497771</c:v>
                </c:pt>
                <c:pt idx="19">
                  <c:v>100.252919635</c:v>
                </c:pt>
                <c:pt idx="20">
                  <c:v>103.723211345</c:v>
                </c:pt>
                <c:pt idx="21">
                  <c:v>108.735242543</c:v>
                </c:pt>
                <c:pt idx="22">
                  <c:v>105.103276966</c:v>
                </c:pt>
                <c:pt idx="23">
                  <c:v>105.599398295</c:v>
                </c:pt>
                <c:pt idx="24">
                  <c:v>101.934070922</c:v>
                </c:pt>
                <c:pt idx="25">
                  <c:v>109.948137915</c:v>
                </c:pt>
                <c:pt idx="26">
                  <c:v>118.36717857399999</c:v>
                </c:pt>
                <c:pt idx="27">
                  <c:v>120.40902868400001</c:v>
                </c:pt>
                <c:pt idx="28">
                  <c:v>109.39796547100001</c:v>
                </c:pt>
                <c:pt idx="29">
                  <c:v>100.30257129899999</c:v>
                </c:pt>
                <c:pt idx="30">
                  <c:v>92.614081025999994</c:v>
                </c:pt>
                <c:pt idx="31">
                  <c:v>87.388427010000001</c:v>
                </c:pt>
                <c:pt idx="32">
                  <c:v>82.600175157999999</c:v>
                </c:pt>
                <c:pt idx="33">
                  <c:v>91.704914082000002</c:v>
                </c:pt>
                <c:pt idx="34">
                  <c:v>104.10330460900001</c:v>
                </c:pt>
                <c:pt idx="35">
                  <c:v>111.460164885</c:v>
                </c:pt>
                <c:pt idx="36">
                  <c:v>116.53819057600001</c:v>
                </c:pt>
                <c:pt idx="37">
                  <c:v>92.81303853</c:v>
                </c:pt>
                <c:pt idx="38">
                  <c:v>90.315271597999995</c:v>
                </c:pt>
                <c:pt idx="39">
                  <c:v>95.221346142000002</c:v>
                </c:pt>
              </c:numCache>
            </c:numRef>
          </c:val>
          <c:smooth val="0"/>
          <c:extLst>
            <c:ext xmlns:c16="http://schemas.microsoft.com/office/drawing/2014/chart" uri="{C3380CC4-5D6E-409C-BE32-E72D297353CC}">
              <c16:uniqueId val="{00000001-BA67-46CB-A520-AFDA447C22F7}"/>
            </c:ext>
          </c:extLst>
        </c:ser>
        <c:ser>
          <c:idx val="2"/>
          <c:order val="2"/>
          <c:tx>
            <c:strRef>
              <c:f>'Nocenja turista'!$N$5</c:f>
              <c:strCache>
                <c:ptCount val="1"/>
                <c:pt idx="0">
                  <c:v>t</c:v>
                </c:pt>
              </c:strCache>
            </c:strRef>
          </c:tx>
          <c:spPr>
            <a:ln w="25400" cap="rnd">
              <a:solidFill>
                <a:srgbClr val="FF0000"/>
              </a:solidFill>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turista'!$N$162:$N$201</c:f>
              <c:numCache>
                <c:formatCode>0.0</c:formatCode>
                <c:ptCount val="40"/>
                <c:pt idx="0">
                  <c:v>96.149026409000001</c:v>
                </c:pt>
                <c:pt idx="1">
                  <c:v>100.608264686</c:v>
                </c:pt>
                <c:pt idx="2">
                  <c:v>102.77636593699999</c:v>
                </c:pt>
                <c:pt idx="3">
                  <c:v>102.907573371</c:v>
                </c:pt>
                <c:pt idx="4">
                  <c:v>102.87315450600001</c:v>
                </c:pt>
                <c:pt idx="5">
                  <c:v>104.804285261</c:v>
                </c:pt>
                <c:pt idx="6">
                  <c:v>110.484947925</c:v>
                </c:pt>
                <c:pt idx="7">
                  <c:v>118.515177267</c:v>
                </c:pt>
                <c:pt idx="8">
                  <c:v>124.90697744000001</c:v>
                </c:pt>
                <c:pt idx="9">
                  <c:v>125.925137956</c:v>
                </c:pt>
                <c:pt idx="10">
                  <c:v>121.024178029</c:v>
                </c:pt>
                <c:pt idx="11">
                  <c:v>112.993728382</c:v>
                </c:pt>
                <c:pt idx="12">
                  <c:v>106.347149492</c:v>
                </c:pt>
                <c:pt idx="13">
                  <c:v>103.825559809</c:v>
                </c:pt>
                <c:pt idx="14">
                  <c:v>104.902273572</c:v>
                </c:pt>
                <c:pt idx="15">
                  <c:v>106.586761143</c:v>
                </c:pt>
                <c:pt idx="16">
                  <c:v>106.299796048</c:v>
                </c:pt>
                <c:pt idx="17">
                  <c:v>104.491240264</c:v>
                </c:pt>
                <c:pt idx="18">
                  <c:v>103.279011513</c:v>
                </c:pt>
                <c:pt idx="19">
                  <c:v>103.560472017</c:v>
                </c:pt>
                <c:pt idx="20">
                  <c:v>104.39762637699999</c:v>
                </c:pt>
                <c:pt idx="21">
                  <c:v>104.791138223</c:v>
                </c:pt>
                <c:pt idx="22">
                  <c:v>104.751680432</c:v>
                </c:pt>
                <c:pt idx="23">
                  <c:v>105.636994141</c:v>
                </c:pt>
                <c:pt idx="24">
                  <c:v>108.238359479</c:v>
                </c:pt>
                <c:pt idx="25">
                  <c:v>111.662887622</c:v>
                </c:pt>
                <c:pt idx="26">
                  <c:v>114.331962033</c:v>
                </c:pt>
                <c:pt idx="27">
                  <c:v>114.083772651</c:v>
                </c:pt>
                <c:pt idx="28">
                  <c:v>109.50145580100001</c:v>
                </c:pt>
                <c:pt idx="29">
                  <c:v>101.487930045</c:v>
                </c:pt>
                <c:pt idx="30">
                  <c:v>93.112840570000003</c:v>
                </c:pt>
                <c:pt idx="31">
                  <c:v>88.119425440000001</c:v>
                </c:pt>
                <c:pt idx="32">
                  <c:v>89.080309021000005</c:v>
                </c:pt>
                <c:pt idx="33">
                  <c:v>94.859213867999998</c:v>
                </c:pt>
                <c:pt idx="34">
                  <c:v>101.577317103</c:v>
                </c:pt>
                <c:pt idx="35">
                  <c:v>105.338549414</c:v>
                </c:pt>
                <c:pt idx="36">
                  <c:v>104.471949006</c:v>
                </c:pt>
                <c:pt idx="37">
                  <c:v>100.84880955200001</c:v>
                </c:pt>
                <c:pt idx="38">
                  <c:v>97.977829239000002</c:v>
                </c:pt>
                <c:pt idx="39">
                  <c:v>98.759453785000005</c:v>
                </c:pt>
              </c:numCache>
            </c:numRef>
          </c:val>
          <c:smooth val="0"/>
          <c:extLst>
            <c:ext xmlns:c16="http://schemas.microsoft.com/office/drawing/2014/chart" uri="{C3380CC4-5D6E-409C-BE32-E72D297353CC}">
              <c16:uniqueId val="{00000002-BA67-46CB-A520-AFDA447C22F7}"/>
            </c:ext>
          </c:extLst>
        </c:ser>
        <c:ser>
          <c:idx val="3"/>
          <c:order val="3"/>
          <c:tx>
            <c:strRef>
              <c:f>'Nocenja turista'!$O$5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8.0963888888888891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67-46CB-A520-AFDA447C22F7}"/>
                </c:ext>
              </c:extLst>
            </c:dLbl>
            <c:dLbl>
              <c:idx val="12"/>
              <c:layout>
                <c:manualLayout>
                  <c:x val="8.2340625000000001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67-46CB-A520-AFDA447C22F7}"/>
                </c:ext>
              </c:extLst>
            </c:dLbl>
            <c:dLbl>
              <c:idx val="24"/>
              <c:layout>
                <c:manualLayout>
                  <c:x val="7.1350803371800747E-2"/>
                  <c:y val="6.518174004657868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67-46CB-A520-AFDA447C22F7}"/>
                </c:ext>
              </c:extLst>
            </c:dLbl>
            <c:dLbl>
              <c:idx val="36"/>
              <c:layout>
                <c:manualLayout>
                  <c:x val="-2.9454998680720466E-2"/>
                  <c:y val="6.962889541976251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9B-4E8A-96CC-3C29D9872C7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turista'!$O$162:$O$201</c:f>
              <c:numCache>
                <c:formatCode>General</c:formatCode>
                <c:ptCount val="40"/>
                <c:pt idx="0">
                  <c:v>60</c:v>
                </c:pt>
                <c:pt idx="12">
                  <c:v>60</c:v>
                </c:pt>
                <c:pt idx="24">
                  <c:v>60</c:v>
                </c:pt>
                <c:pt idx="36">
                  <c:v>60</c:v>
                </c:pt>
              </c:numCache>
            </c:numRef>
          </c:val>
          <c:smooth val="0"/>
          <c:extLst>
            <c:ext xmlns:c16="http://schemas.microsoft.com/office/drawing/2014/chart" uri="{C3380CC4-5D6E-409C-BE32-E72D297353CC}">
              <c16:uniqueId val="{00000006-BA67-46CB-A520-AFDA447C22F7}"/>
            </c:ext>
          </c:extLst>
        </c:ser>
        <c:ser>
          <c:idx val="4"/>
          <c:order val="4"/>
          <c:tx>
            <c:strRef>
              <c:f>'Nocenja turista'!$P$5</c:f>
              <c:strCache>
                <c:ptCount val="1"/>
                <c:pt idx="0">
                  <c:v>Series5</c:v>
                </c:pt>
              </c:strCache>
            </c:strRef>
          </c:tx>
          <c:spPr>
            <a:ln w="25400" cap="rnd">
              <a:noFill/>
              <a:round/>
            </a:ln>
            <a:effectLst/>
          </c:spPr>
          <c:marker>
            <c:symbol val="none"/>
          </c:marker>
          <c:dLbls>
            <c:dLbl>
              <c:idx val="0"/>
              <c:tx>
                <c:rich>
                  <a:bodyPr/>
                  <a:lstStyle/>
                  <a:p>
                    <a:fld id="{EE5BCB8F-B315-48A2-ABC7-367E60209F5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BA67-46CB-A520-AFDA447C22F7}"/>
                </c:ext>
              </c:extLst>
            </c:dLbl>
            <c:dLbl>
              <c:idx val="1"/>
              <c:tx>
                <c:rich>
                  <a:bodyPr/>
                  <a:lstStyle/>
                  <a:p>
                    <a:fld id="{11A3DAE2-045B-4D9A-A954-D36276802E0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BA67-46CB-A520-AFDA447C22F7}"/>
                </c:ext>
              </c:extLst>
            </c:dLbl>
            <c:dLbl>
              <c:idx val="2"/>
              <c:tx>
                <c:rich>
                  <a:bodyPr/>
                  <a:lstStyle/>
                  <a:p>
                    <a:fld id="{015D9E32-3A0A-4D30-9ABA-B1300F7A247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BA67-46CB-A520-AFDA447C22F7}"/>
                </c:ext>
              </c:extLst>
            </c:dLbl>
            <c:dLbl>
              <c:idx val="3"/>
              <c:tx>
                <c:rich>
                  <a:bodyPr/>
                  <a:lstStyle/>
                  <a:p>
                    <a:fld id="{E9D3687D-D188-458B-9609-C3C546DC08B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A67-46CB-A520-AFDA447C22F7}"/>
                </c:ext>
              </c:extLst>
            </c:dLbl>
            <c:dLbl>
              <c:idx val="4"/>
              <c:tx>
                <c:rich>
                  <a:bodyPr/>
                  <a:lstStyle/>
                  <a:p>
                    <a:fld id="{B32AFDB6-7A31-4C71-AD16-6DDD6B14C73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BA67-46CB-A520-AFDA447C22F7}"/>
                </c:ext>
              </c:extLst>
            </c:dLbl>
            <c:dLbl>
              <c:idx val="5"/>
              <c:tx>
                <c:rich>
                  <a:bodyPr/>
                  <a:lstStyle/>
                  <a:p>
                    <a:fld id="{9F3BAAF5-168C-4AE2-9345-96D401376CC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BA67-46CB-A520-AFDA447C22F7}"/>
                </c:ext>
              </c:extLst>
            </c:dLbl>
            <c:dLbl>
              <c:idx val="6"/>
              <c:tx>
                <c:rich>
                  <a:bodyPr/>
                  <a:lstStyle/>
                  <a:p>
                    <a:fld id="{8E3CBF8B-44EF-4A5F-AB7D-9934D25B6DD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A67-46CB-A520-AFDA447C22F7}"/>
                </c:ext>
              </c:extLst>
            </c:dLbl>
            <c:dLbl>
              <c:idx val="7"/>
              <c:tx>
                <c:rich>
                  <a:bodyPr/>
                  <a:lstStyle/>
                  <a:p>
                    <a:fld id="{2C325B60-8CB8-4FB5-8F90-9B42C9F9041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BA67-46CB-A520-AFDA447C22F7}"/>
                </c:ext>
              </c:extLst>
            </c:dLbl>
            <c:dLbl>
              <c:idx val="8"/>
              <c:tx>
                <c:rich>
                  <a:bodyPr/>
                  <a:lstStyle/>
                  <a:p>
                    <a:fld id="{5341F198-2B40-4246-950E-75655CB429D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BA67-46CB-A520-AFDA447C22F7}"/>
                </c:ext>
              </c:extLst>
            </c:dLbl>
            <c:dLbl>
              <c:idx val="9"/>
              <c:tx>
                <c:rich>
                  <a:bodyPr/>
                  <a:lstStyle/>
                  <a:p>
                    <a:fld id="{729753B7-6BD8-48AB-BB07-6B1C2F20B02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BA67-46CB-A520-AFDA447C22F7}"/>
                </c:ext>
              </c:extLst>
            </c:dLbl>
            <c:dLbl>
              <c:idx val="10"/>
              <c:tx>
                <c:rich>
                  <a:bodyPr/>
                  <a:lstStyle/>
                  <a:p>
                    <a:fld id="{6D6356EA-27D7-4AE1-9C23-7E7E3EB8877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BA67-46CB-A520-AFDA447C22F7}"/>
                </c:ext>
              </c:extLst>
            </c:dLbl>
            <c:dLbl>
              <c:idx val="11"/>
              <c:tx>
                <c:rich>
                  <a:bodyPr/>
                  <a:lstStyle/>
                  <a:p>
                    <a:fld id="{A84FCEBD-B280-4C1F-AD28-94DF099DB24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BA67-46CB-A520-AFDA447C22F7}"/>
                </c:ext>
              </c:extLst>
            </c:dLbl>
            <c:dLbl>
              <c:idx val="12"/>
              <c:tx>
                <c:rich>
                  <a:bodyPr/>
                  <a:lstStyle/>
                  <a:p>
                    <a:fld id="{FB6F9E1B-241C-44D4-A001-B56045AC5CF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BA67-46CB-A520-AFDA447C22F7}"/>
                </c:ext>
              </c:extLst>
            </c:dLbl>
            <c:dLbl>
              <c:idx val="13"/>
              <c:tx>
                <c:rich>
                  <a:bodyPr/>
                  <a:lstStyle/>
                  <a:p>
                    <a:fld id="{7EA29DCF-4A50-41A0-8CB8-F63DD0C3100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BA67-46CB-A520-AFDA447C22F7}"/>
                </c:ext>
              </c:extLst>
            </c:dLbl>
            <c:dLbl>
              <c:idx val="14"/>
              <c:tx>
                <c:rich>
                  <a:bodyPr/>
                  <a:lstStyle/>
                  <a:p>
                    <a:fld id="{2A9AF05C-C8AF-4C93-90E1-277B8EE4E62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A67-46CB-A520-AFDA447C22F7}"/>
                </c:ext>
              </c:extLst>
            </c:dLbl>
            <c:dLbl>
              <c:idx val="15"/>
              <c:tx>
                <c:rich>
                  <a:bodyPr/>
                  <a:lstStyle/>
                  <a:p>
                    <a:fld id="{61AA864F-2C4B-4C56-88DB-6B830DED7C4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BA67-46CB-A520-AFDA447C22F7}"/>
                </c:ext>
              </c:extLst>
            </c:dLbl>
            <c:dLbl>
              <c:idx val="16"/>
              <c:tx>
                <c:rich>
                  <a:bodyPr/>
                  <a:lstStyle/>
                  <a:p>
                    <a:fld id="{31B8D248-5182-4468-AA38-9A15A26EDDE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BA67-46CB-A520-AFDA447C22F7}"/>
                </c:ext>
              </c:extLst>
            </c:dLbl>
            <c:dLbl>
              <c:idx val="17"/>
              <c:tx>
                <c:rich>
                  <a:bodyPr/>
                  <a:lstStyle/>
                  <a:p>
                    <a:fld id="{48EEA50E-B7D7-4689-8FAC-8387A8A7254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A67-46CB-A520-AFDA447C22F7}"/>
                </c:ext>
              </c:extLst>
            </c:dLbl>
            <c:dLbl>
              <c:idx val="18"/>
              <c:tx>
                <c:rich>
                  <a:bodyPr/>
                  <a:lstStyle/>
                  <a:p>
                    <a:fld id="{905460D6-4B9A-45FE-9BE6-46D83830D6D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BA67-46CB-A520-AFDA447C22F7}"/>
                </c:ext>
              </c:extLst>
            </c:dLbl>
            <c:dLbl>
              <c:idx val="19"/>
              <c:tx>
                <c:rich>
                  <a:bodyPr/>
                  <a:lstStyle/>
                  <a:p>
                    <a:fld id="{2C1C5115-0AB1-4AEC-914C-50AC46368A8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BA67-46CB-A520-AFDA447C22F7}"/>
                </c:ext>
              </c:extLst>
            </c:dLbl>
            <c:dLbl>
              <c:idx val="20"/>
              <c:tx>
                <c:rich>
                  <a:bodyPr/>
                  <a:lstStyle/>
                  <a:p>
                    <a:fld id="{3988F4FE-48D2-41E3-A327-5C82149D03B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A67-46CB-A520-AFDA447C22F7}"/>
                </c:ext>
              </c:extLst>
            </c:dLbl>
            <c:dLbl>
              <c:idx val="21"/>
              <c:tx>
                <c:rich>
                  <a:bodyPr/>
                  <a:lstStyle/>
                  <a:p>
                    <a:fld id="{11AC9FF6-DD80-4100-AFB7-6C0F0218CBD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BA67-46CB-A520-AFDA447C22F7}"/>
                </c:ext>
              </c:extLst>
            </c:dLbl>
            <c:dLbl>
              <c:idx val="22"/>
              <c:tx>
                <c:rich>
                  <a:bodyPr/>
                  <a:lstStyle/>
                  <a:p>
                    <a:fld id="{0B33F38C-6911-4692-B6B3-35E3B32A99C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BA67-46CB-A520-AFDA447C22F7}"/>
                </c:ext>
              </c:extLst>
            </c:dLbl>
            <c:dLbl>
              <c:idx val="23"/>
              <c:tx>
                <c:rich>
                  <a:bodyPr/>
                  <a:lstStyle/>
                  <a:p>
                    <a:fld id="{9F906C4D-2BB2-4EA6-807A-B3BDC9A8125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BA67-46CB-A520-AFDA447C22F7}"/>
                </c:ext>
              </c:extLst>
            </c:dLbl>
            <c:dLbl>
              <c:idx val="24"/>
              <c:tx>
                <c:rich>
                  <a:bodyPr/>
                  <a:lstStyle/>
                  <a:p>
                    <a:fld id="{4E3EFDF3-1F9F-42DA-81E3-729ECBD1FBC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BA67-46CB-A520-AFDA447C22F7}"/>
                </c:ext>
              </c:extLst>
            </c:dLbl>
            <c:dLbl>
              <c:idx val="25"/>
              <c:tx>
                <c:rich>
                  <a:bodyPr/>
                  <a:lstStyle/>
                  <a:p>
                    <a:fld id="{B0416208-D858-4BEB-B860-5299D82233F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BA67-46CB-A520-AFDA447C22F7}"/>
                </c:ext>
              </c:extLst>
            </c:dLbl>
            <c:dLbl>
              <c:idx val="26"/>
              <c:tx>
                <c:rich>
                  <a:bodyPr/>
                  <a:lstStyle/>
                  <a:p>
                    <a:fld id="{CEAAC42E-BEF3-43E3-B4F5-7B3BF01AF66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BA67-46CB-A520-AFDA447C22F7}"/>
                </c:ext>
              </c:extLst>
            </c:dLbl>
            <c:dLbl>
              <c:idx val="27"/>
              <c:tx>
                <c:rich>
                  <a:bodyPr/>
                  <a:lstStyle/>
                  <a:p>
                    <a:fld id="{25111B78-9628-4583-AB44-691B9E976C0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BA67-46CB-A520-AFDA447C22F7}"/>
                </c:ext>
              </c:extLst>
            </c:dLbl>
            <c:dLbl>
              <c:idx val="28"/>
              <c:tx>
                <c:rich>
                  <a:bodyPr/>
                  <a:lstStyle/>
                  <a:p>
                    <a:fld id="{FB14C8FF-1B09-427E-AF12-D63B9ABCE16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BA67-46CB-A520-AFDA447C22F7}"/>
                </c:ext>
              </c:extLst>
            </c:dLbl>
            <c:dLbl>
              <c:idx val="29"/>
              <c:tx>
                <c:rich>
                  <a:bodyPr/>
                  <a:lstStyle/>
                  <a:p>
                    <a:fld id="{403BEADF-24EF-4FB5-B86D-C795B4303D7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BA67-46CB-A520-AFDA447C22F7}"/>
                </c:ext>
              </c:extLst>
            </c:dLbl>
            <c:dLbl>
              <c:idx val="30"/>
              <c:tx>
                <c:rich>
                  <a:bodyPr/>
                  <a:lstStyle/>
                  <a:p>
                    <a:fld id="{5C2B9FC2-92C2-4748-9860-7641274793E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BA67-46CB-A520-AFDA447C22F7}"/>
                </c:ext>
              </c:extLst>
            </c:dLbl>
            <c:dLbl>
              <c:idx val="31"/>
              <c:tx>
                <c:rich>
                  <a:bodyPr/>
                  <a:lstStyle/>
                  <a:p>
                    <a:fld id="{9233BA1D-4DD1-423E-93AE-9CA5DCA1846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BA67-46CB-A520-AFDA447C22F7}"/>
                </c:ext>
              </c:extLst>
            </c:dLbl>
            <c:dLbl>
              <c:idx val="32"/>
              <c:tx>
                <c:rich>
                  <a:bodyPr/>
                  <a:lstStyle/>
                  <a:p>
                    <a:fld id="{236C97B4-E4AF-4138-BEF3-0631CD75B19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BA67-46CB-A520-AFDA447C22F7}"/>
                </c:ext>
              </c:extLst>
            </c:dLbl>
            <c:dLbl>
              <c:idx val="33"/>
              <c:tx>
                <c:rich>
                  <a:bodyPr/>
                  <a:lstStyle/>
                  <a:p>
                    <a:fld id="{59B10170-BED6-49FB-A114-EA3AF0A03D0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BA67-46CB-A520-AFDA447C22F7}"/>
                </c:ext>
              </c:extLst>
            </c:dLbl>
            <c:dLbl>
              <c:idx val="34"/>
              <c:tx>
                <c:rich>
                  <a:bodyPr/>
                  <a:lstStyle/>
                  <a:p>
                    <a:fld id="{2E38A6C3-4BEC-4C2F-81E8-289FC15419A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BA67-46CB-A520-AFDA447C22F7}"/>
                </c:ext>
              </c:extLst>
            </c:dLbl>
            <c:dLbl>
              <c:idx val="35"/>
              <c:tx>
                <c:rich>
                  <a:bodyPr/>
                  <a:lstStyle/>
                  <a:p>
                    <a:fld id="{CD7D1E1C-A400-4E60-8567-748A924D553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BA67-46CB-A520-AFDA447C22F7}"/>
                </c:ext>
              </c:extLst>
            </c:dLbl>
            <c:dLbl>
              <c:idx val="36"/>
              <c:tx>
                <c:rich>
                  <a:bodyPr/>
                  <a:lstStyle/>
                  <a:p>
                    <a:fld id="{B7AF3922-ABCC-41E2-B27B-A4FFF1F8F58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BA67-46CB-A520-AFDA447C22F7}"/>
                </c:ext>
              </c:extLst>
            </c:dLbl>
            <c:dLbl>
              <c:idx val="37"/>
              <c:tx>
                <c:rich>
                  <a:bodyPr/>
                  <a:lstStyle/>
                  <a:p>
                    <a:fld id="{63ADBDC4-8B12-4C8A-A829-AEF288F11E6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BA67-46CB-A520-AFDA447C22F7}"/>
                </c:ext>
              </c:extLst>
            </c:dLbl>
            <c:dLbl>
              <c:idx val="38"/>
              <c:tx>
                <c:rich>
                  <a:bodyPr/>
                  <a:lstStyle/>
                  <a:p>
                    <a:fld id="{ED257212-9CB0-4B1B-8471-D005BAE7447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BA67-46CB-A520-AFDA447C22F7}"/>
                </c:ext>
              </c:extLst>
            </c:dLbl>
            <c:dLbl>
              <c:idx val="39"/>
              <c:tx>
                <c:rich>
                  <a:bodyPr/>
                  <a:lstStyle/>
                  <a:p>
                    <a:fld id="{25E6BFE3-AD75-4E2D-8A2D-2EE30C593EB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E-BA67-46CB-A520-AFDA447C22F7}"/>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turista'!$P$162:$P$201</c:f>
              <c:numCache>
                <c:formatCode>General</c:formatCode>
                <c:ptCount val="40"/>
                <c:pt idx="0">
                  <c:v>60</c:v>
                </c:pt>
                <c:pt idx="1">
                  <c:v>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numCache>
            </c:numRef>
          </c:val>
          <c:smooth val="0"/>
          <c:extLst>
            <c:ext xmlns:c15="http://schemas.microsoft.com/office/drawing/2012/chart" uri="{02D57815-91ED-43cb-92C2-25804820EDAC}">
              <c15:datalabelsRange>
                <c15:f>'Nocenja turista'!$J$150:$J$192</c15:f>
                <c15:dlblRangeCache>
                  <c:ptCount val="43"/>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F-BA67-46CB-A520-AFDA447C22F7}"/>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37552"/>
        <c:crosses val="autoZero"/>
        <c:auto val="1"/>
        <c:lblOffset val="0"/>
        <c:baseTimeUnit val="months"/>
        <c:majorUnit val="12"/>
        <c:majorTimeUnit val="months"/>
      </c:dateAx>
      <c:valAx>
        <c:axId val="1828937552"/>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1072"/>
        <c:crosses val="autoZero"/>
        <c:crossBetween val="midCat"/>
        <c:majorUnit val="4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'Nocenja turista'!$S$5</c:f>
              <c:strCache>
                <c:ptCount val="1"/>
                <c:pt idx="0">
                  <c:v>y</c:v>
                </c:pt>
              </c:strCache>
            </c:strRef>
          </c:tx>
          <c:spPr>
            <a:ln w="12700" cap="rnd">
              <a:solidFill>
                <a:srgbClr val="7F3F98"/>
              </a:solidFill>
              <a:prstDash val="sysDash"/>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turista'!$S$162:$S$201</c:f>
              <c:numCache>
                <c:formatCode>0.0</c:formatCode>
                <c:ptCount val="40"/>
                <c:pt idx="0">
                  <c:v>53.939839110999998</c:v>
                </c:pt>
                <c:pt idx="1">
                  <c:v>47.055003411999998</c:v>
                </c:pt>
                <c:pt idx="2">
                  <c:v>63.188169930000001</c:v>
                </c:pt>
                <c:pt idx="3">
                  <c:v>67.801019687999997</c:v>
                </c:pt>
                <c:pt idx="4">
                  <c:v>84.759343161000004</c:v>
                </c:pt>
                <c:pt idx="5">
                  <c:v>85.516999798000001</c:v>
                </c:pt>
                <c:pt idx="6">
                  <c:v>107.415834925</c:v>
                </c:pt>
                <c:pt idx="7">
                  <c:v>108.931344993</c:v>
                </c:pt>
                <c:pt idx="8">
                  <c:v>92.590364084000001</c:v>
                </c:pt>
                <c:pt idx="9">
                  <c:v>99.584420414999997</c:v>
                </c:pt>
                <c:pt idx="10">
                  <c:v>76.541622163</c:v>
                </c:pt>
                <c:pt idx="11">
                  <c:v>84.718803610999998</c:v>
                </c:pt>
                <c:pt idx="12">
                  <c:v>75.085937450000003</c:v>
                </c:pt>
                <c:pt idx="13">
                  <c:v>68.023593624</c:v>
                </c:pt>
                <c:pt idx="14">
                  <c:v>77.547239153000007</c:v>
                </c:pt>
                <c:pt idx="15">
                  <c:v>87.181089283999995</c:v>
                </c:pt>
                <c:pt idx="16">
                  <c:v>91.105160280999996</c:v>
                </c:pt>
                <c:pt idx="17">
                  <c:v>94.392602909999994</c:v>
                </c:pt>
                <c:pt idx="18">
                  <c:v>115.386382746</c:v>
                </c:pt>
                <c:pt idx="19">
                  <c:v>118.821027235</c:v>
                </c:pt>
                <c:pt idx="20">
                  <c:v>104.482621374</c:v>
                </c:pt>
                <c:pt idx="21">
                  <c:v>99.099913755000003</c:v>
                </c:pt>
                <c:pt idx="22">
                  <c:v>79.756644624000003</c:v>
                </c:pt>
                <c:pt idx="23">
                  <c:v>87.740377637999998</c:v>
                </c:pt>
                <c:pt idx="24">
                  <c:v>75.991386329999997</c:v>
                </c:pt>
                <c:pt idx="25">
                  <c:v>68.839698059</c:v>
                </c:pt>
                <c:pt idx="26">
                  <c:v>85.107078037999997</c:v>
                </c:pt>
                <c:pt idx="27">
                  <c:v>93.323618272999994</c:v>
                </c:pt>
                <c:pt idx="28">
                  <c:v>112.129443176</c:v>
                </c:pt>
                <c:pt idx="29">
                  <c:v>105.115707452</c:v>
                </c:pt>
                <c:pt idx="30">
                  <c:v>129.39555235899999</c:v>
                </c:pt>
                <c:pt idx="31">
                  <c:v>131.44673550799999</c:v>
                </c:pt>
                <c:pt idx="32">
                  <c:v>104.964569713</c:v>
                </c:pt>
                <c:pt idx="33">
                  <c:v>108.665673185</c:v>
                </c:pt>
                <c:pt idx="34">
                  <c:v>89.186813035</c:v>
                </c:pt>
                <c:pt idx="35">
                  <c:v>95.833724871000001</c:v>
                </c:pt>
                <c:pt idx="36">
                  <c:v>90.123158562</c:v>
                </c:pt>
                <c:pt idx="37">
                  <c:v>74.398142659000001</c:v>
                </c:pt>
                <c:pt idx="38">
                  <c:v>80.511349351999996</c:v>
                </c:pt>
                <c:pt idx="39">
                  <c:v>93.652264138999996</c:v>
                </c:pt>
              </c:numCache>
            </c:numRef>
          </c:val>
          <c:smooth val="0"/>
          <c:extLst>
            <c:ext xmlns:c16="http://schemas.microsoft.com/office/drawing/2014/chart" uri="{C3380CC4-5D6E-409C-BE32-E72D297353CC}">
              <c16:uniqueId val="{00000000-4765-44D5-AEB8-9602F35D1404}"/>
            </c:ext>
          </c:extLst>
        </c:ser>
        <c:ser>
          <c:idx val="1"/>
          <c:order val="1"/>
          <c:tx>
            <c:strRef>
              <c:f>'Nocenja turista'!$T$5</c:f>
              <c:strCache>
                <c:ptCount val="1"/>
                <c:pt idx="0">
                  <c:v>sa</c:v>
                </c:pt>
              </c:strCache>
            </c:strRef>
          </c:tx>
          <c:spPr>
            <a:ln w="22225" cap="rnd">
              <a:solidFill>
                <a:srgbClr val="25AAE1"/>
              </a:solidFill>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turista'!$T$162:$T$201</c:f>
              <c:numCache>
                <c:formatCode>0.0</c:formatCode>
                <c:ptCount val="40"/>
                <c:pt idx="0">
                  <c:v>62.625184273999999</c:v>
                </c:pt>
                <c:pt idx="1">
                  <c:v>64.380137157999997</c:v>
                </c:pt>
                <c:pt idx="2">
                  <c:v>79.182721732000005</c:v>
                </c:pt>
                <c:pt idx="3">
                  <c:v>83.314786463000004</c:v>
                </c:pt>
                <c:pt idx="4">
                  <c:v>88.859195870999997</c:v>
                </c:pt>
                <c:pt idx="5">
                  <c:v>83.364295049999996</c:v>
                </c:pt>
                <c:pt idx="6">
                  <c:v>79.998601289999996</c:v>
                </c:pt>
                <c:pt idx="7">
                  <c:v>78.231628689000004</c:v>
                </c:pt>
                <c:pt idx="8">
                  <c:v>79.910321326000002</c:v>
                </c:pt>
                <c:pt idx="9">
                  <c:v>90.362652045999994</c:v>
                </c:pt>
                <c:pt idx="10">
                  <c:v>85.696621188999998</c:v>
                </c:pt>
                <c:pt idx="11">
                  <c:v>92.256364872999995</c:v>
                </c:pt>
                <c:pt idx="12">
                  <c:v>89.096360164000004</c:v>
                </c:pt>
                <c:pt idx="13">
                  <c:v>94.288320897000006</c:v>
                </c:pt>
                <c:pt idx="14">
                  <c:v>96.168008872000001</c:v>
                </c:pt>
                <c:pt idx="15">
                  <c:v>105.105599885</c:v>
                </c:pt>
                <c:pt idx="16">
                  <c:v>91.175164906000006</c:v>
                </c:pt>
                <c:pt idx="17">
                  <c:v>90.540181502999999</c:v>
                </c:pt>
                <c:pt idx="18">
                  <c:v>86.103291174000006</c:v>
                </c:pt>
                <c:pt idx="19">
                  <c:v>86.380485894000003</c:v>
                </c:pt>
                <c:pt idx="20">
                  <c:v>91.704561990000002</c:v>
                </c:pt>
                <c:pt idx="21">
                  <c:v>89.840570602</c:v>
                </c:pt>
                <c:pt idx="22">
                  <c:v>91.033677275000002</c:v>
                </c:pt>
                <c:pt idx="23">
                  <c:v>95.89503311</c:v>
                </c:pt>
                <c:pt idx="24">
                  <c:v>91.884777760000006</c:v>
                </c:pt>
                <c:pt idx="25">
                  <c:v>96.439182498999998</c:v>
                </c:pt>
                <c:pt idx="26">
                  <c:v>104.851986654</c:v>
                </c:pt>
                <c:pt idx="27">
                  <c:v>110.966303161</c:v>
                </c:pt>
                <c:pt idx="28">
                  <c:v>108.10414585700001</c:v>
                </c:pt>
                <c:pt idx="29">
                  <c:v>98.893542285999999</c:v>
                </c:pt>
                <c:pt idx="30">
                  <c:v>96.871035546000002</c:v>
                </c:pt>
                <c:pt idx="31">
                  <c:v>96.529452578999994</c:v>
                </c:pt>
                <c:pt idx="32">
                  <c:v>93.339137961000006</c:v>
                </c:pt>
                <c:pt idx="33">
                  <c:v>98.827944825000003</c:v>
                </c:pt>
                <c:pt idx="34">
                  <c:v>103.89965772399999</c:v>
                </c:pt>
                <c:pt idx="35">
                  <c:v>104.334775924</c:v>
                </c:pt>
                <c:pt idx="36">
                  <c:v>109.28171996099999</c:v>
                </c:pt>
                <c:pt idx="37">
                  <c:v>104.87895912899999</c:v>
                </c:pt>
                <c:pt idx="38">
                  <c:v>98.857885658000001</c:v>
                </c:pt>
                <c:pt idx="39">
                  <c:v>110.22300651899999</c:v>
                </c:pt>
              </c:numCache>
            </c:numRef>
          </c:val>
          <c:smooth val="0"/>
          <c:extLst>
            <c:ext xmlns:c16="http://schemas.microsoft.com/office/drawing/2014/chart" uri="{C3380CC4-5D6E-409C-BE32-E72D297353CC}">
              <c16:uniqueId val="{00000001-4765-44D5-AEB8-9602F35D1404}"/>
            </c:ext>
          </c:extLst>
        </c:ser>
        <c:ser>
          <c:idx val="2"/>
          <c:order val="2"/>
          <c:tx>
            <c:strRef>
              <c:f>'Nocenja turista'!$U$5</c:f>
              <c:strCache>
                <c:ptCount val="1"/>
                <c:pt idx="0">
                  <c:v>t</c:v>
                </c:pt>
              </c:strCache>
            </c:strRef>
          </c:tx>
          <c:spPr>
            <a:ln w="25400" cap="rnd">
              <a:solidFill>
                <a:srgbClr val="FF0000"/>
              </a:solidFill>
              <a:round/>
            </a:ln>
            <a:effectLst/>
          </c:spPr>
          <c:marker>
            <c:symbol val="none"/>
          </c:marker>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turista'!$U$162:$U$201</c:f>
              <c:numCache>
                <c:formatCode>0.0</c:formatCode>
                <c:ptCount val="40"/>
                <c:pt idx="0">
                  <c:v>64.50843347</c:v>
                </c:pt>
                <c:pt idx="1">
                  <c:v>70.158872236999997</c:v>
                </c:pt>
                <c:pt idx="2">
                  <c:v>76.012202576000007</c:v>
                </c:pt>
                <c:pt idx="3">
                  <c:v>80.409570959000007</c:v>
                </c:pt>
                <c:pt idx="4">
                  <c:v>82.803292567</c:v>
                </c:pt>
                <c:pt idx="5">
                  <c:v>83.300990690000006</c:v>
                </c:pt>
                <c:pt idx="6">
                  <c:v>82.783641247000006</c:v>
                </c:pt>
                <c:pt idx="7">
                  <c:v>82.327088707000001</c:v>
                </c:pt>
                <c:pt idx="8">
                  <c:v>82.895271855999994</c:v>
                </c:pt>
                <c:pt idx="9">
                  <c:v>84.813115124000007</c:v>
                </c:pt>
                <c:pt idx="10">
                  <c:v>87.512828536000001</c:v>
                </c:pt>
                <c:pt idx="11">
                  <c:v>90.217994751000006</c:v>
                </c:pt>
                <c:pt idx="12">
                  <c:v>92.277395623999993</c:v>
                </c:pt>
                <c:pt idx="13">
                  <c:v>93.448191512999998</c:v>
                </c:pt>
                <c:pt idx="14">
                  <c:v>93.567350767999997</c:v>
                </c:pt>
                <c:pt idx="15">
                  <c:v>92.813855191000002</c:v>
                </c:pt>
                <c:pt idx="16">
                  <c:v>91.472589733999996</c:v>
                </c:pt>
                <c:pt idx="17">
                  <c:v>89.842542795</c:v>
                </c:pt>
                <c:pt idx="18">
                  <c:v>88.726978708000004</c:v>
                </c:pt>
                <c:pt idx="19">
                  <c:v>88.430062849999999</c:v>
                </c:pt>
                <c:pt idx="20">
                  <c:v>88.922761432000001</c:v>
                </c:pt>
                <c:pt idx="21">
                  <c:v>89.837493641999998</c:v>
                </c:pt>
                <c:pt idx="22">
                  <c:v>91.218766399000003</c:v>
                </c:pt>
                <c:pt idx="23">
                  <c:v>93.471943515999996</c:v>
                </c:pt>
                <c:pt idx="24">
                  <c:v>96.595158259000002</c:v>
                </c:pt>
                <c:pt idx="25">
                  <c:v>100.049383115</c:v>
                </c:pt>
                <c:pt idx="26">
                  <c:v>103.078268881</c:v>
                </c:pt>
                <c:pt idx="27">
                  <c:v>104.640054467</c:v>
                </c:pt>
                <c:pt idx="28">
                  <c:v>104.09726427</c:v>
                </c:pt>
                <c:pt idx="29">
                  <c:v>101.899847841</c:v>
                </c:pt>
                <c:pt idx="30">
                  <c:v>99.077832387000001</c:v>
                </c:pt>
                <c:pt idx="31">
                  <c:v>97.099623198000003</c:v>
                </c:pt>
                <c:pt idx="32">
                  <c:v>97.217632742000006</c:v>
                </c:pt>
                <c:pt idx="33">
                  <c:v>99.053118492999999</c:v>
                </c:pt>
                <c:pt idx="34">
                  <c:v>101.28426512999999</c:v>
                </c:pt>
                <c:pt idx="35">
                  <c:v>102.828313436</c:v>
                </c:pt>
                <c:pt idx="36">
                  <c:v>103.790724563</c:v>
                </c:pt>
                <c:pt idx="37">
                  <c:v>105.16910826599999</c:v>
                </c:pt>
                <c:pt idx="38">
                  <c:v>108.030909659</c:v>
                </c:pt>
                <c:pt idx="39">
                  <c:v>113.073443488</c:v>
                </c:pt>
              </c:numCache>
            </c:numRef>
          </c:val>
          <c:smooth val="0"/>
          <c:extLst>
            <c:ext xmlns:c16="http://schemas.microsoft.com/office/drawing/2014/chart" uri="{C3380CC4-5D6E-409C-BE32-E72D297353CC}">
              <c16:uniqueId val="{00000002-4765-44D5-AEB8-9602F35D1404}"/>
            </c:ext>
          </c:extLst>
        </c:ser>
        <c:ser>
          <c:idx val="3"/>
          <c:order val="3"/>
          <c:tx>
            <c:strRef>
              <c:f>'Nocenja turista'!$V$5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0343061688396519E-2"/>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765-44D5-AEB8-9602F35D1404}"/>
                </c:ext>
              </c:extLst>
            </c:dLbl>
            <c:dLbl>
              <c:idx val="12"/>
              <c:layout>
                <c:manualLayout>
                  <c:x val="8.9121498701551199E-2"/>
                  <c:y val="6.518168817519237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765-44D5-AEB8-9602F35D1404}"/>
                </c:ext>
              </c:extLst>
            </c:dLbl>
            <c:dLbl>
              <c:idx val="24"/>
              <c:layout>
                <c:manualLayout>
                  <c:x val="9.2665500145815108E-2"/>
                  <c:y val="6.518168817519237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765-44D5-AEB8-9602F35D1404}"/>
                </c:ext>
              </c:extLst>
            </c:dLbl>
            <c:dLbl>
              <c:idx val="36"/>
              <c:layout>
                <c:manualLayout>
                  <c:x val="-4.0158174672610368E-3"/>
                  <c:y val="6.993297610227605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2F-45FC-9B59-D57CB6B8D397}"/>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turista'!$V$162:$V$201</c:f>
              <c:numCache>
                <c:formatCode>General</c:formatCode>
                <c:ptCount val="40"/>
                <c:pt idx="0">
                  <c:v>0</c:v>
                </c:pt>
                <c:pt idx="12">
                  <c:v>0</c:v>
                </c:pt>
                <c:pt idx="24">
                  <c:v>0</c:v>
                </c:pt>
                <c:pt idx="36">
                  <c:v>0</c:v>
                </c:pt>
              </c:numCache>
            </c:numRef>
          </c:val>
          <c:smooth val="0"/>
          <c:extLst>
            <c:ext xmlns:c16="http://schemas.microsoft.com/office/drawing/2014/chart" uri="{C3380CC4-5D6E-409C-BE32-E72D297353CC}">
              <c16:uniqueId val="{00000006-4765-44D5-AEB8-9602F35D1404}"/>
            </c:ext>
          </c:extLst>
        </c:ser>
        <c:ser>
          <c:idx val="4"/>
          <c:order val="4"/>
          <c:tx>
            <c:strRef>
              <c:f>'Nocenja turista'!$W$5</c:f>
              <c:strCache>
                <c:ptCount val="1"/>
                <c:pt idx="0">
                  <c:v>Series5</c:v>
                </c:pt>
              </c:strCache>
            </c:strRef>
          </c:tx>
          <c:spPr>
            <a:ln w="28575" cap="rnd">
              <a:noFill/>
              <a:round/>
            </a:ln>
            <a:effectLst/>
          </c:spPr>
          <c:marker>
            <c:symbol val="none"/>
          </c:marker>
          <c:dLbls>
            <c:dLbl>
              <c:idx val="0"/>
              <c:tx>
                <c:rich>
                  <a:bodyPr/>
                  <a:lstStyle/>
                  <a:p>
                    <a:fld id="{8A2D5342-3B7C-449A-933D-ED86056F31A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4765-44D5-AEB8-9602F35D1404}"/>
                </c:ext>
              </c:extLst>
            </c:dLbl>
            <c:dLbl>
              <c:idx val="1"/>
              <c:tx>
                <c:rich>
                  <a:bodyPr/>
                  <a:lstStyle/>
                  <a:p>
                    <a:fld id="{4E19699F-5769-4FED-BC5C-11A82FC34B0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4765-44D5-AEB8-9602F35D1404}"/>
                </c:ext>
              </c:extLst>
            </c:dLbl>
            <c:dLbl>
              <c:idx val="2"/>
              <c:tx>
                <c:rich>
                  <a:bodyPr/>
                  <a:lstStyle/>
                  <a:p>
                    <a:fld id="{567150DD-0E19-41A3-82AA-2B77DD89EF8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765-44D5-AEB8-9602F35D1404}"/>
                </c:ext>
              </c:extLst>
            </c:dLbl>
            <c:dLbl>
              <c:idx val="3"/>
              <c:tx>
                <c:rich>
                  <a:bodyPr/>
                  <a:lstStyle/>
                  <a:p>
                    <a:fld id="{B6BFCF81-E321-4D43-A5AB-43DFC50F50C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765-44D5-AEB8-9602F35D1404}"/>
                </c:ext>
              </c:extLst>
            </c:dLbl>
            <c:dLbl>
              <c:idx val="4"/>
              <c:tx>
                <c:rich>
                  <a:bodyPr/>
                  <a:lstStyle/>
                  <a:p>
                    <a:fld id="{DFD04A8E-2CD1-4332-9DC3-148E3141069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4765-44D5-AEB8-9602F35D1404}"/>
                </c:ext>
              </c:extLst>
            </c:dLbl>
            <c:dLbl>
              <c:idx val="5"/>
              <c:tx>
                <c:rich>
                  <a:bodyPr/>
                  <a:lstStyle/>
                  <a:p>
                    <a:fld id="{B81E22A6-0238-4853-A6B8-B289C76CC0F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765-44D5-AEB8-9602F35D1404}"/>
                </c:ext>
              </c:extLst>
            </c:dLbl>
            <c:dLbl>
              <c:idx val="6"/>
              <c:tx>
                <c:rich>
                  <a:bodyPr/>
                  <a:lstStyle/>
                  <a:p>
                    <a:fld id="{F6C1B3D8-0539-4F73-9FC7-D390DB82DEF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765-44D5-AEB8-9602F35D1404}"/>
                </c:ext>
              </c:extLst>
            </c:dLbl>
            <c:dLbl>
              <c:idx val="7"/>
              <c:tx>
                <c:rich>
                  <a:bodyPr/>
                  <a:lstStyle/>
                  <a:p>
                    <a:fld id="{D19C782C-ACDD-4C39-BC1A-25E10DC403E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4765-44D5-AEB8-9602F35D1404}"/>
                </c:ext>
              </c:extLst>
            </c:dLbl>
            <c:dLbl>
              <c:idx val="8"/>
              <c:tx>
                <c:rich>
                  <a:bodyPr/>
                  <a:lstStyle/>
                  <a:p>
                    <a:fld id="{1106BE59-A37C-45B7-AED3-019568A088F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765-44D5-AEB8-9602F35D1404}"/>
                </c:ext>
              </c:extLst>
            </c:dLbl>
            <c:dLbl>
              <c:idx val="9"/>
              <c:tx>
                <c:rich>
                  <a:bodyPr/>
                  <a:lstStyle/>
                  <a:p>
                    <a:fld id="{39C90BF2-EFD4-4B3F-A577-639E59DD499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4765-44D5-AEB8-9602F35D1404}"/>
                </c:ext>
              </c:extLst>
            </c:dLbl>
            <c:dLbl>
              <c:idx val="10"/>
              <c:tx>
                <c:rich>
                  <a:bodyPr/>
                  <a:lstStyle/>
                  <a:p>
                    <a:fld id="{88A71079-137E-4363-B9B7-FC4580A2910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4765-44D5-AEB8-9602F35D1404}"/>
                </c:ext>
              </c:extLst>
            </c:dLbl>
            <c:dLbl>
              <c:idx val="11"/>
              <c:tx>
                <c:rich>
                  <a:bodyPr/>
                  <a:lstStyle/>
                  <a:p>
                    <a:fld id="{21526A44-E1DF-4004-BF72-159B9F91365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765-44D5-AEB8-9602F35D1404}"/>
                </c:ext>
              </c:extLst>
            </c:dLbl>
            <c:dLbl>
              <c:idx val="12"/>
              <c:tx>
                <c:rich>
                  <a:bodyPr/>
                  <a:lstStyle/>
                  <a:p>
                    <a:fld id="{06F858B2-2A4D-43D8-9C5C-81E4F6F1C21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765-44D5-AEB8-9602F35D1404}"/>
                </c:ext>
              </c:extLst>
            </c:dLbl>
            <c:dLbl>
              <c:idx val="13"/>
              <c:tx>
                <c:rich>
                  <a:bodyPr/>
                  <a:lstStyle/>
                  <a:p>
                    <a:fld id="{3433FFE9-7C6C-4365-A65A-BCBC154F04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4765-44D5-AEB8-9602F35D1404}"/>
                </c:ext>
              </c:extLst>
            </c:dLbl>
            <c:dLbl>
              <c:idx val="14"/>
              <c:tx>
                <c:rich>
                  <a:bodyPr/>
                  <a:lstStyle/>
                  <a:p>
                    <a:fld id="{7531DBDD-B957-4A00-AA90-1BD29D6242E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765-44D5-AEB8-9602F35D1404}"/>
                </c:ext>
              </c:extLst>
            </c:dLbl>
            <c:dLbl>
              <c:idx val="15"/>
              <c:tx>
                <c:rich>
                  <a:bodyPr/>
                  <a:lstStyle/>
                  <a:p>
                    <a:fld id="{6B23B08E-C1AE-488B-B8DA-3138948F83B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4765-44D5-AEB8-9602F35D1404}"/>
                </c:ext>
              </c:extLst>
            </c:dLbl>
            <c:dLbl>
              <c:idx val="16"/>
              <c:tx>
                <c:rich>
                  <a:bodyPr/>
                  <a:lstStyle/>
                  <a:p>
                    <a:fld id="{CF725FCF-8EED-45E4-99EA-64EE0F9F5C1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4765-44D5-AEB8-9602F35D1404}"/>
                </c:ext>
              </c:extLst>
            </c:dLbl>
            <c:dLbl>
              <c:idx val="17"/>
              <c:tx>
                <c:rich>
                  <a:bodyPr/>
                  <a:lstStyle/>
                  <a:p>
                    <a:fld id="{3F856703-5007-4DF0-8E88-6DFDAC69A9B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765-44D5-AEB8-9602F35D1404}"/>
                </c:ext>
              </c:extLst>
            </c:dLbl>
            <c:dLbl>
              <c:idx val="18"/>
              <c:tx>
                <c:rich>
                  <a:bodyPr/>
                  <a:lstStyle/>
                  <a:p>
                    <a:fld id="{4635F372-7C52-40F3-9E92-5D6F909379A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4765-44D5-AEB8-9602F35D1404}"/>
                </c:ext>
              </c:extLst>
            </c:dLbl>
            <c:dLbl>
              <c:idx val="19"/>
              <c:tx>
                <c:rich>
                  <a:bodyPr/>
                  <a:lstStyle/>
                  <a:p>
                    <a:fld id="{519E46A2-FDE2-45DA-BE8D-CF5C7540D0A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4765-44D5-AEB8-9602F35D1404}"/>
                </c:ext>
              </c:extLst>
            </c:dLbl>
            <c:dLbl>
              <c:idx val="20"/>
              <c:tx>
                <c:rich>
                  <a:bodyPr/>
                  <a:lstStyle/>
                  <a:p>
                    <a:fld id="{E75CBA87-2A73-4240-A31C-EBCF1E004C0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765-44D5-AEB8-9602F35D1404}"/>
                </c:ext>
              </c:extLst>
            </c:dLbl>
            <c:dLbl>
              <c:idx val="21"/>
              <c:tx>
                <c:rich>
                  <a:bodyPr/>
                  <a:lstStyle/>
                  <a:p>
                    <a:fld id="{9331575C-3139-42C1-8EEB-E91242C44D8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4765-44D5-AEB8-9602F35D1404}"/>
                </c:ext>
              </c:extLst>
            </c:dLbl>
            <c:dLbl>
              <c:idx val="22"/>
              <c:tx>
                <c:rich>
                  <a:bodyPr/>
                  <a:lstStyle/>
                  <a:p>
                    <a:fld id="{E0BB4F21-F836-42D7-B1D4-6BBB041C573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4765-44D5-AEB8-9602F35D1404}"/>
                </c:ext>
              </c:extLst>
            </c:dLbl>
            <c:dLbl>
              <c:idx val="23"/>
              <c:tx>
                <c:rich>
                  <a:bodyPr/>
                  <a:lstStyle/>
                  <a:p>
                    <a:fld id="{8EE599B7-787D-49AA-BEBA-41E90313776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765-44D5-AEB8-9602F35D1404}"/>
                </c:ext>
              </c:extLst>
            </c:dLbl>
            <c:dLbl>
              <c:idx val="24"/>
              <c:tx>
                <c:rich>
                  <a:bodyPr/>
                  <a:lstStyle/>
                  <a:p>
                    <a:fld id="{64752C4E-775F-444F-8269-B6CE80FE04B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4765-44D5-AEB8-9602F35D1404}"/>
                </c:ext>
              </c:extLst>
            </c:dLbl>
            <c:dLbl>
              <c:idx val="25"/>
              <c:tx>
                <c:rich>
                  <a:bodyPr/>
                  <a:lstStyle/>
                  <a:p>
                    <a:fld id="{0CA986EE-54C0-4CC5-97FB-C9714FF6010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4765-44D5-AEB8-9602F35D1404}"/>
                </c:ext>
              </c:extLst>
            </c:dLbl>
            <c:dLbl>
              <c:idx val="26"/>
              <c:tx>
                <c:rich>
                  <a:bodyPr/>
                  <a:lstStyle/>
                  <a:p>
                    <a:fld id="{CD4EA739-E137-4C86-9649-B6B5525A582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765-44D5-AEB8-9602F35D1404}"/>
                </c:ext>
              </c:extLst>
            </c:dLbl>
            <c:dLbl>
              <c:idx val="27"/>
              <c:tx>
                <c:rich>
                  <a:bodyPr/>
                  <a:lstStyle/>
                  <a:p>
                    <a:fld id="{55353CF2-4648-4E1D-87FC-2D7872B9857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4765-44D5-AEB8-9602F35D1404}"/>
                </c:ext>
              </c:extLst>
            </c:dLbl>
            <c:dLbl>
              <c:idx val="28"/>
              <c:tx>
                <c:rich>
                  <a:bodyPr/>
                  <a:lstStyle/>
                  <a:p>
                    <a:fld id="{9C40233D-9E03-482D-863A-457A5BAFE8D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4765-44D5-AEB8-9602F35D1404}"/>
                </c:ext>
              </c:extLst>
            </c:dLbl>
            <c:dLbl>
              <c:idx val="29"/>
              <c:tx>
                <c:rich>
                  <a:bodyPr/>
                  <a:lstStyle/>
                  <a:p>
                    <a:fld id="{2BF8BD57-8FDA-4E8F-9184-6BC040B9F9C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765-44D5-AEB8-9602F35D1404}"/>
                </c:ext>
              </c:extLst>
            </c:dLbl>
            <c:dLbl>
              <c:idx val="30"/>
              <c:tx>
                <c:rich>
                  <a:bodyPr/>
                  <a:lstStyle/>
                  <a:p>
                    <a:fld id="{3643A8B0-68C4-4D62-900E-B2C5D44DE7E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4765-44D5-AEB8-9602F35D1404}"/>
                </c:ext>
              </c:extLst>
            </c:dLbl>
            <c:dLbl>
              <c:idx val="31"/>
              <c:tx>
                <c:rich>
                  <a:bodyPr/>
                  <a:lstStyle/>
                  <a:p>
                    <a:fld id="{5E4AF5EF-2F27-48A9-912E-F400E764F51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4765-44D5-AEB8-9602F35D1404}"/>
                </c:ext>
              </c:extLst>
            </c:dLbl>
            <c:dLbl>
              <c:idx val="32"/>
              <c:tx>
                <c:rich>
                  <a:bodyPr/>
                  <a:lstStyle/>
                  <a:p>
                    <a:fld id="{8F2032E5-47CA-4DD7-B382-9669C317346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765-44D5-AEB8-9602F35D1404}"/>
                </c:ext>
              </c:extLst>
            </c:dLbl>
            <c:dLbl>
              <c:idx val="33"/>
              <c:tx>
                <c:rich>
                  <a:bodyPr/>
                  <a:lstStyle/>
                  <a:p>
                    <a:fld id="{657E0FD5-9237-4F53-B218-902C3E1D8C2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4765-44D5-AEB8-9602F35D1404}"/>
                </c:ext>
              </c:extLst>
            </c:dLbl>
            <c:dLbl>
              <c:idx val="34"/>
              <c:tx>
                <c:rich>
                  <a:bodyPr/>
                  <a:lstStyle/>
                  <a:p>
                    <a:fld id="{21B6B6AC-06A7-453A-AA90-20F98D0E054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4765-44D5-AEB8-9602F35D1404}"/>
                </c:ext>
              </c:extLst>
            </c:dLbl>
            <c:dLbl>
              <c:idx val="35"/>
              <c:tx>
                <c:rich>
                  <a:bodyPr/>
                  <a:lstStyle/>
                  <a:p>
                    <a:fld id="{54C6C8B2-AF66-4369-835C-F6E5970C1E4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765-44D5-AEB8-9602F35D1404}"/>
                </c:ext>
              </c:extLst>
            </c:dLbl>
            <c:dLbl>
              <c:idx val="36"/>
              <c:tx>
                <c:rich>
                  <a:bodyPr/>
                  <a:lstStyle/>
                  <a:p>
                    <a:fld id="{35ED4D2B-4F04-41FB-8967-21B4C57C3EE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4765-44D5-AEB8-9602F35D1404}"/>
                </c:ext>
              </c:extLst>
            </c:dLbl>
            <c:dLbl>
              <c:idx val="37"/>
              <c:tx>
                <c:rich>
                  <a:bodyPr/>
                  <a:lstStyle/>
                  <a:p>
                    <a:fld id="{D835A142-3C84-4AF8-AF2D-FABAE35F760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4765-44D5-AEB8-9602F35D1404}"/>
                </c:ext>
              </c:extLst>
            </c:dLbl>
            <c:dLbl>
              <c:idx val="38"/>
              <c:tx>
                <c:rich>
                  <a:bodyPr/>
                  <a:lstStyle/>
                  <a:p>
                    <a:fld id="{34B5584E-EDFE-48A4-8AC1-93643AB2663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4765-44D5-AEB8-9602F35D1404}"/>
                </c:ext>
              </c:extLst>
            </c:dLbl>
            <c:dLbl>
              <c:idx val="39"/>
              <c:tx>
                <c:rich>
                  <a:bodyPr/>
                  <a:lstStyle/>
                  <a:p>
                    <a:fld id="{11F49F86-4381-4D92-BBE2-66AFDB2A570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E-4765-44D5-AEB8-9602F35D140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'Nocenja turista'!$A$162:$A$201</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'Nocenja turista'!$W$162:$W$201</c:f>
              <c:numCache>
                <c:formatCode>General</c:formatCode>
                <c:ptCount val="4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numCache>
            </c:numRef>
          </c:val>
          <c:smooth val="0"/>
          <c:extLst>
            <c:ext xmlns:c15="http://schemas.microsoft.com/office/drawing/2012/chart" uri="{02D57815-91ED-43cb-92C2-25804820EDAC}">
              <c15:datalabelsRange>
                <c15:f>'Nocenja turista'!$J$150:$J$193</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F-4765-44D5-AEB8-9602F35D1404}"/>
            </c:ext>
          </c:extLst>
        </c:ser>
        <c:dLbls>
          <c:showLegendKey val="0"/>
          <c:showVal val="0"/>
          <c:showCatName val="0"/>
          <c:showSerName val="0"/>
          <c:showPercent val="0"/>
          <c:showBubbleSize val="0"/>
        </c:dLbls>
        <c:smooth val="0"/>
        <c:axId val="1828917968"/>
        <c:axId val="1828917424"/>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17424"/>
        <c:crosses val="autoZero"/>
        <c:auto val="1"/>
        <c:lblOffset val="0"/>
        <c:baseTimeUnit val="months"/>
        <c:majorUnit val="12"/>
        <c:majorTimeUnit val="months"/>
      </c:dateAx>
      <c:valAx>
        <c:axId val="1828917424"/>
        <c:scaling>
          <c:orientation val="minMax"/>
          <c:max val="17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17968"/>
        <c:crosses val="autoZero"/>
        <c:crossBetween val="midCat"/>
        <c:majorUnit val="4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6.2713213213213215E-2"/>
          <c:w val="0.86257083333333318"/>
          <c:h val="0.8328986486486486"/>
        </c:manualLayout>
      </c:layout>
      <c:lineChart>
        <c:grouping val="standard"/>
        <c:varyColors val="0"/>
        <c:ser>
          <c:idx val="0"/>
          <c:order val="0"/>
          <c:tx>
            <c:strRef>
              <c:f>'BoP_izvoz usluga'!$S$5</c:f>
              <c:strCache>
                <c:ptCount val="1"/>
                <c:pt idx="0">
                  <c:v>y</c:v>
                </c:pt>
              </c:strCache>
            </c:strRef>
          </c:tx>
          <c:spPr>
            <a:ln w="12700" cap="rnd">
              <a:solidFill>
                <a:srgbClr val="7F3F98"/>
              </a:solidFill>
              <a:prstDash val="sysDash"/>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usluga'!$S$126:$S$164</c:f>
              <c:numCache>
                <c:formatCode>0.0</c:formatCode>
                <c:ptCount val="39"/>
                <c:pt idx="0">
                  <c:v>50.738705005240227</c:v>
                </c:pt>
                <c:pt idx="1">
                  <c:v>50.310164331985817</c:v>
                </c:pt>
                <c:pt idx="2">
                  <c:v>57.786535381390614</c:v>
                </c:pt>
                <c:pt idx="3">
                  <c:v>56.999366371794139</c:v>
                </c:pt>
                <c:pt idx="4">
                  <c:v>61.777308080495288</c:v>
                </c:pt>
                <c:pt idx="5">
                  <c:v>62.635702014400366</c:v>
                </c:pt>
                <c:pt idx="6">
                  <c:v>69.738132830704629</c:v>
                </c:pt>
                <c:pt idx="7">
                  <c:v>67.915999490283468</c:v>
                </c:pt>
                <c:pt idx="8">
                  <c:v>71.929676847341455</c:v>
                </c:pt>
                <c:pt idx="9">
                  <c:v>69.187372885462466</c:v>
                </c:pt>
                <c:pt idx="10">
                  <c:v>72.921631883739451</c:v>
                </c:pt>
                <c:pt idx="11">
                  <c:v>90.888159082474004</c:v>
                </c:pt>
                <c:pt idx="12">
                  <c:v>71.611890416298436</c:v>
                </c:pt>
                <c:pt idx="13">
                  <c:v>73.551790329904364</c:v>
                </c:pt>
                <c:pt idx="14">
                  <c:v>83.118653023117943</c:v>
                </c:pt>
                <c:pt idx="15">
                  <c:v>79.192356339918319</c:v>
                </c:pt>
                <c:pt idx="16">
                  <c:v>81.706981584885511</c:v>
                </c:pt>
                <c:pt idx="17">
                  <c:v>85.642703678847425</c:v>
                </c:pt>
                <c:pt idx="18">
                  <c:v>81.6577633855633</c:v>
                </c:pt>
                <c:pt idx="19">
                  <c:v>87.139589466398533</c:v>
                </c:pt>
                <c:pt idx="20">
                  <c:v>81.515193391550284</c:v>
                </c:pt>
                <c:pt idx="21">
                  <c:v>83.727660349363617</c:v>
                </c:pt>
                <c:pt idx="22">
                  <c:v>89.544954447457414</c:v>
                </c:pt>
                <c:pt idx="23">
                  <c:v>99.182124909816807</c:v>
                </c:pt>
                <c:pt idx="24">
                  <c:v>88.958878154306561</c:v>
                </c:pt>
                <c:pt idx="25">
                  <c:v>87.770296087574692</c:v>
                </c:pt>
                <c:pt idx="26">
                  <c:v>89.556272044029981</c:v>
                </c:pt>
                <c:pt idx="27">
                  <c:v>102.79991030174345</c:v>
                </c:pt>
                <c:pt idx="28">
                  <c:v>100.25810081417529</c:v>
                </c:pt>
                <c:pt idx="29">
                  <c:v>94.869697893093402</c:v>
                </c:pt>
                <c:pt idx="30">
                  <c:v>105.24958802170956</c:v>
                </c:pt>
                <c:pt idx="31">
                  <c:v>93.842880204781295</c:v>
                </c:pt>
                <c:pt idx="32">
                  <c:v>98.027916925107974</c:v>
                </c:pt>
                <c:pt idx="33">
                  <c:v>108.97658370352519</c:v>
                </c:pt>
                <c:pt idx="34">
                  <c:v>107.61906201099183</c:v>
                </c:pt>
                <c:pt idx="35">
                  <c:v>122.07081383896107</c:v>
                </c:pt>
                <c:pt idx="36">
                  <c:v>102.30489552836109</c:v>
                </c:pt>
                <c:pt idx="37">
                  <c:v>103.68705975519859</c:v>
                </c:pt>
                <c:pt idx="38">
                  <c:v>111.80209478118633</c:v>
                </c:pt>
              </c:numCache>
            </c:numRef>
          </c:val>
          <c:smooth val="0"/>
          <c:extLst>
            <c:ext xmlns:c16="http://schemas.microsoft.com/office/drawing/2014/chart" uri="{C3380CC4-5D6E-409C-BE32-E72D297353CC}">
              <c16:uniqueId val="{00000000-C10D-423E-9FB9-28B4B710E909}"/>
            </c:ext>
          </c:extLst>
        </c:ser>
        <c:ser>
          <c:idx val="1"/>
          <c:order val="1"/>
          <c:tx>
            <c:strRef>
              <c:f>'BoP_izvoz usluga'!$T$5</c:f>
              <c:strCache>
                <c:ptCount val="1"/>
                <c:pt idx="0">
                  <c:v>sa</c:v>
                </c:pt>
              </c:strCache>
            </c:strRef>
          </c:tx>
          <c:spPr>
            <a:ln w="22225" cap="rnd">
              <a:solidFill>
                <a:srgbClr val="25AAE1"/>
              </a:solidFill>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usluga'!$T$126:$T$164</c:f>
              <c:numCache>
                <c:formatCode>0.0</c:formatCode>
                <c:ptCount val="39"/>
                <c:pt idx="0">
                  <c:v>55.472528407168028</c:v>
                </c:pt>
                <c:pt idx="1">
                  <c:v>54.680545071789787</c:v>
                </c:pt>
                <c:pt idx="2">
                  <c:v>53.766927504451004</c:v>
                </c:pt>
                <c:pt idx="3">
                  <c:v>56.889100625539058</c:v>
                </c:pt>
                <c:pt idx="4">
                  <c:v>61.891317362053208</c:v>
                </c:pt>
                <c:pt idx="5">
                  <c:v>62.696884081623544</c:v>
                </c:pt>
                <c:pt idx="6">
                  <c:v>67.366641156907164</c:v>
                </c:pt>
                <c:pt idx="7">
                  <c:v>71.856989937358961</c:v>
                </c:pt>
                <c:pt idx="8">
                  <c:v>72.798758330944878</c:v>
                </c:pt>
                <c:pt idx="9">
                  <c:v>72.989917847627154</c:v>
                </c:pt>
                <c:pt idx="10">
                  <c:v>73.690935927468033</c:v>
                </c:pt>
                <c:pt idx="11">
                  <c:v>76.525766777986718</c:v>
                </c:pt>
                <c:pt idx="12">
                  <c:v>73.597814470253184</c:v>
                </c:pt>
                <c:pt idx="13">
                  <c:v>79.865754836689206</c:v>
                </c:pt>
                <c:pt idx="14">
                  <c:v>78.497006461324517</c:v>
                </c:pt>
                <c:pt idx="15">
                  <c:v>81.953619026942974</c:v>
                </c:pt>
                <c:pt idx="16">
                  <c:v>82.905677908690137</c:v>
                </c:pt>
                <c:pt idx="17">
                  <c:v>83.539161789325505</c:v>
                </c:pt>
                <c:pt idx="18">
                  <c:v>81.879219274551403</c:v>
                </c:pt>
                <c:pt idx="19">
                  <c:v>88.3091823811328</c:v>
                </c:pt>
                <c:pt idx="20">
                  <c:v>85.249079604481324</c:v>
                </c:pt>
                <c:pt idx="21">
                  <c:v>84.477664678916469</c:v>
                </c:pt>
                <c:pt idx="22">
                  <c:v>88.759647507840739</c:v>
                </c:pt>
                <c:pt idx="23">
                  <c:v>88.493007940586949</c:v>
                </c:pt>
                <c:pt idx="24">
                  <c:v>93.497496934927838</c:v>
                </c:pt>
                <c:pt idx="25">
                  <c:v>93.064030473794702</c:v>
                </c:pt>
                <c:pt idx="26">
                  <c:v>88.653751632567349</c:v>
                </c:pt>
                <c:pt idx="27">
                  <c:v>97.968799460374626</c:v>
                </c:pt>
                <c:pt idx="28">
                  <c:v>101.88746686015156</c:v>
                </c:pt>
                <c:pt idx="29">
                  <c:v>99.481323537741744</c:v>
                </c:pt>
                <c:pt idx="30">
                  <c:v>100.6870599428084</c:v>
                </c:pt>
                <c:pt idx="31">
                  <c:v>96.387257682541943</c:v>
                </c:pt>
                <c:pt idx="32">
                  <c:v>105.42865032559115</c:v>
                </c:pt>
                <c:pt idx="33">
                  <c:v>105.23170575961466</c:v>
                </c:pt>
                <c:pt idx="34">
                  <c:v>107.97549932029169</c:v>
                </c:pt>
                <c:pt idx="35">
                  <c:v>107.61340525912401</c:v>
                </c:pt>
                <c:pt idx="36">
                  <c:v>109.48368728538493</c:v>
                </c:pt>
                <c:pt idx="37">
                  <c:v>107.27115399641026</c:v>
                </c:pt>
                <c:pt idx="38">
                  <c:v>114.35589539796125</c:v>
                </c:pt>
              </c:numCache>
            </c:numRef>
          </c:val>
          <c:smooth val="0"/>
          <c:extLst>
            <c:ext xmlns:c16="http://schemas.microsoft.com/office/drawing/2014/chart" uri="{C3380CC4-5D6E-409C-BE32-E72D297353CC}">
              <c16:uniqueId val="{00000001-C10D-423E-9FB9-28B4B710E909}"/>
            </c:ext>
          </c:extLst>
        </c:ser>
        <c:ser>
          <c:idx val="2"/>
          <c:order val="2"/>
          <c:tx>
            <c:strRef>
              <c:f>'BoP_izvoz usluga'!$U$5</c:f>
              <c:strCache>
                <c:ptCount val="1"/>
                <c:pt idx="0">
                  <c:v>t</c:v>
                </c:pt>
              </c:strCache>
            </c:strRef>
          </c:tx>
          <c:spPr>
            <a:ln w="25400" cap="rnd">
              <a:solidFill>
                <a:srgbClr val="FF0000"/>
              </a:solidFill>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usluga'!$U$126:$U$164</c:f>
              <c:numCache>
                <c:formatCode>0.0</c:formatCode>
                <c:ptCount val="39"/>
                <c:pt idx="0">
                  <c:v>53.205888374919731</c:v>
                </c:pt>
                <c:pt idx="1">
                  <c:v>54.441496199957058</c:v>
                </c:pt>
                <c:pt idx="2">
                  <c:v>55.97217543181258</c:v>
                </c:pt>
                <c:pt idx="3">
                  <c:v>58.095205094561081</c:v>
                </c:pt>
                <c:pt idx="4">
                  <c:v>60.869406970569088</c:v>
                </c:pt>
                <c:pt idx="5">
                  <c:v>64.02450533745899</c:v>
                </c:pt>
                <c:pt idx="6">
                  <c:v>67.185124495225523</c:v>
                </c:pt>
                <c:pt idx="7">
                  <c:v>69.912609021587343</c:v>
                </c:pt>
                <c:pt idx="8">
                  <c:v>72.037228153735839</c:v>
                </c:pt>
                <c:pt idx="9">
                  <c:v>73.594077681066466</c:v>
                </c:pt>
                <c:pt idx="10">
                  <c:v>74.808065453848215</c:v>
                </c:pt>
                <c:pt idx="11">
                  <c:v>75.929950533227412</c:v>
                </c:pt>
                <c:pt idx="12">
                  <c:v>77.186495918124635</c:v>
                </c:pt>
                <c:pt idx="13">
                  <c:v>78.630163147205963</c:v>
                </c:pt>
                <c:pt idx="14">
                  <c:v>80.036352153610963</c:v>
                </c:pt>
                <c:pt idx="15">
                  <c:v>81.229039404774554</c:v>
                </c:pt>
                <c:pt idx="16">
                  <c:v>82.103411983099363</c:v>
                </c:pt>
                <c:pt idx="17">
                  <c:v>82.749935504185601</c:v>
                </c:pt>
                <c:pt idx="18">
                  <c:v>83.252637572800779</c:v>
                </c:pt>
                <c:pt idx="19">
                  <c:v>83.831923444378816</c:v>
                </c:pt>
                <c:pt idx="20">
                  <c:v>84.737959772487244</c:v>
                </c:pt>
                <c:pt idx="21">
                  <c:v>86.030485975650407</c:v>
                </c:pt>
                <c:pt idx="22">
                  <c:v>87.734719565751845</c:v>
                </c:pt>
                <c:pt idx="23">
                  <c:v>89.692813159554646</c:v>
                </c:pt>
                <c:pt idx="24">
                  <c:v>91.743267076870112</c:v>
                </c:pt>
                <c:pt idx="25">
                  <c:v>93.728711594914913</c:v>
                </c:pt>
                <c:pt idx="26">
                  <c:v>95.53042728598129</c:v>
                </c:pt>
                <c:pt idx="27">
                  <c:v>97.112507834539514</c:v>
                </c:pt>
                <c:pt idx="28">
                  <c:v>98.531718995088241</c:v>
                </c:pt>
                <c:pt idx="29">
                  <c:v>99.947553469971453</c:v>
                </c:pt>
                <c:pt idx="30">
                  <c:v>101.3832071693013</c:v>
                </c:pt>
                <c:pt idx="31">
                  <c:v>102.90483416359595</c:v>
                </c:pt>
                <c:pt idx="32">
                  <c:v>104.33206000026117</c:v>
                </c:pt>
                <c:pt idx="33">
                  <c:v>105.6528728115254</c:v>
                </c:pt>
                <c:pt idx="34">
                  <c:v>106.90495828661987</c:v>
                </c:pt>
                <c:pt idx="35">
                  <c:v>108.11122155738289</c:v>
                </c:pt>
                <c:pt idx="36">
                  <c:v>109.41180372329613</c:v>
                </c:pt>
                <c:pt idx="37">
                  <c:v>110.96981670029155</c:v>
                </c:pt>
                <c:pt idx="38">
                  <c:v>112.87517660771405</c:v>
                </c:pt>
              </c:numCache>
            </c:numRef>
          </c:val>
          <c:smooth val="0"/>
          <c:extLst>
            <c:ext xmlns:c16="http://schemas.microsoft.com/office/drawing/2014/chart" uri="{C3380CC4-5D6E-409C-BE32-E72D297353CC}">
              <c16:uniqueId val="{00000002-C10D-423E-9FB9-28B4B710E909}"/>
            </c:ext>
          </c:extLst>
        </c:ser>
        <c:ser>
          <c:idx val="3"/>
          <c:order val="3"/>
          <c:tx>
            <c:strRef>
              <c:f>'BoP_izvoz usluga'!$V$5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6.7173680523791121E-2"/>
                  <c:y val="4.644219219219219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0D-423E-9FB9-28B4B710E909}"/>
                </c:ext>
              </c:extLst>
            </c:dLbl>
            <c:dLbl>
              <c:idx val="12"/>
              <c:layout>
                <c:manualLayout>
                  <c:x val="6.9058708368117658E-2"/>
                  <c:y val="4.644219219219219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0D-423E-9FB9-28B4B710E909}"/>
                </c:ext>
              </c:extLst>
            </c:dLbl>
            <c:dLbl>
              <c:idx val="24"/>
              <c:layout>
                <c:manualLayout>
                  <c:x val="6.6939896401838658E-2"/>
                  <c:y val="3.94584090450232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0D-423E-9FB9-28B4B710E909}"/>
                </c:ext>
              </c:extLst>
            </c:dLbl>
            <c:dLbl>
              <c:idx val="36"/>
              <c:layout>
                <c:manualLayout>
                  <c:x val="-2.1051882403588601E-2"/>
                  <c:y val="3.94584090450232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C10D-423E-9FB9-28B4B710E90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usluga'!$V$126:$V$164</c:f>
              <c:numCache>
                <c:formatCode>General</c:formatCode>
                <c:ptCount val="39"/>
                <c:pt idx="0">
                  <c:v>20</c:v>
                </c:pt>
                <c:pt idx="12">
                  <c:v>20</c:v>
                </c:pt>
                <c:pt idx="24">
                  <c:v>20</c:v>
                </c:pt>
                <c:pt idx="36">
                  <c:v>20</c:v>
                </c:pt>
              </c:numCache>
            </c:numRef>
          </c:val>
          <c:smooth val="0"/>
          <c:extLst>
            <c:ext xmlns:c16="http://schemas.microsoft.com/office/drawing/2014/chart" uri="{C3380CC4-5D6E-409C-BE32-E72D297353CC}">
              <c16:uniqueId val="{00000006-C10D-423E-9FB9-28B4B710E909}"/>
            </c:ext>
          </c:extLst>
        </c:ser>
        <c:ser>
          <c:idx val="4"/>
          <c:order val="4"/>
          <c:tx>
            <c:strRef>
              <c:f>'BoP_izvoz usluga'!$W$5</c:f>
              <c:strCache>
                <c:ptCount val="1"/>
                <c:pt idx="0">
                  <c:v>Series5</c:v>
                </c:pt>
              </c:strCache>
            </c:strRef>
          </c:tx>
          <c:spPr>
            <a:ln w="28575" cap="rnd">
              <a:noFill/>
              <a:round/>
            </a:ln>
            <a:effectLst/>
          </c:spPr>
          <c:marker>
            <c:symbol val="none"/>
          </c:marker>
          <c:dLbls>
            <c:dLbl>
              <c:idx val="0"/>
              <c:tx>
                <c:rich>
                  <a:bodyPr/>
                  <a:lstStyle/>
                  <a:p>
                    <a:fld id="{95EC147F-72B8-49CB-B742-30D3542C479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C10D-423E-9FB9-28B4B710E909}"/>
                </c:ext>
              </c:extLst>
            </c:dLbl>
            <c:dLbl>
              <c:idx val="1"/>
              <c:tx>
                <c:rich>
                  <a:bodyPr/>
                  <a:lstStyle/>
                  <a:p>
                    <a:fld id="{0DFD470C-ED6E-42C2-988E-7EF87258EA2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C10D-423E-9FB9-28B4B710E909}"/>
                </c:ext>
              </c:extLst>
            </c:dLbl>
            <c:dLbl>
              <c:idx val="2"/>
              <c:tx>
                <c:rich>
                  <a:bodyPr/>
                  <a:lstStyle/>
                  <a:p>
                    <a:fld id="{BA983060-87BC-4BBD-A540-1F5C62548DA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C10D-423E-9FB9-28B4B710E909}"/>
                </c:ext>
              </c:extLst>
            </c:dLbl>
            <c:dLbl>
              <c:idx val="3"/>
              <c:tx>
                <c:rich>
                  <a:bodyPr/>
                  <a:lstStyle/>
                  <a:p>
                    <a:fld id="{6275D19B-C17A-45BC-92B2-4AC4CDBB3BA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10D-423E-9FB9-28B4B710E909}"/>
                </c:ext>
              </c:extLst>
            </c:dLbl>
            <c:dLbl>
              <c:idx val="4"/>
              <c:tx>
                <c:rich>
                  <a:bodyPr/>
                  <a:lstStyle/>
                  <a:p>
                    <a:fld id="{8DEB5EBD-55AB-491A-B858-99E2153ABE9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C10D-423E-9FB9-28B4B710E909}"/>
                </c:ext>
              </c:extLst>
            </c:dLbl>
            <c:dLbl>
              <c:idx val="5"/>
              <c:tx>
                <c:rich>
                  <a:bodyPr/>
                  <a:lstStyle/>
                  <a:p>
                    <a:fld id="{610C4E56-B1E4-481D-B8F7-283ABD4C2CC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C10D-423E-9FB9-28B4B710E909}"/>
                </c:ext>
              </c:extLst>
            </c:dLbl>
            <c:dLbl>
              <c:idx val="6"/>
              <c:tx>
                <c:rich>
                  <a:bodyPr/>
                  <a:lstStyle/>
                  <a:p>
                    <a:fld id="{B1F50769-0EAB-4665-A3FC-760D0CB8984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10D-423E-9FB9-28B4B710E909}"/>
                </c:ext>
              </c:extLst>
            </c:dLbl>
            <c:dLbl>
              <c:idx val="7"/>
              <c:tx>
                <c:rich>
                  <a:bodyPr/>
                  <a:lstStyle/>
                  <a:p>
                    <a:fld id="{1319D769-F2C4-4C75-8070-44DC8B2A2B1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C10D-423E-9FB9-28B4B710E909}"/>
                </c:ext>
              </c:extLst>
            </c:dLbl>
            <c:dLbl>
              <c:idx val="8"/>
              <c:tx>
                <c:rich>
                  <a:bodyPr/>
                  <a:lstStyle/>
                  <a:p>
                    <a:fld id="{A260390E-115B-4E5A-9A04-CC88324DE48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C10D-423E-9FB9-28B4B710E909}"/>
                </c:ext>
              </c:extLst>
            </c:dLbl>
            <c:dLbl>
              <c:idx val="9"/>
              <c:tx>
                <c:rich>
                  <a:bodyPr/>
                  <a:lstStyle/>
                  <a:p>
                    <a:fld id="{0F1CA047-B457-4527-BAD1-4DE2F778E71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10D-423E-9FB9-28B4B710E909}"/>
                </c:ext>
              </c:extLst>
            </c:dLbl>
            <c:dLbl>
              <c:idx val="10"/>
              <c:tx>
                <c:rich>
                  <a:bodyPr/>
                  <a:lstStyle/>
                  <a:p>
                    <a:fld id="{3C2C8F87-878F-48B8-84E9-47233BF0CF7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C10D-423E-9FB9-28B4B710E909}"/>
                </c:ext>
              </c:extLst>
            </c:dLbl>
            <c:dLbl>
              <c:idx val="11"/>
              <c:tx>
                <c:rich>
                  <a:bodyPr/>
                  <a:lstStyle/>
                  <a:p>
                    <a:fld id="{6FE59D49-386C-4542-A1C8-2279F6D5A0C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C10D-423E-9FB9-28B4B710E909}"/>
                </c:ext>
              </c:extLst>
            </c:dLbl>
            <c:dLbl>
              <c:idx val="12"/>
              <c:tx>
                <c:rich>
                  <a:bodyPr/>
                  <a:lstStyle/>
                  <a:p>
                    <a:fld id="{292CFC8F-E276-4786-8CA4-BE9C4A294E2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10D-423E-9FB9-28B4B710E909}"/>
                </c:ext>
              </c:extLst>
            </c:dLbl>
            <c:dLbl>
              <c:idx val="13"/>
              <c:tx>
                <c:rich>
                  <a:bodyPr/>
                  <a:lstStyle/>
                  <a:p>
                    <a:fld id="{E03024CE-89ED-43D9-AD13-7EC40F418E5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C10D-423E-9FB9-28B4B710E909}"/>
                </c:ext>
              </c:extLst>
            </c:dLbl>
            <c:dLbl>
              <c:idx val="14"/>
              <c:tx>
                <c:rich>
                  <a:bodyPr/>
                  <a:lstStyle/>
                  <a:p>
                    <a:fld id="{16A732D8-A48D-443A-98A2-567DBA56BA3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C10D-423E-9FB9-28B4B710E909}"/>
                </c:ext>
              </c:extLst>
            </c:dLbl>
            <c:dLbl>
              <c:idx val="15"/>
              <c:tx>
                <c:rich>
                  <a:bodyPr/>
                  <a:lstStyle/>
                  <a:p>
                    <a:fld id="{78DCC20F-DE83-4F6D-B6E4-266A372D7CF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10D-423E-9FB9-28B4B710E909}"/>
                </c:ext>
              </c:extLst>
            </c:dLbl>
            <c:dLbl>
              <c:idx val="16"/>
              <c:tx>
                <c:rich>
                  <a:bodyPr/>
                  <a:lstStyle/>
                  <a:p>
                    <a:fld id="{C7164C92-E3DD-4371-85F6-337C0153E08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C10D-423E-9FB9-28B4B710E909}"/>
                </c:ext>
              </c:extLst>
            </c:dLbl>
            <c:dLbl>
              <c:idx val="17"/>
              <c:tx>
                <c:rich>
                  <a:bodyPr/>
                  <a:lstStyle/>
                  <a:p>
                    <a:fld id="{A4203E8A-0DE8-4E7E-A54C-05DD9B30E17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C10D-423E-9FB9-28B4B710E909}"/>
                </c:ext>
              </c:extLst>
            </c:dLbl>
            <c:dLbl>
              <c:idx val="18"/>
              <c:tx>
                <c:rich>
                  <a:bodyPr/>
                  <a:lstStyle/>
                  <a:p>
                    <a:fld id="{6A885B07-81C2-456C-AB0F-2C138929FEB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10D-423E-9FB9-28B4B710E909}"/>
                </c:ext>
              </c:extLst>
            </c:dLbl>
            <c:dLbl>
              <c:idx val="19"/>
              <c:tx>
                <c:rich>
                  <a:bodyPr/>
                  <a:lstStyle/>
                  <a:p>
                    <a:fld id="{8242753C-A603-467D-B451-073525DCF0D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C10D-423E-9FB9-28B4B710E909}"/>
                </c:ext>
              </c:extLst>
            </c:dLbl>
            <c:dLbl>
              <c:idx val="20"/>
              <c:tx>
                <c:rich>
                  <a:bodyPr/>
                  <a:lstStyle/>
                  <a:p>
                    <a:fld id="{8DD5342B-9F0F-404A-A762-2F5DD5E9359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C10D-423E-9FB9-28B4B710E909}"/>
                </c:ext>
              </c:extLst>
            </c:dLbl>
            <c:dLbl>
              <c:idx val="21"/>
              <c:tx>
                <c:rich>
                  <a:bodyPr/>
                  <a:lstStyle/>
                  <a:p>
                    <a:fld id="{FFDBCED0-271E-464D-BACC-8E831B7FCEF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10D-423E-9FB9-28B4B710E909}"/>
                </c:ext>
              </c:extLst>
            </c:dLbl>
            <c:dLbl>
              <c:idx val="22"/>
              <c:tx>
                <c:rich>
                  <a:bodyPr/>
                  <a:lstStyle/>
                  <a:p>
                    <a:fld id="{A91E0367-22F0-4CE8-B979-5586490BD97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C10D-423E-9FB9-28B4B710E909}"/>
                </c:ext>
              </c:extLst>
            </c:dLbl>
            <c:dLbl>
              <c:idx val="23"/>
              <c:tx>
                <c:rich>
                  <a:bodyPr/>
                  <a:lstStyle/>
                  <a:p>
                    <a:fld id="{FE171821-F4C0-47BD-963C-863C20AE624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C10D-423E-9FB9-28B4B710E909}"/>
                </c:ext>
              </c:extLst>
            </c:dLbl>
            <c:dLbl>
              <c:idx val="24"/>
              <c:tx>
                <c:rich>
                  <a:bodyPr/>
                  <a:lstStyle/>
                  <a:p>
                    <a:fld id="{02812AE6-1827-4B8A-92B1-66B56262CD2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10D-423E-9FB9-28B4B710E909}"/>
                </c:ext>
              </c:extLst>
            </c:dLbl>
            <c:dLbl>
              <c:idx val="25"/>
              <c:tx>
                <c:rich>
                  <a:bodyPr/>
                  <a:lstStyle/>
                  <a:p>
                    <a:fld id="{6683520E-C4BF-46FC-ACF4-A5552A0632C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C10D-423E-9FB9-28B4B710E909}"/>
                </c:ext>
              </c:extLst>
            </c:dLbl>
            <c:dLbl>
              <c:idx val="26"/>
              <c:tx>
                <c:rich>
                  <a:bodyPr/>
                  <a:lstStyle/>
                  <a:p>
                    <a:fld id="{E67B6737-0EE0-43CC-8DF5-0F63936C165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C10D-423E-9FB9-28B4B710E909}"/>
                </c:ext>
              </c:extLst>
            </c:dLbl>
            <c:dLbl>
              <c:idx val="27"/>
              <c:tx>
                <c:rich>
                  <a:bodyPr/>
                  <a:lstStyle/>
                  <a:p>
                    <a:fld id="{03B66638-A416-4FC5-91F6-B0E0F606321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10D-423E-9FB9-28B4B710E909}"/>
                </c:ext>
              </c:extLst>
            </c:dLbl>
            <c:dLbl>
              <c:idx val="28"/>
              <c:tx>
                <c:rich>
                  <a:bodyPr/>
                  <a:lstStyle/>
                  <a:p>
                    <a:fld id="{2B48D82E-FE6D-4D7F-970C-A76677FFD59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C10D-423E-9FB9-28B4B710E909}"/>
                </c:ext>
              </c:extLst>
            </c:dLbl>
            <c:dLbl>
              <c:idx val="29"/>
              <c:tx>
                <c:rich>
                  <a:bodyPr/>
                  <a:lstStyle/>
                  <a:p>
                    <a:fld id="{210F8C43-25C7-43C8-ACA2-7B30A2BE8D2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C10D-423E-9FB9-28B4B710E909}"/>
                </c:ext>
              </c:extLst>
            </c:dLbl>
            <c:dLbl>
              <c:idx val="30"/>
              <c:tx>
                <c:rich>
                  <a:bodyPr/>
                  <a:lstStyle/>
                  <a:p>
                    <a:fld id="{46276D73-1AC9-4CB4-A0F7-B0099C8BFE9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C10D-423E-9FB9-28B4B710E909}"/>
                </c:ext>
              </c:extLst>
            </c:dLbl>
            <c:dLbl>
              <c:idx val="31"/>
              <c:tx>
                <c:rich>
                  <a:bodyPr/>
                  <a:lstStyle/>
                  <a:p>
                    <a:endParaRPr lang="en-US"/>
                  </a:p>
                </c:rich>
              </c:tx>
              <c:dLblPos val="t"/>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C10D-423E-9FB9-28B4B710E909}"/>
                </c:ext>
              </c:extLst>
            </c:dLbl>
            <c:dLbl>
              <c:idx val="32"/>
              <c:tx>
                <c:rich>
                  <a:bodyPr/>
                  <a:lstStyle/>
                  <a:p>
                    <a:fld id="{3E28E387-0FA8-4CCE-A5EA-B87E860EBF6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C10D-423E-9FB9-28B4B710E909}"/>
                </c:ext>
              </c:extLst>
            </c:dLbl>
            <c:dLbl>
              <c:idx val="33"/>
              <c:tx>
                <c:rich>
                  <a:bodyPr/>
                  <a:lstStyle/>
                  <a:p>
                    <a:fld id="{5489FEAE-A36D-4EEF-B191-59632FB3539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C10D-423E-9FB9-28B4B710E909}"/>
                </c:ext>
              </c:extLst>
            </c:dLbl>
            <c:dLbl>
              <c:idx val="34"/>
              <c:tx>
                <c:rich>
                  <a:bodyPr/>
                  <a:lstStyle/>
                  <a:p>
                    <a:fld id="{4CE10423-A674-4AC5-89C2-A4237DD9B1C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C10D-423E-9FB9-28B4B710E909}"/>
                </c:ext>
              </c:extLst>
            </c:dLbl>
            <c:dLbl>
              <c:idx val="35"/>
              <c:tx>
                <c:rich>
                  <a:bodyPr/>
                  <a:lstStyle/>
                  <a:p>
                    <a:fld id="{A94BF266-D915-4F26-B216-A38BB8BB0CF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C10D-423E-9FB9-28B4B710E909}"/>
                </c:ext>
              </c:extLst>
            </c:dLbl>
            <c:dLbl>
              <c:idx val="36"/>
              <c:tx>
                <c:rich>
                  <a:bodyPr/>
                  <a:lstStyle/>
                  <a:p>
                    <a:fld id="{10AEB26B-5AFE-4D62-871C-C1F3997B675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C10D-423E-9FB9-28B4B710E909}"/>
                </c:ext>
              </c:extLst>
            </c:dLbl>
            <c:dLbl>
              <c:idx val="37"/>
              <c:tx>
                <c:rich>
                  <a:bodyPr/>
                  <a:lstStyle/>
                  <a:p>
                    <a:fld id="{597CFA45-BC60-48B7-AA08-D11A1744685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C10D-423E-9FB9-28B4B710E909}"/>
                </c:ext>
              </c:extLst>
            </c:dLbl>
            <c:dLbl>
              <c:idx val="38"/>
              <c:tx>
                <c:rich>
                  <a:bodyPr/>
                  <a:lstStyle/>
                  <a:p>
                    <a:fld id="{DE844FB7-C968-420B-BAC6-A9CEFBCBFE6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C10D-423E-9FB9-28B4B710E909}"/>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usluga'!$W$126:$W$164</c:f>
              <c:numCache>
                <c:formatCode>General</c:formatCode>
                <c:ptCount val="39"/>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pt idx="32">
                  <c:v>20</c:v>
                </c:pt>
                <c:pt idx="33">
                  <c:v>20</c:v>
                </c:pt>
                <c:pt idx="34">
                  <c:v>20</c:v>
                </c:pt>
                <c:pt idx="35">
                  <c:v>20</c:v>
                </c:pt>
                <c:pt idx="36">
                  <c:v>20</c:v>
                </c:pt>
                <c:pt idx="37">
                  <c:v>20</c:v>
                </c:pt>
                <c:pt idx="38">
                  <c:v>20</c:v>
                </c:pt>
              </c:numCache>
            </c:numRef>
          </c:val>
          <c:smooth val="0"/>
          <c:extLst>
            <c:ext xmlns:c15="http://schemas.microsoft.com/office/drawing/2012/chart" uri="{02D57815-91ED-43cb-92C2-25804820EDAC}">
              <c15:datalabelsRange>
                <c15:f>'BoP_izvoz usluga'!$J$114:$J$157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E-C10D-423E-9FB9-28B4B710E909}"/>
            </c:ext>
          </c:extLst>
        </c:ser>
        <c:dLbls>
          <c:showLegendKey val="0"/>
          <c:showVal val="0"/>
          <c:showCatName val="0"/>
          <c:showSerName val="0"/>
          <c:showPercent val="0"/>
          <c:showBubbleSize val="0"/>
        </c:dLbls>
        <c:smooth val="0"/>
        <c:axId val="1828932656"/>
        <c:axId val="182892993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9936"/>
        <c:crosses val="autoZero"/>
        <c:auto val="1"/>
        <c:lblOffset val="0"/>
        <c:baseTimeUnit val="months"/>
      </c:dateAx>
      <c:valAx>
        <c:axId val="1828929936"/>
        <c:scaling>
          <c:orientation val="minMax"/>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2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solidFill>
                  <a:schemeClr val="tx2"/>
                </a:solidFill>
                <a:latin typeface="+mn-lt"/>
              </a:rPr>
              <a:t>Стопа раста БДП САД, %</a:t>
            </a:r>
          </a:p>
        </c:rich>
      </c:tx>
      <c:layout>
        <c:manualLayout>
          <c:xMode val="edge"/>
          <c:yMode val="edge"/>
          <c:x val="0.31259004082822983"/>
          <c:y val="7.4351728398167486E-3"/>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23099933232030206"/>
          <c:w val="0.88876071125802292"/>
          <c:h val="0.64411133743933513"/>
        </c:manualLayout>
      </c:layout>
      <c:lineChart>
        <c:grouping val="standard"/>
        <c:varyColors val="0"/>
        <c:ser>
          <c:idx val="0"/>
          <c:order val="0"/>
          <c:tx>
            <c:strRef>
              <c:f>'SAD,Kina,Rusija, realni rast'!$A$13</c:f>
              <c:strCache>
                <c:ptCount val="1"/>
                <c:pt idx="0">
                  <c:v>апр. 2024.</c:v>
                </c:pt>
              </c:strCache>
            </c:strRef>
          </c:tx>
          <c:spPr>
            <a:ln w="25400" cap="rnd">
              <a:solidFill>
                <a:schemeClr val="accent4"/>
              </a:solidFill>
              <a:prstDash val="sysDot"/>
              <a:round/>
            </a:ln>
            <a:effectLst/>
          </c:spPr>
          <c:marker>
            <c:symbol val="none"/>
          </c:marker>
          <c:dLbls>
            <c:dLbl>
              <c:idx val="0"/>
              <c:layout>
                <c:manualLayout>
                  <c:x val="-0.11433937454185333"/>
                  <c:y val="3.90446887437690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FC-49C6-B994-965EFC849E4C}"/>
                </c:ext>
              </c:extLst>
            </c:dLbl>
            <c:dLbl>
              <c:idx val="1"/>
              <c:layout>
                <c:manualLayout>
                  <c:x val="-9.1732613997327683E-2"/>
                  <c:y val="-5.70129255380811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FC-49C6-B994-965EFC849E4C}"/>
                </c:ext>
              </c:extLst>
            </c:dLbl>
            <c:dLbl>
              <c:idx val="2"/>
              <c:layout>
                <c:manualLayout>
                  <c:x val="-1.3402263303031927E-2"/>
                  <c:y val="-2.089652807295490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FC-49C6-B994-965EFC849E4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rast'!$E$13:$I$13</c:f>
              <c:numCache>
                <c:formatCode>0.0</c:formatCode>
                <c:ptCount val="3"/>
                <c:pt idx="0">
                  <c:v>2.7250000000000001</c:v>
                </c:pt>
                <c:pt idx="1">
                  <c:v>1.881</c:v>
                </c:pt>
                <c:pt idx="2">
                  <c:v>2</c:v>
                </c:pt>
              </c:numCache>
            </c:numRef>
          </c:val>
          <c:smooth val="0"/>
          <c:extLst>
            <c:ext xmlns:c16="http://schemas.microsoft.com/office/drawing/2014/chart" uri="{C3380CC4-5D6E-409C-BE32-E72D297353CC}">
              <c16:uniqueId val="{00000003-18FC-49C6-B994-965EFC849E4C}"/>
            </c:ext>
          </c:extLst>
        </c:ser>
        <c:ser>
          <c:idx val="1"/>
          <c:order val="1"/>
          <c:tx>
            <c:strRef>
              <c:f>'SAD,Kina,Rusija, realni rast'!$A$14</c:f>
              <c:strCache>
                <c:ptCount val="1"/>
                <c:pt idx="0">
                  <c:v>окт. 2024.</c:v>
                </c:pt>
              </c:strCache>
            </c:strRef>
          </c:tx>
          <c:spPr>
            <a:ln w="22225" cap="rnd">
              <a:solidFill>
                <a:srgbClr val="002060"/>
              </a:solidFill>
              <a:prstDash val="sysDash"/>
              <a:round/>
            </a:ln>
            <a:effectLst/>
          </c:spPr>
          <c:marker>
            <c:symbol val="none"/>
          </c:marker>
          <c:dLbls>
            <c:dLbl>
              <c:idx val="0"/>
              <c:layout>
                <c:manualLayout>
                  <c:x val="-0.11401765976611261"/>
                  <c:y val="-5.6910284400479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FC-49C6-B994-965EFC849E4C}"/>
                </c:ext>
              </c:extLst>
            </c:dLbl>
            <c:dLbl>
              <c:idx val="1"/>
              <c:layout>
                <c:manualLayout>
                  <c:x val="-4.1183449754017748E-2"/>
                  <c:y val="-6.14204567409869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8FC-49C6-B994-965EFC849E4C}"/>
                </c:ext>
              </c:extLst>
            </c:dLbl>
            <c:dLbl>
              <c:idx val="2"/>
              <c:layout>
                <c:manualLayout>
                  <c:x val="-3.6253368738752297E-2"/>
                  <c:y val="-6.69214179450520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8FC-49C6-B994-965EFC849E4C}"/>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rast'!$E$14:$I$14</c:f>
              <c:numCache>
                <c:formatCode>0.0</c:formatCode>
                <c:ptCount val="3"/>
                <c:pt idx="0">
                  <c:v>2.8</c:v>
                </c:pt>
                <c:pt idx="1">
                  <c:v>2.2000000000000002</c:v>
                </c:pt>
                <c:pt idx="2">
                  <c:v>2</c:v>
                </c:pt>
              </c:numCache>
            </c:numRef>
          </c:val>
          <c:smooth val="0"/>
          <c:extLst>
            <c:ext xmlns:c16="http://schemas.microsoft.com/office/drawing/2014/chart" uri="{C3380CC4-5D6E-409C-BE32-E72D297353CC}">
              <c16:uniqueId val="{00000007-18FC-49C6-B994-965EFC849E4C}"/>
            </c:ext>
          </c:extLst>
        </c:ser>
        <c:ser>
          <c:idx val="2"/>
          <c:order val="2"/>
          <c:tx>
            <c:strRef>
              <c:f>'SAD,Kina,Rusija, realni rast'!$A$15</c:f>
              <c:strCache>
                <c:ptCount val="1"/>
                <c:pt idx="0">
                  <c:v>апр. 2025.</c:v>
                </c:pt>
              </c:strCache>
            </c:strRef>
          </c:tx>
          <c:spPr>
            <a:ln w="28575" cap="rnd">
              <a:solidFill>
                <a:srgbClr val="FF0000"/>
              </a:solidFill>
              <a:round/>
            </a:ln>
            <a:effectLst/>
          </c:spPr>
          <c:marker>
            <c:symbol val="circle"/>
            <c:size val="13"/>
            <c:spPr>
              <a:solidFill>
                <a:srgbClr val="FF0000"/>
              </a:solidFill>
              <a:ln w="9525">
                <a:noFill/>
              </a:ln>
              <a:effectLst/>
            </c:spPr>
          </c:marker>
          <c:dLbls>
            <c:dLbl>
              <c:idx val="2"/>
              <c:layout>
                <c:manualLayout>
                  <c:x val="-0.10877845907259058"/>
                  <c:y val="7.667896750260759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8FC-49C6-B994-965EFC849E4C}"/>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7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rast'!$E$12:$I$12</c:f>
              <c:numCache>
                <c:formatCode>General</c:formatCode>
                <c:ptCount val="3"/>
                <c:pt idx="0">
                  <c:v>2024</c:v>
                </c:pt>
                <c:pt idx="1">
                  <c:v>2025</c:v>
                </c:pt>
                <c:pt idx="2">
                  <c:v>2026</c:v>
                </c:pt>
              </c:numCache>
            </c:numRef>
          </c:cat>
          <c:val>
            <c:numRef>
              <c:f>'SAD,Kina,Rusija, realni rast'!$E$15:$I$15</c:f>
              <c:numCache>
                <c:formatCode>0.0</c:formatCode>
                <c:ptCount val="3"/>
                <c:pt idx="0">
                  <c:v>2.8</c:v>
                </c:pt>
                <c:pt idx="1">
                  <c:v>1.8</c:v>
                </c:pt>
                <c:pt idx="2">
                  <c:v>1.7</c:v>
                </c:pt>
              </c:numCache>
            </c:numRef>
          </c:val>
          <c:smooth val="0"/>
          <c:extLst>
            <c:ext xmlns:c16="http://schemas.microsoft.com/office/drawing/2014/chart" uri="{C3380CC4-5D6E-409C-BE32-E72D297353CC}">
              <c16:uniqueId val="{00000009-18FC-49C6-B994-965EFC849E4C}"/>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usluga'!$L$5</c:f>
              <c:strCache>
                <c:ptCount val="1"/>
                <c:pt idx="0">
                  <c:v>y</c:v>
                </c:pt>
              </c:strCache>
            </c:strRef>
          </c:tx>
          <c:spPr>
            <a:ln w="12700" cap="rnd">
              <a:solidFill>
                <a:srgbClr val="7F3F98"/>
              </a:solidFill>
              <a:prstDash val="sysDash"/>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usluga'!$L$126:$L$164</c:f>
              <c:numCache>
                <c:formatCode>0.0</c:formatCode>
                <c:ptCount val="39"/>
                <c:pt idx="0">
                  <c:v>52.186228982999999</c:v>
                </c:pt>
                <c:pt idx="1">
                  <c:v>40.701946063999998</c:v>
                </c:pt>
                <c:pt idx="2">
                  <c:v>74.689322367000003</c:v>
                </c:pt>
                <c:pt idx="3">
                  <c:v>57.535659166000002</c:v>
                </c:pt>
                <c:pt idx="4">
                  <c:v>81.487411795</c:v>
                </c:pt>
                <c:pt idx="5">
                  <c:v>81.445568889</c:v>
                </c:pt>
                <c:pt idx="6">
                  <c:v>130.94363153800001</c:v>
                </c:pt>
                <c:pt idx="7">
                  <c:v>124.48223235099999</c:v>
                </c:pt>
                <c:pt idx="8">
                  <c:v>90.195855135000002</c:v>
                </c:pt>
                <c:pt idx="9">
                  <c:v>116.699374617</c:v>
                </c:pt>
                <c:pt idx="10">
                  <c:v>88.966680169</c:v>
                </c:pt>
                <c:pt idx="11">
                  <c:v>108.442266625</c:v>
                </c:pt>
                <c:pt idx="12">
                  <c:v>77.401010549999995</c:v>
                </c:pt>
                <c:pt idx="13">
                  <c:v>70.784121407000001</c:v>
                </c:pt>
                <c:pt idx="14">
                  <c:v>68.011520239999996</c:v>
                </c:pt>
                <c:pt idx="15">
                  <c:v>60.224775030000004</c:v>
                </c:pt>
                <c:pt idx="16">
                  <c:v>100.36000884000001</c:v>
                </c:pt>
                <c:pt idx="17">
                  <c:v>78.197667535999997</c:v>
                </c:pt>
                <c:pt idx="18">
                  <c:v>114.002201036</c:v>
                </c:pt>
                <c:pt idx="19">
                  <c:v>128.054835768</c:v>
                </c:pt>
                <c:pt idx="20">
                  <c:v>95.183104150999995</c:v>
                </c:pt>
                <c:pt idx="21">
                  <c:v>88.237525374000001</c:v>
                </c:pt>
                <c:pt idx="22">
                  <c:v>96.940706270999996</c:v>
                </c:pt>
                <c:pt idx="23">
                  <c:v>99.483586531</c:v>
                </c:pt>
                <c:pt idx="24">
                  <c:v>91.700648881999996</c:v>
                </c:pt>
                <c:pt idx="25">
                  <c:v>73.142324696000003</c:v>
                </c:pt>
                <c:pt idx="26">
                  <c:v>78.726861829000001</c:v>
                </c:pt>
                <c:pt idx="27">
                  <c:v>96.565725087000004</c:v>
                </c:pt>
                <c:pt idx="28">
                  <c:v>101.824022087</c:v>
                </c:pt>
                <c:pt idx="29">
                  <c:v>96.443791408999999</c:v>
                </c:pt>
                <c:pt idx="30">
                  <c:v>127.908771941</c:v>
                </c:pt>
                <c:pt idx="31">
                  <c:v>121.31991031699999</c:v>
                </c:pt>
                <c:pt idx="32">
                  <c:v>91.178504872000005</c:v>
                </c:pt>
                <c:pt idx="33">
                  <c:v>98.515418378000007</c:v>
                </c:pt>
                <c:pt idx="34">
                  <c:v>92.196830839</c:v>
                </c:pt>
                <c:pt idx="35">
                  <c:v>130.47718966299999</c:v>
                </c:pt>
                <c:pt idx="36">
                  <c:v>101.758849598</c:v>
                </c:pt>
                <c:pt idx="37">
                  <c:v>97.872956618000003</c:v>
                </c:pt>
                <c:pt idx="38">
                  <c:v>67.943381479999999</c:v>
                </c:pt>
              </c:numCache>
            </c:numRef>
          </c:val>
          <c:smooth val="0"/>
          <c:extLst>
            <c:ext xmlns:c16="http://schemas.microsoft.com/office/drawing/2014/chart" uri="{C3380CC4-5D6E-409C-BE32-E72D297353CC}">
              <c16:uniqueId val="{00000000-E8F8-46F5-843C-EF6E69BD02A5}"/>
            </c:ext>
          </c:extLst>
        </c:ser>
        <c:ser>
          <c:idx val="1"/>
          <c:order val="1"/>
          <c:tx>
            <c:strRef>
              <c:f>'BoP_izvoz usluga'!$M$5</c:f>
              <c:strCache>
                <c:ptCount val="1"/>
                <c:pt idx="0">
                  <c:v>sa</c:v>
                </c:pt>
              </c:strCache>
            </c:strRef>
          </c:tx>
          <c:spPr>
            <a:ln w="22225" cap="rnd">
              <a:solidFill>
                <a:srgbClr val="25AAE1"/>
              </a:solidFill>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usluga'!$M$126:$M$164</c:f>
              <c:numCache>
                <c:formatCode>0.0</c:formatCode>
                <c:ptCount val="39"/>
                <c:pt idx="0">
                  <c:v>60.903268556</c:v>
                </c:pt>
                <c:pt idx="1">
                  <c:v>55.205761588999998</c:v>
                </c:pt>
                <c:pt idx="2">
                  <c:v>91.779109570000003</c:v>
                </c:pt>
                <c:pt idx="3">
                  <c:v>77.753315280999999</c:v>
                </c:pt>
                <c:pt idx="4">
                  <c:v>84.404092528999996</c:v>
                </c:pt>
                <c:pt idx="5">
                  <c:v>86.819646946000006</c:v>
                </c:pt>
                <c:pt idx="6">
                  <c:v>98.962817428999998</c:v>
                </c:pt>
                <c:pt idx="7">
                  <c:v>87.024044633000003</c:v>
                </c:pt>
                <c:pt idx="8">
                  <c:v>88.800424734000003</c:v>
                </c:pt>
                <c:pt idx="9">
                  <c:v>123.391562122</c:v>
                </c:pt>
                <c:pt idx="10">
                  <c:v>88.167791070000007</c:v>
                </c:pt>
                <c:pt idx="11">
                  <c:v>92.924788137999997</c:v>
                </c:pt>
                <c:pt idx="12">
                  <c:v>84.550020959999998</c:v>
                </c:pt>
                <c:pt idx="13">
                  <c:v>94.587866122999998</c:v>
                </c:pt>
                <c:pt idx="14">
                  <c:v>85.865401238000004</c:v>
                </c:pt>
                <c:pt idx="15">
                  <c:v>82.729798919999993</c:v>
                </c:pt>
                <c:pt idx="16">
                  <c:v>99.028636371999994</c:v>
                </c:pt>
                <c:pt idx="17">
                  <c:v>82.291692178999995</c:v>
                </c:pt>
                <c:pt idx="18">
                  <c:v>85.790618973999997</c:v>
                </c:pt>
                <c:pt idx="19">
                  <c:v>91.673102602</c:v>
                </c:pt>
                <c:pt idx="20">
                  <c:v>97.723950551000001</c:v>
                </c:pt>
                <c:pt idx="21">
                  <c:v>87.888185261000004</c:v>
                </c:pt>
                <c:pt idx="22">
                  <c:v>99.790651007999998</c:v>
                </c:pt>
                <c:pt idx="23">
                  <c:v>88.760161326000002</c:v>
                </c:pt>
                <c:pt idx="24">
                  <c:v>96.874530715000006</c:v>
                </c:pt>
                <c:pt idx="25">
                  <c:v>92.712444963999999</c:v>
                </c:pt>
                <c:pt idx="26">
                  <c:v>105.18592678100001</c:v>
                </c:pt>
                <c:pt idx="27">
                  <c:v>116.577121097</c:v>
                </c:pt>
                <c:pt idx="28">
                  <c:v>103.602749635</c:v>
                </c:pt>
                <c:pt idx="29">
                  <c:v>108.144915775</c:v>
                </c:pt>
                <c:pt idx="30">
                  <c:v>88.555081913999999</c:v>
                </c:pt>
                <c:pt idx="31">
                  <c:v>93.404193527000004</c:v>
                </c:pt>
                <c:pt idx="32">
                  <c:v>92.924161851999997</c:v>
                </c:pt>
                <c:pt idx="33">
                  <c:v>96.766508861000005</c:v>
                </c:pt>
                <c:pt idx="34">
                  <c:v>98.328280074999995</c:v>
                </c:pt>
                <c:pt idx="35">
                  <c:v>107.27616192399999</c:v>
                </c:pt>
                <c:pt idx="36">
                  <c:v>111.512035766</c:v>
                </c:pt>
                <c:pt idx="37">
                  <c:v>129.41367719300001</c:v>
                </c:pt>
                <c:pt idx="38">
                  <c:v>88.679852424000003</c:v>
                </c:pt>
              </c:numCache>
            </c:numRef>
          </c:val>
          <c:smooth val="0"/>
          <c:extLst>
            <c:ext xmlns:c16="http://schemas.microsoft.com/office/drawing/2014/chart" uri="{C3380CC4-5D6E-409C-BE32-E72D297353CC}">
              <c16:uniqueId val="{00000001-E8F8-46F5-843C-EF6E69BD02A5}"/>
            </c:ext>
          </c:extLst>
        </c:ser>
        <c:ser>
          <c:idx val="2"/>
          <c:order val="2"/>
          <c:tx>
            <c:strRef>
              <c:f>'BoP_izvoz usluga'!$N$5</c:f>
              <c:strCache>
                <c:ptCount val="1"/>
                <c:pt idx="0">
                  <c:v>t</c:v>
                </c:pt>
              </c:strCache>
            </c:strRef>
          </c:tx>
          <c:spPr>
            <a:ln w="25400" cap="rnd">
              <a:solidFill>
                <a:srgbClr val="FF0000"/>
              </a:solidFill>
              <a:round/>
            </a:ln>
            <a:effectLst/>
          </c:spPr>
          <c:marker>
            <c:symbol val="none"/>
          </c:marker>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usluga'!$N$126:$N$164</c:f>
              <c:numCache>
                <c:formatCode>0.0</c:formatCode>
                <c:ptCount val="39"/>
                <c:pt idx="0">
                  <c:v>63.623219749999997</c:v>
                </c:pt>
                <c:pt idx="1">
                  <c:v>68.125351800000004</c:v>
                </c:pt>
                <c:pt idx="2">
                  <c:v>72.873728506000006</c:v>
                </c:pt>
                <c:pt idx="3">
                  <c:v>78.618555995999998</c:v>
                </c:pt>
                <c:pt idx="4">
                  <c:v>84.642929527999996</c:v>
                </c:pt>
                <c:pt idx="5">
                  <c:v>88.903387062999997</c:v>
                </c:pt>
                <c:pt idx="6">
                  <c:v>91.337241507000002</c:v>
                </c:pt>
                <c:pt idx="7">
                  <c:v>91.668947672000002</c:v>
                </c:pt>
                <c:pt idx="8">
                  <c:v>91.251596481999997</c:v>
                </c:pt>
                <c:pt idx="9">
                  <c:v>90.516170131999999</c:v>
                </c:pt>
                <c:pt idx="10">
                  <c:v>90.317564798000006</c:v>
                </c:pt>
                <c:pt idx="11">
                  <c:v>90.549718560000002</c:v>
                </c:pt>
                <c:pt idx="12">
                  <c:v>89.736213238000005</c:v>
                </c:pt>
                <c:pt idx="13">
                  <c:v>88.647155784999995</c:v>
                </c:pt>
                <c:pt idx="14">
                  <c:v>87.077569834000002</c:v>
                </c:pt>
                <c:pt idx="15">
                  <c:v>84.935582289999999</c:v>
                </c:pt>
                <c:pt idx="16">
                  <c:v>83.506258392999996</c:v>
                </c:pt>
                <c:pt idx="17">
                  <c:v>84.422652135000007</c:v>
                </c:pt>
                <c:pt idx="18">
                  <c:v>87.286357292000005</c:v>
                </c:pt>
                <c:pt idx="19">
                  <c:v>90.647327953000001</c:v>
                </c:pt>
                <c:pt idx="20">
                  <c:v>93.143662566000003</c:v>
                </c:pt>
                <c:pt idx="21">
                  <c:v>94.280133207999995</c:v>
                </c:pt>
                <c:pt idx="22">
                  <c:v>93.654111654000005</c:v>
                </c:pt>
                <c:pt idx="23">
                  <c:v>92.878079387</c:v>
                </c:pt>
                <c:pt idx="24">
                  <c:v>94.545118966000004</c:v>
                </c:pt>
                <c:pt idx="25">
                  <c:v>98.530054147000001</c:v>
                </c:pt>
                <c:pt idx="26">
                  <c:v>103.942414927</c:v>
                </c:pt>
                <c:pt idx="27">
                  <c:v>107.805394245</c:v>
                </c:pt>
                <c:pt idx="28">
                  <c:v>106.825224486</c:v>
                </c:pt>
                <c:pt idx="29">
                  <c:v>101.95401416599999</c:v>
                </c:pt>
                <c:pt idx="30">
                  <c:v>96.058248962999997</c:v>
                </c:pt>
                <c:pt idx="31">
                  <c:v>92.666769303999999</c:v>
                </c:pt>
                <c:pt idx="32">
                  <c:v>92.747984461000001</c:v>
                </c:pt>
                <c:pt idx="33">
                  <c:v>96.068207232999995</c:v>
                </c:pt>
                <c:pt idx="34">
                  <c:v>101.393598833</c:v>
                </c:pt>
                <c:pt idx="35">
                  <c:v>105.68288053000001</c:v>
                </c:pt>
                <c:pt idx="36">
                  <c:v>107.763578559</c:v>
                </c:pt>
                <c:pt idx="37">
                  <c:v>106.951200124</c:v>
                </c:pt>
                <c:pt idx="38">
                  <c:v>104.677463444</c:v>
                </c:pt>
              </c:numCache>
            </c:numRef>
          </c:val>
          <c:smooth val="0"/>
          <c:extLst>
            <c:ext xmlns:c16="http://schemas.microsoft.com/office/drawing/2014/chart" uri="{C3380CC4-5D6E-409C-BE32-E72D297353CC}">
              <c16:uniqueId val="{00000002-E8F8-46F5-843C-EF6E69BD02A5}"/>
            </c:ext>
          </c:extLst>
        </c:ser>
        <c:ser>
          <c:idx val="3"/>
          <c:order val="3"/>
          <c:tx>
            <c:strRef>
              <c:f>'BoP_izvoz usluga'!$O$5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5997134002713324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F8-46F5-843C-EF6E69BD02A5}"/>
                </c:ext>
              </c:extLst>
            </c:dLbl>
            <c:dLbl>
              <c:idx val="12"/>
              <c:layout>
                <c:manualLayout>
                  <c:x val="9.5590134566512525E-2"/>
                  <c:y val="5.597666458716214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8F8-46F5-843C-EF6E69BD02A5}"/>
                </c:ext>
              </c:extLst>
            </c:dLbl>
            <c:dLbl>
              <c:idx val="24"/>
              <c:layout>
                <c:manualLayout>
                  <c:x val="7.5981821716729778E-2"/>
                  <c:y val="4.373191331852749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8F8-46F5-843C-EF6E69BD02A5}"/>
                </c:ext>
              </c:extLst>
            </c:dLbl>
            <c:dLbl>
              <c:idx val="36"/>
              <c:layout>
                <c:manualLayout>
                  <c:x val="-1.2213751058895416E-2"/>
                  <c:y val="4.373164275236457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2F-E8F8-46F5-843C-EF6E69BD02A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usluga'!$O$126:$O$164</c:f>
              <c:numCache>
                <c:formatCode>General</c:formatCode>
                <c:ptCount val="39"/>
                <c:pt idx="0">
                  <c:v>20</c:v>
                </c:pt>
                <c:pt idx="12">
                  <c:v>20</c:v>
                </c:pt>
                <c:pt idx="24">
                  <c:v>20</c:v>
                </c:pt>
                <c:pt idx="36">
                  <c:v>20</c:v>
                </c:pt>
              </c:numCache>
            </c:numRef>
          </c:val>
          <c:smooth val="0"/>
          <c:extLst>
            <c:ext xmlns:c16="http://schemas.microsoft.com/office/drawing/2014/chart" uri="{C3380CC4-5D6E-409C-BE32-E72D297353CC}">
              <c16:uniqueId val="{00000006-E8F8-46F5-843C-EF6E69BD02A5}"/>
            </c:ext>
          </c:extLst>
        </c:ser>
        <c:ser>
          <c:idx val="4"/>
          <c:order val="4"/>
          <c:tx>
            <c:strRef>
              <c:f>'BoP_izvoz usluga'!$P$5</c:f>
              <c:strCache>
                <c:ptCount val="1"/>
                <c:pt idx="0">
                  <c:v>Series5</c:v>
                </c:pt>
              </c:strCache>
            </c:strRef>
          </c:tx>
          <c:spPr>
            <a:ln w="28575" cap="rnd">
              <a:noFill/>
              <a:round/>
            </a:ln>
            <a:effectLst/>
          </c:spPr>
          <c:marker>
            <c:symbol val="none"/>
          </c:marker>
          <c:dLbls>
            <c:dLbl>
              <c:idx val="0"/>
              <c:tx>
                <c:rich>
                  <a:bodyPr/>
                  <a:lstStyle/>
                  <a:p>
                    <a:fld id="{3FD34E90-86BC-44DA-AE0E-8CF9975B593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E8F8-46F5-843C-EF6E69BD02A5}"/>
                </c:ext>
              </c:extLst>
            </c:dLbl>
            <c:dLbl>
              <c:idx val="1"/>
              <c:tx>
                <c:rich>
                  <a:bodyPr/>
                  <a:lstStyle/>
                  <a:p>
                    <a:fld id="{ADACBC2A-D4F3-4313-95C0-68030ED5607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E8F8-46F5-843C-EF6E69BD02A5}"/>
                </c:ext>
              </c:extLst>
            </c:dLbl>
            <c:dLbl>
              <c:idx val="2"/>
              <c:tx>
                <c:rich>
                  <a:bodyPr/>
                  <a:lstStyle/>
                  <a:p>
                    <a:fld id="{44A615A0-F14D-47F4-906E-B10BDDE33C4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E8F8-46F5-843C-EF6E69BD02A5}"/>
                </c:ext>
              </c:extLst>
            </c:dLbl>
            <c:dLbl>
              <c:idx val="3"/>
              <c:tx>
                <c:rich>
                  <a:bodyPr/>
                  <a:lstStyle/>
                  <a:p>
                    <a:fld id="{C1367759-7141-4B74-B4F4-649A96CF13F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8F8-46F5-843C-EF6E69BD02A5}"/>
                </c:ext>
              </c:extLst>
            </c:dLbl>
            <c:dLbl>
              <c:idx val="4"/>
              <c:tx>
                <c:rich>
                  <a:bodyPr/>
                  <a:lstStyle/>
                  <a:p>
                    <a:fld id="{26711CC5-2349-4542-9201-C776EA42718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E8F8-46F5-843C-EF6E69BD02A5}"/>
                </c:ext>
              </c:extLst>
            </c:dLbl>
            <c:dLbl>
              <c:idx val="5"/>
              <c:tx>
                <c:rich>
                  <a:bodyPr/>
                  <a:lstStyle/>
                  <a:p>
                    <a:fld id="{E74A6F4D-5E71-46D3-B642-4E08CF16819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E8F8-46F5-843C-EF6E69BD02A5}"/>
                </c:ext>
              </c:extLst>
            </c:dLbl>
            <c:dLbl>
              <c:idx val="6"/>
              <c:tx>
                <c:rich>
                  <a:bodyPr/>
                  <a:lstStyle/>
                  <a:p>
                    <a:fld id="{187F847C-60F8-4674-9142-0F3AA9415C6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8F8-46F5-843C-EF6E69BD02A5}"/>
                </c:ext>
              </c:extLst>
            </c:dLbl>
            <c:dLbl>
              <c:idx val="7"/>
              <c:tx>
                <c:rich>
                  <a:bodyPr/>
                  <a:lstStyle/>
                  <a:p>
                    <a:fld id="{B495758A-A971-44D9-8A78-061D8B86852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E8F8-46F5-843C-EF6E69BD02A5}"/>
                </c:ext>
              </c:extLst>
            </c:dLbl>
            <c:dLbl>
              <c:idx val="8"/>
              <c:tx>
                <c:rich>
                  <a:bodyPr/>
                  <a:lstStyle/>
                  <a:p>
                    <a:fld id="{FF343398-00CE-48F5-8097-EBE3D6AA996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E8F8-46F5-843C-EF6E69BD02A5}"/>
                </c:ext>
              </c:extLst>
            </c:dLbl>
            <c:dLbl>
              <c:idx val="9"/>
              <c:tx>
                <c:rich>
                  <a:bodyPr/>
                  <a:lstStyle/>
                  <a:p>
                    <a:fld id="{C9187D26-EEC8-4C1D-B9AC-610B32E72DE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8F8-46F5-843C-EF6E69BD02A5}"/>
                </c:ext>
              </c:extLst>
            </c:dLbl>
            <c:dLbl>
              <c:idx val="10"/>
              <c:tx>
                <c:rich>
                  <a:bodyPr/>
                  <a:lstStyle/>
                  <a:p>
                    <a:fld id="{42EF50F3-0135-422E-A3D0-F5BE51C4F08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E8F8-46F5-843C-EF6E69BD02A5}"/>
                </c:ext>
              </c:extLst>
            </c:dLbl>
            <c:dLbl>
              <c:idx val="11"/>
              <c:tx>
                <c:rich>
                  <a:bodyPr/>
                  <a:lstStyle/>
                  <a:p>
                    <a:fld id="{1A8CE20B-653E-4D9D-9FED-93E864137AF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E8F8-46F5-843C-EF6E69BD02A5}"/>
                </c:ext>
              </c:extLst>
            </c:dLbl>
            <c:dLbl>
              <c:idx val="12"/>
              <c:tx>
                <c:rich>
                  <a:bodyPr/>
                  <a:lstStyle/>
                  <a:p>
                    <a:fld id="{EE316DC3-6885-48D8-AB7D-2812A4D8925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8F8-46F5-843C-EF6E69BD02A5}"/>
                </c:ext>
              </c:extLst>
            </c:dLbl>
            <c:dLbl>
              <c:idx val="13"/>
              <c:tx>
                <c:rich>
                  <a:bodyPr/>
                  <a:lstStyle/>
                  <a:p>
                    <a:fld id="{20FD1DCA-EA4B-4928-BEFE-B5230B7F7CB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E8F8-46F5-843C-EF6E69BD02A5}"/>
                </c:ext>
              </c:extLst>
            </c:dLbl>
            <c:dLbl>
              <c:idx val="14"/>
              <c:tx>
                <c:rich>
                  <a:bodyPr/>
                  <a:lstStyle/>
                  <a:p>
                    <a:fld id="{63A56962-73D0-4F43-9515-BB66855766F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E8F8-46F5-843C-EF6E69BD02A5}"/>
                </c:ext>
              </c:extLst>
            </c:dLbl>
            <c:dLbl>
              <c:idx val="15"/>
              <c:tx>
                <c:rich>
                  <a:bodyPr/>
                  <a:lstStyle/>
                  <a:p>
                    <a:fld id="{FD02FFDD-8331-45E8-A7E2-5FF3675BC21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8F8-46F5-843C-EF6E69BD02A5}"/>
                </c:ext>
              </c:extLst>
            </c:dLbl>
            <c:dLbl>
              <c:idx val="16"/>
              <c:tx>
                <c:rich>
                  <a:bodyPr/>
                  <a:lstStyle/>
                  <a:p>
                    <a:fld id="{CE978B78-95E7-4ADC-B5DA-23DA206A6ED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E8F8-46F5-843C-EF6E69BD02A5}"/>
                </c:ext>
              </c:extLst>
            </c:dLbl>
            <c:dLbl>
              <c:idx val="17"/>
              <c:tx>
                <c:rich>
                  <a:bodyPr/>
                  <a:lstStyle/>
                  <a:p>
                    <a:fld id="{CD700764-9F13-48C8-8E05-5F12E8D51FB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E8F8-46F5-843C-EF6E69BD02A5}"/>
                </c:ext>
              </c:extLst>
            </c:dLbl>
            <c:dLbl>
              <c:idx val="18"/>
              <c:tx>
                <c:rich>
                  <a:bodyPr/>
                  <a:lstStyle/>
                  <a:p>
                    <a:fld id="{D94F291B-D445-42AA-AC6B-7184715792F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8F8-46F5-843C-EF6E69BD02A5}"/>
                </c:ext>
              </c:extLst>
            </c:dLbl>
            <c:dLbl>
              <c:idx val="19"/>
              <c:tx>
                <c:rich>
                  <a:bodyPr/>
                  <a:lstStyle/>
                  <a:p>
                    <a:fld id="{3CA171A3-F096-4679-BDD1-D1A42661875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E8F8-46F5-843C-EF6E69BD02A5}"/>
                </c:ext>
              </c:extLst>
            </c:dLbl>
            <c:dLbl>
              <c:idx val="20"/>
              <c:tx>
                <c:rich>
                  <a:bodyPr/>
                  <a:lstStyle/>
                  <a:p>
                    <a:fld id="{FC78CF5B-6600-4BAD-8014-EC33E7A15CD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E8F8-46F5-843C-EF6E69BD02A5}"/>
                </c:ext>
              </c:extLst>
            </c:dLbl>
            <c:dLbl>
              <c:idx val="21"/>
              <c:tx>
                <c:rich>
                  <a:bodyPr/>
                  <a:lstStyle/>
                  <a:p>
                    <a:fld id="{8D0D381B-3F63-4EA1-B043-9CF85A8B9FA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8F8-46F5-843C-EF6E69BD02A5}"/>
                </c:ext>
              </c:extLst>
            </c:dLbl>
            <c:dLbl>
              <c:idx val="22"/>
              <c:tx>
                <c:rich>
                  <a:bodyPr/>
                  <a:lstStyle/>
                  <a:p>
                    <a:fld id="{E6B5D470-0FB9-4722-BAA3-78B51347FA6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E8F8-46F5-843C-EF6E69BD02A5}"/>
                </c:ext>
              </c:extLst>
            </c:dLbl>
            <c:dLbl>
              <c:idx val="23"/>
              <c:tx>
                <c:rich>
                  <a:bodyPr/>
                  <a:lstStyle/>
                  <a:p>
                    <a:fld id="{E957275C-3210-4252-AF3C-E423932EA03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E8F8-46F5-843C-EF6E69BD02A5}"/>
                </c:ext>
              </c:extLst>
            </c:dLbl>
            <c:dLbl>
              <c:idx val="24"/>
              <c:tx>
                <c:rich>
                  <a:bodyPr/>
                  <a:lstStyle/>
                  <a:p>
                    <a:fld id="{89642BD3-C350-4F69-A814-1B08360B8CD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E8F8-46F5-843C-EF6E69BD02A5}"/>
                </c:ext>
              </c:extLst>
            </c:dLbl>
            <c:dLbl>
              <c:idx val="25"/>
              <c:tx>
                <c:rich>
                  <a:bodyPr/>
                  <a:lstStyle/>
                  <a:p>
                    <a:fld id="{F6AF347F-7289-4E4C-9A72-AA041812F1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E8F8-46F5-843C-EF6E69BD02A5}"/>
                </c:ext>
              </c:extLst>
            </c:dLbl>
            <c:dLbl>
              <c:idx val="26"/>
              <c:tx>
                <c:rich>
                  <a:bodyPr/>
                  <a:lstStyle/>
                  <a:p>
                    <a:fld id="{773489AC-B18A-4263-ABEB-1FFB9B2C5EB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E8F8-46F5-843C-EF6E69BD02A5}"/>
                </c:ext>
              </c:extLst>
            </c:dLbl>
            <c:dLbl>
              <c:idx val="27"/>
              <c:tx>
                <c:rich>
                  <a:bodyPr/>
                  <a:lstStyle/>
                  <a:p>
                    <a:fld id="{5568788B-F7B3-4EB4-9B8B-1CAEF040D47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E8F8-46F5-843C-EF6E69BD02A5}"/>
                </c:ext>
              </c:extLst>
            </c:dLbl>
            <c:dLbl>
              <c:idx val="28"/>
              <c:tx>
                <c:rich>
                  <a:bodyPr/>
                  <a:lstStyle/>
                  <a:p>
                    <a:fld id="{41887862-E6AA-4949-99AD-F84FBCC1F24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E8F8-46F5-843C-EF6E69BD02A5}"/>
                </c:ext>
              </c:extLst>
            </c:dLbl>
            <c:dLbl>
              <c:idx val="29"/>
              <c:tx>
                <c:rich>
                  <a:bodyPr/>
                  <a:lstStyle/>
                  <a:p>
                    <a:fld id="{398FF97D-71F2-4F68-9C03-8752078EB44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E8F8-46F5-843C-EF6E69BD02A5}"/>
                </c:ext>
              </c:extLst>
            </c:dLbl>
            <c:dLbl>
              <c:idx val="30"/>
              <c:tx>
                <c:rich>
                  <a:bodyPr/>
                  <a:lstStyle/>
                  <a:p>
                    <a:fld id="{37E24003-FEF1-4C4F-8758-7B44B289BEE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E8F8-46F5-843C-EF6E69BD02A5}"/>
                </c:ext>
              </c:extLst>
            </c:dLbl>
            <c:dLbl>
              <c:idx val="31"/>
              <c:tx>
                <c:rich>
                  <a:bodyPr/>
                  <a:lstStyle/>
                  <a:p>
                    <a:fld id="{E8A95026-8047-4CAF-8ECB-6361A40C779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E8F8-46F5-843C-EF6E69BD02A5}"/>
                </c:ext>
              </c:extLst>
            </c:dLbl>
            <c:dLbl>
              <c:idx val="32"/>
              <c:tx>
                <c:rich>
                  <a:bodyPr/>
                  <a:lstStyle/>
                  <a:p>
                    <a:fld id="{E1B8436B-D31E-4352-9DDE-C25D52E2B69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E8F8-46F5-843C-EF6E69BD02A5}"/>
                </c:ext>
              </c:extLst>
            </c:dLbl>
            <c:dLbl>
              <c:idx val="33"/>
              <c:tx>
                <c:rich>
                  <a:bodyPr/>
                  <a:lstStyle/>
                  <a:p>
                    <a:fld id="{394F8042-4CAD-47A4-B394-8268AC46408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E8F8-46F5-843C-EF6E69BD02A5}"/>
                </c:ext>
              </c:extLst>
            </c:dLbl>
            <c:dLbl>
              <c:idx val="34"/>
              <c:tx>
                <c:rich>
                  <a:bodyPr/>
                  <a:lstStyle/>
                  <a:p>
                    <a:fld id="{A13765D7-701F-427A-B01E-9124F3BD65E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E8F8-46F5-843C-EF6E69BD02A5}"/>
                </c:ext>
              </c:extLst>
            </c:dLbl>
            <c:dLbl>
              <c:idx val="35"/>
              <c:tx>
                <c:rich>
                  <a:bodyPr/>
                  <a:lstStyle/>
                  <a:p>
                    <a:fld id="{EA739187-DB3E-46DF-A42C-FFD1643AE1A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E8F8-46F5-843C-EF6E69BD02A5}"/>
                </c:ext>
              </c:extLst>
            </c:dLbl>
            <c:dLbl>
              <c:idx val="36"/>
              <c:tx>
                <c:rich>
                  <a:bodyPr/>
                  <a:lstStyle/>
                  <a:p>
                    <a:fld id="{D4831DD3-CA7C-446C-8B75-B755AFA5C2B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E8F8-46F5-843C-EF6E69BD02A5}"/>
                </c:ext>
              </c:extLst>
            </c:dLbl>
            <c:dLbl>
              <c:idx val="37"/>
              <c:tx>
                <c:rich>
                  <a:bodyPr/>
                  <a:lstStyle/>
                  <a:p>
                    <a:fld id="{52CD9220-74FF-4364-B561-3E4D8B051E9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E8F8-46F5-843C-EF6E69BD02A5}"/>
                </c:ext>
              </c:extLst>
            </c:dLbl>
            <c:dLbl>
              <c:idx val="38"/>
              <c:tx>
                <c:rich>
                  <a:bodyPr/>
                  <a:lstStyle/>
                  <a:p>
                    <a:fld id="{13A7ACED-581D-4747-81E3-1E7BC2264FC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D-E8F8-46F5-843C-EF6E69BD02A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'BoP_izvoz usluga'!$A$126:$A$164</c:f>
              <c:numCache>
                <c:formatCode>yyyy</c:formatCode>
                <c:ptCount val="39"/>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numCache>
            </c:numRef>
          </c:cat>
          <c:val>
            <c:numRef>
              <c:f>'BoP_izvoz usluga'!$P$126:$P$164</c:f>
              <c:numCache>
                <c:formatCode>General</c:formatCode>
                <c:ptCount val="39"/>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pt idx="32">
                  <c:v>20</c:v>
                </c:pt>
                <c:pt idx="33">
                  <c:v>20</c:v>
                </c:pt>
                <c:pt idx="34">
                  <c:v>20</c:v>
                </c:pt>
                <c:pt idx="35">
                  <c:v>20</c:v>
                </c:pt>
                <c:pt idx="36">
                  <c:v>20</c:v>
                </c:pt>
                <c:pt idx="37">
                  <c:v>20</c:v>
                </c:pt>
                <c:pt idx="38">
                  <c:v>20</c:v>
                </c:pt>
              </c:numCache>
            </c:numRef>
          </c:val>
          <c:smooth val="0"/>
          <c:extLst>
            <c:ext xmlns:c15="http://schemas.microsoft.com/office/drawing/2012/chart" uri="{02D57815-91ED-43cb-92C2-25804820EDAC}">
              <c15:datalabelsRange>
                <c15:f>'BoP_izvoz usluga'!$J$114:$J$157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E-E8F8-46F5-843C-EF6E69BD02A5}"/>
            </c:ext>
          </c:extLst>
        </c:ser>
        <c:dLbls>
          <c:showLegendKey val="0"/>
          <c:showVal val="0"/>
          <c:showCatName val="0"/>
          <c:showSerName val="0"/>
          <c:showPercent val="0"/>
          <c:showBubbleSize val="0"/>
        </c:dLbls>
        <c:smooth val="0"/>
        <c:axId val="1828937008"/>
        <c:axId val="1828920688"/>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1828920688"/>
        <c:crosses val="autoZero"/>
        <c:auto val="1"/>
        <c:lblOffset val="0"/>
        <c:baseTimeUnit val="months"/>
      </c:dateAx>
      <c:valAx>
        <c:axId val="1828920688"/>
        <c:scaling>
          <c:orientation val="minMax"/>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28937008"/>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49424030329543"/>
          <c:y val="8.7437669376693755E-2"/>
          <c:w val="0.82463728492271804"/>
          <c:h val="0.59909823848238486"/>
        </c:manualLayout>
      </c:layout>
      <c:barChart>
        <c:barDir val="col"/>
        <c:grouping val="clustered"/>
        <c:varyColors val="0"/>
        <c:ser>
          <c:idx val="1"/>
          <c:order val="1"/>
          <c:tx>
            <c:strRef>
              <c:f>'BDV usluga_dsz'!$G$11</c:f>
              <c:strCache>
                <c:ptCount val="1"/>
                <c:pt idx="0">
                  <c:v>Укупно</c:v>
                </c:pt>
              </c:strCache>
            </c:strRef>
          </c:tx>
          <c:spPr>
            <a:solidFill>
              <a:srgbClr val="002010"/>
            </a:solidFill>
            <a:ln w="19050">
              <a:noFill/>
            </a:ln>
            <a:effectLst/>
          </c:spPr>
          <c:invertIfNegative val="0"/>
          <c:cat>
            <c:strRef>
              <c:f>'BDV usluga_dsz'!$D$18:$D$35</c:f>
              <c:strCache>
                <c:ptCount val="17"/>
                <c:pt idx="0">
                  <c:v>2022 Q1</c:v>
                </c:pt>
                <c:pt idx="1">
                  <c:v>Q2</c:v>
                </c:pt>
                <c:pt idx="2">
                  <c:v>Q3</c:v>
                </c:pt>
                <c:pt idx="3">
                  <c:v>Q4</c:v>
                </c:pt>
                <c:pt idx="4">
                  <c:v>2023 Q1</c:v>
                </c:pt>
                <c:pt idx="5">
                  <c:v>Q2</c:v>
                </c:pt>
                <c:pt idx="6">
                  <c:v>Q3</c:v>
                </c:pt>
                <c:pt idx="7">
                  <c:v>Q4</c:v>
                </c:pt>
                <c:pt idx="8">
                  <c:v>2024 Q1</c:v>
                </c:pt>
                <c:pt idx="9">
                  <c:v>Q2</c:v>
                </c:pt>
                <c:pt idx="10">
                  <c:v>Q3</c:v>
                </c:pt>
                <c:pt idx="11">
                  <c:v>Q4</c:v>
                </c:pt>
                <c:pt idx="12">
                  <c:v>2025 Q1</c:v>
                </c:pt>
                <c:pt idx="14">
                  <c:v>Укупно</c:v>
                </c:pt>
                <c:pt idx="15">
                  <c:v>Зграде</c:v>
                </c:pt>
                <c:pt idx="16">
                  <c:v>Ост. грађ.</c:v>
                </c:pt>
              </c:strCache>
            </c:strRef>
          </c:cat>
          <c:val>
            <c:numRef>
              <c:f>'BDV usluga_dsz'!$G$18:$G$35</c:f>
              <c:numCache>
                <c:formatCode>0.0</c:formatCode>
                <c:ptCount val="18"/>
                <c:pt idx="0">
                  <c:v>61.02334355104928</c:v>
                </c:pt>
                <c:pt idx="1">
                  <c:v>76.68002829521339</c:v>
                </c:pt>
                <c:pt idx="2">
                  <c:v>86.771987738740862</c:v>
                </c:pt>
                <c:pt idx="3">
                  <c:v>106.76727186984201</c:v>
                </c:pt>
                <c:pt idx="4">
                  <c:v>61.966517330818206</c:v>
                </c:pt>
                <c:pt idx="5">
                  <c:v>92.431030417354393</c:v>
                </c:pt>
                <c:pt idx="6">
                  <c:v>101.95708559302051</c:v>
                </c:pt>
                <c:pt idx="7">
                  <c:v>120.06602216458381</c:v>
                </c:pt>
                <c:pt idx="8">
                  <c:v>73.00165055411459</c:v>
                </c:pt>
                <c:pt idx="9">
                  <c:v>102.71162461683565</c:v>
                </c:pt>
                <c:pt idx="10">
                  <c:v>106.48431973591134</c:v>
                </c:pt>
                <c:pt idx="11">
                  <c:v>117.80240509313842</c:v>
                </c:pt>
                <c:pt idx="12">
                  <c:v>69.400000000000006</c:v>
                </c:pt>
              </c:numCache>
            </c:numRef>
          </c:val>
          <c:extLst>
            <c:ext xmlns:c16="http://schemas.microsoft.com/office/drawing/2014/chart" uri="{C3380CC4-5D6E-409C-BE32-E72D297353CC}">
              <c16:uniqueId val="{00000000-2224-40C2-9958-B6EF2B711B97}"/>
            </c:ext>
          </c:extLst>
        </c:ser>
        <c:ser>
          <c:idx val="2"/>
          <c:order val="2"/>
          <c:tx>
            <c:strRef>
              <c:f>'BDV usluga_dsz'!$H$11</c:f>
              <c:strCache>
                <c:ptCount val="1"/>
                <c:pt idx="0">
                  <c:v>Зграде</c:v>
                </c:pt>
              </c:strCache>
            </c:strRef>
          </c:tx>
          <c:spPr>
            <a:solidFill>
              <a:srgbClr val="EC008C"/>
            </a:solidFill>
            <a:ln w="19050">
              <a:noFill/>
            </a:ln>
            <a:effectLst/>
          </c:spPr>
          <c:invertIfNegative val="0"/>
          <c:cat>
            <c:strRef>
              <c:f>'BDV usluga_dsz'!$D$18:$D$35</c:f>
              <c:strCache>
                <c:ptCount val="17"/>
                <c:pt idx="0">
                  <c:v>2022 Q1</c:v>
                </c:pt>
                <c:pt idx="1">
                  <c:v>Q2</c:v>
                </c:pt>
                <c:pt idx="2">
                  <c:v>Q3</c:v>
                </c:pt>
                <c:pt idx="3">
                  <c:v>Q4</c:v>
                </c:pt>
                <c:pt idx="4">
                  <c:v>2023 Q1</c:v>
                </c:pt>
                <c:pt idx="5">
                  <c:v>Q2</c:v>
                </c:pt>
                <c:pt idx="6">
                  <c:v>Q3</c:v>
                </c:pt>
                <c:pt idx="7">
                  <c:v>Q4</c:v>
                </c:pt>
                <c:pt idx="8">
                  <c:v>2024 Q1</c:v>
                </c:pt>
                <c:pt idx="9">
                  <c:v>Q2</c:v>
                </c:pt>
                <c:pt idx="10">
                  <c:v>Q3</c:v>
                </c:pt>
                <c:pt idx="11">
                  <c:v>Q4</c:v>
                </c:pt>
                <c:pt idx="12">
                  <c:v>2025 Q1</c:v>
                </c:pt>
                <c:pt idx="14">
                  <c:v>Укупно</c:v>
                </c:pt>
                <c:pt idx="15">
                  <c:v>Зграде</c:v>
                </c:pt>
                <c:pt idx="16">
                  <c:v>Ост. грађ.</c:v>
                </c:pt>
              </c:strCache>
            </c:strRef>
          </c:cat>
          <c:val>
            <c:numRef>
              <c:f>'BDV usluga_dsz'!$H$18:$H$35</c:f>
              <c:numCache>
                <c:formatCode>0.0</c:formatCode>
                <c:ptCount val="18"/>
                <c:pt idx="0">
                  <c:v>73.657524775293865</c:v>
                </c:pt>
                <c:pt idx="1">
                  <c:v>84.535607282784056</c:v>
                </c:pt>
                <c:pt idx="2">
                  <c:v>87.393408619497578</c:v>
                </c:pt>
                <c:pt idx="3">
                  <c:v>119.84328186218023</c:v>
                </c:pt>
                <c:pt idx="4">
                  <c:v>60.935699469923946</c:v>
                </c:pt>
                <c:pt idx="5">
                  <c:v>96.427748329108084</c:v>
                </c:pt>
                <c:pt idx="6">
                  <c:v>93.109011292924635</c:v>
                </c:pt>
                <c:pt idx="7">
                  <c:v>117.44641622493663</c:v>
                </c:pt>
                <c:pt idx="8">
                  <c:v>66.927863563032957</c:v>
                </c:pt>
                <c:pt idx="9">
                  <c:v>94.307444111546445</c:v>
                </c:pt>
                <c:pt idx="10">
                  <c:v>107.39801797649228</c:v>
                </c:pt>
                <c:pt idx="11">
                  <c:v>131.36667434892831</c:v>
                </c:pt>
                <c:pt idx="12">
                  <c:v>70.400000000000006</c:v>
                </c:pt>
              </c:numCache>
            </c:numRef>
          </c:val>
          <c:extLst>
            <c:ext xmlns:c16="http://schemas.microsoft.com/office/drawing/2014/chart" uri="{C3380CC4-5D6E-409C-BE32-E72D297353CC}">
              <c16:uniqueId val="{00000001-2224-40C2-9958-B6EF2B711B97}"/>
            </c:ext>
          </c:extLst>
        </c:ser>
        <c:ser>
          <c:idx val="5"/>
          <c:order val="3"/>
          <c:tx>
            <c:strRef>
              <c:f>'BDV usluga_dsz'!$I$11</c:f>
              <c:strCache>
                <c:ptCount val="1"/>
                <c:pt idx="0">
                  <c:v>Остале грађевине</c:v>
                </c:pt>
              </c:strCache>
            </c:strRef>
          </c:tx>
          <c:spPr>
            <a:solidFill>
              <a:srgbClr val="00A651"/>
            </a:solidFill>
            <a:ln w="22225">
              <a:noFill/>
            </a:ln>
            <a:effectLst/>
          </c:spPr>
          <c:invertIfNegative val="0"/>
          <c:cat>
            <c:strRef>
              <c:f>'BDV usluga_dsz'!$D$18:$D$35</c:f>
              <c:strCache>
                <c:ptCount val="17"/>
                <c:pt idx="0">
                  <c:v>2022 Q1</c:v>
                </c:pt>
                <c:pt idx="1">
                  <c:v>Q2</c:v>
                </c:pt>
                <c:pt idx="2">
                  <c:v>Q3</c:v>
                </c:pt>
                <c:pt idx="3">
                  <c:v>Q4</c:v>
                </c:pt>
                <c:pt idx="4">
                  <c:v>2023 Q1</c:v>
                </c:pt>
                <c:pt idx="5">
                  <c:v>Q2</c:v>
                </c:pt>
                <c:pt idx="6">
                  <c:v>Q3</c:v>
                </c:pt>
                <c:pt idx="7">
                  <c:v>Q4</c:v>
                </c:pt>
                <c:pt idx="8">
                  <c:v>2024 Q1</c:v>
                </c:pt>
                <c:pt idx="9">
                  <c:v>Q2</c:v>
                </c:pt>
                <c:pt idx="10">
                  <c:v>Q3</c:v>
                </c:pt>
                <c:pt idx="11">
                  <c:v>Q4</c:v>
                </c:pt>
                <c:pt idx="12">
                  <c:v>2025 Q1</c:v>
                </c:pt>
                <c:pt idx="14">
                  <c:v>Укупно</c:v>
                </c:pt>
                <c:pt idx="15">
                  <c:v>Зграде</c:v>
                </c:pt>
                <c:pt idx="16">
                  <c:v>Ост. грађ.</c:v>
                </c:pt>
              </c:strCache>
            </c:strRef>
          </c:cat>
          <c:val>
            <c:numRef>
              <c:f>'BDV usluga_dsz'!$I$18:$I$35</c:f>
              <c:numCache>
                <c:formatCode>0.0</c:formatCode>
                <c:ptCount val="18"/>
                <c:pt idx="0">
                  <c:v>54.471738611972334</c:v>
                </c:pt>
                <c:pt idx="1">
                  <c:v>72.692582876222275</c:v>
                </c:pt>
                <c:pt idx="2">
                  <c:v>86.525160982590037</c:v>
                </c:pt>
                <c:pt idx="3">
                  <c:v>100.07154781779155</c:v>
                </c:pt>
                <c:pt idx="4">
                  <c:v>62.389697114238018</c:v>
                </c:pt>
                <c:pt idx="5">
                  <c:v>90.341044598139746</c:v>
                </c:pt>
                <c:pt idx="6">
                  <c:v>106.36775578344859</c:v>
                </c:pt>
                <c:pt idx="7">
                  <c:v>121.34509897448127</c:v>
                </c:pt>
                <c:pt idx="8">
                  <c:v>76.126878130217023</c:v>
                </c:pt>
                <c:pt idx="9">
                  <c:v>107.03553541616981</c:v>
                </c:pt>
                <c:pt idx="10">
                  <c:v>105.98616742189361</c:v>
                </c:pt>
                <c:pt idx="11">
                  <c:v>110.85141903171953</c:v>
                </c:pt>
                <c:pt idx="12">
                  <c:v>68.900000000000006</c:v>
                </c:pt>
              </c:numCache>
            </c:numRef>
          </c:val>
          <c:extLst>
            <c:ext xmlns:c16="http://schemas.microsoft.com/office/drawing/2014/chart" uri="{C3380CC4-5D6E-409C-BE32-E72D297353CC}">
              <c16:uniqueId val="{00000002-2224-40C2-9958-B6EF2B711B97}"/>
            </c:ext>
          </c:extLst>
        </c:ser>
        <c:dLbls>
          <c:showLegendKey val="0"/>
          <c:showVal val="0"/>
          <c:showCatName val="0"/>
          <c:showSerName val="0"/>
          <c:showPercent val="0"/>
          <c:showBubbleSize val="0"/>
        </c:dLbls>
        <c:gapWidth val="80"/>
        <c:axId val="429350464"/>
        <c:axId val="429347552"/>
      </c:barChart>
      <c:barChart>
        <c:barDir val="col"/>
        <c:grouping val="clustered"/>
        <c:varyColors val="0"/>
        <c:ser>
          <c:idx val="3"/>
          <c:order val="4"/>
          <c:tx>
            <c:strRef>
              <c:f>'BDV usluga_dsz'!$J$11</c:f>
              <c:strCache>
                <c:ptCount val="1"/>
                <c:pt idx="0">
                  <c:v>Q1 2025/Q1 2024 (десна скала)</c:v>
                </c:pt>
              </c:strCache>
            </c:strRef>
          </c:tx>
          <c:spPr>
            <a:solidFill>
              <a:schemeClr val="accent4"/>
            </a:solidFill>
            <a:ln>
              <a:noFill/>
            </a:ln>
            <a:effectLst/>
          </c:spPr>
          <c:invertIfNegative val="0"/>
          <c:dPt>
            <c:idx val="14"/>
            <c:invertIfNegative val="0"/>
            <c:bubble3D val="0"/>
            <c:spPr>
              <a:solidFill>
                <a:srgbClr val="002010"/>
              </a:solidFill>
              <a:ln>
                <a:noFill/>
              </a:ln>
              <a:effectLst/>
            </c:spPr>
            <c:extLst>
              <c:ext xmlns:c16="http://schemas.microsoft.com/office/drawing/2014/chart" uri="{C3380CC4-5D6E-409C-BE32-E72D297353CC}">
                <c16:uniqueId val="{00000004-2224-40C2-9958-B6EF2B711B97}"/>
              </c:ext>
            </c:extLst>
          </c:dPt>
          <c:dPt>
            <c:idx val="15"/>
            <c:invertIfNegative val="0"/>
            <c:bubble3D val="0"/>
            <c:spPr>
              <a:solidFill>
                <a:srgbClr val="EC008C"/>
              </a:solidFill>
              <a:ln>
                <a:noFill/>
              </a:ln>
              <a:effectLst/>
            </c:spPr>
            <c:extLst>
              <c:ext xmlns:c16="http://schemas.microsoft.com/office/drawing/2014/chart" uri="{C3380CC4-5D6E-409C-BE32-E72D297353CC}">
                <c16:uniqueId val="{00000006-2224-40C2-9958-B6EF2B711B97}"/>
              </c:ext>
            </c:extLst>
          </c:dPt>
          <c:dPt>
            <c:idx val="16"/>
            <c:invertIfNegative val="0"/>
            <c:bubble3D val="0"/>
            <c:spPr>
              <a:solidFill>
                <a:srgbClr val="00A651"/>
              </a:solidFill>
              <a:ln>
                <a:noFill/>
              </a:ln>
              <a:effectLst/>
            </c:spPr>
            <c:extLst>
              <c:ext xmlns:c16="http://schemas.microsoft.com/office/drawing/2014/chart" uri="{C3380CC4-5D6E-409C-BE32-E72D297353CC}">
                <c16:uniqueId val="{00000008-2224-40C2-9958-B6EF2B711B97}"/>
              </c:ext>
            </c:extLst>
          </c:dPt>
          <c:dLbls>
            <c:dLbl>
              <c:idx val="14"/>
              <c:spPr>
                <a:noFill/>
                <a:ln>
                  <a:noFill/>
                </a:ln>
                <a:effectLst/>
              </c:spPr>
              <c:txPr>
                <a:bodyPr rot="0" spcFirstLastPara="1" vertOverflow="ellipsis" vert="horz" wrap="square" anchor="ctr" anchorCtr="1"/>
                <a:lstStyle/>
                <a:p>
                  <a:pPr>
                    <a:defRPr sz="700" b="0" i="0" u="none" strike="noStrike" kern="1200" baseline="0">
                      <a:solidFill>
                        <a:srgbClr val="002010"/>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4-2224-40C2-9958-B6EF2B711B97}"/>
                </c:ext>
              </c:extLst>
            </c:dLbl>
            <c:dLbl>
              <c:idx val="15"/>
              <c:layout>
                <c:manualLayout>
                  <c:x val="-4.6273220412100437E-3"/>
                  <c:y val="-4.0617089808104212E-17"/>
                </c:manualLayout>
              </c:layout>
              <c:spPr>
                <a:noFill/>
                <a:ln>
                  <a:noFill/>
                </a:ln>
                <a:effectLst/>
              </c:spPr>
              <c:txPr>
                <a:bodyPr rot="0" spcFirstLastPara="1" vertOverflow="ellipsis" vert="horz" wrap="square" anchor="ctr" anchorCtr="1"/>
                <a:lstStyle/>
                <a:p>
                  <a:pPr>
                    <a:defRPr sz="700" b="0" i="0" u="none" strike="noStrike" kern="1200" baseline="0">
                      <a:solidFill>
                        <a:srgbClr val="EC008C"/>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224-40C2-9958-B6EF2B711B97}"/>
                </c:ext>
              </c:extLst>
            </c:dLbl>
            <c:dLbl>
              <c:idx val="16"/>
              <c:layout>
                <c:manualLayout>
                  <c:x val="0"/>
                  <c:y val="1.7208672086720868E-2"/>
                </c:manualLayout>
              </c:layout>
              <c:spPr>
                <a:noFill/>
                <a:ln>
                  <a:noFill/>
                </a:ln>
                <a:effectLst/>
              </c:spPr>
              <c:txPr>
                <a:bodyPr rot="0" spcFirstLastPara="1" vertOverflow="ellipsis" vert="horz" wrap="square" anchor="ctr" anchorCtr="1"/>
                <a:lstStyle/>
                <a:p>
                  <a:pPr>
                    <a:defRPr sz="700" b="0" i="0" u="none" strike="noStrike" kern="1200" baseline="0">
                      <a:solidFill>
                        <a:srgbClr val="00A651"/>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224-40C2-9958-B6EF2B711B97}"/>
                </c:ext>
              </c:extLst>
            </c:dLbl>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'BDV usluga_dsz'!$D$18:$D$35</c:f>
              <c:strCache>
                <c:ptCount val="17"/>
                <c:pt idx="0">
                  <c:v>2022 Q1</c:v>
                </c:pt>
                <c:pt idx="1">
                  <c:v>Q2</c:v>
                </c:pt>
                <c:pt idx="2">
                  <c:v>Q3</c:v>
                </c:pt>
                <c:pt idx="3">
                  <c:v>Q4</c:v>
                </c:pt>
                <c:pt idx="4">
                  <c:v>2023 Q1</c:v>
                </c:pt>
                <c:pt idx="5">
                  <c:v>Q2</c:v>
                </c:pt>
                <c:pt idx="6">
                  <c:v>Q3</c:v>
                </c:pt>
                <c:pt idx="7">
                  <c:v>Q4</c:v>
                </c:pt>
                <c:pt idx="8">
                  <c:v>2024 Q1</c:v>
                </c:pt>
                <c:pt idx="9">
                  <c:v>Q2</c:v>
                </c:pt>
                <c:pt idx="10">
                  <c:v>Q3</c:v>
                </c:pt>
                <c:pt idx="11">
                  <c:v>Q4</c:v>
                </c:pt>
                <c:pt idx="12">
                  <c:v>2025 Q1</c:v>
                </c:pt>
                <c:pt idx="14">
                  <c:v>Укупно</c:v>
                </c:pt>
                <c:pt idx="15">
                  <c:v>Зграде</c:v>
                </c:pt>
                <c:pt idx="16">
                  <c:v>Ост. грађ.</c:v>
                </c:pt>
              </c:strCache>
            </c:strRef>
          </c:cat>
          <c:val>
            <c:numRef>
              <c:f>'BDV usluga_dsz'!$J$18:$J$35</c:f>
              <c:numCache>
                <c:formatCode>General</c:formatCode>
                <c:ptCount val="18"/>
                <c:pt idx="14" formatCode="0.0">
                  <c:v>94.4</c:v>
                </c:pt>
                <c:pt idx="15" formatCode="0.0">
                  <c:v>104.8</c:v>
                </c:pt>
                <c:pt idx="16" formatCode="0.0">
                  <c:v>89.8</c:v>
                </c:pt>
              </c:numCache>
            </c:numRef>
          </c:val>
          <c:extLst>
            <c:ext xmlns:c16="http://schemas.microsoft.com/office/drawing/2014/chart" uri="{C3380CC4-5D6E-409C-BE32-E72D297353CC}">
              <c16:uniqueId val="{00000009-2224-40C2-9958-B6EF2B711B97}"/>
            </c:ext>
          </c:extLst>
        </c:ser>
        <c:dLbls>
          <c:showLegendKey val="0"/>
          <c:showVal val="0"/>
          <c:showCatName val="0"/>
          <c:showSerName val="0"/>
          <c:showPercent val="0"/>
          <c:showBubbleSize val="0"/>
        </c:dLbls>
        <c:gapWidth val="30"/>
        <c:axId val="1942004127"/>
        <c:axId val="1941994975"/>
      </c:barChart>
      <c:lineChart>
        <c:grouping val="standard"/>
        <c:varyColors val="0"/>
        <c:ser>
          <c:idx val="0"/>
          <c:order val="0"/>
          <c:tx>
            <c:strRef>
              <c:f>'BDV usluga_dsz'!$F$11</c:f>
              <c:strCache>
                <c:ptCount val="1"/>
                <c:pt idx="0">
                  <c:v>100</c:v>
                </c:pt>
              </c:strCache>
            </c:strRef>
          </c:tx>
          <c:spPr>
            <a:ln w="6350" cap="rnd">
              <a:solidFill>
                <a:sysClr val="windowText" lastClr="000000"/>
              </a:solidFill>
              <a:round/>
            </a:ln>
            <a:effectLst/>
          </c:spPr>
          <c:marker>
            <c:symbol val="none"/>
          </c:marker>
          <c:cat>
            <c:strRef>
              <c:f>'BDV usluga_dsz'!$D$18:$D$35</c:f>
              <c:strCache>
                <c:ptCount val="17"/>
                <c:pt idx="0">
                  <c:v>2022 Q1</c:v>
                </c:pt>
                <c:pt idx="1">
                  <c:v>Q2</c:v>
                </c:pt>
                <c:pt idx="2">
                  <c:v>Q3</c:v>
                </c:pt>
                <c:pt idx="3">
                  <c:v>Q4</c:v>
                </c:pt>
                <c:pt idx="4">
                  <c:v>2023 Q1</c:v>
                </c:pt>
                <c:pt idx="5">
                  <c:v>Q2</c:v>
                </c:pt>
                <c:pt idx="6">
                  <c:v>Q3</c:v>
                </c:pt>
                <c:pt idx="7">
                  <c:v>Q4</c:v>
                </c:pt>
                <c:pt idx="8">
                  <c:v>2024 Q1</c:v>
                </c:pt>
                <c:pt idx="9">
                  <c:v>Q2</c:v>
                </c:pt>
                <c:pt idx="10">
                  <c:v>Q3</c:v>
                </c:pt>
                <c:pt idx="11">
                  <c:v>Q4</c:v>
                </c:pt>
                <c:pt idx="12">
                  <c:v>2025 Q1</c:v>
                </c:pt>
                <c:pt idx="14">
                  <c:v>Укупно</c:v>
                </c:pt>
                <c:pt idx="15">
                  <c:v>Зграде</c:v>
                </c:pt>
                <c:pt idx="16">
                  <c:v>Ост. грађ.</c:v>
                </c:pt>
              </c:strCache>
            </c:strRef>
          </c:cat>
          <c:val>
            <c:numRef>
              <c:f>'BDV usluga_dsz'!$F$18:$F$35</c:f>
              <c:numCache>
                <c:formatCode>0</c:formatCode>
                <c:ptCount val="18"/>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numCache>
            </c:numRef>
          </c:val>
          <c:smooth val="0"/>
          <c:extLst>
            <c:ext xmlns:c16="http://schemas.microsoft.com/office/drawing/2014/chart" uri="{C3380CC4-5D6E-409C-BE32-E72D297353CC}">
              <c16:uniqueId val="{0000000A-2224-40C2-9958-B6EF2B711B97}"/>
            </c:ext>
          </c:extLst>
        </c:ser>
        <c:dLbls>
          <c:showLegendKey val="0"/>
          <c:showVal val="0"/>
          <c:showCatName val="0"/>
          <c:showSerName val="0"/>
          <c:showPercent val="0"/>
          <c:showBubbleSize val="0"/>
        </c:dLbls>
        <c:marker val="1"/>
        <c:smooth val="0"/>
        <c:axId val="429350464"/>
        <c:axId val="429347552"/>
      </c:lineChart>
      <c:catAx>
        <c:axId val="4293504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700" b="0" i="0" u="none" strike="noStrike" kern="1200" baseline="0">
                <a:solidFill>
                  <a:schemeClr val="tx2"/>
                </a:solidFill>
                <a:latin typeface="+mn-lt"/>
                <a:ea typeface="+mn-ea"/>
                <a:cs typeface="+mn-cs"/>
              </a:defRPr>
            </a:pPr>
            <a:endParaRPr lang="en-US"/>
          </a:p>
        </c:txPr>
        <c:crossAx val="429347552"/>
        <c:crosses val="autoZero"/>
        <c:auto val="1"/>
        <c:lblAlgn val="ctr"/>
        <c:lblOffset val="0"/>
        <c:tickLblSkip val="1"/>
        <c:noMultiLvlLbl val="1"/>
      </c:catAx>
      <c:valAx>
        <c:axId val="429347552"/>
        <c:scaling>
          <c:orientation val="minMax"/>
          <c:min val="40"/>
        </c:scaling>
        <c:delete val="0"/>
        <c:axPos val="l"/>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a:t>Индекси, </a:t>
                </a:r>
                <a:r>
                  <a:rPr lang="en-GB"/>
                  <a:t>Ø202</a:t>
                </a:r>
                <a:r>
                  <a:rPr lang="sr-Latn-RS"/>
                  <a:t>4</a:t>
                </a:r>
                <a:r>
                  <a:rPr lang="en-GB"/>
                  <a:t>=100</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429350464"/>
        <c:crosses val="autoZero"/>
        <c:crossBetween val="between"/>
        <c:majorUnit val="20"/>
      </c:valAx>
      <c:valAx>
        <c:axId val="1941994975"/>
        <c:scaling>
          <c:orientation val="minMax"/>
          <c:max val="160"/>
          <c:min val="40"/>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1942004127"/>
        <c:crosses val="max"/>
        <c:crossBetween val="between"/>
        <c:majorUnit val="20"/>
      </c:valAx>
      <c:catAx>
        <c:axId val="1942004127"/>
        <c:scaling>
          <c:orientation val="minMax"/>
        </c:scaling>
        <c:delete val="1"/>
        <c:axPos val="b"/>
        <c:numFmt formatCode="General" sourceLinked="1"/>
        <c:majorTickMark val="out"/>
        <c:minorTickMark val="none"/>
        <c:tickLblPos val="nextTo"/>
        <c:crossAx val="1941994975"/>
        <c:crosses val="autoZero"/>
        <c:auto val="1"/>
        <c:lblAlgn val="ctr"/>
        <c:lblOffset val="100"/>
        <c:noMultiLvlLbl val="0"/>
      </c:catAx>
      <c:spPr>
        <a:noFill/>
        <a:ln>
          <a:noFill/>
        </a:ln>
        <a:effectLst/>
      </c:spPr>
    </c:plotArea>
    <c:legend>
      <c:legendPos val="b"/>
      <c:legendEntry>
        <c:idx val="3"/>
        <c:delete val="1"/>
      </c:legendEntry>
      <c:legendEntry>
        <c:idx val="4"/>
        <c:delete val="1"/>
      </c:legendEntry>
      <c:layout>
        <c:manualLayout>
          <c:xMode val="edge"/>
          <c:yMode val="edge"/>
          <c:x val="7.5787037037037042E-2"/>
          <c:y val="0.92302439024390248"/>
          <c:w val="0.82630577427821528"/>
          <c:h val="7.0806233062330637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chemeClr val="tx2"/>
          </a:solidFill>
        </a:defRPr>
      </a:pPr>
      <a:endParaRPr lang="en-US"/>
    </a:p>
  </c:txPr>
  <c:externalData r:id="rId4">
    <c:autoUpdate val="0"/>
  </c:externalData>
  <c:userShapes r:id="rId5"/>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6.68223900225571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3A-46D4-BF2E-13227EE251C2}"/>
                </c:ext>
              </c:extLst>
            </c:dLbl>
            <c:dLbl>
              <c:idx val="12"/>
              <c:layout>
                <c:manualLayout>
                  <c:x val="6.760901941316332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3A-46D4-BF2E-13227EE251C2}"/>
                </c:ext>
              </c:extLst>
            </c:dLbl>
            <c:dLbl>
              <c:idx val="24"/>
              <c:layout>
                <c:manualLayout>
                  <c:x val="5.5966025080198135E-2"/>
                  <c:y val="4.44704771019644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3A-46D4-BF2E-13227EE251C2}"/>
                </c:ext>
              </c:extLst>
            </c:dLbl>
            <c:dLbl>
              <c:idx val="36"/>
              <c:layout>
                <c:manualLayout>
                  <c:x val="-7.5459317585301836E-4"/>
                  <c:y val="4.6556127997812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99-4A7A-B5AB-3F52E3395F2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graf'!$G$56:$G$95</c:f>
              <c:numCache>
                <c:formatCode>General</c:formatCode>
                <c:ptCount val="40"/>
                <c:pt idx="0">
                  <c:v>75</c:v>
                </c:pt>
                <c:pt idx="12">
                  <c:v>75</c:v>
                </c:pt>
                <c:pt idx="24">
                  <c:v>75</c:v>
                </c:pt>
                <c:pt idx="36" formatCode="0">
                  <c:v>75</c:v>
                </c:pt>
              </c:numCache>
            </c:numRef>
          </c:val>
          <c:smooth val="0"/>
          <c:extLst>
            <c:ext xmlns:c16="http://schemas.microsoft.com/office/drawing/2014/chart" uri="{C3380CC4-5D6E-409C-BE32-E72D297353CC}">
              <c16:uniqueId val="{00000003-8F3A-46D4-BF2E-13227EE251C2}"/>
            </c:ext>
          </c:extLst>
        </c:ser>
        <c:ser>
          <c:idx val="4"/>
          <c:order val="1"/>
          <c:tx>
            <c:strRef>
              <c:f>'Prerađivačka_FS graf'!$H$7</c:f>
              <c:strCache>
                <c:ptCount val="1"/>
                <c:pt idx="0">
                  <c:v>Series5</c:v>
                </c:pt>
              </c:strCache>
            </c:strRef>
          </c:tx>
          <c:spPr>
            <a:ln w="25400" cap="rnd">
              <a:noFill/>
              <a:round/>
            </a:ln>
            <a:effectLst/>
          </c:spPr>
          <c:marker>
            <c:symbol val="none"/>
          </c:marker>
          <c:dLbls>
            <c:dLbl>
              <c:idx val="0"/>
              <c:tx>
                <c:rich>
                  <a:bodyPr/>
                  <a:lstStyle/>
                  <a:p>
                    <a:fld id="{90408C79-B57E-46AB-B62A-0B63A8BD5F8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8F3A-46D4-BF2E-13227EE251C2}"/>
                </c:ext>
              </c:extLst>
            </c:dLbl>
            <c:dLbl>
              <c:idx val="1"/>
              <c:tx>
                <c:rich>
                  <a:bodyPr/>
                  <a:lstStyle/>
                  <a:p>
                    <a:fld id="{591388AB-4777-4F6E-B58F-1DB15DDF4DD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8F3A-46D4-BF2E-13227EE251C2}"/>
                </c:ext>
              </c:extLst>
            </c:dLbl>
            <c:dLbl>
              <c:idx val="2"/>
              <c:tx>
                <c:rich>
                  <a:bodyPr/>
                  <a:lstStyle/>
                  <a:p>
                    <a:fld id="{49EEA530-6137-4BDE-86C1-916DD9654B1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8F3A-46D4-BF2E-13227EE251C2}"/>
                </c:ext>
              </c:extLst>
            </c:dLbl>
            <c:dLbl>
              <c:idx val="3"/>
              <c:tx>
                <c:rich>
                  <a:bodyPr/>
                  <a:lstStyle/>
                  <a:p>
                    <a:fld id="{550601C1-BD08-4733-B391-5D4DAF7BD03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8F3A-46D4-BF2E-13227EE251C2}"/>
                </c:ext>
              </c:extLst>
            </c:dLbl>
            <c:dLbl>
              <c:idx val="4"/>
              <c:tx>
                <c:rich>
                  <a:bodyPr/>
                  <a:lstStyle/>
                  <a:p>
                    <a:fld id="{4380E338-9123-4B12-A0D4-AF7F3F3BC1D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8F3A-46D4-BF2E-13227EE251C2}"/>
                </c:ext>
              </c:extLst>
            </c:dLbl>
            <c:dLbl>
              <c:idx val="5"/>
              <c:tx>
                <c:rich>
                  <a:bodyPr/>
                  <a:lstStyle/>
                  <a:p>
                    <a:fld id="{F59975FF-26C4-40A4-B592-D5AB6E46372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8F3A-46D4-BF2E-13227EE251C2}"/>
                </c:ext>
              </c:extLst>
            </c:dLbl>
            <c:dLbl>
              <c:idx val="6"/>
              <c:tx>
                <c:rich>
                  <a:bodyPr/>
                  <a:lstStyle/>
                  <a:p>
                    <a:fld id="{C2B34171-66DE-40E4-A123-AD0FED331E1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8F3A-46D4-BF2E-13227EE251C2}"/>
                </c:ext>
              </c:extLst>
            </c:dLbl>
            <c:dLbl>
              <c:idx val="7"/>
              <c:tx>
                <c:rich>
                  <a:bodyPr/>
                  <a:lstStyle/>
                  <a:p>
                    <a:fld id="{795AE0F9-CBD0-4388-956D-5E80A8016DB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8F3A-46D4-BF2E-13227EE251C2}"/>
                </c:ext>
              </c:extLst>
            </c:dLbl>
            <c:dLbl>
              <c:idx val="8"/>
              <c:tx>
                <c:rich>
                  <a:bodyPr/>
                  <a:lstStyle/>
                  <a:p>
                    <a:fld id="{8E1B7AE6-53E9-4981-93A9-DC76331E6BB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8F3A-46D4-BF2E-13227EE251C2}"/>
                </c:ext>
              </c:extLst>
            </c:dLbl>
            <c:dLbl>
              <c:idx val="9"/>
              <c:tx>
                <c:rich>
                  <a:bodyPr/>
                  <a:lstStyle/>
                  <a:p>
                    <a:fld id="{86FA767F-EFFE-475A-B09B-6F02E493283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8F3A-46D4-BF2E-13227EE251C2}"/>
                </c:ext>
              </c:extLst>
            </c:dLbl>
            <c:dLbl>
              <c:idx val="10"/>
              <c:tx>
                <c:rich>
                  <a:bodyPr/>
                  <a:lstStyle/>
                  <a:p>
                    <a:fld id="{510B6EED-BDDC-42BD-993F-2965666F1AE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8F3A-46D4-BF2E-13227EE251C2}"/>
                </c:ext>
              </c:extLst>
            </c:dLbl>
            <c:dLbl>
              <c:idx val="11"/>
              <c:tx>
                <c:rich>
                  <a:bodyPr/>
                  <a:lstStyle/>
                  <a:p>
                    <a:fld id="{E6F632E5-8490-4031-AACE-1798D9EA371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8F3A-46D4-BF2E-13227EE251C2}"/>
                </c:ext>
              </c:extLst>
            </c:dLbl>
            <c:dLbl>
              <c:idx val="12"/>
              <c:tx>
                <c:rich>
                  <a:bodyPr/>
                  <a:lstStyle/>
                  <a:p>
                    <a:fld id="{3E720227-62A4-40CB-B704-0A2E0E2CC0F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8F3A-46D4-BF2E-13227EE251C2}"/>
                </c:ext>
              </c:extLst>
            </c:dLbl>
            <c:dLbl>
              <c:idx val="13"/>
              <c:tx>
                <c:rich>
                  <a:bodyPr/>
                  <a:lstStyle/>
                  <a:p>
                    <a:fld id="{94CED516-1402-40B8-9C2F-D390A9A917E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8F3A-46D4-BF2E-13227EE251C2}"/>
                </c:ext>
              </c:extLst>
            </c:dLbl>
            <c:dLbl>
              <c:idx val="14"/>
              <c:tx>
                <c:rich>
                  <a:bodyPr/>
                  <a:lstStyle/>
                  <a:p>
                    <a:fld id="{C582AEB1-F8D9-4799-9C5E-072291A0C5F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8F3A-46D4-BF2E-13227EE251C2}"/>
                </c:ext>
              </c:extLst>
            </c:dLbl>
            <c:dLbl>
              <c:idx val="15"/>
              <c:tx>
                <c:rich>
                  <a:bodyPr/>
                  <a:lstStyle/>
                  <a:p>
                    <a:fld id="{405AC5CF-EE01-4609-8A36-117EC33B152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8F3A-46D4-BF2E-13227EE251C2}"/>
                </c:ext>
              </c:extLst>
            </c:dLbl>
            <c:dLbl>
              <c:idx val="16"/>
              <c:tx>
                <c:rich>
                  <a:bodyPr/>
                  <a:lstStyle/>
                  <a:p>
                    <a:fld id="{72C1ED9E-413D-49AB-AD53-E1EEC4FFC5A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8F3A-46D4-BF2E-13227EE251C2}"/>
                </c:ext>
              </c:extLst>
            </c:dLbl>
            <c:dLbl>
              <c:idx val="17"/>
              <c:tx>
                <c:rich>
                  <a:bodyPr/>
                  <a:lstStyle/>
                  <a:p>
                    <a:fld id="{17490FE0-2D72-48D8-BFC2-86019EC9DE6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8F3A-46D4-BF2E-13227EE251C2}"/>
                </c:ext>
              </c:extLst>
            </c:dLbl>
            <c:dLbl>
              <c:idx val="18"/>
              <c:tx>
                <c:rich>
                  <a:bodyPr/>
                  <a:lstStyle/>
                  <a:p>
                    <a:fld id="{256F8DF9-1AEF-4081-9DB7-117D1A3D0EF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8F3A-46D4-BF2E-13227EE251C2}"/>
                </c:ext>
              </c:extLst>
            </c:dLbl>
            <c:dLbl>
              <c:idx val="19"/>
              <c:tx>
                <c:rich>
                  <a:bodyPr/>
                  <a:lstStyle/>
                  <a:p>
                    <a:fld id="{0E34676F-D306-4B36-84FD-488C4D5443D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8F3A-46D4-BF2E-13227EE251C2}"/>
                </c:ext>
              </c:extLst>
            </c:dLbl>
            <c:dLbl>
              <c:idx val="20"/>
              <c:tx>
                <c:rich>
                  <a:bodyPr/>
                  <a:lstStyle/>
                  <a:p>
                    <a:fld id="{139B5CE3-68DB-4120-BB0C-B20809B9F04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8F3A-46D4-BF2E-13227EE251C2}"/>
                </c:ext>
              </c:extLst>
            </c:dLbl>
            <c:dLbl>
              <c:idx val="21"/>
              <c:tx>
                <c:rich>
                  <a:bodyPr/>
                  <a:lstStyle/>
                  <a:p>
                    <a:fld id="{74B79662-094F-466E-A250-19220C0CDBF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8F3A-46D4-BF2E-13227EE251C2}"/>
                </c:ext>
              </c:extLst>
            </c:dLbl>
            <c:dLbl>
              <c:idx val="22"/>
              <c:tx>
                <c:rich>
                  <a:bodyPr/>
                  <a:lstStyle/>
                  <a:p>
                    <a:fld id="{BA7937D8-6958-45A2-8ACB-D0ACAFEE466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8F3A-46D4-BF2E-13227EE251C2}"/>
                </c:ext>
              </c:extLst>
            </c:dLbl>
            <c:dLbl>
              <c:idx val="23"/>
              <c:tx>
                <c:rich>
                  <a:bodyPr/>
                  <a:lstStyle/>
                  <a:p>
                    <a:fld id="{5CF4E136-7C41-47A0-BBE5-308F6D9563A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8F3A-46D4-BF2E-13227EE251C2}"/>
                </c:ext>
              </c:extLst>
            </c:dLbl>
            <c:dLbl>
              <c:idx val="24"/>
              <c:tx>
                <c:rich>
                  <a:bodyPr/>
                  <a:lstStyle/>
                  <a:p>
                    <a:fld id="{12D2DA3C-432A-4079-BB01-894993FE091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8F3A-46D4-BF2E-13227EE251C2}"/>
                </c:ext>
              </c:extLst>
            </c:dLbl>
            <c:dLbl>
              <c:idx val="25"/>
              <c:tx>
                <c:rich>
                  <a:bodyPr/>
                  <a:lstStyle/>
                  <a:p>
                    <a:fld id="{5C9C2E69-7E88-4B1A-882F-E10A5DC269A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8F3A-46D4-BF2E-13227EE251C2}"/>
                </c:ext>
              </c:extLst>
            </c:dLbl>
            <c:dLbl>
              <c:idx val="26"/>
              <c:tx>
                <c:rich>
                  <a:bodyPr/>
                  <a:lstStyle/>
                  <a:p>
                    <a:fld id="{F3759A25-400E-4C01-868E-E545B1D169D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8F3A-46D4-BF2E-13227EE251C2}"/>
                </c:ext>
              </c:extLst>
            </c:dLbl>
            <c:dLbl>
              <c:idx val="27"/>
              <c:tx>
                <c:rich>
                  <a:bodyPr/>
                  <a:lstStyle/>
                  <a:p>
                    <a:fld id="{DAF89681-3F5D-4643-9B7F-2399BC53E72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8F3A-46D4-BF2E-13227EE251C2}"/>
                </c:ext>
              </c:extLst>
            </c:dLbl>
            <c:dLbl>
              <c:idx val="28"/>
              <c:tx>
                <c:rich>
                  <a:bodyPr/>
                  <a:lstStyle/>
                  <a:p>
                    <a:fld id="{D85C3CE0-1A8D-4D82-B821-69BFA0EEDD5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8F3A-46D4-BF2E-13227EE251C2}"/>
                </c:ext>
              </c:extLst>
            </c:dLbl>
            <c:dLbl>
              <c:idx val="29"/>
              <c:tx>
                <c:rich>
                  <a:bodyPr/>
                  <a:lstStyle/>
                  <a:p>
                    <a:fld id="{374EDF43-30D4-40BF-894B-14BE1E7DDC5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8F3A-46D4-BF2E-13227EE251C2}"/>
                </c:ext>
              </c:extLst>
            </c:dLbl>
            <c:dLbl>
              <c:idx val="30"/>
              <c:tx>
                <c:rich>
                  <a:bodyPr/>
                  <a:lstStyle/>
                  <a:p>
                    <a:fld id="{1A6B6F97-3A0F-40EE-B708-30DA3F9E635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8F3A-46D4-BF2E-13227EE251C2}"/>
                </c:ext>
              </c:extLst>
            </c:dLbl>
            <c:dLbl>
              <c:idx val="31"/>
              <c:tx>
                <c:rich>
                  <a:bodyPr/>
                  <a:lstStyle/>
                  <a:p>
                    <a:fld id="{5ECCD392-DF44-4BC2-A5EB-6A8ABC747CF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8F3A-46D4-BF2E-13227EE251C2}"/>
                </c:ext>
              </c:extLst>
            </c:dLbl>
            <c:dLbl>
              <c:idx val="32"/>
              <c:tx>
                <c:rich>
                  <a:bodyPr/>
                  <a:lstStyle/>
                  <a:p>
                    <a:fld id="{BF5B96C8-38EC-4388-9C7C-F38F5F86887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8F3A-46D4-BF2E-13227EE251C2}"/>
                </c:ext>
              </c:extLst>
            </c:dLbl>
            <c:dLbl>
              <c:idx val="33"/>
              <c:tx>
                <c:rich>
                  <a:bodyPr/>
                  <a:lstStyle/>
                  <a:p>
                    <a:fld id="{D673E4F5-F184-46C5-9F62-FA06F752812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8F3A-46D4-BF2E-13227EE251C2}"/>
                </c:ext>
              </c:extLst>
            </c:dLbl>
            <c:dLbl>
              <c:idx val="34"/>
              <c:tx>
                <c:rich>
                  <a:bodyPr/>
                  <a:lstStyle/>
                  <a:p>
                    <a:fld id="{5CAC0B19-994B-4643-910D-A0ACFEF3F83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8F3A-46D4-BF2E-13227EE251C2}"/>
                </c:ext>
              </c:extLst>
            </c:dLbl>
            <c:dLbl>
              <c:idx val="35"/>
              <c:tx>
                <c:rich>
                  <a:bodyPr/>
                  <a:lstStyle/>
                  <a:p>
                    <a:fld id="{69958490-9728-4C06-94ED-F6C78988E6F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8F3A-46D4-BF2E-13227EE251C2}"/>
                </c:ext>
              </c:extLst>
            </c:dLbl>
            <c:dLbl>
              <c:idx val="36"/>
              <c:tx>
                <c:rich>
                  <a:bodyPr/>
                  <a:lstStyle/>
                  <a:p>
                    <a:fld id="{55AC7E4A-E314-465F-81AE-8479D92EE30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8F3A-46D4-BF2E-13227EE251C2}"/>
                </c:ext>
              </c:extLst>
            </c:dLbl>
            <c:dLbl>
              <c:idx val="37"/>
              <c:tx>
                <c:rich>
                  <a:bodyPr/>
                  <a:lstStyle/>
                  <a:p>
                    <a:fld id="{619F47EE-39B2-49D5-83FF-6CF06411583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8F3A-46D4-BF2E-13227EE251C2}"/>
                </c:ext>
              </c:extLst>
            </c:dLbl>
            <c:dLbl>
              <c:idx val="38"/>
              <c:tx>
                <c:rich>
                  <a:bodyPr/>
                  <a:lstStyle/>
                  <a:p>
                    <a:fld id="{B62759D6-603D-443A-9E71-10EBC943225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8F3A-46D4-BF2E-13227EE251C2}"/>
                </c:ext>
              </c:extLst>
            </c:dLbl>
            <c:dLbl>
              <c:idx val="39"/>
              <c:tx>
                <c:rich>
                  <a:bodyPr/>
                  <a:lstStyle/>
                  <a:p>
                    <a:fld id="{CC38239E-82B3-47CE-81C2-4BD3D4937CD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8F3A-46D4-BF2E-13227EE251C2}"/>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graf'!$H$56:$H$95</c:f>
              <c:numCache>
                <c:formatCode>General</c:formatCode>
                <c:ptCount val="40"/>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pt idx="27">
                  <c:v>75</c:v>
                </c:pt>
                <c:pt idx="28">
                  <c:v>75</c:v>
                </c:pt>
                <c:pt idx="29">
                  <c:v>75</c:v>
                </c:pt>
                <c:pt idx="30">
                  <c:v>75</c:v>
                </c:pt>
                <c:pt idx="31">
                  <c:v>75</c:v>
                </c:pt>
                <c:pt idx="32">
                  <c:v>75</c:v>
                </c:pt>
                <c:pt idx="33">
                  <c:v>75</c:v>
                </c:pt>
                <c:pt idx="34">
                  <c:v>75</c:v>
                </c:pt>
                <c:pt idx="35">
                  <c:v>75</c:v>
                </c:pt>
                <c:pt idx="36">
                  <c:v>75</c:v>
                </c:pt>
                <c:pt idx="37">
                  <c:v>75</c:v>
                </c:pt>
                <c:pt idx="38">
                  <c:v>75</c:v>
                </c:pt>
                <c:pt idx="39">
                  <c:v>75</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8F3A-46D4-BF2E-13227EE251C2}"/>
            </c:ext>
          </c:extLst>
        </c:ser>
        <c:ser>
          <c:idx val="0"/>
          <c:order val="2"/>
          <c:tx>
            <c:strRef>
              <c:f>'Prerađivačka_FS graf'!$I$7</c:f>
              <c:strCache>
                <c:ptCount val="1"/>
                <c:pt idx="0">
                  <c:v>y</c:v>
                </c:pt>
              </c:strCache>
            </c:strRef>
          </c:tx>
          <c:spPr>
            <a:ln w="12700" cap="rnd">
              <a:solidFill>
                <a:srgbClr val="7F3F98"/>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graf'!$I$56:$I$95</c:f>
              <c:numCache>
                <c:formatCode>0.0</c:formatCode>
                <c:ptCount val="40"/>
                <c:pt idx="0">
                  <c:v>78.264925373134332</c:v>
                </c:pt>
                <c:pt idx="1">
                  <c:v>87.96641791044776</c:v>
                </c:pt>
                <c:pt idx="2">
                  <c:v>102.14552238805969</c:v>
                </c:pt>
                <c:pt idx="3">
                  <c:v>93.656716417910445</c:v>
                </c:pt>
                <c:pt idx="4">
                  <c:v>99.906716417910431</c:v>
                </c:pt>
                <c:pt idx="5">
                  <c:v>100.74626865671641</c:v>
                </c:pt>
                <c:pt idx="6">
                  <c:v>90.764925373134318</c:v>
                </c:pt>
                <c:pt idx="7">
                  <c:v>90.391791044776127</c:v>
                </c:pt>
                <c:pt idx="8">
                  <c:v>97.108208955223873</c:v>
                </c:pt>
                <c:pt idx="9">
                  <c:v>99.440298507462671</c:v>
                </c:pt>
                <c:pt idx="10">
                  <c:v>98.787313432835816</c:v>
                </c:pt>
                <c:pt idx="11">
                  <c:v>96.175373134328339</c:v>
                </c:pt>
                <c:pt idx="12">
                  <c:v>79.944029850746261</c:v>
                </c:pt>
                <c:pt idx="13">
                  <c:v>86.007462686567166</c:v>
                </c:pt>
                <c:pt idx="14">
                  <c:v>101.39925373134329</c:v>
                </c:pt>
                <c:pt idx="15">
                  <c:v>91.604477611940297</c:v>
                </c:pt>
                <c:pt idx="16">
                  <c:v>99.253731343283576</c:v>
                </c:pt>
                <c:pt idx="17">
                  <c:v>100.37313432835819</c:v>
                </c:pt>
                <c:pt idx="18">
                  <c:v>91.417910447761201</c:v>
                </c:pt>
                <c:pt idx="19">
                  <c:v>93.190298507462686</c:v>
                </c:pt>
                <c:pt idx="20">
                  <c:v>100.5597014925373</c:v>
                </c:pt>
                <c:pt idx="21">
                  <c:v>102.98507462686568</c:v>
                </c:pt>
                <c:pt idx="22">
                  <c:v>100.93283582089552</c:v>
                </c:pt>
                <c:pt idx="23">
                  <c:v>98.694029850746261</c:v>
                </c:pt>
                <c:pt idx="24">
                  <c:v>85.914179104477611</c:v>
                </c:pt>
                <c:pt idx="25">
                  <c:v>95.708955223880594</c:v>
                </c:pt>
                <c:pt idx="26">
                  <c:v>94.962686567164184</c:v>
                </c:pt>
                <c:pt idx="27">
                  <c:v>98.227611940298502</c:v>
                </c:pt>
                <c:pt idx="28">
                  <c:v>97.761194029850742</c:v>
                </c:pt>
                <c:pt idx="29">
                  <c:v>103.82462686567165</c:v>
                </c:pt>
                <c:pt idx="30">
                  <c:v>100</c:v>
                </c:pt>
                <c:pt idx="31">
                  <c:v>98.134328358208961</c:v>
                </c:pt>
                <c:pt idx="32">
                  <c:v>106.06343283582089</c:v>
                </c:pt>
                <c:pt idx="33">
                  <c:v>112.5</c:v>
                </c:pt>
                <c:pt idx="34">
                  <c:v>103.17164179104476</c:v>
                </c:pt>
                <c:pt idx="35">
                  <c:v>103.82462686567165</c:v>
                </c:pt>
                <c:pt idx="36">
                  <c:v>88.5</c:v>
                </c:pt>
                <c:pt idx="37">
                  <c:v>94.1</c:v>
                </c:pt>
                <c:pt idx="38">
                  <c:v>104.2</c:v>
                </c:pt>
                <c:pt idx="39">
                  <c:v>100.5</c:v>
                </c:pt>
              </c:numCache>
            </c:numRef>
          </c:val>
          <c:smooth val="0"/>
          <c:extLst>
            <c:ext xmlns:c16="http://schemas.microsoft.com/office/drawing/2014/chart" uri="{C3380CC4-5D6E-409C-BE32-E72D297353CC}">
              <c16:uniqueId val="{0000002D-8F3A-46D4-BF2E-13227EE251C2}"/>
            </c:ext>
          </c:extLst>
        </c:ser>
        <c:ser>
          <c:idx val="1"/>
          <c:order val="3"/>
          <c:tx>
            <c:strRef>
              <c:f>'Prerađivačka_FS graf'!$J$7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graf'!$J$56:$J$95</c:f>
              <c:numCache>
                <c:formatCode>0.0</c:formatCode>
                <c:ptCount val="40"/>
                <c:pt idx="0">
                  <c:v>92.555611473214796</c:v>
                </c:pt>
                <c:pt idx="1">
                  <c:v>97.010521848837328</c:v>
                </c:pt>
                <c:pt idx="2">
                  <c:v>100.4222745637738</c:v>
                </c:pt>
                <c:pt idx="3">
                  <c:v>96.601632558435284</c:v>
                </c:pt>
                <c:pt idx="4">
                  <c:v>96.351639812657766</c:v>
                </c:pt>
                <c:pt idx="5">
                  <c:v>94.245547160212496</c:v>
                </c:pt>
                <c:pt idx="6">
                  <c:v>92.61202441880296</c:v>
                </c:pt>
                <c:pt idx="7">
                  <c:v>92.364385230626539</c:v>
                </c:pt>
                <c:pt idx="8">
                  <c:v>92.332545176370374</c:v>
                </c:pt>
                <c:pt idx="9">
                  <c:v>92.40678687150853</c:v>
                </c:pt>
                <c:pt idx="10">
                  <c:v>94.542494668096865</c:v>
                </c:pt>
                <c:pt idx="11">
                  <c:v>94.169674497943987</c:v>
                </c:pt>
                <c:pt idx="12">
                  <c:v>94.169194976526938</c:v>
                </c:pt>
                <c:pt idx="13">
                  <c:v>95.347703247336113</c:v>
                </c:pt>
                <c:pt idx="14">
                  <c:v>98.563817086217284</c:v>
                </c:pt>
                <c:pt idx="15">
                  <c:v>96.249938527991318</c:v>
                </c:pt>
                <c:pt idx="16">
                  <c:v>94.297576887520449</c:v>
                </c:pt>
                <c:pt idx="17">
                  <c:v>95.000128686772399</c:v>
                </c:pt>
                <c:pt idx="18">
                  <c:v>93.824379219811576</c:v>
                </c:pt>
                <c:pt idx="19">
                  <c:v>95.395414023195244</c:v>
                </c:pt>
                <c:pt idx="20">
                  <c:v>96.046825223548481</c:v>
                </c:pt>
                <c:pt idx="21">
                  <c:v>96.048124613706975</c:v>
                </c:pt>
                <c:pt idx="22">
                  <c:v>95.920678374949347</c:v>
                </c:pt>
                <c:pt idx="23">
                  <c:v>97.487914683313562</c:v>
                </c:pt>
                <c:pt idx="24">
                  <c:v>97.364337425478425</c:v>
                </c:pt>
                <c:pt idx="25">
                  <c:v>99.56931436108222</c:v>
                </c:pt>
                <c:pt idx="26">
                  <c:v>94.818399144143612</c:v>
                </c:pt>
                <c:pt idx="27">
                  <c:v>96.622087633697646</c:v>
                </c:pt>
                <c:pt idx="28">
                  <c:v>98.748348402812596</c:v>
                </c:pt>
                <c:pt idx="29">
                  <c:v>100.44928425983878</c:v>
                </c:pt>
                <c:pt idx="30">
                  <c:v>100.12106379816336</c:v>
                </c:pt>
                <c:pt idx="31">
                  <c:v>101.39239317343328</c:v>
                </c:pt>
                <c:pt idx="32">
                  <c:v>102.5974025732792</c:v>
                </c:pt>
                <c:pt idx="33">
                  <c:v>102.61342913912341</c:v>
                </c:pt>
                <c:pt idx="34">
                  <c:v>100.20816317295599</c:v>
                </c:pt>
                <c:pt idx="35">
                  <c:v>102.63460699266123</c:v>
                </c:pt>
                <c:pt idx="36">
                  <c:v>102.23827080934552</c:v>
                </c:pt>
                <c:pt idx="37">
                  <c:v>100.70148775416635</c:v>
                </c:pt>
                <c:pt idx="38">
                  <c:v>103.76430013366003</c:v>
                </c:pt>
                <c:pt idx="39">
                  <c:v>102.76120319445467</c:v>
                </c:pt>
              </c:numCache>
            </c:numRef>
          </c:val>
          <c:smooth val="0"/>
          <c:extLst>
            <c:ext xmlns:c16="http://schemas.microsoft.com/office/drawing/2014/chart" uri="{C3380CC4-5D6E-409C-BE32-E72D297353CC}">
              <c16:uniqueId val="{0000002E-8F3A-46D4-BF2E-13227EE251C2}"/>
            </c:ext>
          </c:extLst>
        </c:ser>
        <c:ser>
          <c:idx val="2"/>
          <c:order val="4"/>
          <c:tx>
            <c:strRef>
              <c:f>'Prerađivačka_FS graf'!$K$7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graf'!$K$56:$K$95</c:f>
              <c:numCache>
                <c:formatCode>0.0</c:formatCode>
                <c:ptCount val="40"/>
                <c:pt idx="0">
                  <c:v>95.923434120636912</c:v>
                </c:pt>
                <c:pt idx="1">
                  <c:v>96.382289722796102</c:v>
                </c:pt>
                <c:pt idx="2">
                  <c:v>96.456244924930786</c:v>
                </c:pt>
                <c:pt idx="3">
                  <c:v>96.103941252793916</c:v>
                </c:pt>
                <c:pt idx="4">
                  <c:v>95.370690817888956</c:v>
                </c:pt>
                <c:pt idx="5">
                  <c:v>94.379113611619829</c:v>
                </c:pt>
                <c:pt idx="6">
                  <c:v>93.421763905624871</c:v>
                </c:pt>
                <c:pt idx="7">
                  <c:v>92.793069675106807</c:v>
                </c:pt>
                <c:pt idx="8">
                  <c:v>92.637112643066047</c:v>
                </c:pt>
                <c:pt idx="9">
                  <c:v>92.892062031125803</c:v>
                </c:pt>
                <c:pt idx="10">
                  <c:v>93.465005920708123</c:v>
                </c:pt>
                <c:pt idx="11">
                  <c:v>94.123915673388893</c:v>
                </c:pt>
                <c:pt idx="12">
                  <c:v>94.693337222311271</c:v>
                </c:pt>
                <c:pt idx="13">
                  <c:v>95.054987931111995</c:v>
                </c:pt>
                <c:pt idx="14">
                  <c:v>95.169572124801618</c:v>
                </c:pt>
                <c:pt idx="15">
                  <c:v>95.096066866679379</c:v>
                </c:pt>
                <c:pt idx="16">
                  <c:v>94.968816988538265</c:v>
                </c:pt>
                <c:pt idx="17">
                  <c:v>94.877985525714394</c:v>
                </c:pt>
                <c:pt idx="18">
                  <c:v>94.89515126200628</c:v>
                </c:pt>
                <c:pt idx="19">
                  <c:v>95.108019164115277</c:v>
                </c:pt>
                <c:pt idx="20">
                  <c:v>95.526934214977203</c:v>
                </c:pt>
                <c:pt idx="21">
                  <c:v>96.074190316707544</c:v>
                </c:pt>
                <c:pt idx="22">
                  <c:v>96.585259722939099</c:v>
                </c:pt>
                <c:pt idx="23">
                  <c:v>96.91134810333962</c:v>
                </c:pt>
                <c:pt idx="24">
                  <c:v>97.115864666460197</c:v>
                </c:pt>
                <c:pt idx="25">
                  <c:v>97.288436640435663</c:v>
                </c:pt>
                <c:pt idx="26">
                  <c:v>97.556459293749555</c:v>
                </c:pt>
                <c:pt idx="27">
                  <c:v>97.997030334296198</c:v>
                </c:pt>
                <c:pt idx="28">
                  <c:v>98.716505839395509</c:v>
                </c:pt>
                <c:pt idx="29">
                  <c:v>99.632193709362937</c:v>
                </c:pt>
                <c:pt idx="30">
                  <c:v>100.56823793055419</c:v>
                </c:pt>
                <c:pt idx="31">
                  <c:v>101.34578546740867</c:v>
                </c:pt>
                <c:pt idx="32">
                  <c:v>101.79971211896579</c:v>
                </c:pt>
                <c:pt idx="33">
                  <c:v>101.9452879448025</c:v>
                </c:pt>
                <c:pt idx="34">
                  <c:v>101.94472716018394</c:v>
                </c:pt>
                <c:pt idx="35">
                  <c:v>101.95837695521236</c:v>
                </c:pt>
                <c:pt idx="36">
                  <c:v>102.01665011935864</c:v>
                </c:pt>
                <c:pt idx="37">
                  <c:v>102.17920319437607</c:v>
                </c:pt>
                <c:pt idx="38">
                  <c:v>102.48965960977992</c:v>
                </c:pt>
                <c:pt idx="39">
                  <c:v>102.87351833982461</c:v>
                </c:pt>
              </c:numCache>
            </c:numRef>
          </c:val>
          <c:smooth val="0"/>
          <c:extLst>
            <c:ext xmlns:c16="http://schemas.microsoft.com/office/drawing/2014/chart" uri="{C3380CC4-5D6E-409C-BE32-E72D297353CC}">
              <c16:uniqueId val="{0000002F-8F3A-46D4-BF2E-13227EE251C2}"/>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0320"/>
        <c:crosses val="autoZero"/>
        <c:auto val="1"/>
        <c:lblOffset val="0"/>
        <c:baseTimeUnit val="months"/>
        <c:majorUnit val="12"/>
        <c:majorTimeUnit val="months"/>
      </c:dateAx>
      <c:valAx>
        <c:axId val="2092170320"/>
        <c:scaling>
          <c:orientation val="minMax"/>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112"/>
        <c:crosses val="autoZero"/>
        <c:crossBetween val="midCat"/>
        <c:majorUnit val="5"/>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077428970793064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09-4435-A49C-4D5F50EF1450}"/>
                </c:ext>
              </c:extLst>
            </c:dLbl>
            <c:dLbl>
              <c:idx val="12"/>
              <c:layout>
                <c:manualLayout>
                  <c:x val="7.20263984814391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09-4435-A49C-4D5F50EF1450}"/>
                </c:ext>
              </c:extLst>
            </c:dLbl>
            <c:dLbl>
              <c:idx val="24"/>
              <c:layout>
                <c:manualLayout>
                  <c:x val="6.0592738407698951E-2"/>
                  <c:y val="4.44704771019644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09-4435-A49C-4D5F50EF1450}"/>
                </c:ext>
              </c:extLst>
            </c:dLbl>
            <c:dLbl>
              <c:idx val="36"/>
              <c:layout>
                <c:manualLayout>
                  <c:x val="-1.0013852435112278E-2"/>
                  <c:y val="4.6556127997812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30-4509-4435-A49C-4D5F50EF145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graf'!$BV$56:$BV$95</c:f>
              <c:numCache>
                <c:formatCode>General</c:formatCode>
                <c:ptCount val="40"/>
                <c:pt idx="0">
                  <c:v>40</c:v>
                </c:pt>
                <c:pt idx="12">
                  <c:v>40</c:v>
                </c:pt>
                <c:pt idx="24">
                  <c:v>40</c:v>
                </c:pt>
                <c:pt idx="36">
                  <c:v>40</c:v>
                </c:pt>
              </c:numCache>
            </c:numRef>
          </c:val>
          <c:smooth val="0"/>
          <c:extLst>
            <c:ext xmlns:c16="http://schemas.microsoft.com/office/drawing/2014/chart" uri="{C3380CC4-5D6E-409C-BE32-E72D297353CC}">
              <c16:uniqueId val="{00000003-4509-4435-A49C-4D5F50EF1450}"/>
            </c:ext>
          </c:extLst>
        </c:ser>
        <c:ser>
          <c:idx val="4"/>
          <c:order val="1"/>
          <c:tx>
            <c:strRef>
              <c:f>'Prerađivačka_FS graf'!$BW$7</c:f>
              <c:strCache>
                <c:ptCount val="1"/>
                <c:pt idx="0">
                  <c:v>Series5</c:v>
                </c:pt>
              </c:strCache>
            </c:strRef>
          </c:tx>
          <c:spPr>
            <a:ln w="25400" cap="rnd">
              <a:noFill/>
              <a:round/>
            </a:ln>
            <a:effectLst/>
          </c:spPr>
          <c:marker>
            <c:symbol val="none"/>
          </c:marker>
          <c:dLbls>
            <c:dLbl>
              <c:idx val="0"/>
              <c:tx>
                <c:rich>
                  <a:bodyPr/>
                  <a:lstStyle/>
                  <a:p>
                    <a:fld id="{52DEB645-7BDD-4742-B392-6FC05F63F3A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4509-4435-A49C-4D5F50EF1450}"/>
                </c:ext>
              </c:extLst>
            </c:dLbl>
            <c:dLbl>
              <c:idx val="1"/>
              <c:tx>
                <c:rich>
                  <a:bodyPr/>
                  <a:lstStyle/>
                  <a:p>
                    <a:fld id="{84A4ADA6-C1F3-4634-8B07-D8F7FCD7A29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4509-4435-A49C-4D5F50EF1450}"/>
                </c:ext>
              </c:extLst>
            </c:dLbl>
            <c:dLbl>
              <c:idx val="2"/>
              <c:tx>
                <c:rich>
                  <a:bodyPr/>
                  <a:lstStyle/>
                  <a:p>
                    <a:fld id="{AF26C4C2-FF71-489D-9D22-32C1484DBD6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4509-4435-A49C-4D5F50EF1450}"/>
                </c:ext>
              </c:extLst>
            </c:dLbl>
            <c:dLbl>
              <c:idx val="3"/>
              <c:tx>
                <c:rich>
                  <a:bodyPr/>
                  <a:lstStyle/>
                  <a:p>
                    <a:fld id="{485649D6-9825-428C-8B48-D9184F57D70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509-4435-A49C-4D5F50EF1450}"/>
                </c:ext>
              </c:extLst>
            </c:dLbl>
            <c:dLbl>
              <c:idx val="4"/>
              <c:tx>
                <c:rich>
                  <a:bodyPr/>
                  <a:lstStyle/>
                  <a:p>
                    <a:fld id="{84147C88-52F2-4CDE-B35C-F188FBE7650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4509-4435-A49C-4D5F50EF1450}"/>
                </c:ext>
              </c:extLst>
            </c:dLbl>
            <c:dLbl>
              <c:idx val="5"/>
              <c:tx>
                <c:rich>
                  <a:bodyPr/>
                  <a:lstStyle/>
                  <a:p>
                    <a:fld id="{214E8D5D-6BB8-445E-957E-69862702F5B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509-4435-A49C-4D5F50EF1450}"/>
                </c:ext>
              </c:extLst>
            </c:dLbl>
            <c:dLbl>
              <c:idx val="6"/>
              <c:tx>
                <c:rich>
                  <a:bodyPr/>
                  <a:lstStyle/>
                  <a:p>
                    <a:fld id="{E75864FD-24A3-4FE7-BF07-B8651469E6F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509-4435-A49C-4D5F50EF1450}"/>
                </c:ext>
              </c:extLst>
            </c:dLbl>
            <c:dLbl>
              <c:idx val="7"/>
              <c:tx>
                <c:rich>
                  <a:bodyPr/>
                  <a:lstStyle/>
                  <a:p>
                    <a:fld id="{1AEB5A5E-2570-4356-A8E9-E860840A2C2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4509-4435-A49C-4D5F50EF1450}"/>
                </c:ext>
              </c:extLst>
            </c:dLbl>
            <c:dLbl>
              <c:idx val="8"/>
              <c:tx>
                <c:rich>
                  <a:bodyPr/>
                  <a:lstStyle/>
                  <a:p>
                    <a:fld id="{123F62C6-9B08-4B7D-8418-C945F622230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509-4435-A49C-4D5F50EF1450}"/>
                </c:ext>
              </c:extLst>
            </c:dLbl>
            <c:dLbl>
              <c:idx val="9"/>
              <c:tx>
                <c:rich>
                  <a:bodyPr/>
                  <a:lstStyle/>
                  <a:p>
                    <a:fld id="{A558D838-9FE5-460A-9F08-9DD0BA8999E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509-4435-A49C-4D5F50EF1450}"/>
                </c:ext>
              </c:extLst>
            </c:dLbl>
            <c:dLbl>
              <c:idx val="10"/>
              <c:tx>
                <c:rich>
                  <a:bodyPr/>
                  <a:lstStyle/>
                  <a:p>
                    <a:fld id="{5C393CE3-BDF7-46D6-9662-E1304C38C9E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4509-4435-A49C-4D5F50EF1450}"/>
                </c:ext>
              </c:extLst>
            </c:dLbl>
            <c:dLbl>
              <c:idx val="11"/>
              <c:tx>
                <c:rich>
                  <a:bodyPr/>
                  <a:lstStyle/>
                  <a:p>
                    <a:fld id="{413B121C-3DA8-4660-9E79-D0FE9386DCD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509-4435-A49C-4D5F50EF1450}"/>
                </c:ext>
              </c:extLst>
            </c:dLbl>
            <c:dLbl>
              <c:idx val="12"/>
              <c:tx>
                <c:rich>
                  <a:bodyPr/>
                  <a:lstStyle/>
                  <a:p>
                    <a:fld id="{C19D2FF5-8728-4FD9-AE10-29DE25FE0BB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4509-4435-A49C-4D5F50EF1450}"/>
                </c:ext>
              </c:extLst>
            </c:dLbl>
            <c:dLbl>
              <c:idx val="13"/>
              <c:tx>
                <c:rich>
                  <a:bodyPr/>
                  <a:lstStyle/>
                  <a:p>
                    <a:fld id="{5BB3F64C-CBE7-4BED-A568-E77C49085CF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4509-4435-A49C-4D5F50EF1450}"/>
                </c:ext>
              </c:extLst>
            </c:dLbl>
            <c:dLbl>
              <c:idx val="14"/>
              <c:tx>
                <c:rich>
                  <a:bodyPr/>
                  <a:lstStyle/>
                  <a:p>
                    <a:fld id="{B602975A-40B8-4EB8-820D-117013573B4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509-4435-A49C-4D5F50EF1450}"/>
                </c:ext>
              </c:extLst>
            </c:dLbl>
            <c:dLbl>
              <c:idx val="15"/>
              <c:tx>
                <c:rich>
                  <a:bodyPr/>
                  <a:lstStyle/>
                  <a:p>
                    <a:fld id="{9B31F951-DF9B-4A70-ACFC-00DC30152E6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509-4435-A49C-4D5F50EF1450}"/>
                </c:ext>
              </c:extLst>
            </c:dLbl>
            <c:dLbl>
              <c:idx val="16"/>
              <c:tx>
                <c:rich>
                  <a:bodyPr/>
                  <a:lstStyle/>
                  <a:p>
                    <a:fld id="{B7FE58D9-5CCA-4CAE-947D-571016E4C67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4509-4435-A49C-4D5F50EF1450}"/>
                </c:ext>
              </c:extLst>
            </c:dLbl>
            <c:dLbl>
              <c:idx val="17"/>
              <c:tx>
                <c:rich>
                  <a:bodyPr/>
                  <a:lstStyle/>
                  <a:p>
                    <a:fld id="{9BE21948-92D7-4605-B772-2E40273524E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509-4435-A49C-4D5F50EF1450}"/>
                </c:ext>
              </c:extLst>
            </c:dLbl>
            <c:dLbl>
              <c:idx val="18"/>
              <c:tx>
                <c:rich>
                  <a:bodyPr/>
                  <a:lstStyle/>
                  <a:p>
                    <a:fld id="{DB41E06A-1B3A-4D04-AB6E-4C08D117921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4509-4435-A49C-4D5F50EF1450}"/>
                </c:ext>
              </c:extLst>
            </c:dLbl>
            <c:dLbl>
              <c:idx val="19"/>
              <c:tx>
                <c:rich>
                  <a:bodyPr/>
                  <a:lstStyle/>
                  <a:p>
                    <a:fld id="{7056921B-8D53-4754-AE47-46A67087F88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4509-4435-A49C-4D5F50EF1450}"/>
                </c:ext>
              </c:extLst>
            </c:dLbl>
            <c:dLbl>
              <c:idx val="20"/>
              <c:tx>
                <c:rich>
                  <a:bodyPr/>
                  <a:lstStyle/>
                  <a:p>
                    <a:fld id="{1431C642-BD1E-49E5-85C3-C30D5D663C0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509-4435-A49C-4D5F50EF1450}"/>
                </c:ext>
              </c:extLst>
            </c:dLbl>
            <c:dLbl>
              <c:idx val="21"/>
              <c:tx>
                <c:rich>
                  <a:bodyPr/>
                  <a:lstStyle/>
                  <a:p>
                    <a:fld id="{5D31B211-6655-4470-B9DD-5F1B1545E06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4509-4435-A49C-4D5F50EF1450}"/>
                </c:ext>
              </c:extLst>
            </c:dLbl>
            <c:dLbl>
              <c:idx val="22"/>
              <c:tx>
                <c:rich>
                  <a:bodyPr/>
                  <a:lstStyle/>
                  <a:p>
                    <a:fld id="{C59C533F-5430-43DF-A875-48C27147B40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4509-4435-A49C-4D5F50EF1450}"/>
                </c:ext>
              </c:extLst>
            </c:dLbl>
            <c:dLbl>
              <c:idx val="23"/>
              <c:tx>
                <c:rich>
                  <a:bodyPr/>
                  <a:lstStyle/>
                  <a:p>
                    <a:fld id="{9B498A1A-A14F-41D6-805A-4373A7EECC0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509-4435-A49C-4D5F50EF1450}"/>
                </c:ext>
              </c:extLst>
            </c:dLbl>
            <c:dLbl>
              <c:idx val="24"/>
              <c:tx>
                <c:rich>
                  <a:bodyPr/>
                  <a:lstStyle/>
                  <a:p>
                    <a:fld id="{D054C870-FCAB-4F21-B031-5F77B23B0C7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4509-4435-A49C-4D5F50EF1450}"/>
                </c:ext>
              </c:extLst>
            </c:dLbl>
            <c:dLbl>
              <c:idx val="25"/>
              <c:tx>
                <c:rich>
                  <a:bodyPr/>
                  <a:lstStyle/>
                  <a:p>
                    <a:fld id="{D7373FEB-1217-4315-ABD3-BDD5857B863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4509-4435-A49C-4D5F50EF1450}"/>
                </c:ext>
              </c:extLst>
            </c:dLbl>
            <c:dLbl>
              <c:idx val="26"/>
              <c:tx>
                <c:rich>
                  <a:bodyPr/>
                  <a:lstStyle/>
                  <a:p>
                    <a:fld id="{84B52B93-6DE6-468A-A4B6-CFF531A45A4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509-4435-A49C-4D5F50EF1450}"/>
                </c:ext>
              </c:extLst>
            </c:dLbl>
            <c:dLbl>
              <c:idx val="27"/>
              <c:tx>
                <c:rich>
                  <a:bodyPr/>
                  <a:lstStyle/>
                  <a:p>
                    <a:fld id="{EA9E49B3-2B23-4989-BB15-207E609502E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4509-4435-A49C-4D5F50EF1450}"/>
                </c:ext>
              </c:extLst>
            </c:dLbl>
            <c:dLbl>
              <c:idx val="28"/>
              <c:tx>
                <c:rich>
                  <a:bodyPr/>
                  <a:lstStyle/>
                  <a:p>
                    <a:fld id="{10E64AD2-BFF9-40C1-82EE-742278A3623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4509-4435-A49C-4D5F50EF1450}"/>
                </c:ext>
              </c:extLst>
            </c:dLbl>
            <c:dLbl>
              <c:idx val="29"/>
              <c:tx>
                <c:rich>
                  <a:bodyPr/>
                  <a:lstStyle/>
                  <a:p>
                    <a:fld id="{FBC3B8AB-26C1-4C21-906E-F5FD6E626FF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509-4435-A49C-4D5F50EF1450}"/>
                </c:ext>
              </c:extLst>
            </c:dLbl>
            <c:dLbl>
              <c:idx val="30"/>
              <c:tx>
                <c:rich>
                  <a:bodyPr/>
                  <a:lstStyle/>
                  <a:p>
                    <a:fld id="{DA9263B6-95E5-44E1-8F30-964C18A4B40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4509-4435-A49C-4D5F50EF1450}"/>
                </c:ext>
              </c:extLst>
            </c:dLbl>
            <c:dLbl>
              <c:idx val="31"/>
              <c:tx>
                <c:rich>
                  <a:bodyPr/>
                  <a:lstStyle/>
                  <a:p>
                    <a:fld id="{4F41E8B5-BDD0-4D8D-9BE8-48CD21C16F4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4509-4435-A49C-4D5F50EF1450}"/>
                </c:ext>
              </c:extLst>
            </c:dLbl>
            <c:dLbl>
              <c:idx val="32"/>
              <c:tx>
                <c:rich>
                  <a:bodyPr/>
                  <a:lstStyle/>
                  <a:p>
                    <a:fld id="{030E51D4-97DB-4844-AAEE-11735D3B42C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509-4435-A49C-4D5F50EF1450}"/>
                </c:ext>
              </c:extLst>
            </c:dLbl>
            <c:dLbl>
              <c:idx val="33"/>
              <c:tx>
                <c:rich>
                  <a:bodyPr/>
                  <a:lstStyle/>
                  <a:p>
                    <a:fld id="{0892E831-287E-4B11-896C-671E069C0B2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4509-4435-A49C-4D5F50EF1450}"/>
                </c:ext>
              </c:extLst>
            </c:dLbl>
            <c:dLbl>
              <c:idx val="34"/>
              <c:tx>
                <c:rich>
                  <a:bodyPr/>
                  <a:lstStyle/>
                  <a:p>
                    <a:fld id="{3F723D8C-C59E-4EEE-8825-B3865C94D9F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4509-4435-A49C-4D5F50EF1450}"/>
                </c:ext>
              </c:extLst>
            </c:dLbl>
            <c:dLbl>
              <c:idx val="35"/>
              <c:tx>
                <c:rich>
                  <a:bodyPr/>
                  <a:lstStyle/>
                  <a:p>
                    <a:fld id="{B5AD6CBA-1DBB-4FF6-9B43-D6F6EBD0962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509-4435-A49C-4D5F50EF1450}"/>
                </c:ext>
              </c:extLst>
            </c:dLbl>
            <c:dLbl>
              <c:idx val="36"/>
              <c:tx>
                <c:rich>
                  <a:bodyPr/>
                  <a:lstStyle/>
                  <a:p>
                    <a:fld id="{A685705E-3FD5-4F38-BB25-B65DD5620A7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4509-4435-A49C-4D5F50EF1450}"/>
                </c:ext>
              </c:extLst>
            </c:dLbl>
            <c:dLbl>
              <c:idx val="37"/>
              <c:tx>
                <c:rich>
                  <a:bodyPr/>
                  <a:lstStyle/>
                  <a:p>
                    <a:fld id="{9CAB9114-9A54-42A9-BDCB-04D96FD78F2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4509-4435-A49C-4D5F50EF1450}"/>
                </c:ext>
              </c:extLst>
            </c:dLbl>
            <c:dLbl>
              <c:idx val="38"/>
              <c:tx>
                <c:rich>
                  <a:bodyPr/>
                  <a:lstStyle/>
                  <a:p>
                    <a:fld id="{EDE912A5-24B4-4F05-92CA-F81D0016B08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509-4435-A49C-4D5F50EF1450}"/>
                </c:ext>
              </c:extLst>
            </c:dLbl>
            <c:dLbl>
              <c:idx val="39"/>
              <c:tx>
                <c:rich>
                  <a:bodyPr/>
                  <a:lstStyle/>
                  <a:p>
                    <a:fld id="{9287B143-74C6-4722-B8FA-03F78B85F89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4509-4435-A49C-4D5F50EF145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graf'!$BW$56:$BW$95</c:f>
              <c:numCache>
                <c:formatCode>General</c:formatCode>
                <c:ptCount val="40"/>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numCache>
            </c:numRef>
          </c:val>
          <c:smooth val="0"/>
          <c:extLst>
            <c:ext xmlns:c15="http://schemas.microsoft.com/office/drawing/2012/chart" uri="{02D57815-91ED-43cb-92C2-25804820EDAC}">
              <c15:datalabelsRange>
                <c15:f>'Prerađivačka_FS graf'!$B$32:$B$87</c15:f>
                <c15:dlblRangeCache>
                  <c:ptCount val="56"/>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pt idx="45">
                    <c:v>X</c:v>
                  </c:pt>
                  <c:pt idx="48">
                    <c:v>I</c:v>
                  </c:pt>
                  <c:pt idx="51">
                    <c:v>IV</c:v>
                  </c:pt>
                  <c:pt idx="54">
                    <c:v>VII</c:v>
                  </c:pt>
                </c15:dlblRangeCache>
              </c15:datalabelsRange>
            </c:ext>
            <c:ext xmlns:c16="http://schemas.microsoft.com/office/drawing/2014/chart" uri="{C3380CC4-5D6E-409C-BE32-E72D297353CC}">
              <c16:uniqueId val="{0000002C-4509-4435-A49C-4D5F50EF1450}"/>
            </c:ext>
          </c:extLst>
        </c:ser>
        <c:ser>
          <c:idx val="0"/>
          <c:order val="2"/>
          <c:tx>
            <c:strRef>
              <c:f>'Prerađivačka_FS graf'!$BX$7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graf'!$BX$56:$BX$95</c:f>
              <c:numCache>
                <c:formatCode>0.0</c:formatCode>
                <c:ptCount val="40"/>
                <c:pt idx="0">
                  <c:v>82.039911308203983</c:v>
                </c:pt>
                <c:pt idx="1">
                  <c:v>88.396156688839596</c:v>
                </c:pt>
                <c:pt idx="2">
                  <c:v>96.230598669623049</c:v>
                </c:pt>
                <c:pt idx="3">
                  <c:v>94.604582409460448</c:v>
                </c:pt>
                <c:pt idx="4">
                  <c:v>76.274944567627486</c:v>
                </c:pt>
                <c:pt idx="5">
                  <c:v>93.274205469327427</c:v>
                </c:pt>
                <c:pt idx="6">
                  <c:v>92.978566149297848</c:v>
                </c:pt>
                <c:pt idx="7">
                  <c:v>88.470066518847005</c:v>
                </c:pt>
                <c:pt idx="8">
                  <c:v>91.278640059127852</c:v>
                </c:pt>
                <c:pt idx="9">
                  <c:v>104.73022912047301</c:v>
                </c:pt>
                <c:pt idx="10">
                  <c:v>95.861049519586089</c:v>
                </c:pt>
                <c:pt idx="11">
                  <c:v>112.78640059127862</c:v>
                </c:pt>
                <c:pt idx="12">
                  <c:v>98.004434589800425</c:v>
                </c:pt>
                <c:pt idx="13">
                  <c:v>88.174427198817426</c:v>
                </c:pt>
                <c:pt idx="14">
                  <c:v>98.521803399852175</c:v>
                </c:pt>
                <c:pt idx="15">
                  <c:v>95.195861049519579</c:v>
                </c:pt>
                <c:pt idx="16">
                  <c:v>72.949002217294904</c:v>
                </c:pt>
                <c:pt idx="17">
                  <c:v>79.083518107908347</c:v>
                </c:pt>
                <c:pt idx="18">
                  <c:v>92.461197339246098</c:v>
                </c:pt>
                <c:pt idx="19">
                  <c:v>105.32150776053216</c:v>
                </c:pt>
                <c:pt idx="20">
                  <c:v>91.352549889135247</c:v>
                </c:pt>
                <c:pt idx="21">
                  <c:v>106.28233555062823</c:v>
                </c:pt>
                <c:pt idx="22">
                  <c:v>97.043606799704364</c:v>
                </c:pt>
                <c:pt idx="23">
                  <c:v>93.348115299334793</c:v>
                </c:pt>
                <c:pt idx="24">
                  <c:v>96.969696969696955</c:v>
                </c:pt>
                <c:pt idx="25">
                  <c:v>101.47819660014783</c:v>
                </c:pt>
                <c:pt idx="26">
                  <c:v>104.36067997043605</c:v>
                </c:pt>
                <c:pt idx="27">
                  <c:v>100.29563932002954</c:v>
                </c:pt>
                <c:pt idx="28">
                  <c:v>94.087213599408713</c:v>
                </c:pt>
                <c:pt idx="29">
                  <c:v>91.204730229120472</c:v>
                </c:pt>
                <c:pt idx="30">
                  <c:v>97.339246119733914</c:v>
                </c:pt>
                <c:pt idx="31">
                  <c:v>100</c:v>
                </c:pt>
                <c:pt idx="32">
                  <c:v>103.39985218033998</c:v>
                </c:pt>
                <c:pt idx="33">
                  <c:v>106.72579453067257</c:v>
                </c:pt>
                <c:pt idx="34">
                  <c:v>101.69992609016998</c:v>
                </c:pt>
                <c:pt idx="35">
                  <c:v>102.51293422025127</c:v>
                </c:pt>
                <c:pt idx="36">
                  <c:v>103.5</c:v>
                </c:pt>
                <c:pt idx="37">
                  <c:v>104.8</c:v>
                </c:pt>
                <c:pt idx="38">
                  <c:v>109.4</c:v>
                </c:pt>
                <c:pt idx="39">
                  <c:v>99.8</c:v>
                </c:pt>
              </c:numCache>
            </c:numRef>
          </c:val>
          <c:smooth val="0"/>
          <c:extLst>
            <c:ext xmlns:c16="http://schemas.microsoft.com/office/drawing/2014/chart" uri="{C3380CC4-5D6E-409C-BE32-E72D297353CC}">
              <c16:uniqueId val="{0000002D-4509-4435-A49C-4D5F50EF1450}"/>
            </c:ext>
          </c:extLst>
        </c:ser>
        <c:ser>
          <c:idx val="1"/>
          <c:order val="3"/>
          <c:tx>
            <c:strRef>
              <c:f>'Prerađivačka_FS graf'!$BY$7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graf'!$BY$56:$BY$95</c:f>
              <c:numCache>
                <c:formatCode>0.0</c:formatCode>
                <c:ptCount val="40"/>
                <c:pt idx="0">
                  <c:v>81.873941670726239</c:v>
                </c:pt>
                <c:pt idx="1">
                  <c:v>88.559329190018929</c:v>
                </c:pt>
                <c:pt idx="2">
                  <c:v>89.992532227730848</c:v>
                </c:pt>
                <c:pt idx="3">
                  <c:v>93.055739921115432</c:v>
                </c:pt>
                <c:pt idx="4">
                  <c:v>90.05186245967171</c:v>
                </c:pt>
                <c:pt idx="5">
                  <c:v>103.77399843771313</c:v>
                </c:pt>
                <c:pt idx="6">
                  <c:v>94.080013971999705</c:v>
                </c:pt>
                <c:pt idx="7">
                  <c:v>86.658990005026112</c:v>
                </c:pt>
                <c:pt idx="8">
                  <c:v>90.152138522734134</c:v>
                </c:pt>
                <c:pt idx="9">
                  <c:v>96.809733128217019</c:v>
                </c:pt>
                <c:pt idx="10">
                  <c:v>92.632158925809307</c:v>
                </c:pt>
                <c:pt idx="11">
                  <c:v>110.76192349565893</c:v>
                </c:pt>
                <c:pt idx="12">
                  <c:v>97.35235456606992</c:v>
                </c:pt>
                <c:pt idx="13">
                  <c:v>87.429488188185587</c:v>
                </c:pt>
                <c:pt idx="14">
                  <c:v>92.05674688630863</c:v>
                </c:pt>
                <c:pt idx="15">
                  <c:v>93.686610473528731</c:v>
                </c:pt>
                <c:pt idx="16">
                  <c:v>86.134888744777072</c:v>
                </c:pt>
                <c:pt idx="17">
                  <c:v>88.053161324814994</c:v>
                </c:pt>
                <c:pt idx="18">
                  <c:v>93.338949842220742</c:v>
                </c:pt>
                <c:pt idx="19">
                  <c:v>103.84833657130046</c:v>
                </c:pt>
                <c:pt idx="20">
                  <c:v>90.61035101077438</c:v>
                </c:pt>
                <c:pt idx="21">
                  <c:v>97.81050625982553</c:v>
                </c:pt>
                <c:pt idx="22">
                  <c:v>94.080296279415336</c:v>
                </c:pt>
                <c:pt idx="23">
                  <c:v>91.802601243513081</c:v>
                </c:pt>
                <c:pt idx="24">
                  <c:v>95.837166148918968</c:v>
                </c:pt>
                <c:pt idx="25">
                  <c:v>100.40866663792907</c:v>
                </c:pt>
                <c:pt idx="26">
                  <c:v>97.391487453336723</c:v>
                </c:pt>
                <c:pt idx="27">
                  <c:v>98.933124582590366</c:v>
                </c:pt>
                <c:pt idx="28">
                  <c:v>110.82286686368907</c:v>
                </c:pt>
                <c:pt idx="29">
                  <c:v>101.80362447034629</c:v>
                </c:pt>
                <c:pt idx="30">
                  <c:v>98.195701954460162</c:v>
                </c:pt>
                <c:pt idx="31">
                  <c:v>98.805526127364587</c:v>
                </c:pt>
                <c:pt idx="32">
                  <c:v>102.81885096715202</c:v>
                </c:pt>
                <c:pt idx="33">
                  <c:v>97.810708349861088</c:v>
                </c:pt>
                <c:pt idx="34">
                  <c:v>98.972256465036978</c:v>
                </c:pt>
                <c:pt idx="35">
                  <c:v>100.68103373977497</c:v>
                </c:pt>
                <c:pt idx="36">
                  <c:v>102.05218159498473</c:v>
                </c:pt>
                <c:pt idx="37">
                  <c:v>103.52128990358433</c:v>
                </c:pt>
                <c:pt idx="38">
                  <c:v>102.13343281303743</c:v>
                </c:pt>
                <c:pt idx="39">
                  <c:v>98.601614119771625</c:v>
                </c:pt>
              </c:numCache>
            </c:numRef>
          </c:val>
          <c:smooth val="0"/>
          <c:extLst>
            <c:ext xmlns:c16="http://schemas.microsoft.com/office/drawing/2014/chart" uri="{C3380CC4-5D6E-409C-BE32-E72D297353CC}">
              <c16:uniqueId val="{0000002E-4509-4435-A49C-4D5F50EF1450}"/>
            </c:ext>
          </c:extLst>
        </c:ser>
        <c:ser>
          <c:idx val="2"/>
          <c:order val="4"/>
          <c:tx>
            <c:strRef>
              <c:f>'Prerađivačka_FS graf'!$BZ$7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graf'!$BZ$56:$BZ$95</c:f>
              <c:numCache>
                <c:formatCode>0.0</c:formatCode>
                <c:ptCount val="40"/>
                <c:pt idx="0">
                  <c:v>86.468435803662373</c:v>
                </c:pt>
                <c:pt idx="1">
                  <c:v>87.544717390982342</c:v>
                </c:pt>
                <c:pt idx="2">
                  <c:v>88.672293694649809</c:v>
                </c:pt>
                <c:pt idx="3">
                  <c:v>89.811459837465748</c:v>
                </c:pt>
                <c:pt idx="4">
                  <c:v>90.900448221547222</c:v>
                </c:pt>
                <c:pt idx="5">
                  <c:v>91.889119809631296</c:v>
                </c:pt>
                <c:pt idx="6">
                  <c:v>92.745839764803947</c:v>
                </c:pt>
                <c:pt idx="7">
                  <c:v>93.41638815626095</c:v>
                </c:pt>
                <c:pt idx="8">
                  <c:v>93.846408099852766</c:v>
                </c:pt>
                <c:pt idx="9">
                  <c:v>94.023510837184915</c:v>
                </c:pt>
                <c:pt idx="10">
                  <c:v>93.956224884121937</c:v>
                </c:pt>
                <c:pt idx="11">
                  <c:v>93.671840131965737</c:v>
                </c:pt>
                <c:pt idx="12">
                  <c:v>93.269245660692633</c:v>
                </c:pt>
                <c:pt idx="13">
                  <c:v>92.806177072514643</c:v>
                </c:pt>
                <c:pt idx="14">
                  <c:v>92.306573048436007</c:v>
                </c:pt>
                <c:pt idx="15">
                  <c:v>91.84518536842036</c:v>
                </c:pt>
                <c:pt idx="16">
                  <c:v>91.505522430806579</c:v>
                </c:pt>
                <c:pt idx="17">
                  <c:v>91.361272553921353</c:v>
                </c:pt>
                <c:pt idx="18">
                  <c:v>91.455059311042334</c:v>
                </c:pt>
                <c:pt idx="19">
                  <c:v>91.836363204359529</c:v>
                </c:pt>
                <c:pt idx="20">
                  <c:v>92.516878904383788</c:v>
                </c:pt>
                <c:pt idx="21">
                  <c:v>93.422978421664482</c:v>
                </c:pt>
                <c:pt idx="22">
                  <c:v>94.465896077314497</c:v>
                </c:pt>
                <c:pt idx="23">
                  <c:v>95.56852839142401</c:v>
                </c:pt>
                <c:pt idx="24">
                  <c:v>96.627313639362782</c:v>
                </c:pt>
                <c:pt idx="25">
                  <c:v>97.571152554802538</c:v>
                </c:pt>
                <c:pt idx="26">
                  <c:v>98.360716691090246</c:v>
                </c:pt>
                <c:pt idx="27">
                  <c:v>98.974783233740155</c:v>
                </c:pt>
                <c:pt idx="28">
                  <c:v>99.44914134219681</c:v>
                </c:pt>
                <c:pt idx="29">
                  <c:v>99.799291786052279</c:v>
                </c:pt>
                <c:pt idx="30">
                  <c:v>100.02473356674891</c:v>
                </c:pt>
                <c:pt idx="31">
                  <c:v>100.15173804924095</c:v>
                </c:pt>
                <c:pt idx="32">
                  <c:v>100.23235891397978</c:v>
                </c:pt>
                <c:pt idx="33">
                  <c:v>100.31708887828027</c:v>
                </c:pt>
                <c:pt idx="34">
                  <c:v>100.46038737614548</c:v>
                </c:pt>
                <c:pt idx="35">
                  <c:v>100.72407181543046</c:v>
                </c:pt>
                <c:pt idx="36">
                  <c:v>101.11631183544644</c:v>
                </c:pt>
                <c:pt idx="37">
                  <c:v>101.63254515745908</c:v>
                </c:pt>
                <c:pt idx="38">
                  <c:v>102.2813663250099</c:v>
                </c:pt>
                <c:pt idx="39">
                  <c:v>103.03838819398867</c:v>
                </c:pt>
              </c:numCache>
            </c:numRef>
          </c:val>
          <c:smooth val="0"/>
          <c:extLst>
            <c:ext xmlns:c16="http://schemas.microsoft.com/office/drawing/2014/chart" uri="{C3380CC4-5D6E-409C-BE32-E72D297353CC}">
              <c16:uniqueId val="{0000002F-4509-4435-A49C-4D5F50EF1450}"/>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graf'!$CA$7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077428970793064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94-43A6-8888-993F1DF1E895}"/>
                </c:ext>
              </c:extLst>
            </c:dLbl>
            <c:dLbl>
              <c:idx val="12"/>
              <c:layout>
                <c:manualLayout>
                  <c:x val="7.20263984814391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94-43A6-8888-993F1DF1E895}"/>
                </c:ext>
              </c:extLst>
            </c:dLbl>
            <c:dLbl>
              <c:idx val="24"/>
              <c:layout>
                <c:manualLayout>
                  <c:x val="6.9851997666958127E-2"/>
                  <c:y val="3.657781727560298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94-43A6-8888-993F1DF1E895}"/>
                </c:ext>
              </c:extLst>
            </c:dLbl>
            <c:dLbl>
              <c:idx val="36"/>
              <c:layout>
                <c:manualLayout>
                  <c:x val="-7.5459317585301836E-4"/>
                  <c:y val="4.655612799781242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30-2194-43A6-8888-993F1DF1E89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graf'!$CA$56:$CA$95</c:f>
              <c:numCache>
                <c:formatCode>General</c:formatCode>
                <c:ptCount val="40"/>
                <c:pt idx="0">
                  <c:v>60</c:v>
                </c:pt>
                <c:pt idx="12">
                  <c:v>60</c:v>
                </c:pt>
                <c:pt idx="24">
                  <c:v>60</c:v>
                </c:pt>
                <c:pt idx="36">
                  <c:v>60</c:v>
                </c:pt>
              </c:numCache>
            </c:numRef>
          </c:val>
          <c:smooth val="0"/>
          <c:extLst>
            <c:ext xmlns:c16="http://schemas.microsoft.com/office/drawing/2014/chart" uri="{C3380CC4-5D6E-409C-BE32-E72D297353CC}">
              <c16:uniqueId val="{00000003-2194-43A6-8888-993F1DF1E895}"/>
            </c:ext>
          </c:extLst>
        </c:ser>
        <c:ser>
          <c:idx val="4"/>
          <c:order val="1"/>
          <c:tx>
            <c:strRef>
              <c:f>'Prerađivačka_FS graf'!$CB$7</c:f>
              <c:strCache>
                <c:ptCount val="1"/>
                <c:pt idx="0">
                  <c:v>Series5</c:v>
                </c:pt>
              </c:strCache>
            </c:strRef>
          </c:tx>
          <c:spPr>
            <a:ln w="25400" cap="rnd">
              <a:noFill/>
              <a:round/>
            </a:ln>
            <a:effectLst/>
          </c:spPr>
          <c:marker>
            <c:symbol val="none"/>
          </c:marker>
          <c:dLbls>
            <c:dLbl>
              <c:idx val="0"/>
              <c:tx>
                <c:rich>
                  <a:bodyPr/>
                  <a:lstStyle/>
                  <a:p>
                    <a:fld id="{7D5663B9-0C37-4F5B-87B8-3B09FA04032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2194-43A6-8888-993F1DF1E895}"/>
                </c:ext>
              </c:extLst>
            </c:dLbl>
            <c:dLbl>
              <c:idx val="1"/>
              <c:tx>
                <c:rich>
                  <a:bodyPr/>
                  <a:lstStyle/>
                  <a:p>
                    <a:fld id="{D98C48D8-0E12-43A4-8466-B8C2E8F9729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194-43A6-8888-993F1DF1E895}"/>
                </c:ext>
              </c:extLst>
            </c:dLbl>
            <c:dLbl>
              <c:idx val="2"/>
              <c:tx>
                <c:rich>
                  <a:bodyPr/>
                  <a:lstStyle/>
                  <a:p>
                    <a:fld id="{4D87C295-2743-4C9A-95C1-1E7AC5AC651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2194-43A6-8888-993F1DF1E895}"/>
                </c:ext>
              </c:extLst>
            </c:dLbl>
            <c:dLbl>
              <c:idx val="3"/>
              <c:tx>
                <c:rich>
                  <a:bodyPr/>
                  <a:lstStyle/>
                  <a:p>
                    <a:fld id="{91EDF77F-A925-42C6-A46B-5C5DE5A3D67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194-43A6-8888-993F1DF1E895}"/>
                </c:ext>
              </c:extLst>
            </c:dLbl>
            <c:dLbl>
              <c:idx val="4"/>
              <c:tx>
                <c:rich>
                  <a:bodyPr/>
                  <a:lstStyle/>
                  <a:p>
                    <a:fld id="{5A466EA4-5D55-4F68-B85B-8B0CBC1AD75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2194-43A6-8888-993F1DF1E895}"/>
                </c:ext>
              </c:extLst>
            </c:dLbl>
            <c:dLbl>
              <c:idx val="5"/>
              <c:tx>
                <c:rich>
                  <a:bodyPr/>
                  <a:lstStyle/>
                  <a:p>
                    <a:fld id="{1BFA8EA9-80C8-448B-B333-3D914BC6D7D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2194-43A6-8888-993F1DF1E895}"/>
                </c:ext>
              </c:extLst>
            </c:dLbl>
            <c:dLbl>
              <c:idx val="6"/>
              <c:tx>
                <c:rich>
                  <a:bodyPr/>
                  <a:lstStyle/>
                  <a:p>
                    <a:fld id="{4E9A80AB-3FC9-4CCF-9C23-D85EB19C7D3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194-43A6-8888-993F1DF1E895}"/>
                </c:ext>
              </c:extLst>
            </c:dLbl>
            <c:dLbl>
              <c:idx val="7"/>
              <c:tx>
                <c:rich>
                  <a:bodyPr/>
                  <a:lstStyle/>
                  <a:p>
                    <a:fld id="{C36FE90A-D152-4CCC-B578-DD71C9F7E5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194-43A6-8888-993F1DF1E895}"/>
                </c:ext>
              </c:extLst>
            </c:dLbl>
            <c:dLbl>
              <c:idx val="8"/>
              <c:tx>
                <c:rich>
                  <a:bodyPr/>
                  <a:lstStyle/>
                  <a:p>
                    <a:fld id="{EDF2D729-ABDE-4AC2-AE7D-F19327A9B81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2194-43A6-8888-993F1DF1E895}"/>
                </c:ext>
              </c:extLst>
            </c:dLbl>
            <c:dLbl>
              <c:idx val="9"/>
              <c:tx>
                <c:rich>
                  <a:bodyPr/>
                  <a:lstStyle/>
                  <a:p>
                    <a:fld id="{7FA1386C-851F-422A-89DE-3CFE79A14A3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194-43A6-8888-993F1DF1E895}"/>
                </c:ext>
              </c:extLst>
            </c:dLbl>
            <c:dLbl>
              <c:idx val="10"/>
              <c:tx>
                <c:rich>
                  <a:bodyPr/>
                  <a:lstStyle/>
                  <a:p>
                    <a:fld id="{82AB9462-D515-4B5B-B669-6F086104FFF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2194-43A6-8888-993F1DF1E895}"/>
                </c:ext>
              </c:extLst>
            </c:dLbl>
            <c:dLbl>
              <c:idx val="11"/>
              <c:tx>
                <c:rich>
                  <a:bodyPr/>
                  <a:lstStyle/>
                  <a:p>
                    <a:fld id="{E375BAE7-070B-4E51-8C8E-237A0E594CD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2194-43A6-8888-993F1DF1E895}"/>
                </c:ext>
              </c:extLst>
            </c:dLbl>
            <c:dLbl>
              <c:idx val="12"/>
              <c:tx>
                <c:rich>
                  <a:bodyPr/>
                  <a:lstStyle/>
                  <a:p>
                    <a:fld id="{1B848B6A-B47E-4AA3-B44F-0BDB12CE9C1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194-43A6-8888-993F1DF1E895}"/>
                </c:ext>
              </c:extLst>
            </c:dLbl>
            <c:dLbl>
              <c:idx val="13"/>
              <c:tx>
                <c:rich>
                  <a:bodyPr/>
                  <a:lstStyle/>
                  <a:p>
                    <a:fld id="{357523BB-F56A-49B2-9C9B-244CB61715E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2194-43A6-8888-993F1DF1E895}"/>
                </c:ext>
              </c:extLst>
            </c:dLbl>
            <c:dLbl>
              <c:idx val="14"/>
              <c:tx>
                <c:rich>
                  <a:bodyPr/>
                  <a:lstStyle/>
                  <a:p>
                    <a:fld id="{337FF306-AFF7-45C7-8488-9A5FCCB00AF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2194-43A6-8888-993F1DF1E895}"/>
                </c:ext>
              </c:extLst>
            </c:dLbl>
            <c:dLbl>
              <c:idx val="15"/>
              <c:tx>
                <c:rich>
                  <a:bodyPr/>
                  <a:lstStyle/>
                  <a:p>
                    <a:fld id="{9B4ABDDD-EE69-4144-88EF-6274833CD6A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194-43A6-8888-993F1DF1E895}"/>
                </c:ext>
              </c:extLst>
            </c:dLbl>
            <c:dLbl>
              <c:idx val="16"/>
              <c:tx>
                <c:rich>
                  <a:bodyPr/>
                  <a:lstStyle/>
                  <a:p>
                    <a:fld id="{6C5BB116-ED12-4051-91E4-9A004DE62B1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2194-43A6-8888-993F1DF1E895}"/>
                </c:ext>
              </c:extLst>
            </c:dLbl>
            <c:dLbl>
              <c:idx val="17"/>
              <c:tx>
                <c:rich>
                  <a:bodyPr/>
                  <a:lstStyle/>
                  <a:p>
                    <a:fld id="{14F73DAE-B2A8-4FF8-BCE4-982D2A5CBBB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2194-43A6-8888-993F1DF1E895}"/>
                </c:ext>
              </c:extLst>
            </c:dLbl>
            <c:dLbl>
              <c:idx val="18"/>
              <c:tx>
                <c:rich>
                  <a:bodyPr/>
                  <a:lstStyle/>
                  <a:p>
                    <a:fld id="{C4A31DE9-841D-47AA-A111-E36CF3B6FE6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194-43A6-8888-993F1DF1E895}"/>
                </c:ext>
              </c:extLst>
            </c:dLbl>
            <c:dLbl>
              <c:idx val="19"/>
              <c:tx>
                <c:rich>
                  <a:bodyPr/>
                  <a:lstStyle/>
                  <a:p>
                    <a:fld id="{412261CA-66AA-4A60-8833-B39399C7924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2194-43A6-8888-993F1DF1E895}"/>
                </c:ext>
              </c:extLst>
            </c:dLbl>
            <c:dLbl>
              <c:idx val="20"/>
              <c:tx>
                <c:rich>
                  <a:bodyPr/>
                  <a:lstStyle/>
                  <a:p>
                    <a:fld id="{B7D2B132-03DD-40DF-8915-46C8B3003B1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2194-43A6-8888-993F1DF1E895}"/>
                </c:ext>
              </c:extLst>
            </c:dLbl>
            <c:dLbl>
              <c:idx val="21"/>
              <c:tx>
                <c:rich>
                  <a:bodyPr/>
                  <a:lstStyle/>
                  <a:p>
                    <a:fld id="{E6BCCDE0-CF16-403C-8A7C-E221B38B91D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194-43A6-8888-993F1DF1E895}"/>
                </c:ext>
              </c:extLst>
            </c:dLbl>
            <c:dLbl>
              <c:idx val="22"/>
              <c:tx>
                <c:rich>
                  <a:bodyPr/>
                  <a:lstStyle/>
                  <a:p>
                    <a:fld id="{2CA883B0-EAD4-42B3-BB2A-E4394AB0FB5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2194-43A6-8888-993F1DF1E895}"/>
                </c:ext>
              </c:extLst>
            </c:dLbl>
            <c:dLbl>
              <c:idx val="23"/>
              <c:tx>
                <c:rich>
                  <a:bodyPr/>
                  <a:lstStyle/>
                  <a:p>
                    <a:fld id="{4F9545F7-2245-4817-A33B-539E992CD1E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2194-43A6-8888-993F1DF1E895}"/>
                </c:ext>
              </c:extLst>
            </c:dLbl>
            <c:dLbl>
              <c:idx val="24"/>
              <c:tx>
                <c:rich>
                  <a:bodyPr/>
                  <a:lstStyle/>
                  <a:p>
                    <a:fld id="{FEB19767-BD57-44CB-BAE8-5D5EF1FDF9E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194-43A6-8888-993F1DF1E895}"/>
                </c:ext>
              </c:extLst>
            </c:dLbl>
            <c:dLbl>
              <c:idx val="25"/>
              <c:tx>
                <c:rich>
                  <a:bodyPr/>
                  <a:lstStyle/>
                  <a:p>
                    <a:fld id="{F0598A11-44AA-4618-A063-CF2DB18AF17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2194-43A6-8888-993F1DF1E895}"/>
                </c:ext>
              </c:extLst>
            </c:dLbl>
            <c:dLbl>
              <c:idx val="26"/>
              <c:tx>
                <c:rich>
                  <a:bodyPr/>
                  <a:lstStyle/>
                  <a:p>
                    <a:fld id="{D1D5FE55-BBA0-47D4-BEEB-4CCA65AF71E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2194-43A6-8888-993F1DF1E895}"/>
                </c:ext>
              </c:extLst>
            </c:dLbl>
            <c:dLbl>
              <c:idx val="27"/>
              <c:tx>
                <c:rich>
                  <a:bodyPr/>
                  <a:lstStyle/>
                  <a:p>
                    <a:fld id="{10D7C402-1F8B-4F8E-8BC2-144D465BF75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194-43A6-8888-993F1DF1E895}"/>
                </c:ext>
              </c:extLst>
            </c:dLbl>
            <c:dLbl>
              <c:idx val="28"/>
              <c:tx>
                <c:rich>
                  <a:bodyPr/>
                  <a:lstStyle/>
                  <a:p>
                    <a:fld id="{8BC14D9E-7FC6-4CB4-89F8-8611120712A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2194-43A6-8888-993F1DF1E895}"/>
                </c:ext>
              </c:extLst>
            </c:dLbl>
            <c:dLbl>
              <c:idx val="29"/>
              <c:tx>
                <c:rich>
                  <a:bodyPr/>
                  <a:lstStyle/>
                  <a:p>
                    <a:fld id="{0B1961DE-5732-4BB8-B173-DA1348CDBE3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2194-43A6-8888-993F1DF1E895}"/>
                </c:ext>
              </c:extLst>
            </c:dLbl>
            <c:dLbl>
              <c:idx val="30"/>
              <c:tx>
                <c:rich>
                  <a:bodyPr/>
                  <a:lstStyle/>
                  <a:p>
                    <a:fld id="{02063DDF-ABCD-4D72-9A54-02C88B8D9A3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194-43A6-8888-993F1DF1E895}"/>
                </c:ext>
              </c:extLst>
            </c:dLbl>
            <c:dLbl>
              <c:idx val="31"/>
              <c:tx>
                <c:rich>
                  <a:bodyPr/>
                  <a:lstStyle/>
                  <a:p>
                    <a:fld id="{1EECE1DD-63EB-46F3-BB8C-5090B8E9F9C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2194-43A6-8888-993F1DF1E895}"/>
                </c:ext>
              </c:extLst>
            </c:dLbl>
            <c:dLbl>
              <c:idx val="32"/>
              <c:tx>
                <c:rich>
                  <a:bodyPr/>
                  <a:lstStyle/>
                  <a:p>
                    <a:fld id="{F64A59CD-1292-4AB1-8D70-A2499A4135F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2194-43A6-8888-993F1DF1E895}"/>
                </c:ext>
              </c:extLst>
            </c:dLbl>
            <c:dLbl>
              <c:idx val="33"/>
              <c:tx>
                <c:rich>
                  <a:bodyPr/>
                  <a:lstStyle/>
                  <a:p>
                    <a:fld id="{81E7F737-38C0-45C2-8C30-D8D1B2E7E12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2194-43A6-8888-993F1DF1E895}"/>
                </c:ext>
              </c:extLst>
            </c:dLbl>
            <c:dLbl>
              <c:idx val="34"/>
              <c:tx>
                <c:rich>
                  <a:bodyPr/>
                  <a:lstStyle/>
                  <a:p>
                    <a:fld id="{AC2D4050-BA9E-4B87-8FA5-A0C1D549A78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2194-43A6-8888-993F1DF1E895}"/>
                </c:ext>
              </c:extLst>
            </c:dLbl>
            <c:dLbl>
              <c:idx val="35"/>
              <c:tx>
                <c:rich>
                  <a:bodyPr/>
                  <a:lstStyle/>
                  <a:p>
                    <a:fld id="{10AB99CD-705A-42F1-827D-F7CE1EB7C6C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2194-43A6-8888-993F1DF1E895}"/>
                </c:ext>
              </c:extLst>
            </c:dLbl>
            <c:dLbl>
              <c:idx val="36"/>
              <c:tx>
                <c:rich>
                  <a:bodyPr/>
                  <a:lstStyle/>
                  <a:p>
                    <a:fld id="{862CB7D4-837C-40C3-8AEA-CDA920D6D81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2194-43A6-8888-993F1DF1E895}"/>
                </c:ext>
              </c:extLst>
            </c:dLbl>
            <c:dLbl>
              <c:idx val="37"/>
              <c:tx>
                <c:rich>
                  <a:bodyPr/>
                  <a:lstStyle/>
                  <a:p>
                    <a:fld id="{BB2635A5-A1D6-4606-8B24-147865B5B14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2194-43A6-8888-993F1DF1E895}"/>
                </c:ext>
              </c:extLst>
            </c:dLbl>
            <c:dLbl>
              <c:idx val="38"/>
              <c:tx>
                <c:rich>
                  <a:bodyPr/>
                  <a:lstStyle/>
                  <a:p>
                    <a:fld id="{B556735F-0713-44E3-A29E-64088795888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2194-43A6-8888-993F1DF1E895}"/>
                </c:ext>
              </c:extLst>
            </c:dLbl>
            <c:dLbl>
              <c:idx val="39"/>
              <c:tx>
                <c:rich>
                  <a:bodyPr/>
                  <a:lstStyle/>
                  <a:p>
                    <a:fld id="{2AE60DBC-327F-4CEC-B6C9-8462A056EB9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2194-43A6-8888-993F1DF1E89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graf'!$CB$56:$CB$95</c:f>
              <c:numCache>
                <c:formatCode>General</c:formatCode>
                <c:ptCount val="40"/>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2194-43A6-8888-993F1DF1E895}"/>
            </c:ext>
          </c:extLst>
        </c:ser>
        <c:ser>
          <c:idx val="0"/>
          <c:order val="2"/>
          <c:tx>
            <c:strRef>
              <c:f>'Prerađivačka_FS graf'!$CC$7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graf'!$CC$56:$CC$95</c:f>
              <c:numCache>
                <c:formatCode>0.0</c:formatCode>
                <c:ptCount val="40"/>
                <c:pt idx="0">
                  <c:v>105.01022494887526</c:v>
                </c:pt>
                <c:pt idx="1">
                  <c:v>91.308793456032717</c:v>
                </c:pt>
                <c:pt idx="2">
                  <c:v>108.58895705521473</c:v>
                </c:pt>
                <c:pt idx="3">
                  <c:v>96.216768916155416</c:v>
                </c:pt>
                <c:pt idx="4">
                  <c:v>79.243353783231086</c:v>
                </c:pt>
                <c:pt idx="5">
                  <c:v>80.674846625766889</c:v>
                </c:pt>
                <c:pt idx="6">
                  <c:v>87.321063394683023</c:v>
                </c:pt>
                <c:pt idx="7">
                  <c:v>85.480572597137012</c:v>
                </c:pt>
                <c:pt idx="8">
                  <c:v>85.480572597137012</c:v>
                </c:pt>
                <c:pt idx="9">
                  <c:v>95.807770961145195</c:v>
                </c:pt>
                <c:pt idx="10">
                  <c:v>104.80572597137015</c:v>
                </c:pt>
                <c:pt idx="11">
                  <c:v>119.42740286298567</c:v>
                </c:pt>
                <c:pt idx="12">
                  <c:v>118.09815950920246</c:v>
                </c:pt>
                <c:pt idx="13">
                  <c:v>118.40490797546013</c:v>
                </c:pt>
                <c:pt idx="14">
                  <c:v>124.84662576687116</c:v>
                </c:pt>
                <c:pt idx="15">
                  <c:v>110.22494887525562</c:v>
                </c:pt>
                <c:pt idx="16">
                  <c:v>92.944785276073631</c:v>
                </c:pt>
                <c:pt idx="17">
                  <c:v>91.002044989775058</c:v>
                </c:pt>
                <c:pt idx="18">
                  <c:v>98.3640081799591</c:v>
                </c:pt>
                <c:pt idx="19">
                  <c:v>99.795501022494875</c:v>
                </c:pt>
                <c:pt idx="20">
                  <c:v>88.752556237218812</c:v>
                </c:pt>
                <c:pt idx="21">
                  <c:v>97.648261758691206</c:v>
                </c:pt>
                <c:pt idx="22">
                  <c:v>115.6441717791411</c:v>
                </c:pt>
                <c:pt idx="23">
                  <c:v>127.70961145194275</c:v>
                </c:pt>
                <c:pt idx="24">
                  <c:v>132.51533742331287</c:v>
                </c:pt>
                <c:pt idx="25">
                  <c:v>114.82617586912065</c:v>
                </c:pt>
                <c:pt idx="26">
                  <c:v>114.82617586912065</c:v>
                </c:pt>
                <c:pt idx="27">
                  <c:v>93.660531697341511</c:v>
                </c:pt>
                <c:pt idx="28">
                  <c:v>84.355828220858896</c:v>
                </c:pt>
                <c:pt idx="29">
                  <c:v>83.946830265848675</c:v>
                </c:pt>
                <c:pt idx="30">
                  <c:v>83.640081799591002</c:v>
                </c:pt>
                <c:pt idx="31">
                  <c:v>83.435582822085891</c:v>
                </c:pt>
                <c:pt idx="32">
                  <c:v>81.595092024539866</c:v>
                </c:pt>
                <c:pt idx="33">
                  <c:v>105.21472392638039</c:v>
                </c:pt>
                <c:pt idx="34">
                  <c:v>108.99795501022496</c:v>
                </c:pt>
                <c:pt idx="35">
                  <c:v>112.47443762781187</c:v>
                </c:pt>
                <c:pt idx="36">
                  <c:v>120.5</c:v>
                </c:pt>
                <c:pt idx="37">
                  <c:v>113.6</c:v>
                </c:pt>
                <c:pt idx="38">
                  <c:v>107.6</c:v>
                </c:pt>
                <c:pt idx="39">
                  <c:v>93.8</c:v>
                </c:pt>
              </c:numCache>
            </c:numRef>
          </c:val>
          <c:smooth val="0"/>
          <c:extLst>
            <c:ext xmlns:c16="http://schemas.microsoft.com/office/drawing/2014/chart" uri="{C3380CC4-5D6E-409C-BE32-E72D297353CC}">
              <c16:uniqueId val="{0000002D-2194-43A6-8888-993F1DF1E895}"/>
            </c:ext>
          </c:extLst>
        </c:ser>
        <c:ser>
          <c:idx val="1"/>
          <c:order val="3"/>
          <c:tx>
            <c:strRef>
              <c:f>'Prerađivačka_FS graf'!$CD$7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graf'!$CD$56:$CD$95</c:f>
              <c:numCache>
                <c:formatCode>0.0</c:formatCode>
                <c:ptCount val="40"/>
                <c:pt idx="0">
                  <c:v>87.679108106453413</c:v>
                </c:pt>
                <c:pt idx="1">
                  <c:v>78.472623435877424</c:v>
                </c:pt>
                <c:pt idx="2">
                  <c:v>91.492564937749592</c:v>
                </c:pt>
                <c:pt idx="3">
                  <c:v>98.212839744649401</c:v>
                </c:pt>
                <c:pt idx="4">
                  <c:v>93.306292059871581</c:v>
                </c:pt>
                <c:pt idx="5">
                  <c:v>96.281933942335144</c:v>
                </c:pt>
                <c:pt idx="6">
                  <c:v>98.250328205125811</c:v>
                </c:pt>
                <c:pt idx="7">
                  <c:v>95.769742081100759</c:v>
                </c:pt>
                <c:pt idx="8">
                  <c:v>100.29153280493435</c:v>
                </c:pt>
                <c:pt idx="9">
                  <c:v>96.723766146775787</c:v>
                </c:pt>
                <c:pt idx="10">
                  <c:v>99.66443377235602</c:v>
                </c:pt>
                <c:pt idx="11">
                  <c:v>102.36796445313762</c:v>
                </c:pt>
                <c:pt idx="12">
                  <c:v>99.952142535035335</c:v>
                </c:pt>
                <c:pt idx="13">
                  <c:v>105.46711895783815</c:v>
                </c:pt>
                <c:pt idx="14">
                  <c:v>108.90402331505022</c:v>
                </c:pt>
                <c:pt idx="15">
                  <c:v>112.57758858338354</c:v>
                </c:pt>
                <c:pt idx="16">
                  <c:v>107.39840442354603</c:v>
                </c:pt>
                <c:pt idx="17">
                  <c:v>106.87126376797181</c:v>
                </c:pt>
                <c:pt idx="18">
                  <c:v>109.4608467613357</c:v>
                </c:pt>
                <c:pt idx="19">
                  <c:v>110.78682014698495</c:v>
                </c:pt>
                <c:pt idx="20">
                  <c:v>103.60381105281697</c:v>
                </c:pt>
                <c:pt idx="21">
                  <c:v>98.425997268324394</c:v>
                </c:pt>
                <c:pt idx="22">
                  <c:v>109.06545476339878</c:v>
                </c:pt>
                <c:pt idx="23">
                  <c:v>110.47442389735573</c:v>
                </c:pt>
                <c:pt idx="24">
                  <c:v>113.44302660647659</c:v>
                </c:pt>
                <c:pt idx="25">
                  <c:v>101.80655726500916</c:v>
                </c:pt>
                <c:pt idx="26">
                  <c:v>99.987760683049544</c:v>
                </c:pt>
                <c:pt idx="27">
                  <c:v>96.330783748437867</c:v>
                </c:pt>
                <c:pt idx="28">
                  <c:v>98.732768327172806</c:v>
                </c:pt>
                <c:pt idx="29">
                  <c:v>99.925539180838669</c:v>
                </c:pt>
                <c:pt idx="30">
                  <c:v>95.121953282972811</c:v>
                </c:pt>
                <c:pt idx="31">
                  <c:v>94.951728678753781</c:v>
                </c:pt>
                <c:pt idx="32">
                  <c:v>96.605998992793687</c:v>
                </c:pt>
                <c:pt idx="33">
                  <c:v>105.92128147894248</c:v>
                </c:pt>
                <c:pt idx="34">
                  <c:v>101.36310082133946</c:v>
                </c:pt>
                <c:pt idx="35">
                  <c:v>94.922479942006262</c:v>
                </c:pt>
                <c:pt idx="36">
                  <c:v>100.62708021362835</c:v>
                </c:pt>
                <c:pt idx="37">
                  <c:v>100.66114095714926</c:v>
                </c:pt>
                <c:pt idx="38">
                  <c:v>93.402233925763611</c:v>
                </c:pt>
                <c:pt idx="39">
                  <c:v>97.032491660481867</c:v>
                </c:pt>
              </c:numCache>
            </c:numRef>
          </c:val>
          <c:smooth val="0"/>
          <c:extLst>
            <c:ext xmlns:c16="http://schemas.microsoft.com/office/drawing/2014/chart" uri="{C3380CC4-5D6E-409C-BE32-E72D297353CC}">
              <c16:uniqueId val="{0000002E-2194-43A6-8888-993F1DF1E895}"/>
            </c:ext>
          </c:extLst>
        </c:ser>
        <c:ser>
          <c:idx val="2"/>
          <c:order val="4"/>
          <c:tx>
            <c:strRef>
              <c:f>'Prerađivačka_FS graf'!$CE$7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graf'!$CE$56:$CE$95</c:f>
              <c:numCache>
                <c:formatCode>0.0</c:formatCode>
                <c:ptCount val="40"/>
                <c:pt idx="0">
                  <c:v>90.019371876177004</c:v>
                </c:pt>
                <c:pt idx="1">
                  <c:v>89.81605832628658</c:v>
                </c:pt>
                <c:pt idx="2">
                  <c:v>90.666961368350911</c:v>
                </c:pt>
                <c:pt idx="3">
                  <c:v>92.259334618373472</c:v>
                </c:pt>
                <c:pt idx="4">
                  <c:v>94.050483817285766</c:v>
                </c:pt>
                <c:pt idx="5">
                  <c:v>95.558337592729458</c:v>
                </c:pt>
                <c:pt idx="6">
                  <c:v>96.688024840837187</c:v>
                </c:pt>
                <c:pt idx="7">
                  <c:v>97.480071774011137</c:v>
                </c:pt>
                <c:pt idx="8">
                  <c:v>98.106164110399533</c:v>
                </c:pt>
                <c:pt idx="9">
                  <c:v>98.741444987422526</c:v>
                </c:pt>
                <c:pt idx="10">
                  <c:v>99.790656325119855</c:v>
                </c:pt>
                <c:pt idx="11">
                  <c:v>101.48638150886126</c:v>
                </c:pt>
                <c:pt idx="12">
                  <c:v>103.627350759935</c:v>
                </c:pt>
                <c:pt idx="13">
                  <c:v>105.72950352254318</c:v>
                </c:pt>
                <c:pt idx="14">
                  <c:v>107.5329109198948</c:v>
                </c:pt>
                <c:pt idx="15">
                  <c:v>108.75916084746287</c:v>
                </c:pt>
                <c:pt idx="16">
                  <c:v>109.1930093096626</c:v>
                </c:pt>
                <c:pt idx="17">
                  <c:v>109.00774945623503</c:v>
                </c:pt>
                <c:pt idx="18">
                  <c:v>108.5732356346539</c:v>
                </c:pt>
                <c:pt idx="19">
                  <c:v>108.33446894625459</c:v>
                </c:pt>
                <c:pt idx="20">
                  <c:v>108.45688156682829</c:v>
                </c:pt>
                <c:pt idx="21">
                  <c:v>108.6456617565218</c:v>
                </c:pt>
                <c:pt idx="22">
                  <c:v>108.32780557027873</c:v>
                </c:pt>
                <c:pt idx="23">
                  <c:v>107.1267694077377</c:v>
                </c:pt>
                <c:pt idx="24">
                  <c:v>105.28647601767086</c:v>
                </c:pt>
                <c:pt idx="25">
                  <c:v>103.10337696784303</c:v>
                </c:pt>
                <c:pt idx="26">
                  <c:v>100.84923695757499</c:v>
                </c:pt>
                <c:pt idx="27">
                  <c:v>98.893693010016818</c:v>
                </c:pt>
                <c:pt idx="28">
                  <c:v>97.530475709897544</c:v>
                </c:pt>
                <c:pt idx="29">
                  <c:v>96.85103560588793</c:v>
                </c:pt>
                <c:pt idx="30">
                  <c:v>96.619419817935835</c:v>
                </c:pt>
                <c:pt idx="31">
                  <c:v>96.608881999631762</c:v>
                </c:pt>
                <c:pt idx="32">
                  <c:v>96.95147446593441</c:v>
                </c:pt>
                <c:pt idx="33">
                  <c:v>97.566808888939107</c:v>
                </c:pt>
                <c:pt idx="34">
                  <c:v>98.171971595172138</c:v>
                </c:pt>
                <c:pt idx="35">
                  <c:v>98.562552183954836</c:v>
                </c:pt>
                <c:pt idx="36">
                  <c:v>98.548811293620432</c:v>
                </c:pt>
                <c:pt idx="37">
                  <c:v>98.225131373533813</c:v>
                </c:pt>
                <c:pt idx="38">
                  <c:v>97.867679167355234</c:v>
                </c:pt>
                <c:pt idx="39">
                  <c:v>97.71888915680475</c:v>
                </c:pt>
              </c:numCache>
            </c:numRef>
          </c:val>
          <c:smooth val="0"/>
          <c:extLst>
            <c:ext xmlns:c16="http://schemas.microsoft.com/office/drawing/2014/chart" uri="{C3380CC4-5D6E-409C-BE32-E72D297353CC}">
              <c16:uniqueId val="{0000002F-2194-43A6-8888-993F1DF1E895}"/>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108300890967514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D7-4B34-9696-334FC466B9FC}"/>
                </c:ext>
              </c:extLst>
            </c:dLbl>
            <c:dLbl>
              <c:idx val="12"/>
              <c:layout>
                <c:manualLayout>
                  <c:x val="7.203964500648847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D7-4B34-9696-334FC466B9FC}"/>
                </c:ext>
              </c:extLst>
            </c:dLbl>
            <c:dLbl>
              <c:idx val="24"/>
              <c:layout>
                <c:manualLayout>
                  <c:x val="6.0399741698954137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D7-4B34-9696-334FC466B9FC}"/>
                </c:ext>
              </c:extLst>
            </c:dLbl>
            <c:dLbl>
              <c:idx val="36"/>
              <c:layout>
                <c:manualLayout>
                  <c:x val="-1.7243330694774264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AC-4A67-A337-5771796BADE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graf'!$Q$56:$Q$95</c:f>
              <c:numCache>
                <c:formatCode>General</c:formatCode>
                <c:ptCount val="40"/>
                <c:pt idx="0">
                  <c:v>0</c:v>
                </c:pt>
                <c:pt idx="12">
                  <c:v>0</c:v>
                </c:pt>
                <c:pt idx="24">
                  <c:v>0</c:v>
                </c:pt>
                <c:pt idx="36">
                  <c:v>0</c:v>
                </c:pt>
              </c:numCache>
            </c:numRef>
          </c:val>
          <c:smooth val="0"/>
          <c:extLst>
            <c:ext xmlns:c16="http://schemas.microsoft.com/office/drawing/2014/chart" uri="{C3380CC4-5D6E-409C-BE32-E72D297353CC}">
              <c16:uniqueId val="{00000003-BED7-4B34-9696-334FC466B9FC}"/>
            </c:ext>
          </c:extLst>
        </c:ser>
        <c:ser>
          <c:idx val="4"/>
          <c:order val="1"/>
          <c:tx>
            <c:strRef>
              <c:f>'Prerađivačka_FS graf'!$R$7</c:f>
              <c:strCache>
                <c:ptCount val="1"/>
                <c:pt idx="0">
                  <c:v>Series5</c:v>
                </c:pt>
              </c:strCache>
            </c:strRef>
          </c:tx>
          <c:spPr>
            <a:ln w="25400" cap="rnd">
              <a:noFill/>
              <a:round/>
            </a:ln>
            <a:effectLst/>
          </c:spPr>
          <c:marker>
            <c:symbol val="none"/>
          </c:marker>
          <c:dLbls>
            <c:dLbl>
              <c:idx val="0"/>
              <c:tx>
                <c:rich>
                  <a:bodyPr/>
                  <a:lstStyle/>
                  <a:p>
                    <a:fld id="{1484A3C4-D9B5-4384-8286-FD75276CEF7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BED7-4B34-9696-334FC466B9FC}"/>
                </c:ext>
              </c:extLst>
            </c:dLbl>
            <c:dLbl>
              <c:idx val="1"/>
              <c:tx>
                <c:rich>
                  <a:bodyPr/>
                  <a:lstStyle/>
                  <a:p>
                    <a:fld id="{57B4442E-84B0-422D-B82C-5A57C377FDB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BED7-4B34-9696-334FC466B9FC}"/>
                </c:ext>
              </c:extLst>
            </c:dLbl>
            <c:dLbl>
              <c:idx val="2"/>
              <c:tx>
                <c:rich>
                  <a:bodyPr/>
                  <a:lstStyle/>
                  <a:p>
                    <a:fld id="{CC09C746-BA87-4BD3-9030-4F31E9E1A88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BED7-4B34-9696-334FC466B9FC}"/>
                </c:ext>
              </c:extLst>
            </c:dLbl>
            <c:dLbl>
              <c:idx val="3"/>
              <c:tx>
                <c:rich>
                  <a:bodyPr/>
                  <a:lstStyle/>
                  <a:p>
                    <a:fld id="{EB21B5F2-3911-4C21-B319-10033FF5E0A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BED7-4B34-9696-334FC466B9FC}"/>
                </c:ext>
              </c:extLst>
            </c:dLbl>
            <c:dLbl>
              <c:idx val="4"/>
              <c:tx>
                <c:rich>
                  <a:bodyPr/>
                  <a:lstStyle/>
                  <a:p>
                    <a:fld id="{34CFE4B5-6F1B-4E2C-A6B5-3E8DB29D242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BED7-4B34-9696-334FC466B9FC}"/>
                </c:ext>
              </c:extLst>
            </c:dLbl>
            <c:dLbl>
              <c:idx val="5"/>
              <c:tx>
                <c:rich>
                  <a:bodyPr/>
                  <a:lstStyle/>
                  <a:p>
                    <a:fld id="{3860CAEF-8DB8-45B1-AA2E-759700F9510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BED7-4B34-9696-334FC466B9FC}"/>
                </c:ext>
              </c:extLst>
            </c:dLbl>
            <c:dLbl>
              <c:idx val="6"/>
              <c:tx>
                <c:rich>
                  <a:bodyPr/>
                  <a:lstStyle/>
                  <a:p>
                    <a:fld id="{C17EA441-D9EB-4FE0-8BE3-696A88E4A5F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ED7-4B34-9696-334FC466B9FC}"/>
                </c:ext>
              </c:extLst>
            </c:dLbl>
            <c:dLbl>
              <c:idx val="7"/>
              <c:tx>
                <c:rich>
                  <a:bodyPr/>
                  <a:lstStyle/>
                  <a:p>
                    <a:fld id="{3B3B028D-24A1-47B7-A303-B01C9394295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BED7-4B34-9696-334FC466B9FC}"/>
                </c:ext>
              </c:extLst>
            </c:dLbl>
            <c:dLbl>
              <c:idx val="8"/>
              <c:tx>
                <c:rich>
                  <a:bodyPr/>
                  <a:lstStyle/>
                  <a:p>
                    <a:fld id="{9C286824-233D-4D33-BC7E-2568C3CEC32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BED7-4B34-9696-334FC466B9FC}"/>
                </c:ext>
              </c:extLst>
            </c:dLbl>
            <c:dLbl>
              <c:idx val="9"/>
              <c:tx>
                <c:rich>
                  <a:bodyPr/>
                  <a:lstStyle/>
                  <a:p>
                    <a:fld id="{1D3B0ACD-D84D-4C6E-8171-EB4BDBD25B9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ED7-4B34-9696-334FC466B9FC}"/>
                </c:ext>
              </c:extLst>
            </c:dLbl>
            <c:dLbl>
              <c:idx val="10"/>
              <c:tx>
                <c:rich>
                  <a:bodyPr/>
                  <a:lstStyle/>
                  <a:p>
                    <a:fld id="{34DD4863-3C59-430D-8537-C7659E5539D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BED7-4B34-9696-334FC466B9FC}"/>
                </c:ext>
              </c:extLst>
            </c:dLbl>
            <c:dLbl>
              <c:idx val="11"/>
              <c:tx>
                <c:rich>
                  <a:bodyPr/>
                  <a:lstStyle/>
                  <a:p>
                    <a:fld id="{2A570A3C-E63A-4D67-8CF6-C8E97AAB082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BED7-4B34-9696-334FC466B9FC}"/>
                </c:ext>
              </c:extLst>
            </c:dLbl>
            <c:dLbl>
              <c:idx val="12"/>
              <c:tx>
                <c:rich>
                  <a:bodyPr/>
                  <a:lstStyle/>
                  <a:p>
                    <a:fld id="{2E5B169D-11C7-489C-A53D-FD58C60668A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BED7-4B34-9696-334FC466B9FC}"/>
                </c:ext>
              </c:extLst>
            </c:dLbl>
            <c:dLbl>
              <c:idx val="13"/>
              <c:tx>
                <c:rich>
                  <a:bodyPr/>
                  <a:lstStyle/>
                  <a:p>
                    <a:fld id="{E378BE45-14B7-4B84-8DE4-F98D5F0DAC9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BED7-4B34-9696-334FC466B9FC}"/>
                </c:ext>
              </c:extLst>
            </c:dLbl>
            <c:dLbl>
              <c:idx val="14"/>
              <c:tx>
                <c:rich>
                  <a:bodyPr/>
                  <a:lstStyle/>
                  <a:p>
                    <a:fld id="{B6768748-AF9C-480F-9B9E-6F1EC6ACED8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BED7-4B34-9696-334FC466B9FC}"/>
                </c:ext>
              </c:extLst>
            </c:dLbl>
            <c:dLbl>
              <c:idx val="15"/>
              <c:tx>
                <c:rich>
                  <a:bodyPr/>
                  <a:lstStyle/>
                  <a:p>
                    <a:fld id="{86EFB537-C854-47D7-92C5-2D8FF7F4F74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BED7-4B34-9696-334FC466B9FC}"/>
                </c:ext>
              </c:extLst>
            </c:dLbl>
            <c:dLbl>
              <c:idx val="16"/>
              <c:tx>
                <c:rich>
                  <a:bodyPr/>
                  <a:lstStyle/>
                  <a:p>
                    <a:fld id="{FA71DF34-008B-4E2A-8248-B5B78AD5F1C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BED7-4B34-9696-334FC466B9FC}"/>
                </c:ext>
              </c:extLst>
            </c:dLbl>
            <c:dLbl>
              <c:idx val="17"/>
              <c:tx>
                <c:rich>
                  <a:bodyPr/>
                  <a:lstStyle/>
                  <a:p>
                    <a:fld id="{C82B1F7B-2122-43E7-861C-51BA16E98C8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ED7-4B34-9696-334FC466B9FC}"/>
                </c:ext>
              </c:extLst>
            </c:dLbl>
            <c:dLbl>
              <c:idx val="18"/>
              <c:tx>
                <c:rich>
                  <a:bodyPr/>
                  <a:lstStyle/>
                  <a:p>
                    <a:fld id="{FD8A6559-3755-44FC-985D-5121BE7C4D0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BED7-4B34-9696-334FC466B9FC}"/>
                </c:ext>
              </c:extLst>
            </c:dLbl>
            <c:dLbl>
              <c:idx val="19"/>
              <c:tx>
                <c:rich>
                  <a:bodyPr/>
                  <a:lstStyle/>
                  <a:p>
                    <a:fld id="{B537C7F7-68B9-42C3-8024-9CC208774BB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BED7-4B34-9696-334FC466B9FC}"/>
                </c:ext>
              </c:extLst>
            </c:dLbl>
            <c:dLbl>
              <c:idx val="20"/>
              <c:tx>
                <c:rich>
                  <a:bodyPr/>
                  <a:lstStyle/>
                  <a:p>
                    <a:fld id="{BEF4CD1E-7AF7-4BF3-808A-BF6059879C4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ED7-4B34-9696-334FC466B9FC}"/>
                </c:ext>
              </c:extLst>
            </c:dLbl>
            <c:dLbl>
              <c:idx val="21"/>
              <c:tx>
                <c:rich>
                  <a:bodyPr/>
                  <a:lstStyle/>
                  <a:p>
                    <a:fld id="{FC8D83D0-F213-4ACB-B763-E28F4B527D2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BED7-4B34-9696-334FC466B9FC}"/>
                </c:ext>
              </c:extLst>
            </c:dLbl>
            <c:dLbl>
              <c:idx val="22"/>
              <c:tx>
                <c:rich>
                  <a:bodyPr/>
                  <a:lstStyle/>
                  <a:p>
                    <a:fld id="{ED242E9B-86CA-4959-9A3C-3EBDB10D6DD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BED7-4B34-9696-334FC466B9FC}"/>
                </c:ext>
              </c:extLst>
            </c:dLbl>
            <c:dLbl>
              <c:idx val="23"/>
              <c:tx>
                <c:rich>
                  <a:bodyPr/>
                  <a:lstStyle/>
                  <a:p>
                    <a:fld id="{51EB90D4-116A-41BE-9598-D8D546C84A9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ED7-4B34-9696-334FC466B9FC}"/>
                </c:ext>
              </c:extLst>
            </c:dLbl>
            <c:dLbl>
              <c:idx val="24"/>
              <c:tx>
                <c:rich>
                  <a:bodyPr/>
                  <a:lstStyle/>
                  <a:p>
                    <a:fld id="{625F0609-16D6-4819-AEE5-540979CB377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BED7-4B34-9696-334FC466B9FC}"/>
                </c:ext>
              </c:extLst>
            </c:dLbl>
            <c:dLbl>
              <c:idx val="25"/>
              <c:tx>
                <c:rich>
                  <a:bodyPr/>
                  <a:lstStyle/>
                  <a:p>
                    <a:fld id="{861967D5-6B29-46FD-BE7C-4F98110D6AD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BED7-4B34-9696-334FC466B9FC}"/>
                </c:ext>
              </c:extLst>
            </c:dLbl>
            <c:dLbl>
              <c:idx val="26"/>
              <c:tx>
                <c:rich>
                  <a:bodyPr/>
                  <a:lstStyle/>
                  <a:p>
                    <a:fld id="{3466EEC9-C9FE-4D68-A34A-8646BC1CEB0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BED7-4B34-9696-334FC466B9FC}"/>
                </c:ext>
              </c:extLst>
            </c:dLbl>
            <c:dLbl>
              <c:idx val="27"/>
              <c:tx>
                <c:rich>
                  <a:bodyPr/>
                  <a:lstStyle/>
                  <a:p>
                    <a:fld id="{0D793159-255A-4380-AB0C-AA0DC526FD1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BED7-4B34-9696-334FC466B9FC}"/>
                </c:ext>
              </c:extLst>
            </c:dLbl>
            <c:dLbl>
              <c:idx val="28"/>
              <c:tx>
                <c:rich>
                  <a:bodyPr/>
                  <a:lstStyle/>
                  <a:p>
                    <a:fld id="{6511153C-CBD5-42F6-BF31-B5E5098819A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BED7-4B34-9696-334FC466B9FC}"/>
                </c:ext>
              </c:extLst>
            </c:dLbl>
            <c:dLbl>
              <c:idx val="29"/>
              <c:tx>
                <c:rich>
                  <a:bodyPr/>
                  <a:lstStyle/>
                  <a:p>
                    <a:fld id="{A20D436A-A3A1-4B41-8E9D-14BF908FA1C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BED7-4B34-9696-334FC466B9FC}"/>
                </c:ext>
              </c:extLst>
            </c:dLbl>
            <c:dLbl>
              <c:idx val="30"/>
              <c:tx>
                <c:rich>
                  <a:bodyPr/>
                  <a:lstStyle/>
                  <a:p>
                    <a:fld id="{862A237D-F0FB-4F02-8063-84D61EBD194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BED7-4B34-9696-334FC466B9FC}"/>
                </c:ext>
              </c:extLst>
            </c:dLbl>
            <c:dLbl>
              <c:idx val="31"/>
              <c:tx>
                <c:rich>
                  <a:bodyPr/>
                  <a:lstStyle/>
                  <a:p>
                    <a:fld id="{F52ADDB6-83EF-4350-AA47-79F9DADC635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BED7-4B34-9696-334FC466B9FC}"/>
                </c:ext>
              </c:extLst>
            </c:dLbl>
            <c:dLbl>
              <c:idx val="32"/>
              <c:tx>
                <c:rich>
                  <a:bodyPr/>
                  <a:lstStyle/>
                  <a:p>
                    <a:fld id="{5E900965-7E64-40F4-9A8A-DF017E6AE13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BED7-4B34-9696-334FC466B9FC}"/>
                </c:ext>
              </c:extLst>
            </c:dLbl>
            <c:dLbl>
              <c:idx val="33"/>
              <c:tx>
                <c:rich>
                  <a:bodyPr/>
                  <a:lstStyle/>
                  <a:p>
                    <a:fld id="{53061CEA-F528-4394-B44E-00B252E42F6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BED7-4B34-9696-334FC466B9FC}"/>
                </c:ext>
              </c:extLst>
            </c:dLbl>
            <c:dLbl>
              <c:idx val="34"/>
              <c:tx>
                <c:rich>
                  <a:bodyPr/>
                  <a:lstStyle/>
                  <a:p>
                    <a:fld id="{D21DDF3B-0FF2-4A2F-8C77-3729D216F90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BED7-4B34-9696-334FC466B9FC}"/>
                </c:ext>
              </c:extLst>
            </c:dLbl>
            <c:dLbl>
              <c:idx val="35"/>
              <c:tx>
                <c:rich>
                  <a:bodyPr/>
                  <a:lstStyle/>
                  <a:p>
                    <a:fld id="{33065249-153D-41D0-A929-1A7281909CE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BED7-4B34-9696-334FC466B9FC}"/>
                </c:ext>
              </c:extLst>
            </c:dLbl>
            <c:dLbl>
              <c:idx val="36"/>
              <c:tx>
                <c:rich>
                  <a:bodyPr/>
                  <a:lstStyle/>
                  <a:p>
                    <a:fld id="{986D0D26-38E7-4C7F-8103-262FF47765E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BED7-4B34-9696-334FC466B9FC}"/>
                </c:ext>
              </c:extLst>
            </c:dLbl>
            <c:dLbl>
              <c:idx val="37"/>
              <c:tx>
                <c:rich>
                  <a:bodyPr/>
                  <a:lstStyle/>
                  <a:p>
                    <a:fld id="{050C1DCC-E094-4EE5-B13F-33C96E0C194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BED7-4B34-9696-334FC466B9FC}"/>
                </c:ext>
              </c:extLst>
            </c:dLbl>
            <c:dLbl>
              <c:idx val="38"/>
              <c:tx>
                <c:rich>
                  <a:bodyPr/>
                  <a:lstStyle/>
                  <a:p>
                    <a:fld id="{B2ABD69D-47AB-4A39-B34A-64AB6704A04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BED7-4B34-9696-334FC466B9FC}"/>
                </c:ext>
              </c:extLst>
            </c:dLbl>
            <c:dLbl>
              <c:idx val="39"/>
              <c:tx>
                <c:rich>
                  <a:bodyPr/>
                  <a:lstStyle/>
                  <a:p>
                    <a:fld id="{4DEED681-9C1E-40F2-8DE3-0926AAF427E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BED7-4B34-9696-334FC466B9F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graf'!$R$56:$R$95</c:f>
              <c:numCache>
                <c:formatCode>General</c:formatCode>
                <c:ptCount val="4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BED7-4B34-9696-334FC466B9FC}"/>
            </c:ext>
          </c:extLst>
        </c:ser>
        <c:ser>
          <c:idx val="0"/>
          <c:order val="2"/>
          <c:tx>
            <c:strRef>
              <c:f>'Prerađivačka_FS graf'!$S$7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graf'!$S$56:$S$95</c:f>
              <c:numCache>
                <c:formatCode>0.0</c:formatCode>
                <c:ptCount val="40"/>
                <c:pt idx="0">
                  <c:v>91.553701772679858</c:v>
                </c:pt>
                <c:pt idx="1">
                  <c:v>95.62043795620437</c:v>
                </c:pt>
                <c:pt idx="2">
                  <c:v>117.41397288842543</c:v>
                </c:pt>
                <c:pt idx="3">
                  <c:v>123.77476538060479</c:v>
                </c:pt>
                <c:pt idx="4">
                  <c:v>131.17831074035453</c:v>
                </c:pt>
                <c:pt idx="5">
                  <c:v>127.42440041710114</c:v>
                </c:pt>
                <c:pt idx="6">
                  <c:v>126.06882168925964</c:v>
                </c:pt>
                <c:pt idx="7">
                  <c:v>118.24817518248175</c:v>
                </c:pt>
                <c:pt idx="8">
                  <c:v>123.25338894681961</c:v>
                </c:pt>
                <c:pt idx="9">
                  <c:v>124.19186652763294</c:v>
                </c:pt>
                <c:pt idx="10">
                  <c:v>122.73201251303441</c:v>
                </c:pt>
                <c:pt idx="11">
                  <c:v>123.67049009384775</c:v>
                </c:pt>
                <c:pt idx="12">
                  <c:v>110.63607924921793</c:v>
                </c:pt>
                <c:pt idx="13">
                  <c:v>97.810218978102185</c:v>
                </c:pt>
                <c:pt idx="14">
                  <c:v>107.71637122002085</c:v>
                </c:pt>
                <c:pt idx="15">
                  <c:v>109.07194994786234</c:v>
                </c:pt>
                <c:pt idx="16">
                  <c:v>111.36600625651721</c:v>
                </c:pt>
                <c:pt idx="17">
                  <c:v>115.01564129301354</c:v>
                </c:pt>
                <c:pt idx="18">
                  <c:v>114.80709071949946</c:v>
                </c:pt>
                <c:pt idx="19">
                  <c:v>121.48070907194995</c:v>
                </c:pt>
                <c:pt idx="20">
                  <c:v>116.05839416058392</c:v>
                </c:pt>
                <c:pt idx="21">
                  <c:v>111.88738269030239</c:v>
                </c:pt>
                <c:pt idx="22">
                  <c:v>111.57455683003128</c:v>
                </c:pt>
                <c:pt idx="23">
                  <c:v>113.66006256517205</c:v>
                </c:pt>
                <c:pt idx="24">
                  <c:v>103.12825860271116</c:v>
                </c:pt>
                <c:pt idx="25">
                  <c:v>115.74556830031281</c:v>
                </c:pt>
                <c:pt idx="26">
                  <c:v>7.6120959332638156</c:v>
                </c:pt>
                <c:pt idx="27">
                  <c:v>23.983315954118872</c:v>
                </c:pt>
                <c:pt idx="28">
                  <c:v>107.40354535974974</c:v>
                </c:pt>
                <c:pt idx="29">
                  <c:v>118.66527632950989</c:v>
                </c:pt>
                <c:pt idx="30">
                  <c:v>127.11157455683002</c:v>
                </c:pt>
                <c:pt idx="31">
                  <c:v>122.73201251303441</c:v>
                </c:pt>
                <c:pt idx="32">
                  <c:v>122.00208550573512</c:v>
                </c:pt>
                <c:pt idx="33">
                  <c:v>122.62773722627736</c:v>
                </c:pt>
                <c:pt idx="34">
                  <c:v>116.16266944734097</c:v>
                </c:pt>
                <c:pt idx="35">
                  <c:v>113.34723670490095</c:v>
                </c:pt>
                <c:pt idx="36">
                  <c:v>112.9</c:v>
                </c:pt>
                <c:pt idx="37">
                  <c:v>97.8</c:v>
                </c:pt>
                <c:pt idx="38">
                  <c:v>78.2</c:v>
                </c:pt>
                <c:pt idx="39">
                  <c:v>89.8</c:v>
                </c:pt>
              </c:numCache>
            </c:numRef>
          </c:val>
          <c:smooth val="0"/>
          <c:extLst>
            <c:ext xmlns:c16="http://schemas.microsoft.com/office/drawing/2014/chart" uri="{C3380CC4-5D6E-409C-BE32-E72D297353CC}">
              <c16:uniqueId val="{0000002D-BED7-4B34-9696-334FC466B9FC}"/>
            </c:ext>
          </c:extLst>
        </c:ser>
        <c:ser>
          <c:idx val="1"/>
          <c:order val="3"/>
          <c:tx>
            <c:strRef>
              <c:f>'Prerađivačka_FS graf'!$T$7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graf'!$T$56:$T$95</c:f>
              <c:numCache>
                <c:formatCode>0.0</c:formatCode>
                <c:ptCount val="40"/>
                <c:pt idx="0">
                  <c:v>96.838926742747006</c:v>
                </c:pt>
                <c:pt idx="1">
                  <c:v>109.48756371779658</c:v>
                </c:pt>
                <c:pt idx="2">
                  <c:v>121.23728113602776</c:v>
                </c:pt>
                <c:pt idx="3">
                  <c:v>127.8996176260007</c:v>
                </c:pt>
                <c:pt idx="4">
                  <c:v>140.69616286603761</c:v>
                </c:pt>
                <c:pt idx="5">
                  <c:v>124.28392294263087</c:v>
                </c:pt>
                <c:pt idx="6">
                  <c:v>118.95020331369524</c:v>
                </c:pt>
                <c:pt idx="7">
                  <c:v>112.31298628828503</c:v>
                </c:pt>
                <c:pt idx="8">
                  <c:v>117.03999390259874</c:v>
                </c:pt>
                <c:pt idx="9">
                  <c:v>117.54582378259857</c:v>
                </c:pt>
                <c:pt idx="10">
                  <c:v>117.85404128003545</c:v>
                </c:pt>
                <c:pt idx="11">
                  <c:v>121.33984203732206</c:v>
                </c:pt>
                <c:pt idx="12">
                  <c:v>116.61874246508178</c:v>
                </c:pt>
                <c:pt idx="13">
                  <c:v>111.07443940532113</c:v>
                </c:pt>
                <c:pt idx="14">
                  <c:v>111.92907038191815</c:v>
                </c:pt>
                <c:pt idx="15">
                  <c:v>113.38833923277771</c:v>
                </c:pt>
                <c:pt idx="16">
                  <c:v>119.02396923805347</c:v>
                </c:pt>
                <c:pt idx="17">
                  <c:v>111.78918805206438</c:v>
                </c:pt>
                <c:pt idx="18">
                  <c:v>107.87505317132738</c:v>
                </c:pt>
                <c:pt idx="19">
                  <c:v>115.57120865123436</c:v>
                </c:pt>
                <c:pt idx="20">
                  <c:v>110.17203266053002</c:v>
                </c:pt>
                <c:pt idx="21">
                  <c:v>105.54864991488617</c:v>
                </c:pt>
                <c:pt idx="22">
                  <c:v>107.43198610946273</c:v>
                </c:pt>
                <c:pt idx="23">
                  <c:v>110.7029868887778</c:v>
                </c:pt>
                <c:pt idx="24">
                  <c:v>109.4036093380913</c:v>
                </c:pt>
                <c:pt idx="25">
                  <c:v>128.14468335571536</c:v>
                </c:pt>
                <c:pt idx="26">
                  <c:v>12.688156649646391</c:v>
                </c:pt>
                <c:pt idx="27">
                  <c:v>29.288062620378675</c:v>
                </c:pt>
                <c:pt idx="28">
                  <c:v>113.40289729059671</c:v>
                </c:pt>
                <c:pt idx="29">
                  <c:v>115.70511150218722</c:v>
                </c:pt>
                <c:pt idx="30">
                  <c:v>120.25473532488378</c:v>
                </c:pt>
                <c:pt idx="31">
                  <c:v>116.41537126913575</c:v>
                </c:pt>
                <c:pt idx="32">
                  <c:v>116.04463197296486</c:v>
                </c:pt>
                <c:pt idx="33">
                  <c:v>116.66480317219226</c:v>
                </c:pt>
                <c:pt idx="34">
                  <c:v>112.37682725290446</c:v>
                </c:pt>
                <c:pt idx="35">
                  <c:v>110.08924257910957</c:v>
                </c:pt>
                <c:pt idx="36">
                  <c:v>119.48307458522686</c:v>
                </c:pt>
                <c:pt idx="37">
                  <c:v>109.27536051662688</c:v>
                </c:pt>
                <c:pt idx="38">
                  <c:v>83.741323881758504</c:v>
                </c:pt>
                <c:pt idx="39">
                  <c:v>96.161077281372954</c:v>
                </c:pt>
              </c:numCache>
            </c:numRef>
          </c:val>
          <c:smooth val="0"/>
          <c:extLst>
            <c:ext xmlns:c16="http://schemas.microsoft.com/office/drawing/2014/chart" uri="{C3380CC4-5D6E-409C-BE32-E72D297353CC}">
              <c16:uniqueId val="{0000002E-BED7-4B34-9696-334FC466B9FC}"/>
            </c:ext>
          </c:extLst>
        </c:ser>
        <c:ser>
          <c:idx val="2"/>
          <c:order val="4"/>
          <c:tx>
            <c:strRef>
              <c:f>'Prerađivačka_FS graf'!$U$7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graf'!$U$56:$U$95</c:f>
              <c:numCache>
                <c:formatCode>0.0</c:formatCode>
                <c:ptCount val="40"/>
                <c:pt idx="0">
                  <c:v>112.30353517252641</c:v>
                </c:pt>
                <c:pt idx="1">
                  <c:v>115.59809235124528</c:v>
                </c:pt>
                <c:pt idx="2">
                  <c:v>119.14432594328835</c:v>
                </c:pt>
                <c:pt idx="3">
                  <c:v>121.74458879597549</c:v>
                </c:pt>
                <c:pt idx="4">
                  <c:v>122.73473099211714</c:v>
                </c:pt>
                <c:pt idx="5">
                  <c:v>121.86736953460959</c:v>
                </c:pt>
                <c:pt idx="6">
                  <c:v>119.95066009702043</c:v>
                </c:pt>
                <c:pt idx="7">
                  <c:v>118.18211395612933</c:v>
                </c:pt>
                <c:pt idx="8">
                  <c:v>117.30466339490667</c:v>
                </c:pt>
                <c:pt idx="9">
                  <c:v>117.2905945373892</c:v>
                </c:pt>
                <c:pt idx="10">
                  <c:v>117.27769209825375</c:v>
                </c:pt>
                <c:pt idx="11">
                  <c:v>116.87007102003335</c:v>
                </c:pt>
                <c:pt idx="12">
                  <c:v>116.1469746130102</c:v>
                </c:pt>
                <c:pt idx="13">
                  <c:v>115.06641982998963</c:v>
                </c:pt>
                <c:pt idx="14">
                  <c:v>114.0794819974151</c:v>
                </c:pt>
                <c:pt idx="15">
                  <c:v>113.59380048938257</c:v>
                </c:pt>
                <c:pt idx="16">
                  <c:v>113.38815120948659</c:v>
                </c:pt>
                <c:pt idx="17">
                  <c:v>113.0201786666735</c:v>
                </c:pt>
                <c:pt idx="18">
                  <c:v>112.18690970697918</c:v>
                </c:pt>
                <c:pt idx="19">
                  <c:v>110.78575943167824</c:v>
                </c:pt>
                <c:pt idx="20">
                  <c:v>109.36753959165964</c:v>
                </c:pt>
                <c:pt idx="21">
                  <c:v>108.61021268222657</c:v>
                </c:pt>
                <c:pt idx="22">
                  <c:v>108.81914541445873</c:v>
                </c:pt>
                <c:pt idx="23">
                  <c:v>109.81367386874528</c:v>
                </c:pt>
                <c:pt idx="24">
                  <c:v>111.11704712489434</c:v>
                </c:pt>
                <c:pt idx="25">
                  <c:v>112.63482307424945</c:v>
                </c:pt>
                <c:pt idx="26">
                  <c:v>114.09366415322582</c:v>
                </c:pt>
                <c:pt idx="27">
                  <c:v>115.1181592749914</c:v>
                </c:pt>
                <c:pt idx="28">
                  <c:v>115.90541760889016</c:v>
                </c:pt>
                <c:pt idx="29">
                  <c:v>116.60783292242193</c:v>
                </c:pt>
                <c:pt idx="30">
                  <c:v>117.10034590677118</c:v>
                </c:pt>
                <c:pt idx="31">
                  <c:v>117.06635826718468</c:v>
                </c:pt>
                <c:pt idx="32">
                  <c:v>116.44679448538692</c:v>
                </c:pt>
                <c:pt idx="33">
                  <c:v>115.18958349521219</c:v>
                </c:pt>
                <c:pt idx="34">
                  <c:v>113.29002030514101</c:v>
                </c:pt>
                <c:pt idx="35">
                  <c:v>110.89492853147077</c:v>
                </c:pt>
                <c:pt idx="36">
                  <c:v>108.16074821055409</c:v>
                </c:pt>
                <c:pt idx="37">
                  <c:v>105.22879582019333</c:v>
                </c:pt>
                <c:pt idx="38">
                  <c:v>102.28778975217371</c:v>
                </c:pt>
                <c:pt idx="39">
                  <c:v>99.730274154115506</c:v>
                </c:pt>
              </c:numCache>
            </c:numRef>
          </c:val>
          <c:smooth val="0"/>
          <c:extLst>
            <c:ext xmlns:c16="http://schemas.microsoft.com/office/drawing/2014/chart" uri="{C3380CC4-5D6E-409C-BE32-E72D297353CC}">
              <c16:uniqueId val="{0000002F-BED7-4B34-9696-334FC466B9FC}"/>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5504"/>
        <c:crosses val="autoZero"/>
        <c:auto val="1"/>
        <c:lblOffset val="0"/>
        <c:baseTimeUnit val="months"/>
        <c:majorUnit val="12"/>
        <c:majorTimeUnit val="months"/>
      </c:dateAx>
      <c:valAx>
        <c:axId val="2092135504"/>
        <c:scaling>
          <c:orientation val="minMax"/>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3496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graf'!$AP$7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5284492070343587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C8A-466D-B382-3D0F49180C39}"/>
                </c:ext>
              </c:extLst>
            </c:dLbl>
            <c:dLbl>
              <c:idx val="12"/>
              <c:layout>
                <c:manualLayout>
                  <c:x val="7.20994500180259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C8A-466D-B382-3D0F49180C39}"/>
                </c:ext>
              </c:extLst>
            </c:dLbl>
            <c:dLbl>
              <c:idx val="24"/>
              <c:layout>
                <c:manualLayout>
                  <c:x val="7.0508894721493146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C8A-466D-B382-3D0F49180C39}"/>
                </c:ext>
              </c:extLst>
            </c:dLbl>
            <c:dLbl>
              <c:idx val="36"/>
              <c:layout>
                <c:manualLayout>
                  <c:x val="-4.0158174672610368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DB-4C6B-9308-6EEE25B4484B}"/>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graf'!$AP$56:$AP$95</c:f>
              <c:numCache>
                <c:formatCode>General</c:formatCode>
                <c:ptCount val="40"/>
                <c:pt idx="0">
                  <c:v>40</c:v>
                </c:pt>
                <c:pt idx="12">
                  <c:v>40</c:v>
                </c:pt>
                <c:pt idx="24">
                  <c:v>40</c:v>
                </c:pt>
                <c:pt idx="36">
                  <c:v>40</c:v>
                </c:pt>
              </c:numCache>
            </c:numRef>
          </c:val>
          <c:smooth val="0"/>
          <c:extLst>
            <c:ext xmlns:c16="http://schemas.microsoft.com/office/drawing/2014/chart" uri="{C3380CC4-5D6E-409C-BE32-E72D297353CC}">
              <c16:uniqueId val="{00000003-2C8A-466D-B382-3D0F49180C39}"/>
            </c:ext>
          </c:extLst>
        </c:ser>
        <c:ser>
          <c:idx val="4"/>
          <c:order val="1"/>
          <c:tx>
            <c:strRef>
              <c:f>'Prerađivačka_FS graf'!$AQ$7</c:f>
              <c:strCache>
                <c:ptCount val="1"/>
                <c:pt idx="0">
                  <c:v>Series5</c:v>
                </c:pt>
              </c:strCache>
            </c:strRef>
          </c:tx>
          <c:spPr>
            <a:ln w="25400" cap="rnd">
              <a:noFill/>
              <a:round/>
            </a:ln>
            <a:effectLst/>
          </c:spPr>
          <c:marker>
            <c:symbol val="none"/>
          </c:marker>
          <c:dLbls>
            <c:dLbl>
              <c:idx val="0"/>
              <c:tx>
                <c:rich>
                  <a:bodyPr/>
                  <a:lstStyle/>
                  <a:p>
                    <a:fld id="{CBE3FB8A-301A-4875-A157-3DA5201165D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2C8A-466D-B382-3D0F49180C39}"/>
                </c:ext>
              </c:extLst>
            </c:dLbl>
            <c:dLbl>
              <c:idx val="1"/>
              <c:tx>
                <c:rich>
                  <a:bodyPr/>
                  <a:lstStyle/>
                  <a:p>
                    <a:fld id="{6E93FE40-950B-4A1C-9A35-393ACAC8460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C8A-466D-B382-3D0F49180C39}"/>
                </c:ext>
              </c:extLst>
            </c:dLbl>
            <c:dLbl>
              <c:idx val="2"/>
              <c:tx>
                <c:rich>
                  <a:bodyPr/>
                  <a:lstStyle/>
                  <a:p>
                    <a:fld id="{6BD392FE-0AF4-402D-A619-5678C63A0EE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2C8A-466D-B382-3D0F49180C39}"/>
                </c:ext>
              </c:extLst>
            </c:dLbl>
            <c:dLbl>
              <c:idx val="3"/>
              <c:tx>
                <c:rich>
                  <a:bodyPr/>
                  <a:lstStyle/>
                  <a:p>
                    <a:fld id="{2B7AFA57-DA2C-4903-80CF-A4EAA8D7B79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C8A-466D-B382-3D0F49180C39}"/>
                </c:ext>
              </c:extLst>
            </c:dLbl>
            <c:dLbl>
              <c:idx val="4"/>
              <c:tx>
                <c:rich>
                  <a:bodyPr/>
                  <a:lstStyle/>
                  <a:p>
                    <a:fld id="{26EB9D9F-25CF-48A7-97E3-BFEC9A86FD1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2C8A-466D-B382-3D0F49180C39}"/>
                </c:ext>
              </c:extLst>
            </c:dLbl>
            <c:dLbl>
              <c:idx val="5"/>
              <c:tx>
                <c:rich>
                  <a:bodyPr/>
                  <a:lstStyle/>
                  <a:p>
                    <a:fld id="{C677AD37-9F40-4F05-8639-4F04B288C8A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2C8A-466D-B382-3D0F49180C39}"/>
                </c:ext>
              </c:extLst>
            </c:dLbl>
            <c:dLbl>
              <c:idx val="6"/>
              <c:tx>
                <c:rich>
                  <a:bodyPr/>
                  <a:lstStyle/>
                  <a:p>
                    <a:fld id="{E70BBC10-DA76-4E3C-878C-1E82386045D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C8A-466D-B382-3D0F49180C39}"/>
                </c:ext>
              </c:extLst>
            </c:dLbl>
            <c:dLbl>
              <c:idx val="7"/>
              <c:tx>
                <c:rich>
                  <a:bodyPr/>
                  <a:lstStyle/>
                  <a:p>
                    <a:fld id="{F24212DF-DEA5-45B6-9148-8349C652BFB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C8A-466D-B382-3D0F49180C39}"/>
                </c:ext>
              </c:extLst>
            </c:dLbl>
            <c:dLbl>
              <c:idx val="8"/>
              <c:tx>
                <c:rich>
                  <a:bodyPr/>
                  <a:lstStyle/>
                  <a:p>
                    <a:fld id="{286C7441-B5BA-42D0-BF8A-1331BB5F9FC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2C8A-466D-B382-3D0F49180C39}"/>
                </c:ext>
              </c:extLst>
            </c:dLbl>
            <c:dLbl>
              <c:idx val="9"/>
              <c:tx>
                <c:rich>
                  <a:bodyPr/>
                  <a:lstStyle/>
                  <a:p>
                    <a:fld id="{537241EE-82CD-48ED-9B4C-9B82B95F874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C8A-466D-B382-3D0F49180C39}"/>
                </c:ext>
              </c:extLst>
            </c:dLbl>
            <c:dLbl>
              <c:idx val="10"/>
              <c:tx>
                <c:rich>
                  <a:bodyPr/>
                  <a:lstStyle/>
                  <a:p>
                    <a:fld id="{6EC63340-777E-44A4-8DEC-4BC6D498C15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2C8A-466D-B382-3D0F49180C39}"/>
                </c:ext>
              </c:extLst>
            </c:dLbl>
            <c:dLbl>
              <c:idx val="11"/>
              <c:tx>
                <c:rich>
                  <a:bodyPr/>
                  <a:lstStyle/>
                  <a:p>
                    <a:fld id="{74CB26E1-2706-4376-920E-554991DE1AF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2C8A-466D-B382-3D0F49180C39}"/>
                </c:ext>
              </c:extLst>
            </c:dLbl>
            <c:dLbl>
              <c:idx val="12"/>
              <c:tx>
                <c:rich>
                  <a:bodyPr/>
                  <a:lstStyle/>
                  <a:p>
                    <a:fld id="{450AF835-E298-4591-AED9-5B52AB987AF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C8A-466D-B382-3D0F49180C39}"/>
                </c:ext>
              </c:extLst>
            </c:dLbl>
            <c:dLbl>
              <c:idx val="13"/>
              <c:tx>
                <c:rich>
                  <a:bodyPr/>
                  <a:lstStyle/>
                  <a:p>
                    <a:fld id="{E5AF71FE-17D9-4A4B-81DB-B430BB6F98C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2C8A-466D-B382-3D0F49180C39}"/>
                </c:ext>
              </c:extLst>
            </c:dLbl>
            <c:dLbl>
              <c:idx val="14"/>
              <c:tx>
                <c:rich>
                  <a:bodyPr/>
                  <a:lstStyle/>
                  <a:p>
                    <a:fld id="{A45362ED-B111-4787-8847-EBA2EF487D6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2C8A-466D-B382-3D0F49180C39}"/>
                </c:ext>
              </c:extLst>
            </c:dLbl>
            <c:dLbl>
              <c:idx val="15"/>
              <c:tx>
                <c:rich>
                  <a:bodyPr/>
                  <a:lstStyle/>
                  <a:p>
                    <a:fld id="{1A389CE5-0D33-4D66-B05D-220EC13293B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C8A-466D-B382-3D0F49180C39}"/>
                </c:ext>
              </c:extLst>
            </c:dLbl>
            <c:dLbl>
              <c:idx val="16"/>
              <c:tx>
                <c:rich>
                  <a:bodyPr/>
                  <a:lstStyle/>
                  <a:p>
                    <a:fld id="{6B9B28FB-368B-4339-BF15-B7F09F45E57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2C8A-466D-B382-3D0F49180C39}"/>
                </c:ext>
              </c:extLst>
            </c:dLbl>
            <c:dLbl>
              <c:idx val="17"/>
              <c:tx>
                <c:rich>
                  <a:bodyPr/>
                  <a:lstStyle/>
                  <a:p>
                    <a:fld id="{27AF4C87-4ABE-4D56-9C0E-8B660C11D5F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2C8A-466D-B382-3D0F49180C39}"/>
                </c:ext>
              </c:extLst>
            </c:dLbl>
            <c:dLbl>
              <c:idx val="18"/>
              <c:tx>
                <c:rich>
                  <a:bodyPr/>
                  <a:lstStyle/>
                  <a:p>
                    <a:fld id="{86678F38-E1F5-462D-9520-F5764FAC9D2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C8A-466D-B382-3D0F49180C39}"/>
                </c:ext>
              </c:extLst>
            </c:dLbl>
            <c:dLbl>
              <c:idx val="19"/>
              <c:tx>
                <c:rich>
                  <a:bodyPr/>
                  <a:lstStyle/>
                  <a:p>
                    <a:fld id="{BFB68830-F4D4-4AA6-AD02-B8509087079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2C8A-466D-B382-3D0F49180C39}"/>
                </c:ext>
              </c:extLst>
            </c:dLbl>
            <c:dLbl>
              <c:idx val="20"/>
              <c:tx>
                <c:rich>
                  <a:bodyPr/>
                  <a:lstStyle/>
                  <a:p>
                    <a:fld id="{BF1F5777-55DD-41B1-8E36-C3D48C527A3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2C8A-466D-B382-3D0F49180C39}"/>
                </c:ext>
              </c:extLst>
            </c:dLbl>
            <c:dLbl>
              <c:idx val="21"/>
              <c:tx>
                <c:rich>
                  <a:bodyPr/>
                  <a:lstStyle/>
                  <a:p>
                    <a:fld id="{B0F7E44D-7A29-4DFE-9DFB-F6A4C914C8F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C8A-466D-B382-3D0F49180C39}"/>
                </c:ext>
              </c:extLst>
            </c:dLbl>
            <c:dLbl>
              <c:idx val="22"/>
              <c:tx>
                <c:rich>
                  <a:bodyPr/>
                  <a:lstStyle/>
                  <a:p>
                    <a:fld id="{532E9AF1-55F0-408C-927D-8009D201658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2C8A-466D-B382-3D0F49180C39}"/>
                </c:ext>
              </c:extLst>
            </c:dLbl>
            <c:dLbl>
              <c:idx val="23"/>
              <c:tx>
                <c:rich>
                  <a:bodyPr/>
                  <a:lstStyle/>
                  <a:p>
                    <a:fld id="{29B7C42C-883E-495B-8F13-48DF6D943B7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2C8A-466D-B382-3D0F49180C39}"/>
                </c:ext>
              </c:extLst>
            </c:dLbl>
            <c:dLbl>
              <c:idx val="24"/>
              <c:tx>
                <c:rich>
                  <a:bodyPr/>
                  <a:lstStyle/>
                  <a:p>
                    <a:fld id="{1BA9029E-9DFF-4D27-928B-D14A2AC14AA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C8A-466D-B382-3D0F49180C39}"/>
                </c:ext>
              </c:extLst>
            </c:dLbl>
            <c:dLbl>
              <c:idx val="25"/>
              <c:tx>
                <c:rich>
                  <a:bodyPr/>
                  <a:lstStyle/>
                  <a:p>
                    <a:fld id="{789E7007-C794-4CD8-86A3-9F73D00E56E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2C8A-466D-B382-3D0F49180C39}"/>
                </c:ext>
              </c:extLst>
            </c:dLbl>
            <c:dLbl>
              <c:idx val="26"/>
              <c:tx>
                <c:rich>
                  <a:bodyPr/>
                  <a:lstStyle/>
                  <a:p>
                    <a:fld id="{A7C7C400-745B-4838-B0DE-2D587D4B4E5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2C8A-466D-B382-3D0F49180C39}"/>
                </c:ext>
              </c:extLst>
            </c:dLbl>
            <c:dLbl>
              <c:idx val="27"/>
              <c:tx>
                <c:rich>
                  <a:bodyPr/>
                  <a:lstStyle/>
                  <a:p>
                    <a:fld id="{DFFB0948-6D46-4AB3-A1D9-FF38C23D24E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C8A-466D-B382-3D0F49180C39}"/>
                </c:ext>
              </c:extLst>
            </c:dLbl>
            <c:dLbl>
              <c:idx val="28"/>
              <c:tx>
                <c:rich>
                  <a:bodyPr/>
                  <a:lstStyle/>
                  <a:p>
                    <a:fld id="{9D69F4E5-2E28-4084-BAA4-E9955B84CF9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2C8A-466D-B382-3D0F49180C39}"/>
                </c:ext>
              </c:extLst>
            </c:dLbl>
            <c:dLbl>
              <c:idx val="29"/>
              <c:tx>
                <c:rich>
                  <a:bodyPr/>
                  <a:lstStyle/>
                  <a:p>
                    <a:fld id="{3004CE1C-01A9-49EC-AB26-EF6C74740DF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2C8A-466D-B382-3D0F49180C39}"/>
                </c:ext>
              </c:extLst>
            </c:dLbl>
            <c:dLbl>
              <c:idx val="30"/>
              <c:tx>
                <c:rich>
                  <a:bodyPr/>
                  <a:lstStyle/>
                  <a:p>
                    <a:fld id="{2F58550D-E7B4-4888-959C-B36941747E9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C8A-466D-B382-3D0F49180C39}"/>
                </c:ext>
              </c:extLst>
            </c:dLbl>
            <c:dLbl>
              <c:idx val="31"/>
              <c:tx>
                <c:rich>
                  <a:bodyPr/>
                  <a:lstStyle/>
                  <a:p>
                    <a:fld id="{B02B506C-DC00-4A35-8E70-98912DCA2A2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2C8A-466D-B382-3D0F49180C39}"/>
                </c:ext>
              </c:extLst>
            </c:dLbl>
            <c:dLbl>
              <c:idx val="32"/>
              <c:tx>
                <c:rich>
                  <a:bodyPr/>
                  <a:lstStyle/>
                  <a:p>
                    <a:fld id="{C12D86AA-5BB7-465A-B361-6D5D03627E2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2C8A-466D-B382-3D0F49180C39}"/>
                </c:ext>
              </c:extLst>
            </c:dLbl>
            <c:dLbl>
              <c:idx val="33"/>
              <c:tx>
                <c:rich>
                  <a:bodyPr/>
                  <a:lstStyle/>
                  <a:p>
                    <a:fld id="{24401BDB-C600-4F1F-BFEE-9BF4D2FD96D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2C8A-466D-B382-3D0F49180C39}"/>
                </c:ext>
              </c:extLst>
            </c:dLbl>
            <c:dLbl>
              <c:idx val="34"/>
              <c:tx>
                <c:rich>
                  <a:bodyPr/>
                  <a:lstStyle/>
                  <a:p>
                    <a:fld id="{33BDC9E6-2E7F-4C51-AAB9-81A4BD47D8A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2C8A-466D-B382-3D0F49180C39}"/>
                </c:ext>
              </c:extLst>
            </c:dLbl>
            <c:dLbl>
              <c:idx val="35"/>
              <c:tx>
                <c:rich>
                  <a:bodyPr/>
                  <a:lstStyle/>
                  <a:p>
                    <a:fld id="{6A3E3CBF-AF8D-4FF3-B8D8-714D88CB8A2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2C8A-466D-B382-3D0F49180C39}"/>
                </c:ext>
              </c:extLst>
            </c:dLbl>
            <c:dLbl>
              <c:idx val="36"/>
              <c:tx>
                <c:rich>
                  <a:bodyPr/>
                  <a:lstStyle/>
                  <a:p>
                    <a:fld id="{57CEA726-DE8C-4017-9DE5-CDA5666E01E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2C8A-466D-B382-3D0F49180C39}"/>
                </c:ext>
              </c:extLst>
            </c:dLbl>
            <c:dLbl>
              <c:idx val="37"/>
              <c:tx>
                <c:rich>
                  <a:bodyPr/>
                  <a:lstStyle/>
                  <a:p>
                    <a:fld id="{BBF3E8B0-E738-4B12-9AB0-A6884994356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2C8A-466D-B382-3D0F49180C39}"/>
                </c:ext>
              </c:extLst>
            </c:dLbl>
            <c:dLbl>
              <c:idx val="38"/>
              <c:tx>
                <c:rich>
                  <a:bodyPr/>
                  <a:lstStyle/>
                  <a:p>
                    <a:fld id="{A023B2F5-DE06-4794-B6AF-19C435AA5F6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2C8A-466D-B382-3D0F49180C39}"/>
                </c:ext>
              </c:extLst>
            </c:dLbl>
            <c:dLbl>
              <c:idx val="39"/>
              <c:tx>
                <c:rich>
                  <a:bodyPr/>
                  <a:lstStyle/>
                  <a:p>
                    <a:fld id="{C595DDBC-884A-4A0B-A87C-3C295423F69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2C8A-466D-B382-3D0F49180C39}"/>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graf'!$AQ$56:$AQ$95</c:f>
              <c:numCache>
                <c:formatCode>General</c:formatCode>
                <c:ptCount val="40"/>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2C8A-466D-B382-3D0F49180C39}"/>
            </c:ext>
          </c:extLst>
        </c:ser>
        <c:ser>
          <c:idx val="0"/>
          <c:order val="2"/>
          <c:tx>
            <c:strRef>
              <c:f>'Prerađivačka_FS graf'!$AR$7</c:f>
              <c:strCache>
                <c:ptCount val="1"/>
                <c:pt idx="0">
                  <c:v>y</c:v>
                </c:pt>
              </c:strCache>
            </c:strRef>
          </c:tx>
          <c:spPr>
            <a:ln w="12700" cap="rnd">
              <a:solidFill>
                <a:srgbClr val="7F3F98"/>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graf'!$AR$56:$AR$95</c:f>
              <c:numCache>
                <c:formatCode>0.0</c:formatCode>
                <c:ptCount val="40"/>
                <c:pt idx="0">
                  <c:v>81.169389509888219</c:v>
                </c:pt>
                <c:pt idx="1">
                  <c:v>86.24247635425624</c:v>
                </c:pt>
                <c:pt idx="2">
                  <c:v>86.156491831470333</c:v>
                </c:pt>
                <c:pt idx="3">
                  <c:v>82.803095442820293</c:v>
                </c:pt>
                <c:pt idx="4">
                  <c:v>91.401547721410154</c:v>
                </c:pt>
                <c:pt idx="5">
                  <c:v>87.274290627687023</c:v>
                </c:pt>
                <c:pt idx="6">
                  <c:v>75.580395528804829</c:v>
                </c:pt>
                <c:pt idx="7">
                  <c:v>72.141014617368882</c:v>
                </c:pt>
                <c:pt idx="8">
                  <c:v>96.302665520206361</c:v>
                </c:pt>
                <c:pt idx="9">
                  <c:v>92.605331040412736</c:v>
                </c:pt>
                <c:pt idx="10">
                  <c:v>100.60189165950129</c:v>
                </c:pt>
                <c:pt idx="11">
                  <c:v>76.612209802235597</c:v>
                </c:pt>
                <c:pt idx="12">
                  <c:v>87.102321582115223</c:v>
                </c:pt>
                <c:pt idx="13">
                  <c:v>99.656061908856401</c:v>
                </c:pt>
                <c:pt idx="14">
                  <c:v>112.1238177128117</c:v>
                </c:pt>
                <c:pt idx="15">
                  <c:v>90.025795356835772</c:v>
                </c:pt>
                <c:pt idx="16">
                  <c:v>100.25795356835769</c:v>
                </c:pt>
                <c:pt idx="17">
                  <c:v>105.24505588993982</c:v>
                </c:pt>
                <c:pt idx="18">
                  <c:v>81.427343078245912</c:v>
                </c:pt>
                <c:pt idx="19">
                  <c:v>79.36371453138436</c:v>
                </c:pt>
                <c:pt idx="20">
                  <c:v>101.80567497850387</c:v>
                </c:pt>
                <c:pt idx="21">
                  <c:v>107.82459157351678</c:v>
                </c:pt>
                <c:pt idx="22">
                  <c:v>108.59845227858986</c:v>
                </c:pt>
                <c:pt idx="23">
                  <c:v>81.771281169389511</c:v>
                </c:pt>
                <c:pt idx="24">
                  <c:v>97.420464316423036</c:v>
                </c:pt>
                <c:pt idx="25">
                  <c:v>106.1049011177988</c:v>
                </c:pt>
                <c:pt idx="26">
                  <c:v>111.77987962166812</c:v>
                </c:pt>
                <c:pt idx="27">
                  <c:v>111.86586414445398</c:v>
                </c:pt>
                <c:pt idx="28">
                  <c:v>90.197764402407572</c:v>
                </c:pt>
                <c:pt idx="29">
                  <c:v>107.05073086844368</c:v>
                </c:pt>
                <c:pt idx="30">
                  <c:v>95.356835769561485</c:v>
                </c:pt>
                <c:pt idx="31">
                  <c:v>83.576956147893384</c:v>
                </c:pt>
                <c:pt idx="32">
                  <c:v>107.39466895958729</c:v>
                </c:pt>
                <c:pt idx="33">
                  <c:v>109.71625107480654</c:v>
                </c:pt>
                <c:pt idx="34">
                  <c:v>104.04127257093722</c:v>
                </c:pt>
                <c:pt idx="35">
                  <c:v>75.752364574376614</c:v>
                </c:pt>
                <c:pt idx="36">
                  <c:v>88.7</c:v>
                </c:pt>
                <c:pt idx="37">
                  <c:v>121.8</c:v>
                </c:pt>
                <c:pt idx="38">
                  <c:v>134.69999999999999</c:v>
                </c:pt>
                <c:pt idx="39">
                  <c:v>124.4</c:v>
                </c:pt>
              </c:numCache>
            </c:numRef>
          </c:val>
          <c:smooth val="0"/>
          <c:extLst>
            <c:ext xmlns:c16="http://schemas.microsoft.com/office/drawing/2014/chart" uri="{C3380CC4-5D6E-409C-BE32-E72D297353CC}">
              <c16:uniqueId val="{0000002D-2C8A-466D-B382-3D0F49180C39}"/>
            </c:ext>
          </c:extLst>
        </c:ser>
        <c:ser>
          <c:idx val="1"/>
          <c:order val="3"/>
          <c:tx>
            <c:strRef>
              <c:f>'Prerađivačka_FS graf'!$AS$7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graf'!$AS$56:$AS$95</c:f>
              <c:numCache>
                <c:formatCode>0.0</c:formatCode>
                <c:ptCount val="40"/>
                <c:pt idx="0">
                  <c:v>85.015284371895262</c:v>
                </c:pt>
                <c:pt idx="1">
                  <c:v>79.92711084940737</c:v>
                </c:pt>
                <c:pt idx="2">
                  <c:v>68.149565139450033</c:v>
                </c:pt>
                <c:pt idx="3">
                  <c:v>84.138870644471368</c:v>
                </c:pt>
                <c:pt idx="4">
                  <c:v>86.472413013356245</c:v>
                </c:pt>
                <c:pt idx="5">
                  <c:v>80.640518755266086</c:v>
                </c:pt>
                <c:pt idx="6">
                  <c:v>91.298738468701302</c:v>
                </c:pt>
                <c:pt idx="7">
                  <c:v>92.012928044643502</c:v>
                </c:pt>
                <c:pt idx="8">
                  <c:v>85.672438260195094</c:v>
                </c:pt>
                <c:pt idx="9">
                  <c:v>84.854826534519731</c:v>
                </c:pt>
                <c:pt idx="10">
                  <c:v>90.216523613868958</c:v>
                </c:pt>
                <c:pt idx="11">
                  <c:v>93.440723430222704</c:v>
                </c:pt>
                <c:pt idx="12">
                  <c:v>89.483236552228178</c:v>
                </c:pt>
                <c:pt idx="13">
                  <c:v>94.424355762778617</c:v>
                </c:pt>
                <c:pt idx="14">
                  <c:v>93.646702965543085</c:v>
                </c:pt>
                <c:pt idx="15">
                  <c:v>94.512657918013502</c:v>
                </c:pt>
                <c:pt idx="16">
                  <c:v>98.134837877464861</c:v>
                </c:pt>
                <c:pt idx="17">
                  <c:v>97.461933180408749</c:v>
                </c:pt>
                <c:pt idx="18">
                  <c:v>94.727010745504728</c:v>
                </c:pt>
                <c:pt idx="19">
                  <c:v>96.70691796459694</c:v>
                </c:pt>
                <c:pt idx="20">
                  <c:v>95.542017220637391</c:v>
                </c:pt>
                <c:pt idx="21">
                  <c:v>97.727747156867323</c:v>
                </c:pt>
                <c:pt idx="22">
                  <c:v>95.38037400897143</c:v>
                </c:pt>
                <c:pt idx="23">
                  <c:v>103.62039917172774</c:v>
                </c:pt>
                <c:pt idx="24">
                  <c:v>103.15697963278619</c:v>
                </c:pt>
                <c:pt idx="25">
                  <c:v>100.96064041930754</c:v>
                </c:pt>
                <c:pt idx="26">
                  <c:v>100.2257664361271</c:v>
                </c:pt>
                <c:pt idx="27">
                  <c:v>99.245168041205247</c:v>
                </c:pt>
                <c:pt idx="28">
                  <c:v>95.520250569135385</c:v>
                </c:pt>
                <c:pt idx="29">
                  <c:v>105.54020127492734</c:v>
                </c:pt>
                <c:pt idx="30">
                  <c:v>100.26287686132365</c:v>
                </c:pt>
                <c:pt idx="31">
                  <c:v>103.90509842041234</c:v>
                </c:pt>
                <c:pt idx="32">
                  <c:v>101.49313771979838</c:v>
                </c:pt>
                <c:pt idx="33">
                  <c:v>97.106071397611359</c:v>
                </c:pt>
                <c:pt idx="34">
                  <c:v>99.864596839988891</c:v>
                </c:pt>
                <c:pt idx="35">
                  <c:v>94.748195215883641</c:v>
                </c:pt>
                <c:pt idx="36">
                  <c:v>98.896589156813306</c:v>
                </c:pt>
                <c:pt idx="37">
                  <c:v>107.4344915139219</c:v>
                </c:pt>
                <c:pt idx="38">
                  <c:v>122.79607991523019</c:v>
                </c:pt>
                <c:pt idx="39">
                  <c:v>118.40095047938532</c:v>
                </c:pt>
              </c:numCache>
            </c:numRef>
          </c:val>
          <c:smooth val="0"/>
          <c:extLst>
            <c:ext xmlns:c16="http://schemas.microsoft.com/office/drawing/2014/chart" uri="{C3380CC4-5D6E-409C-BE32-E72D297353CC}">
              <c16:uniqueId val="{0000002E-2C8A-466D-B382-3D0F49180C39}"/>
            </c:ext>
          </c:extLst>
        </c:ser>
        <c:ser>
          <c:idx val="2"/>
          <c:order val="4"/>
          <c:tx>
            <c:strRef>
              <c:f>'Prerađivačka_FS graf'!$AT$7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graf'!$AT$56:$AT$95</c:f>
              <c:numCache>
                <c:formatCode>0.0</c:formatCode>
                <c:ptCount val="40"/>
                <c:pt idx="0">
                  <c:v>83.452074058300667</c:v>
                </c:pt>
                <c:pt idx="1">
                  <c:v>82.836225165837817</c:v>
                </c:pt>
                <c:pt idx="2">
                  <c:v>82.547397250261326</c:v>
                </c:pt>
                <c:pt idx="3">
                  <c:v>83.350737101938591</c:v>
                </c:pt>
                <c:pt idx="4">
                  <c:v>84.846324032019325</c:v>
                </c:pt>
                <c:pt idx="5">
                  <c:v>86.159645100213538</c:v>
                </c:pt>
                <c:pt idx="6">
                  <c:v>87.150055372779306</c:v>
                </c:pt>
                <c:pt idx="7">
                  <c:v>87.81727957606418</c:v>
                </c:pt>
                <c:pt idx="8">
                  <c:v>88.243348381590621</c:v>
                </c:pt>
                <c:pt idx="9">
                  <c:v>88.761335448690048</c:v>
                </c:pt>
                <c:pt idx="10">
                  <c:v>89.440299309984084</c:v>
                </c:pt>
                <c:pt idx="11">
                  <c:v>90.384672207289412</c:v>
                </c:pt>
                <c:pt idx="12">
                  <c:v>91.708967016389551</c:v>
                </c:pt>
                <c:pt idx="13">
                  <c:v>93.272029595688323</c:v>
                </c:pt>
                <c:pt idx="14">
                  <c:v>94.560539273413255</c:v>
                </c:pt>
                <c:pt idx="15">
                  <c:v>95.425344567867612</c:v>
                </c:pt>
                <c:pt idx="16">
                  <c:v>96.062854301561899</c:v>
                </c:pt>
                <c:pt idx="17">
                  <c:v>96.337471871402883</c:v>
                </c:pt>
                <c:pt idx="18">
                  <c:v>96.241296608036976</c:v>
                </c:pt>
                <c:pt idx="19">
                  <c:v>96.168596011312744</c:v>
                </c:pt>
                <c:pt idx="20">
                  <c:v>96.594813916893969</c:v>
                </c:pt>
                <c:pt idx="21">
                  <c:v>97.584980235538069</c:v>
                </c:pt>
                <c:pt idx="22">
                  <c:v>99.050041623289644</c:v>
                </c:pt>
                <c:pt idx="23">
                  <c:v>100.29881113663799</c:v>
                </c:pt>
                <c:pt idx="24">
                  <c:v>100.92835933855102</c:v>
                </c:pt>
                <c:pt idx="25">
                  <c:v>100.88703013522127</c:v>
                </c:pt>
                <c:pt idx="26">
                  <c:v>100.51520653033927</c:v>
                </c:pt>
                <c:pt idx="27">
                  <c:v>100.27600676223902</c:v>
                </c:pt>
                <c:pt idx="28">
                  <c:v>100.41272213415999</c:v>
                </c:pt>
                <c:pt idx="29">
                  <c:v>100.95029551017792</c:v>
                </c:pt>
                <c:pt idx="30">
                  <c:v>101.48835156418195</c:v>
                </c:pt>
                <c:pt idx="31">
                  <c:v>101.26352619920912</c:v>
                </c:pt>
                <c:pt idx="32">
                  <c:v>100.20165400549502</c:v>
                </c:pt>
                <c:pt idx="33">
                  <c:v>98.808378316639505</c:v>
                </c:pt>
                <c:pt idx="34">
                  <c:v>98.106798935967959</c:v>
                </c:pt>
                <c:pt idx="35">
                  <c:v>99.05625800838898</c:v>
                </c:pt>
                <c:pt idx="36">
                  <c:v>101.93919807973462</c:v>
                </c:pt>
                <c:pt idx="37">
                  <c:v>106.12958953746794</c:v>
                </c:pt>
                <c:pt idx="38">
                  <c:v>110.66768429317587</c:v>
                </c:pt>
                <c:pt idx="39">
                  <c:v>114.42097013160458</c:v>
                </c:pt>
              </c:numCache>
            </c:numRef>
          </c:val>
          <c:smooth val="0"/>
          <c:extLst>
            <c:ext xmlns:c16="http://schemas.microsoft.com/office/drawing/2014/chart" uri="{C3380CC4-5D6E-409C-BE32-E72D297353CC}">
              <c16:uniqueId val="{0000002F-2C8A-466D-B382-3D0F49180C39}"/>
            </c:ext>
          </c:extLst>
        </c:ser>
        <c:dLbls>
          <c:showLegendKey val="0"/>
          <c:showVal val="0"/>
          <c:showCatName val="0"/>
          <c:showSerName val="0"/>
          <c:showPercent val="0"/>
          <c:showBubbleSize val="0"/>
        </c:dLbls>
        <c:marker val="1"/>
        <c:smooth val="0"/>
        <c:axId val="2092167600"/>
        <c:axId val="2092172496"/>
      </c:lineChart>
      <c:dateAx>
        <c:axId val="20921676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72496"/>
        <c:crosses val="autoZero"/>
        <c:auto val="1"/>
        <c:lblOffset val="0"/>
        <c:baseTimeUnit val="months"/>
        <c:majorUnit val="12"/>
        <c:majorTimeUnit val="months"/>
      </c:dateAx>
      <c:valAx>
        <c:axId val="2092172496"/>
        <c:scaling>
          <c:orientation val="minMax"/>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676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082824720118907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DF-451A-B4EE-2F6D9B30E82A}"/>
                </c:ext>
              </c:extLst>
            </c:dLbl>
            <c:dLbl>
              <c:idx val="12"/>
              <c:layout>
                <c:manualLayout>
                  <c:x val="7.649891408681656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DF-451A-B4EE-2F6D9B30E82A}"/>
                </c:ext>
              </c:extLst>
            </c:dLbl>
            <c:dLbl>
              <c:idx val="24"/>
              <c:layout>
                <c:manualLayout>
                  <c:x val="6.480891277479188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DF-451A-B4EE-2F6D9B30E82A}"/>
                </c:ext>
              </c:extLst>
            </c:dLbl>
            <c:dLbl>
              <c:idx val="36"/>
              <c:layout>
                <c:manualLayout>
                  <c:x val="-2.1652501770612006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4A-4DC9-8F49-67949523769D}"/>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graf'!$AF$56:$AF$95</c:f>
              <c:numCache>
                <c:formatCode>General</c:formatCode>
                <c:ptCount val="40"/>
                <c:pt idx="0">
                  <c:v>70</c:v>
                </c:pt>
                <c:pt idx="12">
                  <c:v>70</c:v>
                </c:pt>
                <c:pt idx="24">
                  <c:v>70</c:v>
                </c:pt>
                <c:pt idx="36">
                  <c:v>70</c:v>
                </c:pt>
              </c:numCache>
            </c:numRef>
          </c:val>
          <c:smooth val="0"/>
          <c:extLst>
            <c:ext xmlns:c16="http://schemas.microsoft.com/office/drawing/2014/chart" uri="{C3380CC4-5D6E-409C-BE32-E72D297353CC}">
              <c16:uniqueId val="{00000003-51DF-451A-B4EE-2F6D9B30E82A}"/>
            </c:ext>
          </c:extLst>
        </c:ser>
        <c:ser>
          <c:idx val="4"/>
          <c:order val="1"/>
          <c:tx>
            <c:strRef>
              <c:f>'Prerađivačka_FS graf'!$AG$7</c:f>
              <c:strCache>
                <c:ptCount val="1"/>
                <c:pt idx="0">
                  <c:v>Series5</c:v>
                </c:pt>
              </c:strCache>
            </c:strRef>
          </c:tx>
          <c:spPr>
            <a:ln w="28575" cap="rnd">
              <a:noFill/>
              <a:round/>
            </a:ln>
            <a:effectLst/>
          </c:spPr>
          <c:marker>
            <c:symbol val="none"/>
          </c:marker>
          <c:dLbls>
            <c:dLbl>
              <c:idx val="0"/>
              <c:tx>
                <c:rich>
                  <a:bodyPr/>
                  <a:lstStyle/>
                  <a:p>
                    <a:fld id="{C5E5CE02-1E88-4C09-9EB0-F744BE6D180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51DF-451A-B4EE-2F6D9B30E82A}"/>
                </c:ext>
              </c:extLst>
            </c:dLbl>
            <c:dLbl>
              <c:idx val="1"/>
              <c:tx>
                <c:rich>
                  <a:bodyPr/>
                  <a:lstStyle/>
                  <a:p>
                    <a:fld id="{F08BD715-A657-48A6-B2CB-609243634F7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51DF-451A-B4EE-2F6D9B30E82A}"/>
                </c:ext>
              </c:extLst>
            </c:dLbl>
            <c:dLbl>
              <c:idx val="2"/>
              <c:tx>
                <c:rich>
                  <a:bodyPr/>
                  <a:lstStyle/>
                  <a:p>
                    <a:fld id="{776EB71B-EA4C-480B-BAC2-D4B04197F72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51DF-451A-B4EE-2F6D9B30E82A}"/>
                </c:ext>
              </c:extLst>
            </c:dLbl>
            <c:dLbl>
              <c:idx val="3"/>
              <c:tx>
                <c:rich>
                  <a:bodyPr/>
                  <a:lstStyle/>
                  <a:p>
                    <a:fld id="{3740C0BB-ACC7-4535-BA92-39CE8DF6172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1DF-451A-B4EE-2F6D9B30E82A}"/>
                </c:ext>
              </c:extLst>
            </c:dLbl>
            <c:dLbl>
              <c:idx val="4"/>
              <c:tx>
                <c:rich>
                  <a:bodyPr/>
                  <a:lstStyle/>
                  <a:p>
                    <a:fld id="{86391AB1-C55D-4109-B8DE-322D1276D79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51DF-451A-B4EE-2F6D9B30E82A}"/>
                </c:ext>
              </c:extLst>
            </c:dLbl>
            <c:dLbl>
              <c:idx val="5"/>
              <c:tx>
                <c:rich>
                  <a:bodyPr/>
                  <a:lstStyle/>
                  <a:p>
                    <a:fld id="{39E65333-3E45-4F68-9CFF-B8B429D9644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51DF-451A-B4EE-2F6D9B30E82A}"/>
                </c:ext>
              </c:extLst>
            </c:dLbl>
            <c:dLbl>
              <c:idx val="6"/>
              <c:tx>
                <c:rich>
                  <a:bodyPr/>
                  <a:lstStyle/>
                  <a:p>
                    <a:fld id="{76BFA0E8-691A-464E-B098-E3D7079DDED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1DF-451A-B4EE-2F6D9B30E82A}"/>
                </c:ext>
              </c:extLst>
            </c:dLbl>
            <c:dLbl>
              <c:idx val="7"/>
              <c:tx>
                <c:rich>
                  <a:bodyPr/>
                  <a:lstStyle/>
                  <a:p>
                    <a:fld id="{D6D5F360-0E33-482C-8603-9D9BB9D6919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51DF-451A-B4EE-2F6D9B30E82A}"/>
                </c:ext>
              </c:extLst>
            </c:dLbl>
            <c:dLbl>
              <c:idx val="8"/>
              <c:tx>
                <c:rich>
                  <a:bodyPr/>
                  <a:lstStyle/>
                  <a:p>
                    <a:fld id="{855B54CA-1F55-4C7F-A57D-2B1B6E560B1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51DF-451A-B4EE-2F6D9B30E82A}"/>
                </c:ext>
              </c:extLst>
            </c:dLbl>
            <c:dLbl>
              <c:idx val="9"/>
              <c:tx>
                <c:rich>
                  <a:bodyPr/>
                  <a:lstStyle/>
                  <a:p>
                    <a:fld id="{D4DA977F-2D0A-4082-B6C9-10358B676AE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1DF-451A-B4EE-2F6D9B30E82A}"/>
                </c:ext>
              </c:extLst>
            </c:dLbl>
            <c:dLbl>
              <c:idx val="10"/>
              <c:tx>
                <c:rich>
                  <a:bodyPr/>
                  <a:lstStyle/>
                  <a:p>
                    <a:fld id="{9FD10525-694A-4BF1-9A37-846A28678AD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51DF-451A-B4EE-2F6D9B30E82A}"/>
                </c:ext>
              </c:extLst>
            </c:dLbl>
            <c:dLbl>
              <c:idx val="11"/>
              <c:tx>
                <c:rich>
                  <a:bodyPr/>
                  <a:lstStyle/>
                  <a:p>
                    <a:fld id="{07BC099B-ED23-4319-9975-8DE2271A56B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51DF-451A-B4EE-2F6D9B30E82A}"/>
                </c:ext>
              </c:extLst>
            </c:dLbl>
            <c:dLbl>
              <c:idx val="12"/>
              <c:tx>
                <c:rich>
                  <a:bodyPr/>
                  <a:lstStyle/>
                  <a:p>
                    <a:fld id="{5B9465CB-FF6E-47D2-BD16-CFEFE02AC91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1DF-451A-B4EE-2F6D9B30E82A}"/>
                </c:ext>
              </c:extLst>
            </c:dLbl>
            <c:dLbl>
              <c:idx val="13"/>
              <c:tx>
                <c:rich>
                  <a:bodyPr/>
                  <a:lstStyle/>
                  <a:p>
                    <a:fld id="{1D7DDADC-5D76-43F4-B993-510B84DF3BC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51DF-451A-B4EE-2F6D9B30E82A}"/>
                </c:ext>
              </c:extLst>
            </c:dLbl>
            <c:dLbl>
              <c:idx val="14"/>
              <c:tx>
                <c:rich>
                  <a:bodyPr/>
                  <a:lstStyle/>
                  <a:p>
                    <a:fld id="{C4617D07-202E-40E6-8A37-86F3327434E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51DF-451A-B4EE-2F6D9B30E82A}"/>
                </c:ext>
              </c:extLst>
            </c:dLbl>
            <c:dLbl>
              <c:idx val="15"/>
              <c:tx>
                <c:rich>
                  <a:bodyPr/>
                  <a:lstStyle/>
                  <a:p>
                    <a:fld id="{5C2B46C0-6CF7-4634-A034-8D21E113238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1DF-451A-B4EE-2F6D9B30E82A}"/>
                </c:ext>
              </c:extLst>
            </c:dLbl>
            <c:dLbl>
              <c:idx val="16"/>
              <c:tx>
                <c:rich>
                  <a:bodyPr/>
                  <a:lstStyle/>
                  <a:p>
                    <a:fld id="{6B24AEC1-E0EB-4D18-A054-3BAF53CE112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51DF-451A-B4EE-2F6D9B30E82A}"/>
                </c:ext>
              </c:extLst>
            </c:dLbl>
            <c:dLbl>
              <c:idx val="17"/>
              <c:tx>
                <c:rich>
                  <a:bodyPr/>
                  <a:lstStyle/>
                  <a:p>
                    <a:fld id="{B0B12D00-3041-43D4-9C6F-4ED46B8DDFB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51DF-451A-B4EE-2F6D9B30E82A}"/>
                </c:ext>
              </c:extLst>
            </c:dLbl>
            <c:dLbl>
              <c:idx val="18"/>
              <c:tx>
                <c:rich>
                  <a:bodyPr/>
                  <a:lstStyle/>
                  <a:p>
                    <a:fld id="{0CFF9B96-A22F-41E2-94A5-D73C5B01FD0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1DF-451A-B4EE-2F6D9B30E82A}"/>
                </c:ext>
              </c:extLst>
            </c:dLbl>
            <c:dLbl>
              <c:idx val="19"/>
              <c:tx>
                <c:rich>
                  <a:bodyPr/>
                  <a:lstStyle/>
                  <a:p>
                    <a:fld id="{D6400C9B-8DF6-4580-ADBE-4C114A25559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51DF-451A-B4EE-2F6D9B30E82A}"/>
                </c:ext>
              </c:extLst>
            </c:dLbl>
            <c:dLbl>
              <c:idx val="20"/>
              <c:tx>
                <c:rich>
                  <a:bodyPr/>
                  <a:lstStyle/>
                  <a:p>
                    <a:fld id="{B894F77B-A92F-46F5-BDCB-710FDBB4204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51DF-451A-B4EE-2F6D9B30E82A}"/>
                </c:ext>
              </c:extLst>
            </c:dLbl>
            <c:dLbl>
              <c:idx val="21"/>
              <c:tx>
                <c:rich>
                  <a:bodyPr/>
                  <a:lstStyle/>
                  <a:p>
                    <a:fld id="{4B41D479-DCDA-49B2-AFBD-D34ADC95218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1DF-451A-B4EE-2F6D9B30E82A}"/>
                </c:ext>
              </c:extLst>
            </c:dLbl>
            <c:dLbl>
              <c:idx val="22"/>
              <c:tx>
                <c:rich>
                  <a:bodyPr/>
                  <a:lstStyle/>
                  <a:p>
                    <a:fld id="{464549FE-9DE9-4BFC-B387-7813B7FEB93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51DF-451A-B4EE-2F6D9B30E82A}"/>
                </c:ext>
              </c:extLst>
            </c:dLbl>
            <c:dLbl>
              <c:idx val="23"/>
              <c:tx>
                <c:rich>
                  <a:bodyPr/>
                  <a:lstStyle/>
                  <a:p>
                    <a:fld id="{3E5BB3E4-E87E-4CB9-A1B1-0E38B5D9C69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51DF-451A-B4EE-2F6D9B30E82A}"/>
                </c:ext>
              </c:extLst>
            </c:dLbl>
            <c:dLbl>
              <c:idx val="24"/>
              <c:tx>
                <c:rich>
                  <a:bodyPr/>
                  <a:lstStyle/>
                  <a:p>
                    <a:fld id="{49B548AE-810A-44C8-BD92-22DEC4D3214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1DF-451A-B4EE-2F6D9B30E82A}"/>
                </c:ext>
              </c:extLst>
            </c:dLbl>
            <c:dLbl>
              <c:idx val="25"/>
              <c:tx>
                <c:rich>
                  <a:bodyPr/>
                  <a:lstStyle/>
                  <a:p>
                    <a:fld id="{8BE8D258-7E96-4373-BC73-81E1A6AB1E0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51DF-451A-B4EE-2F6D9B30E82A}"/>
                </c:ext>
              </c:extLst>
            </c:dLbl>
            <c:dLbl>
              <c:idx val="26"/>
              <c:tx>
                <c:rich>
                  <a:bodyPr/>
                  <a:lstStyle/>
                  <a:p>
                    <a:fld id="{2936B9D1-5B6A-4D0C-AFA9-A58C08B38AE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51DF-451A-B4EE-2F6D9B30E82A}"/>
                </c:ext>
              </c:extLst>
            </c:dLbl>
            <c:dLbl>
              <c:idx val="27"/>
              <c:tx>
                <c:rich>
                  <a:bodyPr/>
                  <a:lstStyle/>
                  <a:p>
                    <a:fld id="{5459A1B1-9172-415D-8F14-CD8D1F2284E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1DF-451A-B4EE-2F6D9B30E82A}"/>
                </c:ext>
              </c:extLst>
            </c:dLbl>
            <c:dLbl>
              <c:idx val="28"/>
              <c:tx>
                <c:rich>
                  <a:bodyPr/>
                  <a:lstStyle/>
                  <a:p>
                    <a:fld id="{5557E84E-ADAD-489B-9717-8E5A39928F5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51DF-451A-B4EE-2F6D9B30E82A}"/>
                </c:ext>
              </c:extLst>
            </c:dLbl>
            <c:dLbl>
              <c:idx val="29"/>
              <c:tx>
                <c:rich>
                  <a:bodyPr/>
                  <a:lstStyle/>
                  <a:p>
                    <a:fld id="{A93710B6-7A90-464F-9941-3DEDCBFF7B7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51DF-451A-B4EE-2F6D9B30E82A}"/>
                </c:ext>
              </c:extLst>
            </c:dLbl>
            <c:dLbl>
              <c:idx val="30"/>
              <c:tx>
                <c:rich>
                  <a:bodyPr/>
                  <a:lstStyle/>
                  <a:p>
                    <a:fld id="{E0A95CD9-0E18-42B5-99F5-92F5A86173D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1DF-451A-B4EE-2F6D9B30E82A}"/>
                </c:ext>
              </c:extLst>
            </c:dLbl>
            <c:dLbl>
              <c:idx val="31"/>
              <c:tx>
                <c:rich>
                  <a:bodyPr/>
                  <a:lstStyle/>
                  <a:p>
                    <a:fld id="{121D3FDA-2117-47BE-B38F-FB68083FEB0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51DF-451A-B4EE-2F6D9B30E82A}"/>
                </c:ext>
              </c:extLst>
            </c:dLbl>
            <c:dLbl>
              <c:idx val="32"/>
              <c:tx>
                <c:rich>
                  <a:bodyPr/>
                  <a:lstStyle/>
                  <a:p>
                    <a:fld id="{A09ABCE8-4ECA-4EBD-85F0-AA462D4020B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51DF-451A-B4EE-2F6D9B30E82A}"/>
                </c:ext>
              </c:extLst>
            </c:dLbl>
            <c:dLbl>
              <c:idx val="33"/>
              <c:tx>
                <c:rich>
                  <a:bodyPr/>
                  <a:lstStyle/>
                  <a:p>
                    <a:fld id="{CB776CA6-8373-414F-A340-9007F01AA60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51DF-451A-B4EE-2F6D9B30E82A}"/>
                </c:ext>
              </c:extLst>
            </c:dLbl>
            <c:dLbl>
              <c:idx val="34"/>
              <c:tx>
                <c:rich>
                  <a:bodyPr/>
                  <a:lstStyle/>
                  <a:p>
                    <a:fld id="{432E45A2-57DE-4581-B8A6-E9C2B5F84A2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51DF-451A-B4EE-2F6D9B30E82A}"/>
                </c:ext>
              </c:extLst>
            </c:dLbl>
            <c:dLbl>
              <c:idx val="35"/>
              <c:tx>
                <c:rich>
                  <a:bodyPr/>
                  <a:lstStyle/>
                  <a:p>
                    <a:fld id="{6C4ECC51-AAEF-493A-A277-F06B96FDA64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51DF-451A-B4EE-2F6D9B30E82A}"/>
                </c:ext>
              </c:extLst>
            </c:dLbl>
            <c:dLbl>
              <c:idx val="36"/>
              <c:tx>
                <c:rich>
                  <a:bodyPr/>
                  <a:lstStyle/>
                  <a:p>
                    <a:fld id="{96FD6615-9D73-4EDB-944A-DBA3C3D4279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51DF-451A-B4EE-2F6D9B30E82A}"/>
                </c:ext>
              </c:extLst>
            </c:dLbl>
            <c:dLbl>
              <c:idx val="37"/>
              <c:tx>
                <c:rich>
                  <a:bodyPr/>
                  <a:lstStyle/>
                  <a:p>
                    <a:fld id="{71B8519D-2292-402C-BE4A-4F8A63AAA55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51DF-451A-B4EE-2F6D9B30E82A}"/>
                </c:ext>
              </c:extLst>
            </c:dLbl>
            <c:dLbl>
              <c:idx val="38"/>
              <c:tx>
                <c:rich>
                  <a:bodyPr/>
                  <a:lstStyle/>
                  <a:p>
                    <a:fld id="{C4CB2DDE-3097-4CF1-870A-C215321F918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51DF-451A-B4EE-2F6D9B30E82A}"/>
                </c:ext>
              </c:extLst>
            </c:dLbl>
            <c:dLbl>
              <c:idx val="39"/>
              <c:tx>
                <c:rich>
                  <a:bodyPr/>
                  <a:lstStyle/>
                  <a:p>
                    <a:fld id="{287ED711-25E9-43F5-AF3E-218AFB1BE41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51DF-451A-B4EE-2F6D9B30E82A}"/>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graf'!$AG$56:$AG$95</c:f>
              <c:numCache>
                <c:formatCode>General</c:formatCode>
                <c:ptCount val="40"/>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pt idx="39">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51DF-451A-B4EE-2F6D9B30E82A}"/>
            </c:ext>
          </c:extLst>
        </c:ser>
        <c:ser>
          <c:idx val="0"/>
          <c:order val="2"/>
          <c:tx>
            <c:strRef>
              <c:f>'Prerađivačka_FS graf'!$AH$7</c:f>
              <c:strCache>
                <c:ptCount val="1"/>
                <c:pt idx="0">
                  <c:v>y</c:v>
                </c:pt>
              </c:strCache>
            </c:strRef>
          </c:tx>
          <c:spPr>
            <a:ln w="12700" cap="rnd">
              <a:solidFill>
                <a:srgbClr val="7F3F98"/>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graf'!$AH$56:$AH$95</c:f>
              <c:numCache>
                <c:formatCode>0.0</c:formatCode>
                <c:ptCount val="40"/>
                <c:pt idx="0">
                  <c:v>78.87453874538744</c:v>
                </c:pt>
                <c:pt idx="1">
                  <c:v>91.605166051660518</c:v>
                </c:pt>
                <c:pt idx="2">
                  <c:v>98.985239852398522</c:v>
                </c:pt>
                <c:pt idx="3">
                  <c:v>86.531365313653126</c:v>
                </c:pt>
                <c:pt idx="4">
                  <c:v>92.619926199261997</c:v>
                </c:pt>
                <c:pt idx="5">
                  <c:v>94.557195571955717</c:v>
                </c:pt>
                <c:pt idx="6">
                  <c:v>84.778597785977865</c:v>
                </c:pt>
                <c:pt idx="7">
                  <c:v>83.025830258302577</c:v>
                </c:pt>
                <c:pt idx="8">
                  <c:v>91.14391143911439</c:v>
                </c:pt>
                <c:pt idx="9">
                  <c:v>96.217712177121768</c:v>
                </c:pt>
                <c:pt idx="10">
                  <c:v>84.501845018450169</c:v>
                </c:pt>
                <c:pt idx="11">
                  <c:v>79.61254612546125</c:v>
                </c:pt>
                <c:pt idx="12">
                  <c:v>75.738007380073796</c:v>
                </c:pt>
                <c:pt idx="13">
                  <c:v>87.546125461254604</c:v>
                </c:pt>
                <c:pt idx="14">
                  <c:v>98.154981549815503</c:v>
                </c:pt>
                <c:pt idx="15">
                  <c:v>85.608856088560884</c:v>
                </c:pt>
                <c:pt idx="16">
                  <c:v>91.881918819188186</c:v>
                </c:pt>
                <c:pt idx="17">
                  <c:v>92.3431734317343</c:v>
                </c:pt>
                <c:pt idx="18">
                  <c:v>84.963099630996297</c:v>
                </c:pt>
                <c:pt idx="19">
                  <c:v>74.354243542435412</c:v>
                </c:pt>
                <c:pt idx="20">
                  <c:v>87.546125461254604</c:v>
                </c:pt>
                <c:pt idx="21">
                  <c:v>92.3431734317343</c:v>
                </c:pt>
                <c:pt idx="22">
                  <c:v>83.487084870848705</c:v>
                </c:pt>
                <c:pt idx="23">
                  <c:v>76.845018450184497</c:v>
                </c:pt>
                <c:pt idx="24">
                  <c:v>76.568265682656829</c:v>
                </c:pt>
                <c:pt idx="25">
                  <c:v>92.988929889298888</c:v>
                </c:pt>
                <c:pt idx="26">
                  <c:v>104.61254612546125</c:v>
                </c:pt>
                <c:pt idx="27">
                  <c:v>100.18450184501843</c:v>
                </c:pt>
                <c:pt idx="28">
                  <c:v>92.435424354243551</c:v>
                </c:pt>
                <c:pt idx="29">
                  <c:v>101.47601476014761</c:v>
                </c:pt>
                <c:pt idx="30">
                  <c:v>95.387453874538735</c:v>
                </c:pt>
                <c:pt idx="31">
                  <c:v>93.911439114391143</c:v>
                </c:pt>
                <c:pt idx="32">
                  <c:v>109.68634686346863</c:v>
                </c:pt>
                <c:pt idx="33">
                  <c:v>116.32841328413284</c:v>
                </c:pt>
                <c:pt idx="34">
                  <c:v>108.94833948339482</c:v>
                </c:pt>
                <c:pt idx="35">
                  <c:v>107.38007380073799</c:v>
                </c:pt>
                <c:pt idx="36">
                  <c:v>97.9</c:v>
                </c:pt>
                <c:pt idx="37">
                  <c:v>106.7</c:v>
                </c:pt>
                <c:pt idx="38">
                  <c:v>123.8</c:v>
                </c:pt>
                <c:pt idx="39">
                  <c:v>111.3</c:v>
                </c:pt>
              </c:numCache>
            </c:numRef>
          </c:val>
          <c:smooth val="0"/>
          <c:extLst>
            <c:ext xmlns:c16="http://schemas.microsoft.com/office/drawing/2014/chart" uri="{C3380CC4-5D6E-409C-BE32-E72D297353CC}">
              <c16:uniqueId val="{0000002D-51DF-451A-B4EE-2F6D9B30E82A}"/>
            </c:ext>
          </c:extLst>
        </c:ser>
        <c:ser>
          <c:idx val="1"/>
          <c:order val="3"/>
          <c:tx>
            <c:strRef>
              <c:f>'Prerađivačka_FS graf'!$AI$7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graf'!$AI$56:$AI$95</c:f>
              <c:numCache>
                <c:formatCode>0.0</c:formatCode>
                <c:ptCount val="40"/>
                <c:pt idx="0">
                  <c:v>91.851091182752839</c:v>
                </c:pt>
                <c:pt idx="1">
                  <c:v>92.257805129801923</c:v>
                </c:pt>
                <c:pt idx="2">
                  <c:v>89.408834106991605</c:v>
                </c:pt>
                <c:pt idx="3">
                  <c:v>88.332678654160546</c:v>
                </c:pt>
                <c:pt idx="4">
                  <c:v>90.946710247246443</c:v>
                </c:pt>
                <c:pt idx="5">
                  <c:v>89.386155506455594</c:v>
                </c:pt>
                <c:pt idx="6">
                  <c:v>85.387640241851742</c:v>
                </c:pt>
                <c:pt idx="7">
                  <c:v>87.476134945829287</c:v>
                </c:pt>
                <c:pt idx="8">
                  <c:v>86.325800146788055</c:v>
                </c:pt>
                <c:pt idx="9">
                  <c:v>89.434424667439359</c:v>
                </c:pt>
                <c:pt idx="10">
                  <c:v>84.440814218425388</c:v>
                </c:pt>
                <c:pt idx="11">
                  <c:v>87.117592102058012</c:v>
                </c:pt>
                <c:pt idx="12">
                  <c:v>87.518379988865661</c:v>
                </c:pt>
                <c:pt idx="13">
                  <c:v>87.973504358855763</c:v>
                </c:pt>
                <c:pt idx="14">
                  <c:v>87.318407022079583</c:v>
                </c:pt>
                <c:pt idx="15">
                  <c:v>87.936054916356952</c:v>
                </c:pt>
                <c:pt idx="16">
                  <c:v>90.682561109545716</c:v>
                </c:pt>
                <c:pt idx="17">
                  <c:v>86.828332297290956</c:v>
                </c:pt>
                <c:pt idx="18">
                  <c:v>86.577244545829132</c:v>
                </c:pt>
                <c:pt idx="19">
                  <c:v>79.707514394923024</c:v>
                </c:pt>
                <c:pt idx="20">
                  <c:v>84.127501779606504</c:v>
                </c:pt>
                <c:pt idx="21">
                  <c:v>84.371030800049923</c:v>
                </c:pt>
                <c:pt idx="22">
                  <c:v>83.008701399973205</c:v>
                </c:pt>
                <c:pt idx="23">
                  <c:v>84.955678210687225</c:v>
                </c:pt>
                <c:pt idx="24">
                  <c:v>88.681790351014769</c:v>
                </c:pt>
                <c:pt idx="25">
                  <c:v>90.587480793772784</c:v>
                </c:pt>
                <c:pt idx="26">
                  <c:v>94.741682942056144</c:v>
                </c:pt>
                <c:pt idx="27">
                  <c:v>97.521121819772162</c:v>
                </c:pt>
                <c:pt idx="28">
                  <c:v>93.36750616171237</c:v>
                </c:pt>
                <c:pt idx="29">
                  <c:v>98.133334060730306</c:v>
                </c:pt>
                <c:pt idx="30">
                  <c:v>95.219217223186632</c:v>
                </c:pt>
                <c:pt idx="31">
                  <c:v>101.06880796672358</c:v>
                </c:pt>
                <c:pt idx="32">
                  <c:v>106.46034967757512</c:v>
                </c:pt>
                <c:pt idx="33">
                  <c:v>107.36687549165326</c:v>
                </c:pt>
                <c:pt idx="34">
                  <c:v>111.13143275540465</c:v>
                </c:pt>
                <c:pt idx="35">
                  <c:v>114.25087051394928</c:v>
                </c:pt>
                <c:pt idx="36">
                  <c:v>110.89652149118301</c:v>
                </c:pt>
                <c:pt idx="37">
                  <c:v>104.85094621534392</c:v>
                </c:pt>
                <c:pt idx="38">
                  <c:v>112.98650380201714</c:v>
                </c:pt>
                <c:pt idx="39">
                  <c:v>110.50020032739627</c:v>
                </c:pt>
              </c:numCache>
            </c:numRef>
          </c:val>
          <c:smooth val="0"/>
          <c:extLst>
            <c:ext xmlns:c16="http://schemas.microsoft.com/office/drawing/2014/chart" uri="{C3380CC4-5D6E-409C-BE32-E72D297353CC}">
              <c16:uniqueId val="{0000002E-51DF-451A-B4EE-2F6D9B30E82A}"/>
            </c:ext>
          </c:extLst>
        </c:ser>
        <c:ser>
          <c:idx val="2"/>
          <c:order val="4"/>
          <c:tx>
            <c:strRef>
              <c:f>'Prerađivačka_FS graf'!$AJ$7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graf'!$AJ$56:$AJ$95</c:f>
              <c:numCache>
                <c:formatCode>0.0</c:formatCode>
                <c:ptCount val="40"/>
                <c:pt idx="0">
                  <c:v>91.884061334613648</c:v>
                </c:pt>
                <c:pt idx="1">
                  <c:v>91.418953681343055</c:v>
                </c:pt>
                <c:pt idx="2">
                  <c:v>90.64277444389279</c:v>
                </c:pt>
                <c:pt idx="3">
                  <c:v>89.722292195134358</c:v>
                </c:pt>
                <c:pt idx="4">
                  <c:v>88.935183426969445</c:v>
                </c:pt>
                <c:pt idx="5">
                  <c:v>88.289459288307086</c:v>
                </c:pt>
                <c:pt idx="6">
                  <c:v>87.70169825714936</c:v>
                </c:pt>
                <c:pt idx="7">
                  <c:v>87.22328307708031</c:v>
                </c:pt>
                <c:pt idx="8">
                  <c:v>86.894233206783042</c:v>
                </c:pt>
                <c:pt idx="9">
                  <c:v>86.744468646030697</c:v>
                </c:pt>
                <c:pt idx="10">
                  <c:v>86.772700825068242</c:v>
                </c:pt>
                <c:pt idx="11">
                  <c:v>86.981073255111184</c:v>
                </c:pt>
                <c:pt idx="12">
                  <c:v>87.279743823591645</c:v>
                </c:pt>
                <c:pt idx="13">
                  <c:v>87.669793819524557</c:v>
                </c:pt>
                <c:pt idx="14">
                  <c:v>88.088765841663985</c:v>
                </c:pt>
                <c:pt idx="15">
                  <c:v>88.270109005062793</c:v>
                </c:pt>
                <c:pt idx="16">
                  <c:v>88.073274567454789</c:v>
                </c:pt>
                <c:pt idx="17">
                  <c:v>87.407243381694101</c:v>
                </c:pt>
                <c:pt idx="18">
                  <c:v>86.411506186816126</c:v>
                </c:pt>
                <c:pt idx="19">
                  <c:v>85.259897479717367</c:v>
                </c:pt>
                <c:pt idx="20">
                  <c:v>84.28643633215961</c:v>
                </c:pt>
                <c:pt idx="21">
                  <c:v>83.916214755909095</c:v>
                </c:pt>
                <c:pt idx="22">
                  <c:v>84.54936105321967</c:v>
                </c:pt>
                <c:pt idx="23">
                  <c:v>86.09661820314966</c:v>
                </c:pt>
                <c:pt idx="24">
                  <c:v>88.208469732015175</c:v>
                </c:pt>
                <c:pt idx="25">
                  <c:v>90.555280122234521</c:v>
                </c:pt>
                <c:pt idx="26">
                  <c:v>92.706832720346085</c:v>
                </c:pt>
                <c:pt idx="27">
                  <c:v>94.533321022040383</c:v>
                </c:pt>
                <c:pt idx="28">
                  <c:v>96.125488216903349</c:v>
                </c:pt>
                <c:pt idx="29">
                  <c:v>97.780361111036697</c:v>
                </c:pt>
                <c:pt idx="30">
                  <c:v>99.885028615562533</c:v>
                </c:pt>
                <c:pt idx="31">
                  <c:v>102.50006130207787</c:v>
                </c:pt>
                <c:pt idx="32">
                  <c:v>105.30729367170093</c:v>
                </c:pt>
                <c:pt idx="33">
                  <c:v>107.92687332817815</c:v>
                </c:pt>
                <c:pt idx="34">
                  <c:v>109.94337585879794</c:v>
                </c:pt>
                <c:pt idx="35">
                  <c:v>111.19030132953932</c:v>
                </c:pt>
                <c:pt idx="36">
                  <c:v>111.75536790989361</c:v>
                </c:pt>
                <c:pt idx="37">
                  <c:v>111.78323124649435</c:v>
                </c:pt>
                <c:pt idx="38">
                  <c:v>111.61661598966226</c:v>
                </c:pt>
                <c:pt idx="39">
                  <c:v>111.58522212382114</c:v>
                </c:pt>
              </c:numCache>
            </c:numRef>
          </c:val>
          <c:smooth val="0"/>
          <c:extLst>
            <c:ext xmlns:c16="http://schemas.microsoft.com/office/drawing/2014/chart" uri="{C3380CC4-5D6E-409C-BE32-E72D297353CC}">
              <c16:uniqueId val="{0000002F-51DF-451A-B4EE-2F6D9B30E82A}"/>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28432"/>
        <c:crosses val="autoZero"/>
        <c:auto val="1"/>
        <c:lblOffset val="0"/>
        <c:baseTimeUnit val="months"/>
        <c:majorUnit val="12"/>
        <c:majorTimeUnit val="months"/>
      </c:dateAx>
      <c:valAx>
        <c:axId val="2092128432"/>
        <c:scaling>
          <c:orientation val="minMax"/>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graf'!$BP$7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077428970793064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5C-4EEF-95BF-3F195D033A88}"/>
                </c:ext>
              </c:extLst>
            </c:dLbl>
            <c:dLbl>
              <c:idx val="12"/>
              <c:layout>
                <c:manualLayout>
                  <c:x val="7.20263984814391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5C-4EEF-95BF-3F195D033A88}"/>
                </c:ext>
              </c:extLst>
            </c:dLbl>
            <c:dLbl>
              <c:idx val="24"/>
              <c:layout>
                <c:manualLayout>
                  <c:x val="7.0501256787345951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5C-4EEF-95BF-3F195D033A88}"/>
                </c:ext>
              </c:extLst>
            </c:dLbl>
            <c:dLbl>
              <c:idx val="36"/>
              <c:layout>
                <c:manualLayout>
                  <c:x val="-1.7243330694774264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754-43F6-A51B-C0B817AF915B}"/>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graf'!$BP$56:$BP$95</c:f>
              <c:numCache>
                <c:formatCode>General</c:formatCode>
                <c:ptCount val="40"/>
                <c:pt idx="0">
                  <c:v>20</c:v>
                </c:pt>
                <c:pt idx="12">
                  <c:v>20</c:v>
                </c:pt>
                <c:pt idx="24">
                  <c:v>20</c:v>
                </c:pt>
                <c:pt idx="36">
                  <c:v>20</c:v>
                </c:pt>
              </c:numCache>
            </c:numRef>
          </c:val>
          <c:smooth val="0"/>
          <c:extLst>
            <c:ext xmlns:c16="http://schemas.microsoft.com/office/drawing/2014/chart" uri="{C3380CC4-5D6E-409C-BE32-E72D297353CC}">
              <c16:uniqueId val="{00000003-AC5C-4EEF-95BF-3F195D033A88}"/>
            </c:ext>
          </c:extLst>
        </c:ser>
        <c:ser>
          <c:idx val="4"/>
          <c:order val="1"/>
          <c:tx>
            <c:strRef>
              <c:f>'Prerađivačka_FS graf'!$BQ$7</c:f>
              <c:strCache>
                <c:ptCount val="1"/>
                <c:pt idx="0">
                  <c:v>Series5</c:v>
                </c:pt>
              </c:strCache>
            </c:strRef>
          </c:tx>
          <c:spPr>
            <a:ln w="25400" cap="rnd">
              <a:noFill/>
              <a:round/>
            </a:ln>
            <a:effectLst/>
          </c:spPr>
          <c:marker>
            <c:symbol val="none"/>
          </c:marker>
          <c:dLbls>
            <c:dLbl>
              <c:idx val="0"/>
              <c:tx>
                <c:rich>
                  <a:bodyPr/>
                  <a:lstStyle/>
                  <a:p>
                    <a:fld id="{FE7FE55B-4194-4EBF-A944-5468D5C02E6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AC5C-4EEF-95BF-3F195D033A88}"/>
                </c:ext>
              </c:extLst>
            </c:dLbl>
            <c:dLbl>
              <c:idx val="1"/>
              <c:tx>
                <c:rich>
                  <a:bodyPr/>
                  <a:lstStyle/>
                  <a:p>
                    <a:fld id="{70773A1D-2C03-44C5-9F16-184B231B37B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AC5C-4EEF-95BF-3F195D033A88}"/>
                </c:ext>
              </c:extLst>
            </c:dLbl>
            <c:dLbl>
              <c:idx val="2"/>
              <c:tx>
                <c:rich>
                  <a:bodyPr/>
                  <a:lstStyle/>
                  <a:p>
                    <a:fld id="{6DF30D20-B16F-4424-9514-05F032AE3AA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AC5C-4EEF-95BF-3F195D033A88}"/>
                </c:ext>
              </c:extLst>
            </c:dLbl>
            <c:dLbl>
              <c:idx val="3"/>
              <c:tx>
                <c:rich>
                  <a:bodyPr/>
                  <a:lstStyle/>
                  <a:p>
                    <a:fld id="{FB7BA2F1-FDB0-45CA-B55F-3621141F308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C5C-4EEF-95BF-3F195D033A88}"/>
                </c:ext>
              </c:extLst>
            </c:dLbl>
            <c:dLbl>
              <c:idx val="4"/>
              <c:tx>
                <c:rich>
                  <a:bodyPr/>
                  <a:lstStyle/>
                  <a:p>
                    <a:fld id="{3FC3AA2F-28D0-4E95-84DC-7B8FFC789D2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AC5C-4EEF-95BF-3F195D033A88}"/>
                </c:ext>
              </c:extLst>
            </c:dLbl>
            <c:dLbl>
              <c:idx val="5"/>
              <c:tx>
                <c:rich>
                  <a:bodyPr/>
                  <a:lstStyle/>
                  <a:p>
                    <a:fld id="{A92D4E02-19C8-4A43-97CE-D4370D6A504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AC5C-4EEF-95BF-3F195D033A88}"/>
                </c:ext>
              </c:extLst>
            </c:dLbl>
            <c:dLbl>
              <c:idx val="6"/>
              <c:tx>
                <c:rich>
                  <a:bodyPr/>
                  <a:lstStyle/>
                  <a:p>
                    <a:fld id="{83BDC4D3-3F99-4DBF-9346-64F1CE5E69C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C5C-4EEF-95BF-3F195D033A88}"/>
                </c:ext>
              </c:extLst>
            </c:dLbl>
            <c:dLbl>
              <c:idx val="7"/>
              <c:tx>
                <c:rich>
                  <a:bodyPr/>
                  <a:lstStyle/>
                  <a:p>
                    <a:fld id="{FE0B4304-228D-4F42-B654-2CCD3597EE3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AC5C-4EEF-95BF-3F195D033A88}"/>
                </c:ext>
              </c:extLst>
            </c:dLbl>
            <c:dLbl>
              <c:idx val="8"/>
              <c:tx>
                <c:rich>
                  <a:bodyPr/>
                  <a:lstStyle/>
                  <a:p>
                    <a:fld id="{57A10C6A-5A92-4D75-AD20-1DB1E51C34F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AC5C-4EEF-95BF-3F195D033A88}"/>
                </c:ext>
              </c:extLst>
            </c:dLbl>
            <c:dLbl>
              <c:idx val="9"/>
              <c:tx>
                <c:rich>
                  <a:bodyPr/>
                  <a:lstStyle/>
                  <a:p>
                    <a:fld id="{7DE43CD4-0AB7-4C85-BFC9-1B4BBE0061D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C5C-4EEF-95BF-3F195D033A88}"/>
                </c:ext>
              </c:extLst>
            </c:dLbl>
            <c:dLbl>
              <c:idx val="10"/>
              <c:tx>
                <c:rich>
                  <a:bodyPr/>
                  <a:lstStyle/>
                  <a:p>
                    <a:fld id="{C4233FBC-FD4E-4474-85AC-110021CEEF6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AC5C-4EEF-95BF-3F195D033A88}"/>
                </c:ext>
              </c:extLst>
            </c:dLbl>
            <c:dLbl>
              <c:idx val="11"/>
              <c:tx>
                <c:rich>
                  <a:bodyPr/>
                  <a:lstStyle/>
                  <a:p>
                    <a:fld id="{262280DE-C10D-4365-A12C-CE8AE6FB1C4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AC5C-4EEF-95BF-3F195D033A88}"/>
                </c:ext>
              </c:extLst>
            </c:dLbl>
            <c:dLbl>
              <c:idx val="12"/>
              <c:tx>
                <c:rich>
                  <a:bodyPr/>
                  <a:lstStyle/>
                  <a:p>
                    <a:fld id="{673A4578-5BCE-4A6F-8A52-4BD27A61952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C5C-4EEF-95BF-3F195D033A88}"/>
                </c:ext>
              </c:extLst>
            </c:dLbl>
            <c:dLbl>
              <c:idx val="13"/>
              <c:tx>
                <c:rich>
                  <a:bodyPr/>
                  <a:lstStyle/>
                  <a:p>
                    <a:fld id="{EC5C561F-B07F-4064-9219-92A86E58BA6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AC5C-4EEF-95BF-3F195D033A88}"/>
                </c:ext>
              </c:extLst>
            </c:dLbl>
            <c:dLbl>
              <c:idx val="14"/>
              <c:tx>
                <c:rich>
                  <a:bodyPr/>
                  <a:lstStyle/>
                  <a:p>
                    <a:fld id="{C342C62C-A9FA-41F5-889B-C48349658C5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AC5C-4EEF-95BF-3F195D033A88}"/>
                </c:ext>
              </c:extLst>
            </c:dLbl>
            <c:dLbl>
              <c:idx val="15"/>
              <c:tx>
                <c:rich>
                  <a:bodyPr/>
                  <a:lstStyle/>
                  <a:p>
                    <a:fld id="{9D6FE044-EDBD-4F57-AEC2-A3691D83C30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AC5C-4EEF-95BF-3F195D033A88}"/>
                </c:ext>
              </c:extLst>
            </c:dLbl>
            <c:dLbl>
              <c:idx val="16"/>
              <c:tx>
                <c:rich>
                  <a:bodyPr/>
                  <a:lstStyle/>
                  <a:p>
                    <a:fld id="{D947AE21-642B-4408-9FE7-62DFA5E62AA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AC5C-4EEF-95BF-3F195D033A88}"/>
                </c:ext>
              </c:extLst>
            </c:dLbl>
            <c:dLbl>
              <c:idx val="17"/>
              <c:tx>
                <c:rich>
                  <a:bodyPr/>
                  <a:lstStyle/>
                  <a:p>
                    <a:fld id="{A053D0DF-89FC-4C9D-AF17-64842173BE2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AC5C-4EEF-95BF-3F195D033A88}"/>
                </c:ext>
              </c:extLst>
            </c:dLbl>
            <c:dLbl>
              <c:idx val="18"/>
              <c:tx>
                <c:rich>
                  <a:bodyPr/>
                  <a:lstStyle/>
                  <a:p>
                    <a:fld id="{C90483A9-1768-4779-9D48-6CF93E82989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C5C-4EEF-95BF-3F195D033A88}"/>
                </c:ext>
              </c:extLst>
            </c:dLbl>
            <c:dLbl>
              <c:idx val="19"/>
              <c:tx>
                <c:rich>
                  <a:bodyPr/>
                  <a:lstStyle/>
                  <a:p>
                    <a:fld id="{A8D4E016-7357-4FFE-B76C-E4B6662ECE9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AC5C-4EEF-95BF-3F195D033A88}"/>
                </c:ext>
              </c:extLst>
            </c:dLbl>
            <c:dLbl>
              <c:idx val="20"/>
              <c:tx>
                <c:rich>
                  <a:bodyPr/>
                  <a:lstStyle/>
                  <a:p>
                    <a:fld id="{A9C1F67C-AAF3-4493-A799-61CE6C34A26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AC5C-4EEF-95BF-3F195D033A88}"/>
                </c:ext>
              </c:extLst>
            </c:dLbl>
            <c:dLbl>
              <c:idx val="21"/>
              <c:tx>
                <c:rich>
                  <a:bodyPr/>
                  <a:lstStyle/>
                  <a:p>
                    <a:fld id="{AA6090D0-3616-42BB-A3A0-02786CA8469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AC5C-4EEF-95BF-3F195D033A88}"/>
                </c:ext>
              </c:extLst>
            </c:dLbl>
            <c:dLbl>
              <c:idx val="22"/>
              <c:tx>
                <c:rich>
                  <a:bodyPr/>
                  <a:lstStyle/>
                  <a:p>
                    <a:fld id="{663DA1A9-2A7F-4ED0-B8DE-1175B950B4A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AC5C-4EEF-95BF-3F195D033A88}"/>
                </c:ext>
              </c:extLst>
            </c:dLbl>
            <c:dLbl>
              <c:idx val="23"/>
              <c:tx>
                <c:rich>
                  <a:bodyPr/>
                  <a:lstStyle/>
                  <a:p>
                    <a:fld id="{92ED0363-CDEB-48A0-9252-CFEE73CD617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AC5C-4EEF-95BF-3F195D033A88}"/>
                </c:ext>
              </c:extLst>
            </c:dLbl>
            <c:dLbl>
              <c:idx val="24"/>
              <c:tx>
                <c:rich>
                  <a:bodyPr/>
                  <a:lstStyle/>
                  <a:p>
                    <a:fld id="{5220808C-1403-4243-8074-8EBEA420FD4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C5C-4EEF-95BF-3F195D033A88}"/>
                </c:ext>
              </c:extLst>
            </c:dLbl>
            <c:dLbl>
              <c:idx val="25"/>
              <c:tx>
                <c:rich>
                  <a:bodyPr/>
                  <a:lstStyle/>
                  <a:p>
                    <a:fld id="{64E3B011-9D1A-48E4-9F63-D4AB6D37A7E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AC5C-4EEF-95BF-3F195D033A88}"/>
                </c:ext>
              </c:extLst>
            </c:dLbl>
            <c:dLbl>
              <c:idx val="26"/>
              <c:tx>
                <c:rich>
                  <a:bodyPr/>
                  <a:lstStyle/>
                  <a:p>
                    <a:fld id="{898BE845-9DA7-418A-9536-C295DD60F60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AC5C-4EEF-95BF-3F195D033A88}"/>
                </c:ext>
              </c:extLst>
            </c:dLbl>
            <c:dLbl>
              <c:idx val="27"/>
              <c:tx>
                <c:rich>
                  <a:bodyPr/>
                  <a:lstStyle/>
                  <a:p>
                    <a:fld id="{704F7B99-7AA3-4A58-832F-03405CEAF44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AC5C-4EEF-95BF-3F195D033A88}"/>
                </c:ext>
              </c:extLst>
            </c:dLbl>
            <c:dLbl>
              <c:idx val="28"/>
              <c:tx>
                <c:rich>
                  <a:bodyPr/>
                  <a:lstStyle/>
                  <a:p>
                    <a:fld id="{9D233C85-578F-4346-9892-8E3DB5132E9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AC5C-4EEF-95BF-3F195D033A88}"/>
                </c:ext>
              </c:extLst>
            </c:dLbl>
            <c:dLbl>
              <c:idx val="29"/>
              <c:tx>
                <c:rich>
                  <a:bodyPr/>
                  <a:lstStyle/>
                  <a:p>
                    <a:fld id="{153237ED-4098-4AD2-BD10-6B88827B4AC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AC5C-4EEF-95BF-3F195D033A88}"/>
                </c:ext>
              </c:extLst>
            </c:dLbl>
            <c:dLbl>
              <c:idx val="30"/>
              <c:tx>
                <c:rich>
                  <a:bodyPr/>
                  <a:lstStyle/>
                  <a:p>
                    <a:fld id="{3F5E4FEF-59D0-445B-9002-F221AAAC802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AC5C-4EEF-95BF-3F195D033A88}"/>
                </c:ext>
              </c:extLst>
            </c:dLbl>
            <c:dLbl>
              <c:idx val="31"/>
              <c:tx>
                <c:rich>
                  <a:bodyPr/>
                  <a:lstStyle/>
                  <a:p>
                    <a:fld id="{9B6E0AF1-A5AA-4ED6-A514-EC8F6E0E20A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AC5C-4EEF-95BF-3F195D033A88}"/>
                </c:ext>
              </c:extLst>
            </c:dLbl>
            <c:dLbl>
              <c:idx val="32"/>
              <c:tx>
                <c:rich>
                  <a:bodyPr/>
                  <a:lstStyle/>
                  <a:p>
                    <a:fld id="{97D1103B-F998-42AC-9556-D39239F411A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AC5C-4EEF-95BF-3F195D033A88}"/>
                </c:ext>
              </c:extLst>
            </c:dLbl>
            <c:dLbl>
              <c:idx val="33"/>
              <c:tx>
                <c:rich>
                  <a:bodyPr/>
                  <a:lstStyle/>
                  <a:p>
                    <a:fld id="{DC6A33CB-7A04-4461-BF08-ECFB2EA6DB2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AC5C-4EEF-95BF-3F195D033A88}"/>
                </c:ext>
              </c:extLst>
            </c:dLbl>
            <c:dLbl>
              <c:idx val="34"/>
              <c:tx>
                <c:rich>
                  <a:bodyPr/>
                  <a:lstStyle/>
                  <a:p>
                    <a:fld id="{B35A11AA-C747-4935-B32F-FF27D087808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AC5C-4EEF-95BF-3F195D033A88}"/>
                </c:ext>
              </c:extLst>
            </c:dLbl>
            <c:dLbl>
              <c:idx val="35"/>
              <c:tx>
                <c:rich>
                  <a:bodyPr/>
                  <a:lstStyle/>
                  <a:p>
                    <a:fld id="{4DD6BBC7-BF36-443D-90D3-1193CF07B8B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AC5C-4EEF-95BF-3F195D033A88}"/>
                </c:ext>
              </c:extLst>
            </c:dLbl>
            <c:dLbl>
              <c:idx val="36"/>
              <c:tx>
                <c:rich>
                  <a:bodyPr/>
                  <a:lstStyle/>
                  <a:p>
                    <a:fld id="{B22C06E9-DCE5-4FD8-BE50-F49C850938C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AC5C-4EEF-95BF-3F195D033A88}"/>
                </c:ext>
              </c:extLst>
            </c:dLbl>
            <c:dLbl>
              <c:idx val="37"/>
              <c:tx>
                <c:rich>
                  <a:bodyPr/>
                  <a:lstStyle/>
                  <a:p>
                    <a:fld id="{E95D479B-2AD7-43BA-A4AE-0E1CD52DFCE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AC5C-4EEF-95BF-3F195D033A88}"/>
                </c:ext>
              </c:extLst>
            </c:dLbl>
            <c:dLbl>
              <c:idx val="38"/>
              <c:tx>
                <c:rich>
                  <a:bodyPr/>
                  <a:lstStyle/>
                  <a:p>
                    <a:fld id="{5394168C-AE06-43B4-B39A-12BA7E86C6C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AC5C-4EEF-95BF-3F195D033A88}"/>
                </c:ext>
              </c:extLst>
            </c:dLbl>
            <c:dLbl>
              <c:idx val="39"/>
              <c:tx>
                <c:rich>
                  <a:bodyPr/>
                  <a:lstStyle/>
                  <a:p>
                    <a:fld id="{FBF6B034-6F6F-40C4-AF55-493514C7A57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AC5C-4EEF-95BF-3F195D033A88}"/>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graf'!$BQ$56:$BQ$95</c:f>
              <c:numCache>
                <c:formatCode>General</c:formatCode>
                <c:ptCount val="40"/>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20</c:v>
                </c:pt>
                <c:pt idx="19">
                  <c:v>20</c:v>
                </c:pt>
                <c:pt idx="20">
                  <c:v>20</c:v>
                </c:pt>
                <c:pt idx="21">
                  <c:v>20</c:v>
                </c:pt>
                <c:pt idx="22">
                  <c:v>20</c:v>
                </c:pt>
                <c:pt idx="23">
                  <c:v>20</c:v>
                </c:pt>
                <c:pt idx="24">
                  <c:v>20</c:v>
                </c:pt>
                <c:pt idx="25">
                  <c:v>20</c:v>
                </c:pt>
                <c:pt idx="26">
                  <c:v>20</c:v>
                </c:pt>
                <c:pt idx="27">
                  <c:v>20</c:v>
                </c:pt>
                <c:pt idx="28">
                  <c:v>20</c:v>
                </c:pt>
                <c:pt idx="29">
                  <c:v>20</c:v>
                </c:pt>
                <c:pt idx="30">
                  <c:v>20</c:v>
                </c:pt>
                <c:pt idx="31">
                  <c:v>20</c:v>
                </c:pt>
                <c:pt idx="32">
                  <c:v>20</c:v>
                </c:pt>
                <c:pt idx="33">
                  <c:v>20</c:v>
                </c:pt>
                <c:pt idx="34">
                  <c:v>20</c:v>
                </c:pt>
                <c:pt idx="35">
                  <c:v>20</c:v>
                </c:pt>
                <c:pt idx="36">
                  <c:v>20</c:v>
                </c:pt>
                <c:pt idx="37">
                  <c:v>20</c:v>
                </c:pt>
                <c:pt idx="38">
                  <c:v>20</c:v>
                </c:pt>
                <c:pt idx="39">
                  <c:v>20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AC5C-4EEF-95BF-3F195D033A88}"/>
            </c:ext>
          </c:extLst>
        </c:ser>
        <c:ser>
          <c:idx val="0"/>
          <c:order val="2"/>
          <c:tx>
            <c:strRef>
              <c:f>'Prerađivačka_FS graf'!$BR$7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graf'!$BR$56:$BR$95</c:f>
              <c:numCache>
                <c:formatCode>0.0</c:formatCode>
                <c:ptCount val="40"/>
                <c:pt idx="0">
                  <c:v>26.856803327391564</c:v>
                </c:pt>
                <c:pt idx="1">
                  <c:v>32.323232323232318</c:v>
                </c:pt>
                <c:pt idx="2">
                  <c:v>39.215686274509807</c:v>
                </c:pt>
                <c:pt idx="3">
                  <c:v>28.22341057635175</c:v>
                </c:pt>
                <c:pt idx="4">
                  <c:v>27.124183006535947</c:v>
                </c:pt>
                <c:pt idx="5">
                  <c:v>39.215686274509807</c:v>
                </c:pt>
                <c:pt idx="6">
                  <c:v>34.224598930481278</c:v>
                </c:pt>
                <c:pt idx="7">
                  <c:v>37.730243612596553</c:v>
                </c:pt>
                <c:pt idx="8">
                  <c:v>46.850861556743908</c:v>
                </c:pt>
                <c:pt idx="9">
                  <c:v>42.483660130718953</c:v>
                </c:pt>
                <c:pt idx="10">
                  <c:v>47.266785502079614</c:v>
                </c:pt>
                <c:pt idx="11">
                  <c:v>57.456922162804517</c:v>
                </c:pt>
                <c:pt idx="12">
                  <c:v>35.145573380867496</c:v>
                </c:pt>
                <c:pt idx="13">
                  <c:v>43.820558526440877</c:v>
                </c:pt>
                <c:pt idx="14">
                  <c:v>51.426024955436709</c:v>
                </c:pt>
                <c:pt idx="15">
                  <c:v>50.326797385620914</c:v>
                </c:pt>
                <c:pt idx="16">
                  <c:v>56.268568033273915</c:v>
                </c:pt>
                <c:pt idx="17">
                  <c:v>71.152703505644681</c:v>
                </c:pt>
                <c:pt idx="18">
                  <c:v>54.961378490790246</c:v>
                </c:pt>
                <c:pt idx="19">
                  <c:v>54.367201426024948</c:v>
                </c:pt>
                <c:pt idx="20">
                  <c:v>61.764705882352942</c:v>
                </c:pt>
                <c:pt idx="21">
                  <c:v>61.170528817587645</c:v>
                </c:pt>
                <c:pt idx="22">
                  <c:v>70.885323826500297</c:v>
                </c:pt>
                <c:pt idx="23">
                  <c:v>100</c:v>
                </c:pt>
                <c:pt idx="24">
                  <c:v>59.328579916815208</c:v>
                </c:pt>
                <c:pt idx="25">
                  <c:v>65.478312537136063</c:v>
                </c:pt>
                <c:pt idx="26">
                  <c:v>87.789661319073076</c:v>
                </c:pt>
                <c:pt idx="27">
                  <c:v>95.306001188354131</c:v>
                </c:pt>
                <c:pt idx="28">
                  <c:v>103.77302436125966</c:v>
                </c:pt>
                <c:pt idx="29">
                  <c:v>105.08021390374331</c:v>
                </c:pt>
                <c:pt idx="30">
                  <c:v>113.30956625074271</c:v>
                </c:pt>
                <c:pt idx="31">
                  <c:v>107.33808674985146</c:v>
                </c:pt>
                <c:pt idx="32">
                  <c:v>117.34997029114676</c:v>
                </c:pt>
                <c:pt idx="33">
                  <c:v>124.98514557338085</c:v>
                </c:pt>
                <c:pt idx="34">
                  <c:v>104.90196078431373</c:v>
                </c:pt>
                <c:pt idx="35">
                  <c:v>115.38918597742125</c:v>
                </c:pt>
                <c:pt idx="36">
                  <c:v>93.8</c:v>
                </c:pt>
                <c:pt idx="37">
                  <c:v>93.6</c:v>
                </c:pt>
                <c:pt idx="38">
                  <c:v>117.2</c:v>
                </c:pt>
                <c:pt idx="39">
                  <c:v>101.6</c:v>
                </c:pt>
              </c:numCache>
            </c:numRef>
          </c:val>
          <c:smooth val="0"/>
          <c:extLst>
            <c:ext xmlns:c16="http://schemas.microsoft.com/office/drawing/2014/chart" uri="{C3380CC4-5D6E-409C-BE32-E72D297353CC}">
              <c16:uniqueId val="{0000002D-AC5C-4EEF-95BF-3F195D033A88}"/>
            </c:ext>
          </c:extLst>
        </c:ser>
        <c:ser>
          <c:idx val="1"/>
          <c:order val="3"/>
          <c:tx>
            <c:strRef>
              <c:f>'Prerađivačka_FS graf'!$BS$7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graf'!$BS$56:$BS$95</c:f>
              <c:numCache>
                <c:formatCode>0.0</c:formatCode>
                <c:ptCount val="40"/>
                <c:pt idx="0">
                  <c:v>34.76088455356156</c:v>
                </c:pt>
                <c:pt idx="1">
                  <c:v>35.934477710047084</c:v>
                </c:pt>
                <c:pt idx="2">
                  <c:v>35.30883539292099</c:v>
                </c:pt>
                <c:pt idx="3">
                  <c:v>30.756256745248233</c:v>
                </c:pt>
                <c:pt idx="4">
                  <c:v>28.704387612389429</c:v>
                </c:pt>
                <c:pt idx="5">
                  <c:v>36.636954586641785</c:v>
                </c:pt>
                <c:pt idx="6">
                  <c:v>36.98982297850003</c:v>
                </c:pt>
                <c:pt idx="7">
                  <c:v>39.143333944413087</c:v>
                </c:pt>
                <c:pt idx="8">
                  <c:v>44.09023277494267</c:v>
                </c:pt>
                <c:pt idx="9">
                  <c:v>41.802918760572354</c:v>
                </c:pt>
                <c:pt idx="10">
                  <c:v>47.472990216205417</c:v>
                </c:pt>
                <c:pt idx="11">
                  <c:v>41.931599762110963</c:v>
                </c:pt>
                <c:pt idx="12">
                  <c:v>43.964975349374953</c:v>
                </c:pt>
                <c:pt idx="13">
                  <c:v>49.684983465281093</c:v>
                </c:pt>
                <c:pt idx="14">
                  <c:v>46.485627077593101</c:v>
                </c:pt>
                <c:pt idx="15">
                  <c:v>57.009731559022867</c:v>
                </c:pt>
                <c:pt idx="16">
                  <c:v>60.084776628927315</c:v>
                </c:pt>
                <c:pt idx="17">
                  <c:v>65.655795037961099</c:v>
                </c:pt>
                <c:pt idx="18">
                  <c:v>58.78767054640484</c:v>
                </c:pt>
                <c:pt idx="19">
                  <c:v>56.523293771319381</c:v>
                </c:pt>
                <c:pt idx="20">
                  <c:v>59.16597052189605</c:v>
                </c:pt>
                <c:pt idx="21">
                  <c:v>58.99141003221537</c:v>
                </c:pt>
                <c:pt idx="22">
                  <c:v>68.436848163695075</c:v>
                </c:pt>
                <c:pt idx="23">
                  <c:v>75.702557537614013</c:v>
                </c:pt>
                <c:pt idx="24">
                  <c:v>75.184033536322659</c:v>
                </c:pt>
                <c:pt idx="25">
                  <c:v>72.319371445424039</c:v>
                </c:pt>
                <c:pt idx="26">
                  <c:v>85.171408835001301</c:v>
                </c:pt>
                <c:pt idx="27">
                  <c:v>95.554334310228256</c:v>
                </c:pt>
                <c:pt idx="28">
                  <c:v>116.33478507891066</c:v>
                </c:pt>
                <c:pt idx="29">
                  <c:v>102.35578807993909</c:v>
                </c:pt>
                <c:pt idx="30">
                  <c:v>113.07453634516894</c:v>
                </c:pt>
                <c:pt idx="31">
                  <c:v>115.3033571441444</c:v>
                </c:pt>
                <c:pt idx="32">
                  <c:v>111.19629394791757</c:v>
                </c:pt>
                <c:pt idx="33">
                  <c:v>117.95047959500693</c:v>
                </c:pt>
                <c:pt idx="34">
                  <c:v>106.79367378022685</c:v>
                </c:pt>
                <c:pt idx="35">
                  <c:v>84.897074562996281</c:v>
                </c:pt>
                <c:pt idx="36">
                  <c:v>122.66322578238545</c:v>
                </c:pt>
                <c:pt idx="37">
                  <c:v>102.69332542036847</c:v>
                </c:pt>
                <c:pt idx="38">
                  <c:v>114.95519366394009</c:v>
                </c:pt>
                <c:pt idx="39">
                  <c:v>108.53977796510598</c:v>
                </c:pt>
              </c:numCache>
            </c:numRef>
          </c:val>
          <c:smooth val="0"/>
          <c:extLst>
            <c:ext xmlns:c16="http://schemas.microsoft.com/office/drawing/2014/chart" uri="{C3380CC4-5D6E-409C-BE32-E72D297353CC}">
              <c16:uniqueId val="{0000002E-AC5C-4EEF-95BF-3F195D033A88}"/>
            </c:ext>
          </c:extLst>
        </c:ser>
        <c:ser>
          <c:idx val="2"/>
          <c:order val="4"/>
          <c:tx>
            <c:strRef>
              <c:f>'Prerađivačka_FS graf'!$BT$7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graf'!$BT$56:$BT$95</c:f>
              <c:numCache>
                <c:formatCode>0.0</c:formatCode>
                <c:ptCount val="40"/>
                <c:pt idx="0">
                  <c:v>33.662187157705127</c:v>
                </c:pt>
                <c:pt idx="1">
                  <c:v>34.190416850534582</c:v>
                </c:pt>
                <c:pt idx="2">
                  <c:v>34.082118236441879</c:v>
                </c:pt>
                <c:pt idx="3">
                  <c:v>33.904492877298594</c:v>
                </c:pt>
                <c:pt idx="4">
                  <c:v>34.157033641292365</c:v>
                </c:pt>
                <c:pt idx="5">
                  <c:v>35.342466317334363</c:v>
                </c:pt>
                <c:pt idx="6">
                  <c:v>37.422438862295053</c:v>
                </c:pt>
                <c:pt idx="7">
                  <c:v>39.685745459473132</c:v>
                </c:pt>
                <c:pt idx="8">
                  <c:v>41.695535011996007</c:v>
                </c:pt>
                <c:pt idx="9">
                  <c:v>43.00994824702898</c:v>
                </c:pt>
                <c:pt idx="10">
                  <c:v>43.741687538503101</c:v>
                </c:pt>
                <c:pt idx="11">
                  <c:v>44.482971001807904</c:v>
                </c:pt>
                <c:pt idx="12">
                  <c:v>45.879593274693164</c:v>
                </c:pt>
                <c:pt idx="13">
                  <c:v>48.287025070470349</c:v>
                </c:pt>
                <c:pt idx="14">
                  <c:v>51.50997899590449</c:v>
                </c:pt>
                <c:pt idx="15">
                  <c:v>54.873119619497693</c:v>
                </c:pt>
                <c:pt idx="16">
                  <c:v>57.4110794975511</c:v>
                </c:pt>
                <c:pt idx="17">
                  <c:v>58.645721257450816</c:v>
                </c:pt>
                <c:pt idx="18">
                  <c:v>58.906179952714488</c:v>
                </c:pt>
                <c:pt idx="19">
                  <c:v>59.252973651977854</c:v>
                </c:pt>
                <c:pt idx="20">
                  <c:v>60.436407261237385</c:v>
                </c:pt>
                <c:pt idx="21">
                  <c:v>62.770192474041785</c:v>
                </c:pt>
                <c:pt idx="22">
                  <c:v>66.349265615891909</c:v>
                </c:pt>
                <c:pt idx="23">
                  <c:v>70.859265029326295</c:v>
                </c:pt>
                <c:pt idx="24">
                  <c:v>75.859487256321913</c:v>
                </c:pt>
                <c:pt idx="25">
                  <c:v>81.167359241492292</c:v>
                </c:pt>
                <c:pt idx="26">
                  <c:v>87.018813365690747</c:v>
                </c:pt>
                <c:pt idx="27">
                  <c:v>93.283739099811882</c:v>
                </c:pt>
                <c:pt idx="28">
                  <c:v>99.77567949033795</c:v>
                </c:pt>
                <c:pt idx="29">
                  <c:v>105.7696806416231</c:v>
                </c:pt>
                <c:pt idx="30">
                  <c:v>110.11949341094383</c:v>
                </c:pt>
                <c:pt idx="31">
                  <c:v>112.70522748912579</c:v>
                </c:pt>
                <c:pt idx="32">
                  <c:v>113.64160256749658</c:v>
                </c:pt>
                <c:pt idx="33">
                  <c:v>113.46825991724141</c:v>
                </c:pt>
                <c:pt idx="34">
                  <c:v>112.67846969321155</c:v>
                </c:pt>
                <c:pt idx="35">
                  <c:v>111.73442862863917</c:v>
                </c:pt>
                <c:pt idx="36">
                  <c:v>110.92045511551476</c:v>
                </c:pt>
                <c:pt idx="37">
                  <c:v>110.25084414587884</c:v>
                </c:pt>
                <c:pt idx="38">
                  <c:v>109.53967545827095</c:v>
                </c:pt>
                <c:pt idx="39">
                  <c:v>109.05976647512384</c:v>
                </c:pt>
              </c:numCache>
            </c:numRef>
          </c:val>
          <c:smooth val="0"/>
          <c:extLst>
            <c:ext xmlns:c16="http://schemas.microsoft.com/office/drawing/2014/chart" uri="{C3380CC4-5D6E-409C-BE32-E72D297353CC}">
              <c16:uniqueId val="{0000002F-AC5C-4EEF-95BF-3F195D033A88}"/>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50"/>
          <c:min val="2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9784714410698663"/>
          <c:h val="0.84012119030477561"/>
        </c:manualLayout>
      </c:layout>
      <c:lineChart>
        <c:grouping val="standard"/>
        <c:varyColors val="0"/>
        <c:ser>
          <c:idx val="3"/>
          <c:order val="0"/>
          <c:tx>
            <c:strRef>
              <c:f>'Prerađivačka_FS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5296597253067796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73E-4491-B27C-62644C5B23AF}"/>
                </c:ext>
              </c:extLst>
            </c:dLbl>
            <c:dLbl>
              <c:idx val="12"/>
              <c:layout>
                <c:manualLayout>
                  <c:x val="7.644309739677214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73E-4491-B27C-62644C5B23AF}"/>
                </c:ext>
              </c:extLst>
            </c:dLbl>
            <c:dLbl>
              <c:idx val="24"/>
              <c:layout>
                <c:manualLayout>
                  <c:x val="8.3295876888920414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73E-4491-B27C-62644C5B23AF}"/>
                </c:ext>
              </c:extLst>
            </c:dLbl>
            <c:dLbl>
              <c:idx val="36"/>
              <c:layout>
                <c:manualLayout>
                  <c:x val="-3.2500947747806574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55-44AD-8244-8B43EE9AEF8A}"/>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graf'!$AK$56:$AK$95</c:f>
              <c:numCache>
                <c:formatCode>General</c:formatCode>
                <c:ptCount val="40"/>
                <c:pt idx="0">
                  <c:v>40</c:v>
                </c:pt>
                <c:pt idx="12">
                  <c:v>40</c:v>
                </c:pt>
                <c:pt idx="24">
                  <c:v>40</c:v>
                </c:pt>
                <c:pt idx="36">
                  <c:v>40</c:v>
                </c:pt>
              </c:numCache>
            </c:numRef>
          </c:val>
          <c:smooth val="0"/>
          <c:extLst>
            <c:ext xmlns:c16="http://schemas.microsoft.com/office/drawing/2014/chart" uri="{C3380CC4-5D6E-409C-BE32-E72D297353CC}">
              <c16:uniqueId val="{00000003-473E-4491-B27C-62644C5B23AF}"/>
            </c:ext>
          </c:extLst>
        </c:ser>
        <c:ser>
          <c:idx val="4"/>
          <c:order val="1"/>
          <c:tx>
            <c:strRef>
              <c:f>'Prerađivačka_FS graf'!$AL$7</c:f>
              <c:strCache>
                <c:ptCount val="1"/>
                <c:pt idx="0">
                  <c:v>Series5</c:v>
                </c:pt>
              </c:strCache>
            </c:strRef>
          </c:tx>
          <c:spPr>
            <a:ln w="25400" cap="rnd">
              <a:noFill/>
              <a:round/>
            </a:ln>
            <a:effectLst/>
          </c:spPr>
          <c:marker>
            <c:symbol val="none"/>
          </c:marker>
          <c:dLbls>
            <c:dLbl>
              <c:idx val="0"/>
              <c:tx>
                <c:rich>
                  <a:bodyPr/>
                  <a:lstStyle/>
                  <a:p>
                    <a:fld id="{4215165E-21EA-4F39-B979-FBB7CB1C211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473E-4491-B27C-62644C5B23AF}"/>
                </c:ext>
              </c:extLst>
            </c:dLbl>
            <c:dLbl>
              <c:idx val="1"/>
              <c:tx>
                <c:rich>
                  <a:bodyPr/>
                  <a:lstStyle/>
                  <a:p>
                    <a:fld id="{C06D3E9A-AB76-47C9-A14E-E73D12BDDCB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473E-4491-B27C-62644C5B23AF}"/>
                </c:ext>
              </c:extLst>
            </c:dLbl>
            <c:dLbl>
              <c:idx val="2"/>
              <c:tx>
                <c:rich>
                  <a:bodyPr/>
                  <a:lstStyle/>
                  <a:p>
                    <a:fld id="{4C4D165C-7152-4FAE-9734-D662AD278DC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473E-4491-B27C-62644C5B23AF}"/>
                </c:ext>
              </c:extLst>
            </c:dLbl>
            <c:dLbl>
              <c:idx val="3"/>
              <c:tx>
                <c:rich>
                  <a:bodyPr/>
                  <a:lstStyle/>
                  <a:p>
                    <a:fld id="{AC61534B-DD95-4E82-8416-4EFA220AB3C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73E-4491-B27C-62644C5B23AF}"/>
                </c:ext>
              </c:extLst>
            </c:dLbl>
            <c:dLbl>
              <c:idx val="4"/>
              <c:tx>
                <c:rich>
                  <a:bodyPr/>
                  <a:lstStyle/>
                  <a:p>
                    <a:fld id="{5FC021C7-9D6B-4750-8002-939BC07E0A1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473E-4491-B27C-62644C5B23AF}"/>
                </c:ext>
              </c:extLst>
            </c:dLbl>
            <c:dLbl>
              <c:idx val="5"/>
              <c:tx>
                <c:rich>
                  <a:bodyPr/>
                  <a:lstStyle/>
                  <a:p>
                    <a:fld id="{B6D30E57-BB88-40F8-8576-3516AFEEC1E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73E-4491-B27C-62644C5B23AF}"/>
                </c:ext>
              </c:extLst>
            </c:dLbl>
            <c:dLbl>
              <c:idx val="6"/>
              <c:tx>
                <c:rich>
                  <a:bodyPr/>
                  <a:lstStyle/>
                  <a:p>
                    <a:fld id="{C182AE9A-F251-4EE8-97C0-DA9AF21CF84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73E-4491-B27C-62644C5B23AF}"/>
                </c:ext>
              </c:extLst>
            </c:dLbl>
            <c:dLbl>
              <c:idx val="7"/>
              <c:tx>
                <c:rich>
                  <a:bodyPr/>
                  <a:lstStyle/>
                  <a:p>
                    <a:fld id="{553C947A-59F4-4943-9982-FA0444B354E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473E-4491-B27C-62644C5B23AF}"/>
                </c:ext>
              </c:extLst>
            </c:dLbl>
            <c:dLbl>
              <c:idx val="8"/>
              <c:tx>
                <c:rich>
                  <a:bodyPr/>
                  <a:lstStyle/>
                  <a:p>
                    <a:fld id="{539D5B6C-680F-45E0-B8E9-A10BDF47F70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473E-4491-B27C-62644C5B23AF}"/>
                </c:ext>
              </c:extLst>
            </c:dLbl>
            <c:dLbl>
              <c:idx val="9"/>
              <c:tx>
                <c:rich>
                  <a:bodyPr/>
                  <a:lstStyle/>
                  <a:p>
                    <a:fld id="{FE122305-2D6F-4C1E-8308-E2C35B288D8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73E-4491-B27C-62644C5B23AF}"/>
                </c:ext>
              </c:extLst>
            </c:dLbl>
            <c:dLbl>
              <c:idx val="10"/>
              <c:tx>
                <c:rich>
                  <a:bodyPr/>
                  <a:lstStyle/>
                  <a:p>
                    <a:fld id="{F05C97DC-9B88-45A4-976B-B7361A34F93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473E-4491-B27C-62644C5B23AF}"/>
                </c:ext>
              </c:extLst>
            </c:dLbl>
            <c:dLbl>
              <c:idx val="11"/>
              <c:tx>
                <c:rich>
                  <a:bodyPr/>
                  <a:lstStyle/>
                  <a:p>
                    <a:fld id="{5CC7FBCD-3489-49CD-8D12-30A533AEF66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473E-4491-B27C-62644C5B23AF}"/>
                </c:ext>
              </c:extLst>
            </c:dLbl>
            <c:dLbl>
              <c:idx val="12"/>
              <c:tx>
                <c:rich>
                  <a:bodyPr/>
                  <a:lstStyle/>
                  <a:p>
                    <a:fld id="{806C72F8-09B2-4EAC-B6ED-28F7819E665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473E-4491-B27C-62644C5B23AF}"/>
                </c:ext>
              </c:extLst>
            </c:dLbl>
            <c:dLbl>
              <c:idx val="13"/>
              <c:tx>
                <c:rich>
                  <a:bodyPr/>
                  <a:lstStyle/>
                  <a:p>
                    <a:fld id="{2C0A8CB9-5B82-4B67-A9B7-1EC502A5E00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473E-4491-B27C-62644C5B23AF}"/>
                </c:ext>
              </c:extLst>
            </c:dLbl>
            <c:dLbl>
              <c:idx val="14"/>
              <c:tx>
                <c:rich>
                  <a:bodyPr/>
                  <a:lstStyle/>
                  <a:p>
                    <a:fld id="{3D3CDC4A-7778-4D81-8D80-AC08A32B2CA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473E-4491-B27C-62644C5B23AF}"/>
                </c:ext>
              </c:extLst>
            </c:dLbl>
            <c:dLbl>
              <c:idx val="15"/>
              <c:tx>
                <c:rich>
                  <a:bodyPr/>
                  <a:lstStyle/>
                  <a:p>
                    <a:fld id="{68516F35-A59C-4B63-8DF3-7E6E40E4B81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73E-4491-B27C-62644C5B23AF}"/>
                </c:ext>
              </c:extLst>
            </c:dLbl>
            <c:dLbl>
              <c:idx val="16"/>
              <c:tx>
                <c:rich>
                  <a:bodyPr/>
                  <a:lstStyle/>
                  <a:p>
                    <a:fld id="{BE024417-123C-4CAC-AC5F-0609736F770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473E-4491-B27C-62644C5B23AF}"/>
                </c:ext>
              </c:extLst>
            </c:dLbl>
            <c:dLbl>
              <c:idx val="17"/>
              <c:tx>
                <c:rich>
                  <a:bodyPr/>
                  <a:lstStyle/>
                  <a:p>
                    <a:fld id="{B7E9D599-C9CD-4C58-BDFF-983361ED246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473E-4491-B27C-62644C5B23AF}"/>
                </c:ext>
              </c:extLst>
            </c:dLbl>
            <c:dLbl>
              <c:idx val="18"/>
              <c:tx>
                <c:rich>
                  <a:bodyPr/>
                  <a:lstStyle/>
                  <a:p>
                    <a:fld id="{873B6B27-1A3D-445C-A476-B509C521872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473E-4491-B27C-62644C5B23AF}"/>
                </c:ext>
              </c:extLst>
            </c:dLbl>
            <c:dLbl>
              <c:idx val="19"/>
              <c:tx>
                <c:rich>
                  <a:bodyPr/>
                  <a:lstStyle/>
                  <a:p>
                    <a:fld id="{2CED19B4-D13D-4E7A-B81A-64FC3C4E761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473E-4491-B27C-62644C5B23AF}"/>
                </c:ext>
              </c:extLst>
            </c:dLbl>
            <c:dLbl>
              <c:idx val="20"/>
              <c:tx>
                <c:rich>
                  <a:bodyPr/>
                  <a:lstStyle/>
                  <a:p>
                    <a:fld id="{58E3FEC2-CBC9-4A57-B6C6-F282402E520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473E-4491-B27C-62644C5B23AF}"/>
                </c:ext>
              </c:extLst>
            </c:dLbl>
            <c:dLbl>
              <c:idx val="21"/>
              <c:tx>
                <c:rich>
                  <a:bodyPr/>
                  <a:lstStyle/>
                  <a:p>
                    <a:fld id="{5A982453-D8FB-4E61-8D60-76D749F52AB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473E-4491-B27C-62644C5B23AF}"/>
                </c:ext>
              </c:extLst>
            </c:dLbl>
            <c:dLbl>
              <c:idx val="22"/>
              <c:tx>
                <c:rich>
                  <a:bodyPr/>
                  <a:lstStyle/>
                  <a:p>
                    <a:fld id="{A41591E7-4ED4-46C6-BBEE-294B82521E8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473E-4491-B27C-62644C5B23AF}"/>
                </c:ext>
              </c:extLst>
            </c:dLbl>
            <c:dLbl>
              <c:idx val="23"/>
              <c:tx>
                <c:rich>
                  <a:bodyPr/>
                  <a:lstStyle/>
                  <a:p>
                    <a:fld id="{BE582823-247E-4D71-9D06-154DAB326B7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73E-4491-B27C-62644C5B23AF}"/>
                </c:ext>
              </c:extLst>
            </c:dLbl>
            <c:dLbl>
              <c:idx val="24"/>
              <c:tx>
                <c:rich>
                  <a:bodyPr/>
                  <a:lstStyle/>
                  <a:p>
                    <a:fld id="{AFBD233C-476C-47FA-BE02-4362C65001A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473E-4491-B27C-62644C5B23AF}"/>
                </c:ext>
              </c:extLst>
            </c:dLbl>
            <c:dLbl>
              <c:idx val="25"/>
              <c:tx>
                <c:rich>
                  <a:bodyPr/>
                  <a:lstStyle/>
                  <a:p>
                    <a:fld id="{23C0A2BA-058C-4F28-8918-D2F5D499F81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473E-4491-B27C-62644C5B23AF}"/>
                </c:ext>
              </c:extLst>
            </c:dLbl>
            <c:dLbl>
              <c:idx val="26"/>
              <c:tx>
                <c:rich>
                  <a:bodyPr/>
                  <a:lstStyle/>
                  <a:p>
                    <a:fld id="{2C271FAB-E307-409C-B705-33DE57F89D9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473E-4491-B27C-62644C5B23AF}"/>
                </c:ext>
              </c:extLst>
            </c:dLbl>
            <c:dLbl>
              <c:idx val="27"/>
              <c:tx>
                <c:rich>
                  <a:bodyPr/>
                  <a:lstStyle/>
                  <a:p>
                    <a:fld id="{D9253939-01EE-41DA-BD83-5680C5F3D95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473E-4491-B27C-62644C5B23AF}"/>
                </c:ext>
              </c:extLst>
            </c:dLbl>
            <c:dLbl>
              <c:idx val="28"/>
              <c:tx>
                <c:rich>
                  <a:bodyPr/>
                  <a:lstStyle/>
                  <a:p>
                    <a:fld id="{B053D0FE-37BF-4E43-BC7E-56CBD0C1422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473E-4491-B27C-62644C5B23AF}"/>
                </c:ext>
              </c:extLst>
            </c:dLbl>
            <c:dLbl>
              <c:idx val="29"/>
              <c:tx>
                <c:rich>
                  <a:bodyPr/>
                  <a:lstStyle/>
                  <a:p>
                    <a:fld id="{3AC5D8D9-83A8-42C1-A29C-E66616274F3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473E-4491-B27C-62644C5B23AF}"/>
                </c:ext>
              </c:extLst>
            </c:dLbl>
            <c:dLbl>
              <c:idx val="30"/>
              <c:tx>
                <c:rich>
                  <a:bodyPr/>
                  <a:lstStyle/>
                  <a:p>
                    <a:fld id="{8BFC68D1-CEDC-49B5-A729-BC7A958EF9C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473E-4491-B27C-62644C5B23AF}"/>
                </c:ext>
              </c:extLst>
            </c:dLbl>
            <c:dLbl>
              <c:idx val="31"/>
              <c:tx>
                <c:rich>
                  <a:bodyPr/>
                  <a:lstStyle/>
                  <a:p>
                    <a:fld id="{D527C652-4E74-49DF-93F9-4BFB05C0EC7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473E-4491-B27C-62644C5B23AF}"/>
                </c:ext>
              </c:extLst>
            </c:dLbl>
            <c:dLbl>
              <c:idx val="32"/>
              <c:tx>
                <c:rich>
                  <a:bodyPr/>
                  <a:lstStyle/>
                  <a:p>
                    <a:fld id="{5C1E9003-C603-4A32-AE90-5037696E75D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473E-4491-B27C-62644C5B23AF}"/>
                </c:ext>
              </c:extLst>
            </c:dLbl>
            <c:dLbl>
              <c:idx val="33"/>
              <c:tx>
                <c:rich>
                  <a:bodyPr/>
                  <a:lstStyle/>
                  <a:p>
                    <a:fld id="{A90A720E-DF4F-4D1A-8549-CBA9B4856A9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473E-4491-B27C-62644C5B23AF}"/>
                </c:ext>
              </c:extLst>
            </c:dLbl>
            <c:dLbl>
              <c:idx val="34"/>
              <c:tx>
                <c:rich>
                  <a:bodyPr/>
                  <a:lstStyle/>
                  <a:p>
                    <a:fld id="{4711505F-AD43-49F0-A49F-2D934C06FBB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473E-4491-B27C-62644C5B23AF}"/>
                </c:ext>
              </c:extLst>
            </c:dLbl>
            <c:dLbl>
              <c:idx val="35"/>
              <c:tx>
                <c:rich>
                  <a:bodyPr/>
                  <a:lstStyle/>
                  <a:p>
                    <a:fld id="{C6AD26F9-AC06-4AFF-84E4-4BB6070E8E3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73E-4491-B27C-62644C5B23AF}"/>
                </c:ext>
              </c:extLst>
            </c:dLbl>
            <c:dLbl>
              <c:idx val="36"/>
              <c:tx>
                <c:rich>
                  <a:bodyPr/>
                  <a:lstStyle/>
                  <a:p>
                    <a:fld id="{36FC8AC0-5589-4E4E-A50D-E08AD7EA0F0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473E-4491-B27C-62644C5B23AF}"/>
                </c:ext>
              </c:extLst>
            </c:dLbl>
            <c:dLbl>
              <c:idx val="37"/>
              <c:tx>
                <c:rich>
                  <a:bodyPr/>
                  <a:lstStyle/>
                  <a:p>
                    <a:fld id="{990CDA8D-7A8D-46B0-93C6-B2785FE1FA8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473E-4491-B27C-62644C5B23AF}"/>
                </c:ext>
              </c:extLst>
            </c:dLbl>
            <c:dLbl>
              <c:idx val="38"/>
              <c:tx>
                <c:rich>
                  <a:bodyPr/>
                  <a:lstStyle/>
                  <a:p>
                    <a:fld id="{97927940-F628-44B5-908D-8F0B0E37229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473E-4491-B27C-62644C5B23AF}"/>
                </c:ext>
              </c:extLst>
            </c:dLbl>
            <c:dLbl>
              <c:idx val="39"/>
              <c:tx>
                <c:rich>
                  <a:bodyPr/>
                  <a:lstStyle/>
                  <a:p>
                    <a:fld id="{D124E79B-9109-41D6-A248-A8DE4CB503C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473E-4491-B27C-62644C5B23AF}"/>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graf'!$AL$56:$AL$95</c:f>
              <c:numCache>
                <c:formatCode>General</c:formatCode>
                <c:ptCount val="40"/>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473E-4491-B27C-62644C5B23AF}"/>
            </c:ext>
          </c:extLst>
        </c:ser>
        <c:ser>
          <c:idx val="0"/>
          <c:order val="2"/>
          <c:tx>
            <c:strRef>
              <c:f>'Prerađivačka_FS graf'!$AM$7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graf'!$AM$56:$AM$95</c:f>
              <c:numCache>
                <c:formatCode>0.0</c:formatCode>
                <c:ptCount val="40"/>
                <c:pt idx="0">
                  <c:v>83.06581059390048</c:v>
                </c:pt>
                <c:pt idx="1">
                  <c:v>81.380417335473524</c:v>
                </c:pt>
                <c:pt idx="2">
                  <c:v>88.362760834670951</c:v>
                </c:pt>
                <c:pt idx="3">
                  <c:v>80.818619582664525</c:v>
                </c:pt>
                <c:pt idx="4">
                  <c:v>74.398073836276097</c:v>
                </c:pt>
                <c:pt idx="5">
                  <c:v>60.754414125200654</c:v>
                </c:pt>
                <c:pt idx="6">
                  <c:v>57.624398073836282</c:v>
                </c:pt>
                <c:pt idx="7">
                  <c:v>56.741573033707873</c:v>
                </c:pt>
                <c:pt idx="8">
                  <c:v>54.333868378812198</c:v>
                </c:pt>
                <c:pt idx="9">
                  <c:v>54.815409309791328</c:v>
                </c:pt>
                <c:pt idx="10">
                  <c:v>55.296950240770471</c:v>
                </c:pt>
                <c:pt idx="11">
                  <c:v>47.351524879614772</c:v>
                </c:pt>
                <c:pt idx="12">
                  <c:v>45.345104333868377</c:v>
                </c:pt>
                <c:pt idx="13">
                  <c:v>50</c:v>
                </c:pt>
                <c:pt idx="14">
                  <c:v>55.216693418940608</c:v>
                </c:pt>
                <c:pt idx="15">
                  <c:v>70.304975922953446</c:v>
                </c:pt>
                <c:pt idx="16">
                  <c:v>93.178170144462285</c:v>
                </c:pt>
                <c:pt idx="17">
                  <c:v>83.707865168539328</c:v>
                </c:pt>
                <c:pt idx="18">
                  <c:v>84.991974317817025</c:v>
                </c:pt>
                <c:pt idx="19">
                  <c:v>72.873194221508825</c:v>
                </c:pt>
                <c:pt idx="20">
                  <c:v>75.682182985553766</c:v>
                </c:pt>
                <c:pt idx="21">
                  <c:v>96.468699839486362</c:v>
                </c:pt>
                <c:pt idx="22">
                  <c:v>88.603531300160526</c:v>
                </c:pt>
                <c:pt idx="23">
                  <c:v>83.467094703049753</c:v>
                </c:pt>
                <c:pt idx="24">
                  <c:v>78.170144462279296</c:v>
                </c:pt>
                <c:pt idx="25">
                  <c:v>91.011235955056193</c:v>
                </c:pt>
                <c:pt idx="26">
                  <c:v>101.20385232744783</c:v>
                </c:pt>
                <c:pt idx="27">
                  <c:v>105.0561797752809</c:v>
                </c:pt>
                <c:pt idx="28">
                  <c:v>95.987158908507226</c:v>
                </c:pt>
                <c:pt idx="29">
                  <c:v>96.067415730337075</c:v>
                </c:pt>
                <c:pt idx="30">
                  <c:v>99.678972712680576</c:v>
                </c:pt>
                <c:pt idx="31">
                  <c:v>101.68539325842698</c:v>
                </c:pt>
                <c:pt idx="32">
                  <c:v>104.41412520064206</c:v>
                </c:pt>
                <c:pt idx="33">
                  <c:v>108.34670947030499</c:v>
                </c:pt>
                <c:pt idx="34">
                  <c:v>104.89566613162118</c:v>
                </c:pt>
                <c:pt idx="35">
                  <c:v>113.08186195826646</c:v>
                </c:pt>
                <c:pt idx="36">
                  <c:v>88.5</c:v>
                </c:pt>
                <c:pt idx="37">
                  <c:v>108.6</c:v>
                </c:pt>
                <c:pt idx="38">
                  <c:v>109.5</c:v>
                </c:pt>
                <c:pt idx="39">
                  <c:v>106</c:v>
                </c:pt>
              </c:numCache>
            </c:numRef>
          </c:val>
          <c:smooth val="0"/>
          <c:extLst>
            <c:ext xmlns:c16="http://schemas.microsoft.com/office/drawing/2014/chart" uri="{C3380CC4-5D6E-409C-BE32-E72D297353CC}">
              <c16:uniqueId val="{0000002D-473E-4491-B27C-62644C5B23AF}"/>
            </c:ext>
          </c:extLst>
        </c:ser>
        <c:ser>
          <c:idx val="1"/>
          <c:order val="3"/>
          <c:tx>
            <c:strRef>
              <c:f>'Prerađivačka_FS graf'!$AN$7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graf'!$AN$56:$AN$95</c:f>
              <c:numCache>
                <c:formatCode>0.0</c:formatCode>
                <c:ptCount val="40"/>
                <c:pt idx="0">
                  <c:v>88.389434876024737</c:v>
                </c:pt>
                <c:pt idx="1">
                  <c:v>86.191582407233099</c:v>
                </c:pt>
                <c:pt idx="2">
                  <c:v>81.958162225764298</c:v>
                </c:pt>
                <c:pt idx="3">
                  <c:v>78.750941530933204</c:v>
                </c:pt>
                <c:pt idx="4">
                  <c:v>71.012636037284167</c:v>
                </c:pt>
                <c:pt idx="5">
                  <c:v>60.082782989087406</c:v>
                </c:pt>
                <c:pt idx="6">
                  <c:v>57.406718628802054</c:v>
                </c:pt>
                <c:pt idx="7">
                  <c:v>54.55394543740487</c:v>
                </c:pt>
                <c:pt idx="8">
                  <c:v>52.993531891431488</c:v>
                </c:pt>
                <c:pt idx="9">
                  <c:v>56.593175179915463</c:v>
                </c:pt>
                <c:pt idx="10">
                  <c:v>58.147749285411862</c:v>
                </c:pt>
                <c:pt idx="11">
                  <c:v>47.521186762895574</c:v>
                </c:pt>
                <c:pt idx="12">
                  <c:v>50.778789147191191</c:v>
                </c:pt>
                <c:pt idx="13">
                  <c:v>53.869165542400438</c:v>
                </c:pt>
                <c:pt idx="14">
                  <c:v>48.618316850777262</c:v>
                </c:pt>
                <c:pt idx="15">
                  <c:v>68.684008191417107</c:v>
                </c:pt>
                <c:pt idx="16">
                  <c:v>90.542016287550751</c:v>
                </c:pt>
                <c:pt idx="17">
                  <c:v>82.98911594261547</c:v>
                </c:pt>
                <c:pt idx="18">
                  <c:v>84.826493539680129</c:v>
                </c:pt>
                <c:pt idx="19">
                  <c:v>70.992833348001369</c:v>
                </c:pt>
                <c:pt idx="20">
                  <c:v>75.354070014648656</c:v>
                </c:pt>
                <c:pt idx="21">
                  <c:v>96.590222636476739</c:v>
                </c:pt>
                <c:pt idx="22">
                  <c:v>89.504986374175473</c:v>
                </c:pt>
                <c:pt idx="23">
                  <c:v>85.437866611562271</c:v>
                </c:pt>
                <c:pt idx="24">
                  <c:v>85.485862887766004</c:v>
                </c:pt>
                <c:pt idx="25">
                  <c:v>93.826563202323626</c:v>
                </c:pt>
                <c:pt idx="26">
                  <c:v>96.633451388728204</c:v>
                </c:pt>
                <c:pt idx="27">
                  <c:v>98.745070265973652</c:v>
                </c:pt>
                <c:pt idx="28">
                  <c:v>95.388532672920533</c:v>
                </c:pt>
                <c:pt idx="29">
                  <c:v>97.292918846631551</c:v>
                </c:pt>
                <c:pt idx="30">
                  <c:v>97.393080554788142</c:v>
                </c:pt>
                <c:pt idx="31">
                  <c:v>101.32101276443103</c:v>
                </c:pt>
                <c:pt idx="32">
                  <c:v>103.91971661133579</c:v>
                </c:pt>
                <c:pt idx="33">
                  <c:v>106.84778240883378</c:v>
                </c:pt>
                <c:pt idx="34">
                  <c:v>107.21711173438108</c:v>
                </c:pt>
                <c:pt idx="35">
                  <c:v>114.43197411408349</c:v>
                </c:pt>
                <c:pt idx="36">
                  <c:v>98.080782828084722</c:v>
                </c:pt>
                <c:pt idx="37">
                  <c:v>109.45376716193981</c:v>
                </c:pt>
                <c:pt idx="38">
                  <c:v>105.05113480111795</c:v>
                </c:pt>
                <c:pt idx="39">
                  <c:v>101.81366606779272</c:v>
                </c:pt>
              </c:numCache>
            </c:numRef>
          </c:val>
          <c:smooth val="0"/>
          <c:extLst>
            <c:ext xmlns:c16="http://schemas.microsoft.com/office/drawing/2014/chart" uri="{C3380CC4-5D6E-409C-BE32-E72D297353CC}">
              <c16:uniqueId val="{0000002E-473E-4491-B27C-62644C5B23AF}"/>
            </c:ext>
          </c:extLst>
        </c:ser>
        <c:ser>
          <c:idx val="2"/>
          <c:order val="4"/>
          <c:tx>
            <c:strRef>
              <c:f>'Prerađivačka_FS graf'!$AO$7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graf'!$AO$56:$AO$95</c:f>
              <c:numCache>
                <c:formatCode>0.0</c:formatCode>
                <c:ptCount val="40"/>
                <c:pt idx="0">
                  <c:v>85.316936399067828</c:v>
                </c:pt>
                <c:pt idx="1">
                  <c:v>84.614034955671457</c:v>
                </c:pt>
                <c:pt idx="2">
                  <c:v>81.710171948118614</c:v>
                </c:pt>
                <c:pt idx="3">
                  <c:v>76.529259290125466</c:v>
                </c:pt>
                <c:pt idx="4">
                  <c:v>69.950430204579717</c:v>
                </c:pt>
                <c:pt idx="5">
                  <c:v>63.766611694769416</c:v>
                </c:pt>
                <c:pt idx="6">
                  <c:v>59.070174867411374</c:v>
                </c:pt>
                <c:pt idx="7">
                  <c:v>56.002095372322628</c:v>
                </c:pt>
                <c:pt idx="8">
                  <c:v>54.162001648574744</c:v>
                </c:pt>
                <c:pt idx="9">
                  <c:v>53.008858987957318</c:v>
                </c:pt>
                <c:pt idx="10">
                  <c:v>52.277377424755194</c:v>
                </c:pt>
                <c:pt idx="11">
                  <c:v>52.060099095123647</c:v>
                </c:pt>
                <c:pt idx="12">
                  <c:v>53.066297018420549</c:v>
                </c:pt>
                <c:pt idx="13">
                  <c:v>56.078124421863379</c:v>
                </c:pt>
                <c:pt idx="14">
                  <c:v>61.158523850939154</c:v>
                </c:pt>
                <c:pt idx="15">
                  <c:v>67.630184828853942</c:v>
                </c:pt>
                <c:pt idx="16">
                  <c:v>74.157000978395189</c:v>
                </c:pt>
                <c:pt idx="17">
                  <c:v>79.534091820954657</c:v>
                </c:pt>
                <c:pt idx="18">
                  <c:v>83.21506055716776</c:v>
                </c:pt>
                <c:pt idx="19">
                  <c:v>85.25787106896901</c:v>
                </c:pt>
                <c:pt idx="20">
                  <c:v>85.996085694398829</c:v>
                </c:pt>
                <c:pt idx="21">
                  <c:v>86.178182738812637</c:v>
                </c:pt>
                <c:pt idx="22">
                  <c:v>86.664719140352432</c:v>
                </c:pt>
                <c:pt idx="23">
                  <c:v>87.923437008940141</c:v>
                </c:pt>
                <c:pt idx="24">
                  <c:v>89.943986591085149</c:v>
                </c:pt>
                <c:pt idx="25">
                  <c:v>92.206929113750505</c:v>
                </c:pt>
                <c:pt idx="26">
                  <c:v>94.280227461538274</c:v>
                </c:pt>
                <c:pt idx="27">
                  <c:v>95.912240670129009</c:v>
                </c:pt>
                <c:pt idx="28">
                  <c:v>97.124134260502572</c:v>
                </c:pt>
                <c:pt idx="29">
                  <c:v>98.064968457891055</c:v>
                </c:pt>
                <c:pt idx="30">
                  <c:v>99.242889770283796</c:v>
                </c:pt>
                <c:pt idx="31">
                  <c:v>101.1628202662265</c:v>
                </c:pt>
                <c:pt idx="32">
                  <c:v>103.80976978992828</c:v>
                </c:pt>
                <c:pt idx="33">
                  <c:v>106.58499248978244</c:v>
                </c:pt>
                <c:pt idx="34">
                  <c:v>108.67112013287846</c:v>
                </c:pt>
                <c:pt idx="35">
                  <c:v>109.54686186172584</c:v>
                </c:pt>
                <c:pt idx="36">
                  <c:v>109.20555546177246</c:v>
                </c:pt>
                <c:pt idx="37">
                  <c:v>107.96784109836835</c:v>
                </c:pt>
                <c:pt idx="38">
                  <c:v>106.37629209483715</c:v>
                </c:pt>
                <c:pt idx="39">
                  <c:v>104.96431412760248</c:v>
                </c:pt>
              </c:numCache>
            </c:numRef>
          </c:val>
          <c:smooth val="0"/>
          <c:extLst>
            <c:ext xmlns:c16="http://schemas.microsoft.com/office/drawing/2014/chart" uri="{C3380CC4-5D6E-409C-BE32-E72D297353CC}">
              <c16:uniqueId val="{0000002F-473E-4491-B27C-62644C5B23AF}"/>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t>Стопа раста БДП еврозоне, %</a:t>
            </a:r>
          </a:p>
        </c:rich>
      </c:tx>
      <c:layout>
        <c:manualLayout>
          <c:xMode val="edge"/>
          <c:yMode val="edge"/>
          <c:x val="0.24330453484981043"/>
          <c:y val="2.1166790916857577E-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1298868754942749"/>
          <c:w val="0.88876071125802292"/>
          <c:h val="0.76807585187222771"/>
        </c:manualLayout>
      </c:layout>
      <c:lineChart>
        <c:grouping val="standard"/>
        <c:varyColors val="0"/>
        <c:ser>
          <c:idx val="0"/>
          <c:order val="0"/>
          <c:tx>
            <c:strRef>
              <c:f>'Nemacka, Italija, realni rast'!$A$34</c:f>
              <c:strCache>
                <c:ptCount val="1"/>
                <c:pt idx="0">
                  <c:v>апр. 2024.</c:v>
                </c:pt>
              </c:strCache>
            </c:strRef>
          </c:tx>
          <c:spPr>
            <a:ln w="25400" cap="rnd">
              <a:solidFill>
                <a:schemeClr val="accent4"/>
              </a:solidFill>
              <a:prstDash val="sysDot"/>
              <a:round/>
            </a:ln>
            <a:effectLst/>
          </c:spPr>
          <c:marker>
            <c:symbol val="none"/>
          </c:marker>
          <c:dLbls>
            <c:dLbl>
              <c:idx val="0"/>
              <c:layout>
                <c:manualLayout>
                  <c:x val="-0.11072749270369665"/>
                  <c:y val="6.5497575714296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9F-4957-A586-80EAA5BEA5F1}"/>
                </c:ext>
              </c:extLst>
            </c:dLbl>
            <c:dLbl>
              <c:idx val="1"/>
              <c:layout>
                <c:manualLayout>
                  <c:x val="-5.0347646541339539E-2"/>
                  <c:y val="-5.68220478970963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9F-4957-A586-80EAA5BEA5F1}"/>
                </c:ext>
              </c:extLst>
            </c:dLbl>
            <c:dLbl>
              <c:idx val="2"/>
              <c:layout>
                <c:manualLayout>
                  <c:x val="-8.9224301525280044E-3"/>
                  <c:y val="5.687652518228314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9F-4957-A586-80EAA5BEA5F1}"/>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rast'!$E$34:$I$34</c:f>
              <c:numCache>
                <c:formatCode>0.0</c:formatCode>
                <c:ptCount val="3"/>
                <c:pt idx="0">
                  <c:v>0.79700000000000004</c:v>
                </c:pt>
                <c:pt idx="1">
                  <c:v>1.46</c:v>
                </c:pt>
                <c:pt idx="2">
                  <c:v>1.4470000000000001</c:v>
                </c:pt>
              </c:numCache>
            </c:numRef>
          </c:val>
          <c:smooth val="0"/>
          <c:extLst>
            <c:ext xmlns:c16="http://schemas.microsoft.com/office/drawing/2014/chart" uri="{C3380CC4-5D6E-409C-BE32-E72D297353CC}">
              <c16:uniqueId val="{00000003-6D9F-4957-A586-80EAA5BEA5F1}"/>
            </c:ext>
          </c:extLst>
        </c:ser>
        <c:ser>
          <c:idx val="1"/>
          <c:order val="1"/>
          <c:tx>
            <c:strRef>
              <c:f>'Nemacka, Italija, realni rast'!$A$35</c:f>
              <c:strCache>
                <c:ptCount val="1"/>
                <c:pt idx="0">
                  <c:v>окт. 2024.</c:v>
                </c:pt>
              </c:strCache>
            </c:strRef>
          </c:tx>
          <c:spPr>
            <a:ln w="22225" cap="rnd">
              <a:solidFill>
                <a:srgbClr val="002060"/>
              </a:solidFill>
              <a:prstDash val="sysDash"/>
              <a:round/>
            </a:ln>
            <a:effectLst/>
          </c:spPr>
          <c:marker>
            <c:symbol val="none"/>
          </c:marker>
          <c:dLbls>
            <c:dLbl>
              <c:idx val="0"/>
              <c:layout>
                <c:manualLayout>
                  <c:x val="-1.3649213220741715E-2"/>
                  <c:y val="8.01719531444303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9F-4957-A586-80EAA5BEA5F1}"/>
                </c:ext>
              </c:extLst>
            </c:dLbl>
            <c:dLbl>
              <c:idx val="1"/>
              <c:layout>
                <c:manualLayout>
                  <c:x val="-3.2249151854722491E-2"/>
                  <c:y val="3.85490976338282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9F-4957-A586-80EAA5BEA5F1}"/>
                </c:ext>
              </c:extLst>
            </c:dLbl>
            <c:dLbl>
              <c:idx val="2"/>
              <c:layout>
                <c:manualLayout>
                  <c:x val="-4.5858375370995394E-2"/>
                  <c:y val="-6.82339774291490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9F-4957-A586-80EAA5BEA5F1}"/>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rast'!$E$35:$I$35</c:f>
              <c:numCache>
                <c:formatCode>0.0</c:formatCode>
                <c:ptCount val="3"/>
                <c:pt idx="0">
                  <c:v>0.83099999999999996</c:v>
                </c:pt>
                <c:pt idx="1">
                  <c:v>1.2450000000000001</c:v>
                </c:pt>
                <c:pt idx="2">
                  <c:v>1.454</c:v>
                </c:pt>
              </c:numCache>
            </c:numRef>
          </c:val>
          <c:smooth val="0"/>
          <c:extLst>
            <c:ext xmlns:c16="http://schemas.microsoft.com/office/drawing/2014/chart" uri="{C3380CC4-5D6E-409C-BE32-E72D297353CC}">
              <c16:uniqueId val="{00000007-6D9F-4957-A586-80EAA5BEA5F1}"/>
            </c:ext>
          </c:extLst>
        </c:ser>
        <c:ser>
          <c:idx val="2"/>
          <c:order val="2"/>
          <c:tx>
            <c:strRef>
              <c:f>'Nemacka, Italija, realni rast'!$A$36</c:f>
              <c:strCache>
                <c:ptCount val="1"/>
                <c:pt idx="0">
                  <c:v>апр. 2025.</c:v>
                </c:pt>
              </c:strCache>
            </c:strRef>
          </c:tx>
          <c:spPr>
            <a:ln w="28575" cap="rnd">
              <a:solidFill>
                <a:srgbClr val="FF0000"/>
              </a:solidFill>
              <a:round/>
            </a:ln>
            <a:effectLst/>
          </c:spPr>
          <c:marker>
            <c:symbol val="none"/>
          </c:marker>
          <c:dLbls>
            <c:dLbl>
              <c:idx val="0"/>
              <c:tx>
                <c:rich>
                  <a:bodyPr/>
                  <a:lstStyle/>
                  <a:p>
                    <a:fld id="{7A763104-C9FC-4036-BE7D-A3D8C791F5BE}"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6D9F-4957-A586-80EAA5BEA5F1}"/>
                </c:ext>
              </c:extLst>
            </c:dLbl>
            <c:dLbl>
              <c:idx val="1"/>
              <c:tx>
                <c:rich>
                  <a:bodyPr/>
                  <a:lstStyle/>
                  <a:p>
                    <a:fld id="{5B471D56-7C8D-4C39-BA6A-1902CF213971}"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6D9F-4957-A586-80EAA5BEA5F1}"/>
                </c:ext>
              </c:extLst>
            </c:dLbl>
            <c:dLbl>
              <c:idx val="2"/>
              <c:tx>
                <c:rich>
                  <a:bodyPr/>
                  <a:lstStyle/>
                  <a:p>
                    <a:fld id="{478181A0-A492-41A8-9E8B-1B7E3A15ACCF}"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6D9F-4957-A586-80EAA5BEA5F1}"/>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flowChartConnector">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rast'!$E$33:$I$33</c:f>
              <c:numCache>
                <c:formatCode>General</c:formatCode>
                <c:ptCount val="3"/>
                <c:pt idx="0">
                  <c:v>2024</c:v>
                </c:pt>
                <c:pt idx="1">
                  <c:v>2025</c:v>
                </c:pt>
                <c:pt idx="2">
                  <c:v>2026</c:v>
                </c:pt>
              </c:numCache>
            </c:numRef>
          </c:cat>
          <c:val>
            <c:numRef>
              <c:f>'Nemacka, Italija, realni rast'!$E$36:$I$36</c:f>
              <c:numCache>
                <c:formatCode>0.0</c:formatCode>
                <c:ptCount val="3"/>
                <c:pt idx="0">
                  <c:v>0.85499999999999998</c:v>
                </c:pt>
                <c:pt idx="1">
                  <c:v>0.80600000000000005</c:v>
                </c:pt>
                <c:pt idx="2">
                  <c:v>1.1850000000000001</c:v>
                </c:pt>
              </c:numCache>
            </c:numRef>
          </c:val>
          <c:smooth val="0"/>
          <c:extLst>
            <c:ext xmlns:c16="http://schemas.microsoft.com/office/drawing/2014/chart" uri="{C3380CC4-5D6E-409C-BE32-E72D297353CC}">
              <c16:uniqueId val="{0000000B-6D9F-4957-A586-80EAA5BEA5F1}"/>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530809360820073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96-4A45-8916-AC1EA951FB24}"/>
                </c:ext>
              </c:extLst>
            </c:dLbl>
            <c:dLbl>
              <c:idx val="12"/>
              <c:layout>
                <c:manualLayout>
                  <c:x val="7.2025013281773922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96-4A45-8916-AC1EA951FB24}"/>
                </c:ext>
              </c:extLst>
            </c:dLbl>
            <c:dLbl>
              <c:idx val="24"/>
              <c:layout>
                <c:manualLayout>
                  <c:x val="7.0501256787345951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96-4A45-8916-AC1EA951FB24}"/>
                </c:ext>
              </c:extLst>
            </c:dLbl>
            <c:dLbl>
              <c:idx val="36"/>
              <c:layout>
                <c:manualLayout>
                  <c:x val="-4.0158174672610368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F6-43CB-A1C8-C0A87F88064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graf'!$AV$56:$AV$95</c:f>
              <c:numCache>
                <c:formatCode>General</c:formatCode>
                <c:ptCount val="40"/>
                <c:pt idx="0">
                  <c:v>70</c:v>
                </c:pt>
                <c:pt idx="12">
                  <c:v>70</c:v>
                </c:pt>
                <c:pt idx="24">
                  <c:v>70</c:v>
                </c:pt>
                <c:pt idx="36">
                  <c:v>70</c:v>
                </c:pt>
              </c:numCache>
            </c:numRef>
          </c:val>
          <c:smooth val="0"/>
          <c:extLst>
            <c:ext xmlns:c16="http://schemas.microsoft.com/office/drawing/2014/chart" uri="{C3380CC4-5D6E-409C-BE32-E72D297353CC}">
              <c16:uniqueId val="{00000003-CF96-4A45-8916-AC1EA951FB24}"/>
            </c:ext>
          </c:extLst>
        </c:ser>
        <c:ser>
          <c:idx val="4"/>
          <c:order val="1"/>
          <c:tx>
            <c:strRef>
              <c:f>'Prerađivačka_FS graf'!$AW$7</c:f>
              <c:strCache>
                <c:ptCount val="1"/>
                <c:pt idx="0">
                  <c:v>Series5</c:v>
                </c:pt>
              </c:strCache>
            </c:strRef>
          </c:tx>
          <c:spPr>
            <a:ln w="25400" cap="rnd">
              <a:noFill/>
              <a:round/>
            </a:ln>
            <a:effectLst/>
          </c:spPr>
          <c:marker>
            <c:symbol val="none"/>
          </c:marker>
          <c:dLbls>
            <c:dLbl>
              <c:idx val="0"/>
              <c:tx>
                <c:rich>
                  <a:bodyPr/>
                  <a:lstStyle/>
                  <a:p>
                    <a:fld id="{C057617B-B7DC-4243-B481-792214A4B8B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CF96-4A45-8916-AC1EA951FB24}"/>
                </c:ext>
              </c:extLst>
            </c:dLbl>
            <c:dLbl>
              <c:idx val="1"/>
              <c:tx>
                <c:rich>
                  <a:bodyPr/>
                  <a:lstStyle/>
                  <a:p>
                    <a:fld id="{772B24EC-D95B-4906-9478-E543C7F3262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CF96-4A45-8916-AC1EA951FB24}"/>
                </c:ext>
              </c:extLst>
            </c:dLbl>
            <c:dLbl>
              <c:idx val="2"/>
              <c:tx>
                <c:rich>
                  <a:bodyPr/>
                  <a:lstStyle/>
                  <a:p>
                    <a:fld id="{BD244681-FA5D-4E79-8E6F-53C76A9470A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CF96-4A45-8916-AC1EA951FB24}"/>
                </c:ext>
              </c:extLst>
            </c:dLbl>
            <c:dLbl>
              <c:idx val="3"/>
              <c:tx>
                <c:rich>
                  <a:bodyPr/>
                  <a:lstStyle/>
                  <a:p>
                    <a:fld id="{95B48B93-D9A3-4AB2-9A1E-16586D11AEA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F96-4A45-8916-AC1EA951FB24}"/>
                </c:ext>
              </c:extLst>
            </c:dLbl>
            <c:dLbl>
              <c:idx val="4"/>
              <c:tx>
                <c:rich>
                  <a:bodyPr/>
                  <a:lstStyle/>
                  <a:p>
                    <a:fld id="{85638C21-4A9C-43AA-921F-D3DCDB65ECC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CF96-4A45-8916-AC1EA951FB24}"/>
                </c:ext>
              </c:extLst>
            </c:dLbl>
            <c:dLbl>
              <c:idx val="5"/>
              <c:tx>
                <c:rich>
                  <a:bodyPr/>
                  <a:lstStyle/>
                  <a:p>
                    <a:fld id="{A7609D79-1E91-4BF1-9F18-7B913C663E1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CF96-4A45-8916-AC1EA951FB24}"/>
                </c:ext>
              </c:extLst>
            </c:dLbl>
            <c:dLbl>
              <c:idx val="6"/>
              <c:tx>
                <c:rich>
                  <a:bodyPr/>
                  <a:lstStyle/>
                  <a:p>
                    <a:fld id="{A16E5540-1060-47F0-BE5D-17B7F12A067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F96-4A45-8916-AC1EA951FB24}"/>
                </c:ext>
              </c:extLst>
            </c:dLbl>
            <c:dLbl>
              <c:idx val="7"/>
              <c:tx>
                <c:rich>
                  <a:bodyPr/>
                  <a:lstStyle/>
                  <a:p>
                    <a:fld id="{F3F1B5B6-7D36-4AF9-B505-ED362B0D150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CF96-4A45-8916-AC1EA951FB24}"/>
                </c:ext>
              </c:extLst>
            </c:dLbl>
            <c:dLbl>
              <c:idx val="8"/>
              <c:tx>
                <c:rich>
                  <a:bodyPr/>
                  <a:lstStyle/>
                  <a:p>
                    <a:fld id="{BEDE4676-343E-42AF-B295-3A4A63F9B2E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CF96-4A45-8916-AC1EA951FB24}"/>
                </c:ext>
              </c:extLst>
            </c:dLbl>
            <c:dLbl>
              <c:idx val="9"/>
              <c:tx>
                <c:rich>
                  <a:bodyPr/>
                  <a:lstStyle/>
                  <a:p>
                    <a:fld id="{CEF3DB2D-74C2-4D4C-BCA8-6B7F46FBA9A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F96-4A45-8916-AC1EA951FB24}"/>
                </c:ext>
              </c:extLst>
            </c:dLbl>
            <c:dLbl>
              <c:idx val="10"/>
              <c:tx>
                <c:rich>
                  <a:bodyPr/>
                  <a:lstStyle/>
                  <a:p>
                    <a:fld id="{30DC0371-FDCF-4AB8-9268-34C1DFC876C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CF96-4A45-8916-AC1EA951FB24}"/>
                </c:ext>
              </c:extLst>
            </c:dLbl>
            <c:dLbl>
              <c:idx val="11"/>
              <c:tx>
                <c:rich>
                  <a:bodyPr/>
                  <a:lstStyle/>
                  <a:p>
                    <a:fld id="{43AB1659-57F8-4111-AF6D-50DEFFDA8AC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CF96-4A45-8916-AC1EA951FB24}"/>
                </c:ext>
              </c:extLst>
            </c:dLbl>
            <c:dLbl>
              <c:idx val="12"/>
              <c:tx>
                <c:rich>
                  <a:bodyPr/>
                  <a:lstStyle/>
                  <a:p>
                    <a:fld id="{EFB7E9E5-0908-4D3D-BABA-24698FD6DF4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F96-4A45-8916-AC1EA951FB24}"/>
                </c:ext>
              </c:extLst>
            </c:dLbl>
            <c:dLbl>
              <c:idx val="13"/>
              <c:tx>
                <c:rich>
                  <a:bodyPr/>
                  <a:lstStyle/>
                  <a:p>
                    <a:fld id="{BB008633-EF0B-4DCC-BF47-4D60FE9151B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CF96-4A45-8916-AC1EA951FB24}"/>
                </c:ext>
              </c:extLst>
            </c:dLbl>
            <c:dLbl>
              <c:idx val="14"/>
              <c:tx>
                <c:rich>
                  <a:bodyPr/>
                  <a:lstStyle/>
                  <a:p>
                    <a:fld id="{D2600B11-0636-4A56-8373-53886C992EA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CF96-4A45-8916-AC1EA951FB24}"/>
                </c:ext>
              </c:extLst>
            </c:dLbl>
            <c:dLbl>
              <c:idx val="15"/>
              <c:tx>
                <c:rich>
                  <a:bodyPr/>
                  <a:lstStyle/>
                  <a:p>
                    <a:fld id="{6F28C15D-8590-426E-A1E7-0597F2E0AAD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F96-4A45-8916-AC1EA951FB24}"/>
                </c:ext>
              </c:extLst>
            </c:dLbl>
            <c:dLbl>
              <c:idx val="16"/>
              <c:tx>
                <c:rich>
                  <a:bodyPr/>
                  <a:lstStyle/>
                  <a:p>
                    <a:fld id="{F64DB61D-4478-4D5C-A976-6E5B4269866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CF96-4A45-8916-AC1EA951FB24}"/>
                </c:ext>
              </c:extLst>
            </c:dLbl>
            <c:dLbl>
              <c:idx val="17"/>
              <c:tx>
                <c:rich>
                  <a:bodyPr/>
                  <a:lstStyle/>
                  <a:p>
                    <a:fld id="{8775C608-F605-40F9-8977-15DD9B1F2BE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CF96-4A45-8916-AC1EA951FB24}"/>
                </c:ext>
              </c:extLst>
            </c:dLbl>
            <c:dLbl>
              <c:idx val="18"/>
              <c:tx>
                <c:rich>
                  <a:bodyPr/>
                  <a:lstStyle/>
                  <a:p>
                    <a:fld id="{889EAD0F-452C-44D6-9137-4009012BAE3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F96-4A45-8916-AC1EA951FB24}"/>
                </c:ext>
              </c:extLst>
            </c:dLbl>
            <c:dLbl>
              <c:idx val="19"/>
              <c:tx>
                <c:rich>
                  <a:bodyPr/>
                  <a:lstStyle/>
                  <a:p>
                    <a:fld id="{13B5D171-61B6-4AFC-B6D0-FC0E7F5B221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CF96-4A45-8916-AC1EA951FB24}"/>
                </c:ext>
              </c:extLst>
            </c:dLbl>
            <c:dLbl>
              <c:idx val="20"/>
              <c:tx>
                <c:rich>
                  <a:bodyPr/>
                  <a:lstStyle/>
                  <a:p>
                    <a:fld id="{37B5F3EB-6A07-4276-A330-B482C5D675F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CF96-4A45-8916-AC1EA951FB24}"/>
                </c:ext>
              </c:extLst>
            </c:dLbl>
            <c:dLbl>
              <c:idx val="21"/>
              <c:tx>
                <c:rich>
                  <a:bodyPr/>
                  <a:lstStyle/>
                  <a:p>
                    <a:fld id="{7B0FA9FC-C524-4B35-B8BE-AF236D67476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F96-4A45-8916-AC1EA951FB24}"/>
                </c:ext>
              </c:extLst>
            </c:dLbl>
            <c:dLbl>
              <c:idx val="22"/>
              <c:tx>
                <c:rich>
                  <a:bodyPr/>
                  <a:lstStyle/>
                  <a:p>
                    <a:fld id="{A75960B2-EE1A-4E39-8094-8416A6A504D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CF96-4A45-8916-AC1EA951FB24}"/>
                </c:ext>
              </c:extLst>
            </c:dLbl>
            <c:dLbl>
              <c:idx val="23"/>
              <c:tx>
                <c:rich>
                  <a:bodyPr/>
                  <a:lstStyle/>
                  <a:p>
                    <a:fld id="{5118B5CB-7CB8-443C-AA31-3AE3B79D763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CF96-4A45-8916-AC1EA951FB24}"/>
                </c:ext>
              </c:extLst>
            </c:dLbl>
            <c:dLbl>
              <c:idx val="24"/>
              <c:tx>
                <c:rich>
                  <a:bodyPr/>
                  <a:lstStyle/>
                  <a:p>
                    <a:fld id="{C6BDABC8-EFEB-40C0-B6BC-6BAA6E9F7FC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F96-4A45-8916-AC1EA951FB24}"/>
                </c:ext>
              </c:extLst>
            </c:dLbl>
            <c:dLbl>
              <c:idx val="25"/>
              <c:tx>
                <c:rich>
                  <a:bodyPr/>
                  <a:lstStyle/>
                  <a:p>
                    <a:fld id="{A1331320-CAF1-414F-8AD9-41443649055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CF96-4A45-8916-AC1EA951FB24}"/>
                </c:ext>
              </c:extLst>
            </c:dLbl>
            <c:dLbl>
              <c:idx val="26"/>
              <c:tx>
                <c:rich>
                  <a:bodyPr/>
                  <a:lstStyle/>
                  <a:p>
                    <a:fld id="{8CC9B027-726F-468D-A813-2EA460FB6E1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CF96-4A45-8916-AC1EA951FB24}"/>
                </c:ext>
              </c:extLst>
            </c:dLbl>
            <c:dLbl>
              <c:idx val="27"/>
              <c:tx>
                <c:rich>
                  <a:bodyPr/>
                  <a:lstStyle/>
                  <a:p>
                    <a:fld id="{962B005B-F4E7-4B34-830C-559348AEFF2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CF96-4A45-8916-AC1EA951FB24}"/>
                </c:ext>
              </c:extLst>
            </c:dLbl>
            <c:dLbl>
              <c:idx val="28"/>
              <c:tx>
                <c:rich>
                  <a:bodyPr/>
                  <a:lstStyle/>
                  <a:p>
                    <a:fld id="{8EE84D79-F6F7-45A9-9833-1B209DE40D4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CF96-4A45-8916-AC1EA951FB24}"/>
                </c:ext>
              </c:extLst>
            </c:dLbl>
            <c:dLbl>
              <c:idx val="29"/>
              <c:tx>
                <c:rich>
                  <a:bodyPr/>
                  <a:lstStyle/>
                  <a:p>
                    <a:fld id="{0E45C588-59C6-4E7D-9341-77FA46F4AA2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CF96-4A45-8916-AC1EA951FB24}"/>
                </c:ext>
              </c:extLst>
            </c:dLbl>
            <c:dLbl>
              <c:idx val="30"/>
              <c:tx>
                <c:rich>
                  <a:bodyPr/>
                  <a:lstStyle/>
                  <a:p>
                    <a:fld id="{705287E4-C43F-4370-A93B-2CCE955241C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CF96-4A45-8916-AC1EA951FB24}"/>
                </c:ext>
              </c:extLst>
            </c:dLbl>
            <c:dLbl>
              <c:idx val="31"/>
              <c:tx>
                <c:rich>
                  <a:bodyPr/>
                  <a:lstStyle/>
                  <a:p>
                    <a:fld id="{F1C65483-3D1B-4A33-89FA-955166CC1BA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CF96-4A45-8916-AC1EA951FB24}"/>
                </c:ext>
              </c:extLst>
            </c:dLbl>
            <c:dLbl>
              <c:idx val="32"/>
              <c:tx>
                <c:rich>
                  <a:bodyPr/>
                  <a:lstStyle/>
                  <a:p>
                    <a:fld id="{F8E6B5D9-9130-41B3-A413-326F098C0D5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CF96-4A45-8916-AC1EA951FB24}"/>
                </c:ext>
              </c:extLst>
            </c:dLbl>
            <c:dLbl>
              <c:idx val="33"/>
              <c:tx>
                <c:rich>
                  <a:bodyPr/>
                  <a:lstStyle/>
                  <a:p>
                    <a:fld id="{CB1C5524-9CDB-4E4A-A47E-197D09FDDDB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CF96-4A45-8916-AC1EA951FB24}"/>
                </c:ext>
              </c:extLst>
            </c:dLbl>
            <c:dLbl>
              <c:idx val="34"/>
              <c:tx>
                <c:rich>
                  <a:bodyPr/>
                  <a:lstStyle/>
                  <a:p>
                    <a:fld id="{BA2B483F-930D-4A63-9DD7-50125FDFF71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CF96-4A45-8916-AC1EA951FB24}"/>
                </c:ext>
              </c:extLst>
            </c:dLbl>
            <c:dLbl>
              <c:idx val="35"/>
              <c:tx>
                <c:rich>
                  <a:bodyPr/>
                  <a:lstStyle/>
                  <a:p>
                    <a:fld id="{B467D49E-7123-4575-B091-1DF883F29C9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CF96-4A45-8916-AC1EA951FB24}"/>
                </c:ext>
              </c:extLst>
            </c:dLbl>
            <c:dLbl>
              <c:idx val="36"/>
              <c:tx>
                <c:rich>
                  <a:bodyPr/>
                  <a:lstStyle/>
                  <a:p>
                    <a:fld id="{C63B9BEB-9589-42BD-8AD0-29A9EA57888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CF96-4A45-8916-AC1EA951FB24}"/>
                </c:ext>
              </c:extLst>
            </c:dLbl>
            <c:dLbl>
              <c:idx val="37"/>
              <c:tx>
                <c:rich>
                  <a:bodyPr/>
                  <a:lstStyle/>
                  <a:p>
                    <a:fld id="{277497DE-FF7E-4947-B3A4-95D8B67A87A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CF96-4A45-8916-AC1EA951FB24}"/>
                </c:ext>
              </c:extLst>
            </c:dLbl>
            <c:dLbl>
              <c:idx val="38"/>
              <c:tx>
                <c:rich>
                  <a:bodyPr/>
                  <a:lstStyle/>
                  <a:p>
                    <a:fld id="{A98A0A61-6FE3-4947-8D28-81231A12B4C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CF96-4A45-8916-AC1EA951FB24}"/>
                </c:ext>
              </c:extLst>
            </c:dLbl>
            <c:dLbl>
              <c:idx val="39"/>
              <c:tx>
                <c:rich>
                  <a:bodyPr/>
                  <a:lstStyle/>
                  <a:p>
                    <a:fld id="{21F3AB73-06C5-4EAE-BAF8-0AF10ECDF09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CF96-4A45-8916-AC1EA951FB2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graf'!$AW$56:$AW$95</c:f>
              <c:numCache>
                <c:formatCode>General</c:formatCode>
                <c:ptCount val="40"/>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pt idx="39">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CF96-4A45-8916-AC1EA951FB24}"/>
            </c:ext>
          </c:extLst>
        </c:ser>
        <c:ser>
          <c:idx val="0"/>
          <c:order val="2"/>
          <c:tx>
            <c:strRef>
              <c:f>'Prerađivačka_FS graf'!$AX$7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graf'!$AX$56:$AX$95</c:f>
              <c:numCache>
                <c:formatCode>0.0</c:formatCode>
                <c:ptCount val="40"/>
                <c:pt idx="0">
                  <c:v>75.242718446601941</c:v>
                </c:pt>
                <c:pt idx="1">
                  <c:v>94.563106796116514</c:v>
                </c:pt>
                <c:pt idx="2">
                  <c:v>114.1747572815534</c:v>
                </c:pt>
                <c:pt idx="3">
                  <c:v>95.048543689320397</c:v>
                </c:pt>
                <c:pt idx="4">
                  <c:v>108.15533980582526</c:v>
                </c:pt>
                <c:pt idx="5">
                  <c:v>105.24271844660196</c:v>
                </c:pt>
                <c:pt idx="6">
                  <c:v>84.854368932038838</c:v>
                </c:pt>
                <c:pt idx="7">
                  <c:v>94.563106796116514</c:v>
                </c:pt>
                <c:pt idx="8">
                  <c:v>98.737864077669897</c:v>
                </c:pt>
                <c:pt idx="9">
                  <c:v>100.3883495145631</c:v>
                </c:pt>
                <c:pt idx="10">
                  <c:v>100.29126213592232</c:v>
                </c:pt>
                <c:pt idx="11">
                  <c:v>106.21359223300972</c:v>
                </c:pt>
                <c:pt idx="12">
                  <c:v>68.543689320388353</c:v>
                </c:pt>
                <c:pt idx="13">
                  <c:v>77.766990291262132</c:v>
                </c:pt>
                <c:pt idx="14">
                  <c:v>99.417475728155352</c:v>
                </c:pt>
                <c:pt idx="15">
                  <c:v>83.398058252427191</c:v>
                </c:pt>
                <c:pt idx="16">
                  <c:v>92.038834951456309</c:v>
                </c:pt>
                <c:pt idx="17">
                  <c:v>98.446601941747574</c:v>
                </c:pt>
                <c:pt idx="18">
                  <c:v>87.475728155339809</c:v>
                </c:pt>
                <c:pt idx="19">
                  <c:v>86.990291262135926</c:v>
                </c:pt>
                <c:pt idx="20">
                  <c:v>91.553398058252426</c:v>
                </c:pt>
                <c:pt idx="21">
                  <c:v>84.854368932038838</c:v>
                </c:pt>
                <c:pt idx="22">
                  <c:v>88.349514563106794</c:v>
                </c:pt>
                <c:pt idx="23">
                  <c:v>94.271844660194176</c:v>
                </c:pt>
                <c:pt idx="24">
                  <c:v>73.592233009708735</c:v>
                </c:pt>
                <c:pt idx="25">
                  <c:v>92.233009708737868</c:v>
                </c:pt>
                <c:pt idx="26">
                  <c:v>93.495145631067956</c:v>
                </c:pt>
                <c:pt idx="27">
                  <c:v>109.5145631067961</c:v>
                </c:pt>
                <c:pt idx="28">
                  <c:v>102.62135922330098</c:v>
                </c:pt>
                <c:pt idx="29">
                  <c:v>101.94174757281553</c:v>
                </c:pt>
                <c:pt idx="30">
                  <c:v>94.660194174757279</c:v>
                </c:pt>
                <c:pt idx="31">
                  <c:v>98.05825242718447</c:v>
                </c:pt>
                <c:pt idx="32">
                  <c:v>97.087378640776706</c:v>
                </c:pt>
                <c:pt idx="33">
                  <c:v>117.47572815533979</c:v>
                </c:pt>
                <c:pt idx="34">
                  <c:v>106.89320388349515</c:v>
                </c:pt>
                <c:pt idx="35">
                  <c:v>112.03883495145632</c:v>
                </c:pt>
                <c:pt idx="36">
                  <c:v>82.6</c:v>
                </c:pt>
                <c:pt idx="37">
                  <c:v>89.5</c:v>
                </c:pt>
                <c:pt idx="38">
                  <c:v>107.6</c:v>
                </c:pt>
                <c:pt idx="39">
                  <c:v>102.8</c:v>
                </c:pt>
              </c:numCache>
            </c:numRef>
          </c:val>
          <c:smooth val="0"/>
          <c:extLst>
            <c:ext xmlns:c16="http://schemas.microsoft.com/office/drawing/2014/chart" uri="{C3380CC4-5D6E-409C-BE32-E72D297353CC}">
              <c16:uniqueId val="{0000002D-CF96-4A45-8916-AC1EA951FB24}"/>
            </c:ext>
          </c:extLst>
        </c:ser>
        <c:ser>
          <c:idx val="1"/>
          <c:order val="3"/>
          <c:tx>
            <c:strRef>
              <c:f>'Prerađivačka_FS graf'!$AY$7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graf'!$AY$56:$AY$95</c:f>
              <c:numCache>
                <c:formatCode>0.0</c:formatCode>
                <c:ptCount val="40"/>
                <c:pt idx="0">
                  <c:v>98.900062269873033</c:v>
                </c:pt>
                <c:pt idx="1">
                  <c:v>103.07201873766243</c:v>
                </c:pt>
                <c:pt idx="2">
                  <c:v>103.97764925980529</c:v>
                </c:pt>
                <c:pt idx="3">
                  <c:v>99.922698885100033</c:v>
                </c:pt>
                <c:pt idx="4">
                  <c:v>103.59044292312176</c:v>
                </c:pt>
                <c:pt idx="5">
                  <c:v>97.932273529238429</c:v>
                </c:pt>
                <c:pt idx="6">
                  <c:v>89.85851177936938</c:v>
                </c:pt>
                <c:pt idx="7">
                  <c:v>95.268105969640189</c:v>
                </c:pt>
                <c:pt idx="8">
                  <c:v>94.076570502832396</c:v>
                </c:pt>
                <c:pt idx="9">
                  <c:v>94.322708051719047</c:v>
                </c:pt>
                <c:pt idx="10">
                  <c:v>95.663517438067757</c:v>
                </c:pt>
                <c:pt idx="11">
                  <c:v>98.958411239485869</c:v>
                </c:pt>
                <c:pt idx="12">
                  <c:v>88.27876114429607</c:v>
                </c:pt>
                <c:pt idx="13">
                  <c:v>84.918911970017604</c:v>
                </c:pt>
                <c:pt idx="14">
                  <c:v>90.473768644426499</c:v>
                </c:pt>
                <c:pt idx="15">
                  <c:v>88.959920605487781</c:v>
                </c:pt>
                <c:pt idx="16">
                  <c:v>87.799553448513691</c:v>
                </c:pt>
                <c:pt idx="17">
                  <c:v>91.483272665600197</c:v>
                </c:pt>
                <c:pt idx="18">
                  <c:v>93.592932829008532</c:v>
                </c:pt>
                <c:pt idx="19">
                  <c:v>87.679731502476571</c:v>
                </c:pt>
                <c:pt idx="20">
                  <c:v>89.36293132187788</c:v>
                </c:pt>
                <c:pt idx="21">
                  <c:v>78.205385013258322</c:v>
                </c:pt>
                <c:pt idx="22">
                  <c:v>83.090061806772326</c:v>
                </c:pt>
                <c:pt idx="23">
                  <c:v>89.145356877037173</c:v>
                </c:pt>
                <c:pt idx="24">
                  <c:v>94.731998508426898</c:v>
                </c:pt>
                <c:pt idx="25">
                  <c:v>97.563068904461403</c:v>
                </c:pt>
                <c:pt idx="26">
                  <c:v>88.612635241274745</c:v>
                </c:pt>
                <c:pt idx="27">
                  <c:v>107.10068235021944</c:v>
                </c:pt>
                <c:pt idx="28">
                  <c:v>101.10697845992168</c:v>
                </c:pt>
                <c:pt idx="29">
                  <c:v>98.424025361302981</c:v>
                </c:pt>
                <c:pt idx="30">
                  <c:v>97.499505217138164</c:v>
                </c:pt>
                <c:pt idx="31">
                  <c:v>101.2793047100419</c:v>
                </c:pt>
                <c:pt idx="32">
                  <c:v>95.138235859117586</c:v>
                </c:pt>
                <c:pt idx="33">
                  <c:v>106.31097647237924</c:v>
                </c:pt>
                <c:pt idx="34">
                  <c:v>104.82999983920071</c:v>
                </c:pt>
                <c:pt idx="35">
                  <c:v>103.88070184475991</c:v>
                </c:pt>
                <c:pt idx="36">
                  <c:v>107.62889902184865</c:v>
                </c:pt>
                <c:pt idx="37">
                  <c:v>94.228199354124442</c:v>
                </c:pt>
                <c:pt idx="38">
                  <c:v>102.25892894781327</c:v>
                </c:pt>
                <c:pt idx="39">
                  <c:v>104.24779841652611</c:v>
                </c:pt>
              </c:numCache>
            </c:numRef>
          </c:val>
          <c:smooth val="0"/>
          <c:extLst>
            <c:ext xmlns:c16="http://schemas.microsoft.com/office/drawing/2014/chart" uri="{C3380CC4-5D6E-409C-BE32-E72D297353CC}">
              <c16:uniqueId val="{0000002E-CF96-4A45-8916-AC1EA951FB24}"/>
            </c:ext>
          </c:extLst>
        </c:ser>
        <c:ser>
          <c:idx val="2"/>
          <c:order val="4"/>
          <c:tx>
            <c:strRef>
              <c:f>'Prerađivačka_FS graf'!$AZ$7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graf'!$AZ$56:$AZ$95</c:f>
              <c:numCache>
                <c:formatCode>0.0</c:formatCode>
                <c:ptCount val="40"/>
                <c:pt idx="0">
                  <c:v>100.85116235698975</c:v>
                </c:pt>
                <c:pt idx="1">
                  <c:v>101.79273858409333</c:v>
                </c:pt>
                <c:pt idx="2">
                  <c:v>101.99239122656697</c:v>
                </c:pt>
                <c:pt idx="3">
                  <c:v>101.26925216198828</c:v>
                </c:pt>
                <c:pt idx="4">
                  <c:v>99.715574073586936</c:v>
                </c:pt>
                <c:pt idx="5">
                  <c:v>97.541005215560901</c:v>
                </c:pt>
                <c:pt idx="6">
                  <c:v>95.630695560794464</c:v>
                </c:pt>
                <c:pt idx="7">
                  <c:v>94.694211497560758</c:v>
                </c:pt>
                <c:pt idx="8">
                  <c:v>94.527079028154461</c:v>
                </c:pt>
                <c:pt idx="9">
                  <c:v>94.550101703034898</c:v>
                </c:pt>
                <c:pt idx="10">
                  <c:v>94.257335054410461</c:v>
                </c:pt>
                <c:pt idx="11">
                  <c:v>93.293382682300717</c:v>
                </c:pt>
                <c:pt idx="12">
                  <c:v>91.619317948878859</c:v>
                </c:pt>
                <c:pt idx="13">
                  <c:v>90.017875576382409</c:v>
                </c:pt>
                <c:pt idx="14">
                  <c:v>89.126534427079491</c:v>
                </c:pt>
                <c:pt idx="15">
                  <c:v>89.042800203773126</c:v>
                </c:pt>
                <c:pt idx="16">
                  <c:v>89.590701861966309</c:v>
                </c:pt>
                <c:pt idx="17">
                  <c:v>90.153576452516162</c:v>
                </c:pt>
                <c:pt idx="18">
                  <c:v>90.058989601852559</c:v>
                </c:pt>
                <c:pt idx="19">
                  <c:v>89.208277807370436</c:v>
                </c:pt>
                <c:pt idx="20">
                  <c:v>88.326165902954813</c:v>
                </c:pt>
                <c:pt idx="21">
                  <c:v>88.033547553584938</c:v>
                </c:pt>
                <c:pt idx="22">
                  <c:v>88.669247643376877</c:v>
                </c:pt>
                <c:pt idx="23">
                  <c:v>90.444705427993355</c:v>
                </c:pt>
                <c:pt idx="24">
                  <c:v>93.064278008266015</c:v>
                </c:pt>
                <c:pt idx="25">
                  <c:v>95.695302408006057</c:v>
                </c:pt>
                <c:pt idx="26">
                  <c:v>97.683644962777748</c:v>
                </c:pt>
                <c:pt idx="27">
                  <c:v>98.777608807151353</c:v>
                </c:pt>
                <c:pt idx="28">
                  <c:v>99.15284388486117</c:v>
                </c:pt>
                <c:pt idx="29">
                  <c:v>99.419409937828831</c:v>
                </c:pt>
                <c:pt idx="30">
                  <c:v>99.989265103285874</c:v>
                </c:pt>
                <c:pt idx="31">
                  <c:v>101.05276376251568</c:v>
                </c:pt>
                <c:pt idx="32">
                  <c:v>102.4654148771222</c:v>
                </c:pt>
                <c:pt idx="33">
                  <c:v>103.84974623752697</c:v>
                </c:pt>
                <c:pt idx="34">
                  <c:v>104.84687448537682</c:v>
                </c:pt>
                <c:pt idx="35">
                  <c:v>105.17975090450439</c:v>
                </c:pt>
                <c:pt idx="36">
                  <c:v>104.85641641893929</c:v>
                </c:pt>
                <c:pt idx="37">
                  <c:v>104.28113027266298</c:v>
                </c:pt>
                <c:pt idx="38">
                  <c:v>103.88590719392548</c:v>
                </c:pt>
                <c:pt idx="39">
                  <c:v>103.9177950485535</c:v>
                </c:pt>
              </c:numCache>
            </c:numRef>
          </c:val>
          <c:smooth val="0"/>
          <c:extLst>
            <c:ext xmlns:c16="http://schemas.microsoft.com/office/drawing/2014/chart" uri="{C3380CC4-5D6E-409C-BE32-E72D297353CC}">
              <c16:uniqueId val="{0000002F-CF96-4A45-8916-AC1EA951FB24}"/>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3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077428970793064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3C1-4545-A79C-4666DE9325A0}"/>
                </c:ext>
              </c:extLst>
            </c:dLbl>
            <c:dLbl>
              <c:idx val="12"/>
              <c:layout>
                <c:manualLayout>
                  <c:x val="7.202639848143913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C1-4545-A79C-4666DE9325A0}"/>
                </c:ext>
              </c:extLst>
            </c:dLbl>
            <c:dLbl>
              <c:idx val="24"/>
              <c:layout>
                <c:manualLayout>
                  <c:x val="6.4782180005277121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3C1-4545-A79C-4666DE9325A0}"/>
                </c:ext>
              </c:extLst>
            </c:dLbl>
            <c:dLbl>
              <c:idx val="36"/>
              <c:layout>
                <c:manualLayout>
                  <c:x val="-8.4249885430987791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4E1-4552-A8DA-9EF288079D96}"/>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graf'!$BF$56:$BF$95</c:f>
              <c:numCache>
                <c:formatCode>General</c:formatCode>
                <c:ptCount val="40"/>
                <c:pt idx="0">
                  <c:v>60</c:v>
                </c:pt>
                <c:pt idx="12">
                  <c:v>60</c:v>
                </c:pt>
                <c:pt idx="24">
                  <c:v>60</c:v>
                </c:pt>
                <c:pt idx="36">
                  <c:v>60</c:v>
                </c:pt>
              </c:numCache>
            </c:numRef>
          </c:val>
          <c:smooth val="0"/>
          <c:extLst>
            <c:ext xmlns:c16="http://schemas.microsoft.com/office/drawing/2014/chart" uri="{C3380CC4-5D6E-409C-BE32-E72D297353CC}">
              <c16:uniqueId val="{00000003-23C1-4545-A79C-4666DE9325A0}"/>
            </c:ext>
          </c:extLst>
        </c:ser>
        <c:ser>
          <c:idx val="4"/>
          <c:order val="1"/>
          <c:tx>
            <c:strRef>
              <c:f>'Prerađivačka_FS graf'!$BG$7</c:f>
              <c:strCache>
                <c:ptCount val="1"/>
                <c:pt idx="0">
                  <c:v>Series5</c:v>
                </c:pt>
              </c:strCache>
            </c:strRef>
          </c:tx>
          <c:spPr>
            <a:ln w="25400" cap="rnd">
              <a:noFill/>
              <a:round/>
            </a:ln>
            <a:effectLst/>
          </c:spPr>
          <c:marker>
            <c:symbol val="none"/>
          </c:marker>
          <c:dLbls>
            <c:dLbl>
              <c:idx val="0"/>
              <c:tx>
                <c:rich>
                  <a:bodyPr/>
                  <a:lstStyle/>
                  <a:p>
                    <a:fld id="{CB46F17D-2FEF-4427-BB60-6D52379BB78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23C1-4545-A79C-4666DE9325A0}"/>
                </c:ext>
              </c:extLst>
            </c:dLbl>
            <c:dLbl>
              <c:idx val="1"/>
              <c:tx>
                <c:rich>
                  <a:bodyPr/>
                  <a:lstStyle/>
                  <a:p>
                    <a:fld id="{6459B6DC-DF15-4ADE-85EA-EE71D26E51C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3C1-4545-A79C-4666DE9325A0}"/>
                </c:ext>
              </c:extLst>
            </c:dLbl>
            <c:dLbl>
              <c:idx val="2"/>
              <c:tx>
                <c:rich>
                  <a:bodyPr/>
                  <a:lstStyle/>
                  <a:p>
                    <a:fld id="{81FDBC38-B2F4-4763-834C-4BDF8B20C1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23C1-4545-A79C-4666DE9325A0}"/>
                </c:ext>
              </c:extLst>
            </c:dLbl>
            <c:dLbl>
              <c:idx val="3"/>
              <c:tx>
                <c:rich>
                  <a:bodyPr/>
                  <a:lstStyle/>
                  <a:p>
                    <a:fld id="{AB9C150E-283B-44DC-8CED-AFE7410AADB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3C1-4545-A79C-4666DE9325A0}"/>
                </c:ext>
              </c:extLst>
            </c:dLbl>
            <c:dLbl>
              <c:idx val="4"/>
              <c:tx>
                <c:rich>
                  <a:bodyPr/>
                  <a:lstStyle/>
                  <a:p>
                    <a:fld id="{386C7539-9894-4855-98FD-162E348A583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23C1-4545-A79C-4666DE9325A0}"/>
                </c:ext>
              </c:extLst>
            </c:dLbl>
            <c:dLbl>
              <c:idx val="5"/>
              <c:tx>
                <c:rich>
                  <a:bodyPr/>
                  <a:lstStyle/>
                  <a:p>
                    <a:fld id="{B16A76C5-D4F6-4B9C-9E3F-3DF9FD69DB7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23C1-4545-A79C-4666DE9325A0}"/>
                </c:ext>
              </c:extLst>
            </c:dLbl>
            <c:dLbl>
              <c:idx val="6"/>
              <c:tx>
                <c:rich>
                  <a:bodyPr/>
                  <a:lstStyle/>
                  <a:p>
                    <a:fld id="{05824705-0EF7-4DDF-983A-08EC4BBD74C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3C1-4545-A79C-4666DE9325A0}"/>
                </c:ext>
              </c:extLst>
            </c:dLbl>
            <c:dLbl>
              <c:idx val="7"/>
              <c:tx>
                <c:rich>
                  <a:bodyPr/>
                  <a:lstStyle/>
                  <a:p>
                    <a:fld id="{E039FC55-78B9-479A-808C-B2475EFDD88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3C1-4545-A79C-4666DE9325A0}"/>
                </c:ext>
              </c:extLst>
            </c:dLbl>
            <c:dLbl>
              <c:idx val="8"/>
              <c:tx>
                <c:rich>
                  <a:bodyPr/>
                  <a:lstStyle/>
                  <a:p>
                    <a:fld id="{D95CB4F4-6ADD-4A18-AFCC-C9A09979085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23C1-4545-A79C-4666DE9325A0}"/>
                </c:ext>
              </c:extLst>
            </c:dLbl>
            <c:dLbl>
              <c:idx val="9"/>
              <c:tx>
                <c:rich>
                  <a:bodyPr/>
                  <a:lstStyle/>
                  <a:p>
                    <a:fld id="{35E62E40-B3FA-473B-946E-C9B2602E823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3C1-4545-A79C-4666DE9325A0}"/>
                </c:ext>
              </c:extLst>
            </c:dLbl>
            <c:dLbl>
              <c:idx val="10"/>
              <c:tx>
                <c:rich>
                  <a:bodyPr/>
                  <a:lstStyle/>
                  <a:p>
                    <a:fld id="{9A41B8CB-B406-4377-95C4-2EC9E638E1F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23C1-4545-A79C-4666DE9325A0}"/>
                </c:ext>
              </c:extLst>
            </c:dLbl>
            <c:dLbl>
              <c:idx val="11"/>
              <c:tx>
                <c:rich>
                  <a:bodyPr/>
                  <a:lstStyle/>
                  <a:p>
                    <a:fld id="{76D6779C-C0BB-452A-8E77-E66BF1C57D8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23C1-4545-A79C-4666DE9325A0}"/>
                </c:ext>
              </c:extLst>
            </c:dLbl>
            <c:dLbl>
              <c:idx val="12"/>
              <c:tx>
                <c:rich>
                  <a:bodyPr/>
                  <a:lstStyle/>
                  <a:p>
                    <a:fld id="{9BA3D7BE-60F2-472D-92CC-58971A3B29B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3C1-4545-A79C-4666DE9325A0}"/>
                </c:ext>
              </c:extLst>
            </c:dLbl>
            <c:dLbl>
              <c:idx val="13"/>
              <c:tx>
                <c:rich>
                  <a:bodyPr/>
                  <a:lstStyle/>
                  <a:p>
                    <a:fld id="{A5419B4C-6A71-4B1B-BEA6-D4576DA4A9C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23C1-4545-A79C-4666DE9325A0}"/>
                </c:ext>
              </c:extLst>
            </c:dLbl>
            <c:dLbl>
              <c:idx val="14"/>
              <c:tx>
                <c:rich>
                  <a:bodyPr/>
                  <a:lstStyle/>
                  <a:p>
                    <a:fld id="{C5A0F98D-C03B-4907-8226-B6D000EF5F1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23C1-4545-A79C-4666DE9325A0}"/>
                </c:ext>
              </c:extLst>
            </c:dLbl>
            <c:dLbl>
              <c:idx val="15"/>
              <c:tx>
                <c:rich>
                  <a:bodyPr/>
                  <a:lstStyle/>
                  <a:p>
                    <a:fld id="{742E030E-FBE0-4392-8A26-55CA82F4B4D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3C1-4545-A79C-4666DE9325A0}"/>
                </c:ext>
              </c:extLst>
            </c:dLbl>
            <c:dLbl>
              <c:idx val="16"/>
              <c:tx>
                <c:rich>
                  <a:bodyPr/>
                  <a:lstStyle/>
                  <a:p>
                    <a:fld id="{DE6654AD-0C1B-4717-85AC-54C7CB2660C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23C1-4545-A79C-4666DE9325A0}"/>
                </c:ext>
              </c:extLst>
            </c:dLbl>
            <c:dLbl>
              <c:idx val="17"/>
              <c:tx>
                <c:rich>
                  <a:bodyPr/>
                  <a:lstStyle/>
                  <a:p>
                    <a:fld id="{BFDCE861-A45E-4B45-97AF-4D50A1551E7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23C1-4545-A79C-4666DE9325A0}"/>
                </c:ext>
              </c:extLst>
            </c:dLbl>
            <c:dLbl>
              <c:idx val="18"/>
              <c:tx>
                <c:rich>
                  <a:bodyPr/>
                  <a:lstStyle/>
                  <a:p>
                    <a:fld id="{B91E7610-6D4C-4959-8941-58AA0A9C28D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3C1-4545-A79C-4666DE9325A0}"/>
                </c:ext>
              </c:extLst>
            </c:dLbl>
            <c:dLbl>
              <c:idx val="19"/>
              <c:tx>
                <c:rich>
                  <a:bodyPr/>
                  <a:lstStyle/>
                  <a:p>
                    <a:fld id="{15239245-2A9A-4D88-B864-113BC772D03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23C1-4545-A79C-4666DE9325A0}"/>
                </c:ext>
              </c:extLst>
            </c:dLbl>
            <c:dLbl>
              <c:idx val="20"/>
              <c:tx>
                <c:rich>
                  <a:bodyPr/>
                  <a:lstStyle/>
                  <a:p>
                    <a:fld id="{0286D08B-DE90-40D2-BFA0-569041960A7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23C1-4545-A79C-4666DE9325A0}"/>
                </c:ext>
              </c:extLst>
            </c:dLbl>
            <c:dLbl>
              <c:idx val="21"/>
              <c:tx>
                <c:rich>
                  <a:bodyPr/>
                  <a:lstStyle/>
                  <a:p>
                    <a:fld id="{D943398C-3299-4672-A223-CAC9F529E0A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3C1-4545-A79C-4666DE9325A0}"/>
                </c:ext>
              </c:extLst>
            </c:dLbl>
            <c:dLbl>
              <c:idx val="22"/>
              <c:tx>
                <c:rich>
                  <a:bodyPr/>
                  <a:lstStyle/>
                  <a:p>
                    <a:fld id="{A7BEF625-2FEF-4AE1-BA4C-0115BE9889A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23C1-4545-A79C-4666DE9325A0}"/>
                </c:ext>
              </c:extLst>
            </c:dLbl>
            <c:dLbl>
              <c:idx val="23"/>
              <c:tx>
                <c:rich>
                  <a:bodyPr/>
                  <a:lstStyle/>
                  <a:p>
                    <a:fld id="{1F524419-79D5-4329-882A-CDD2CFB02D4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23C1-4545-A79C-4666DE9325A0}"/>
                </c:ext>
              </c:extLst>
            </c:dLbl>
            <c:dLbl>
              <c:idx val="24"/>
              <c:tx>
                <c:rich>
                  <a:bodyPr/>
                  <a:lstStyle/>
                  <a:p>
                    <a:fld id="{3EA6FAF3-6504-4667-A3F6-63D4AEE66F1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3C1-4545-A79C-4666DE9325A0}"/>
                </c:ext>
              </c:extLst>
            </c:dLbl>
            <c:dLbl>
              <c:idx val="25"/>
              <c:tx>
                <c:rich>
                  <a:bodyPr/>
                  <a:lstStyle/>
                  <a:p>
                    <a:fld id="{6632A043-533F-4FB7-9006-3BC2CC4676E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23C1-4545-A79C-4666DE9325A0}"/>
                </c:ext>
              </c:extLst>
            </c:dLbl>
            <c:dLbl>
              <c:idx val="26"/>
              <c:tx>
                <c:rich>
                  <a:bodyPr/>
                  <a:lstStyle/>
                  <a:p>
                    <a:fld id="{5D5CF308-8E32-4E09-A864-4400383AA84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23C1-4545-A79C-4666DE9325A0}"/>
                </c:ext>
              </c:extLst>
            </c:dLbl>
            <c:dLbl>
              <c:idx val="27"/>
              <c:tx>
                <c:rich>
                  <a:bodyPr/>
                  <a:lstStyle/>
                  <a:p>
                    <a:fld id="{9B45E54F-6615-40C0-ABEE-039D97621CD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3C1-4545-A79C-4666DE9325A0}"/>
                </c:ext>
              </c:extLst>
            </c:dLbl>
            <c:dLbl>
              <c:idx val="28"/>
              <c:tx>
                <c:rich>
                  <a:bodyPr/>
                  <a:lstStyle/>
                  <a:p>
                    <a:fld id="{550DD285-F357-4B62-A262-30EBFC109F3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23C1-4545-A79C-4666DE9325A0}"/>
                </c:ext>
              </c:extLst>
            </c:dLbl>
            <c:dLbl>
              <c:idx val="29"/>
              <c:tx>
                <c:rich>
                  <a:bodyPr/>
                  <a:lstStyle/>
                  <a:p>
                    <a:fld id="{58A3AAF9-192E-4BED-A1B1-EBC479ADAAD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23C1-4545-A79C-4666DE9325A0}"/>
                </c:ext>
              </c:extLst>
            </c:dLbl>
            <c:dLbl>
              <c:idx val="30"/>
              <c:tx>
                <c:rich>
                  <a:bodyPr/>
                  <a:lstStyle/>
                  <a:p>
                    <a:fld id="{488C0A18-20F9-41D8-8237-C5BA25F3225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3C1-4545-A79C-4666DE9325A0}"/>
                </c:ext>
              </c:extLst>
            </c:dLbl>
            <c:dLbl>
              <c:idx val="31"/>
              <c:tx>
                <c:rich>
                  <a:bodyPr/>
                  <a:lstStyle/>
                  <a:p>
                    <a:fld id="{634F7D1B-479A-4479-B297-BD9B2C0672F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23C1-4545-A79C-4666DE9325A0}"/>
                </c:ext>
              </c:extLst>
            </c:dLbl>
            <c:dLbl>
              <c:idx val="32"/>
              <c:tx>
                <c:rich>
                  <a:bodyPr/>
                  <a:lstStyle/>
                  <a:p>
                    <a:fld id="{0B940C8B-FEC6-45B4-A3C3-D2069E16151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23C1-4545-A79C-4666DE9325A0}"/>
                </c:ext>
              </c:extLst>
            </c:dLbl>
            <c:dLbl>
              <c:idx val="33"/>
              <c:tx>
                <c:rich>
                  <a:bodyPr/>
                  <a:lstStyle/>
                  <a:p>
                    <a:fld id="{A05C224A-111D-4D8A-9E69-F473FBA9D23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23C1-4545-A79C-4666DE9325A0}"/>
                </c:ext>
              </c:extLst>
            </c:dLbl>
            <c:dLbl>
              <c:idx val="34"/>
              <c:tx>
                <c:rich>
                  <a:bodyPr/>
                  <a:lstStyle/>
                  <a:p>
                    <a:fld id="{C8AA1EC5-10F1-434D-85FC-093F17285BF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23C1-4545-A79C-4666DE9325A0}"/>
                </c:ext>
              </c:extLst>
            </c:dLbl>
            <c:dLbl>
              <c:idx val="35"/>
              <c:tx>
                <c:rich>
                  <a:bodyPr/>
                  <a:lstStyle/>
                  <a:p>
                    <a:fld id="{835CC8E3-C232-4809-92E7-A6EC16B15B5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23C1-4545-A79C-4666DE9325A0}"/>
                </c:ext>
              </c:extLst>
            </c:dLbl>
            <c:dLbl>
              <c:idx val="36"/>
              <c:tx>
                <c:rich>
                  <a:bodyPr/>
                  <a:lstStyle/>
                  <a:p>
                    <a:fld id="{EFD88846-5737-44B3-A7E1-AEC369AF258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23C1-4545-A79C-4666DE9325A0}"/>
                </c:ext>
              </c:extLst>
            </c:dLbl>
            <c:dLbl>
              <c:idx val="37"/>
              <c:tx>
                <c:rich>
                  <a:bodyPr/>
                  <a:lstStyle/>
                  <a:p>
                    <a:fld id="{F3CAA484-9D0F-4231-9CA2-6A55C93C881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23C1-4545-A79C-4666DE9325A0}"/>
                </c:ext>
              </c:extLst>
            </c:dLbl>
            <c:dLbl>
              <c:idx val="38"/>
              <c:tx>
                <c:rich>
                  <a:bodyPr/>
                  <a:lstStyle/>
                  <a:p>
                    <a:fld id="{B9375068-F484-46F2-B017-CF51E6CE9F4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23C1-4545-A79C-4666DE9325A0}"/>
                </c:ext>
              </c:extLst>
            </c:dLbl>
            <c:dLbl>
              <c:idx val="39"/>
              <c:tx>
                <c:rich>
                  <a:bodyPr/>
                  <a:lstStyle/>
                  <a:p>
                    <a:fld id="{EB7AB3B7-70EF-4BD2-B64E-0484A8BCF06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23C1-4545-A79C-4666DE9325A0}"/>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graf'!$BG$56:$BG$95</c:f>
              <c:numCache>
                <c:formatCode>General</c:formatCode>
                <c:ptCount val="40"/>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23C1-4545-A79C-4666DE9325A0}"/>
            </c:ext>
          </c:extLst>
        </c:ser>
        <c:ser>
          <c:idx val="0"/>
          <c:order val="2"/>
          <c:tx>
            <c:strRef>
              <c:f>'Prerađivačka_FS graf'!$BH$7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graf'!$BH$56:$BH$95</c:f>
              <c:numCache>
                <c:formatCode>0.0</c:formatCode>
                <c:ptCount val="40"/>
                <c:pt idx="0">
                  <c:v>87.535680304471938</c:v>
                </c:pt>
                <c:pt idx="1">
                  <c:v>87.250237868696487</c:v>
                </c:pt>
                <c:pt idx="2">
                  <c:v>111.13225499524262</c:v>
                </c:pt>
                <c:pt idx="3">
                  <c:v>94.95718363463368</c:v>
                </c:pt>
                <c:pt idx="4">
                  <c:v>105.32825880114179</c:v>
                </c:pt>
                <c:pt idx="5">
                  <c:v>106.94576593720268</c:v>
                </c:pt>
                <c:pt idx="6">
                  <c:v>95.432921027592784</c:v>
                </c:pt>
                <c:pt idx="7">
                  <c:v>102.94957183634634</c:v>
                </c:pt>
                <c:pt idx="8">
                  <c:v>109.22930542340627</c:v>
                </c:pt>
                <c:pt idx="9">
                  <c:v>105.99429115128449</c:v>
                </c:pt>
                <c:pt idx="10">
                  <c:v>116.17507136060894</c:v>
                </c:pt>
                <c:pt idx="11">
                  <c:v>129.68601332064702</c:v>
                </c:pt>
                <c:pt idx="12">
                  <c:v>107.1360608943863</c:v>
                </c:pt>
                <c:pt idx="13">
                  <c:v>112.65461465271171</c:v>
                </c:pt>
                <c:pt idx="14">
                  <c:v>132.35014272121791</c:v>
                </c:pt>
                <c:pt idx="15">
                  <c:v>115.50903901046622</c:v>
                </c:pt>
                <c:pt idx="16">
                  <c:v>113.79638439581352</c:v>
                </c:pt>
                <c:pt idx="17">
                  <c:v>110.08563273073264</c:v>
                </c:pt>
                <c:pt idx="18">
                  <c:v>93.339676498572786</c:v>
                </c:pt>
                <c:pt idx="19">
                  <c:v>93.339676498572786</c:v>
                </c:pt>
                <c:pt idx="20">
                  <c:v>104.75737392959086</c:v>
                </c:pt>
                <c:pt idx="21">
                  <c:v>101.04662226451001</c:v>
                </c:pt>
                <c:pt idx="22">
                  <c:v>104.28163653663178</c:v>
                </c:pt>
                <c:pt idx="23">
                  <c:v>109.895337773549</c:v>
                </c:pt>
                <c:pt idx="24">
                  <c:v>81.160799238820175</c:v>
                </c:pt>
                <c:pt idx="25">
                  <c:v>95.813510941960047</c:v>
                </c:pt>
                <c:pt idx="26">
                  <c:v>111.79828734538535</c:v>
                </c:pt>
                <c:pt idx="27">
                  <c:v>108.37297811607993</c:v>
                </c:pt>
                <c:pt idx="28">
                  <c:v>109.22930542340627</c:v>
                </c:pt>
                <c:pt idx="29">
                  <c:v>101.71265461465273</c:v>
                </c:pt>
                <c:pt idx="30">
                  <c:v>92.578496669838245</c:v>
                </c:pt>
                <c:pt idx="31">
                  <c:v>108.1826831588963</c:v>
                </c:pt>
                <c:pt idx="32">
                  <c:v>102.94957183634634</c:v>
                </c:pt>
                <c:pt idx="33">
                  <c:v>98.85823025689821</c:v>
                </c:pt>
                <c:pt idx="34">
                  <c:v>95.432921027592784</c:v>
                </c:pt>
                <c:pt idx="35">
                  <c:v>93.339676498572786</c:v>
                </c:pt>
                <c:pt idx="36">
                  <c:v>77</c:v>
                </c:pt>
                <c:pt idx="37">
                  <c:v>77.900000000000006</c:v>
                </c:pt>
                <c:pt idx="38">
                  <c:v>100.9</c:v>
                </c:pt>
                <c:pt idx="39">
                  <c:v>94.2</c:v>
                </c:pt>
              </c:numCache>
            </c:numRef>
          </c:val>
          <c:smooth val="0"/>
          <c:extLst>
            <c:ext xmlns:c16="http://schemas.microsoft.com/office/drawing/2014/chart" uri="{C3380CC4-5D6E-409C-BE32-E72D297353CC}">
              <c16:uniqueId val="{0000002D-23C1-4545-A79C-4666DE9325A0}"/>
            </c:ext>
          </c:extLst>
        </c:ser>
        <c:ser>
          <c:idx val="1"/>
          <c:order val="3"/>
          <c:tx>
            <c:strRef>
              <c:f>'Prerađivačka_FS graf'!$BI$7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graf'!$BI$56:$BI$95</c:f>
              <c:numCache>
                <c:formatCode>0.0</c:formatCode>
                <c:ptCount val="40"/>
                <c:pt idx="0">
                  <c:v>101.65547273532454</c:v>
                </c:pt>
                <c:pt idx="1">
                  <c:v>95.56109123292859</c:v>
                </c:pt>
                <c:pt idx="2">
                  <c:v>97.924286814207122</c:v>
                </c:pt>
                <c:pt idx="3">
                  <c:v>97.345869843651585</c:v>
                </c:pt>
                <c:pt idx="4">
                  <c:v>103.61430675449687</c:v>
                </c:pt>
                <c:pt idx="5">
                  <c:v>103.76336320764104</c:v>
                </c:pt>
                <c:pt idx="6">
                  <c:v>104.72847384541429</c:v>
                </c:pt>
                <c:pt idx="7">
                  <c:v>99.876338886744151</c:v>
                </c:pt>
                <c:pt idx="8">
                  <c:v>103.3098617902298</c:v>
                </c:pt>
                <c:pt idx="9">
                  <c:v>112.11818810217939</c:v>
                </c:pt>
                <c:pt idx="10">
                  <c:v>112.42284045304217</c:v>
                </c:pt>
                <c:pt idx="11">
                  <c:v>118.63118509435738</c:v>
                </c:pt>
                <c:pt idx="12">
                  <c:v>119.40178975979175</c:v>
                </c:pt>
                <c:pt idx="13">
                  <c:v>119.01346764677312</c:v>
                </c:pt>
                <c:pt idx="14">
                  <c:v>118.81464244844703</c:v>
                </c:pt>
                <c:pt idx="15">
                  <c:v>121.39495190522476</c:v>
                </c:pt>
                <c:pt idx="16">
                  <c:v>112.25983141496536</c:v>
                </c:pt>
                <c:pt idx="17">
                  <c:v>106.45135992003077</c:v>
                </c:pt>
                <c:pt idx="18">
                  <c:v>105.14263928634212</c:v>
                </c:pt>
                <c:pt idx="19">
                  <c:v>90.287414505186788</c:v>
                </c:pt>
                <c:pt idx="20">
                  <c:v>98.965148968813551</c:v>
                </c:pt>
                <c:pt idx="21">
                  <c:v>102.36703611565515</c:v>
                </c:pt>
                <c:pt idx="22">
                  <c:v>105.73946086340601</c:v>
                </c:pt>
                <c:pt idx="23">
                  <c:v>105.01173757979113</c:v>
                </c:pt>
                <c:pt idx="24">
                  <c:v>90.957852238447444</c:v>
                </c:pt>
                <c:pt idx="25">
                  <c:v>100.36580041226578</c:v>
                </c:pt>
                <c:pt idx="26">
                  <c:v>101.18980601469194</c:v>
                </c:pt>
                <c:pt idx="27">
                  <c:v>102.58243411683468</c:v>
                </c:pt>
                <c:pt idx="28">
                  <c:v>111.64212042878692</c:v>
                </c:pt>
                <c:pt idx="29">
                  <c:v>101.32950506961711</c:v>
                </c:pt>
                <c:pt idx="30">
                  <c:v>96.809236270422559</c:v>
                </c:pt>
                <c:pt idx="31">
                  <c:v>109.7571377618486</c:v>
                </c:pt>
                <c:pt idx="32">
                  <c:v>102.13187939843029</c:v>
                </c:pt>
                <c:pt idx="33">
                  <c:v>96.021993630964104</c:v>
                </c:pt>
                <c:pt idx="34">
                  <c:v>93.579606195178371</c:v>
                </c:pt>
                <c:pt idx="35">
                  <c:v>85.508019542985338</c:v>
                </c:pt>
                <c:pt idx="36">
                  <c:v>92.093205499689006</c:v>
                </c:pt>
                <c:pt idx="37">
                  <c:v>81.242298303148431</c:v>
                </c:pt>
                <c:pt idx="38">
                  <c:v>93.523702690689944</c:v>
                </c:pt>
                <c:pt idx="39">
                  <c:v>90.54647148592521</c:v>
                </c:pt>
              </c:numCache>
            </c:numRef>
          </c:val>
          <c:smooth val="0"/>
          <c:extLst>
            <c:ext xmlns:c16="http://schemas.microsoft.com/office/drawing/2014/chart" uri="{C3380CC4-5D6E-409C-BE32-E72D297353CC}">
              <c16:uniqueId val="{0000002E-23C1-4545-A79C-4666DE9325A0}"/>
            </c:ext>
          </c:extLst>
        </c:ser>
        <c:ser>
          <c:idx val="2"/>
          <c:order val="4"/>
          <c:tx>
            <c:strRef>
              <c:f>'Prerađivačka_FS graf'!$BJ$7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graf'!$BJ$56:$BJ$95</c:f>
              <c:numCache>
                <c:formatCode>0.0</c:formatCode>
                <c:ptCount val="40"/>
                <c:pt idx="0">
                  <c:v>95.796713016222952</c:v>
                </c:pt>
                <c:pt idx="1">
                  <c:v>97.01537799071852</c:v>
                </c:pt>
                <c:pt idx="2">
                  <c:v>98.601944823026287</c:v>
                </c:pt>
                <c:pt idx="3">
                  <c:v>99.967726755300831</c:v>
                </c:pt>
                <c:pt idx="4">
                  <c:v>100.90209092518467</c:v>
                </c:pt>
                <c:pt idx="5">
                  <c:v>101.73437472058131</c:v>
                </c:pt>
                <c:pt idx="6">
                  <c:v>102.78326758593096</c:v>
                </c:pt>
                <c:pt idx="7">
                  <c:v>104.31899098757054</c:v>
                </c:pt>
                <c:pt idx="8">
                  <c:v>106.57971207212002</c:v>
                </c:pt>
                <c:pt idx="9">
                  <c:v>109.60263838514865</c:v>
                </c:pt>
                <c:pt idx="10">
                  <c:v>113.15078960624543</c:v>
                </c:pt>
                <c:pt idx="11">
                  <c:v>116.65915085910349</c:v>
                </c:pt>
                <c:pt idx="12">
                  <c:v>119.15154464218109</c:v>
                </c:pt>
                <c:pt idx="13">
                  <c:v>119.96267304428778</c:v>
                </c:pt>
                <c:pt idx="14">
                  <c:v>118.99696066612461</c:v>
                </c:pt>
                <c:pt idx="15">
                  <c:v>116.53965653509071</c:v>
                </c:pt>
                <c:pt idx="16">
                  <c:v>112.94557730702883</c:v>
                </c:pt>
                <c:pt idx="17">
                  <c:v>108.90322838936902</c:v>
                </c:pt>
                <c:pt idx="18">
                  <c:v>105.44530511151487</c:v>
                </c:pt>
                <c:pt idx="19">
                  <c:v>103.19898049867915</c:v>
                </c:pt>
                <c:pt idx="20">
                  <c:v>102.31599224501548</c:v>
                </c:pt>
                <c:pt idx="21">
                  <c:v>102.38061765152283</c:v>
                </c:pt>
                <c:pt idx="22">
                  <c:v>102.68078968772042</c:v>
                </c:pt>
                <c:pt idx="23">
                  <c:v>102.73787722261466</c:v>
                </c:pt>
                <c:pt idx="24">
                  <c:v>102.6019480696287</c:v>
                </c:pt>
                <c:pt idx="25">
                  <c:v>102.27781045745229</c:v>
                </c:pt>
                <c:pt idx="26">
                  <c:v>101.89771314464355</c:v>
                </c:pt>
                <c:pt idx="27">
                  <c:v>101.81380459591659</c:v>
                </c:pt>
                <c:pt idx="28">
                  <c:v>102.12509401744234</c:v>
                </c:pt>
                <c:pt idx="29">
                  <c:v>102.46765886994201</c:v>
                </c:pt>
                <c:pt idx="30">
                  <c:v>102.21341096618831</c:v>
                </c:pt>
                <c:pt idx="31">
                  <c:v>101.09676464963626</c:v>
                </c:pt>
                <c:pt idx="32">
                  <c:v>99.129735255755591</c:v>
                </c:pt>
                <c:pt idx="33">
                  <c:v>96.680307479968974</c:v>
                </c:pt>
                <c:pt idx="34">
                  <c:v>94.212433728170325</c:v>
                </c:pt>
                <c:pt idx="35">
                  <c:v>92.129395131504268</c:v>
                </c:pt>
                <c:pt idx="36">
                  <c:v>90.801139705367575</c:v>
                </c:pt>
                <c:pt idx="37">
                  <c:v>90.533231969719921</c:v>
                </c:pt>
                <c:pt idx="38">
                  <c:v>91.115513857488594</c:v>
                </c:pt>
                <c:pt idx="39">
                  <c:v>92.024713780646465</c:v>
                </c:pt>
              </c:numCache>
            </c:numRef>
          </c:val>
          <c:smooth val="0"/>
          <c:extLst>
            <c:ext xmlns:c16="http://schemas.microsoft.com/office/drawing/2014/chart" uri="{C3380CC4-5D6E-409C-BE32-E72D297353CC}">
              <c16:uniqueId val="{0000002F-23C1-4545-A79C-4666DE9325A0}"/>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40"/>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522305692268394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D4-4343-9F82-6CB8A3F9FD36}"/>
                </c:ext>
              </c:extLst>
            </c:dLbl>
            <c:dLbl>
              <c:idx val="12"/>
              <c:layout>
                <c:manualLayout>
                  <c:x val="7.640512008988140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D4-4343-9F82-6CB8A3F9FD36}"/>
                </c:ext>
              </c:extLst>
            </c:dLbl>
            <c:dLbl>
              <c:idx val="24"/>
              <c:layout>
                <c:manualLayout>
                  <c:x val="7.3600522156952605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D4-4343-9F82-6CB8A3F9FD36}"/>
                </c:ext>
              </c:extLst>
            </c:dLbl>
            <c:dLbl>
              <c:idx val="36"/>
              <c:layout>
                <c:manualLayout>
                  <c:x val="-4.0158174672610368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02-4E15-9FD4-009E2AB42178}"/>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graf'!$BK$56:$BK$95</c:f>
              <c:numCache>
                <c:formatCode>General</c:formatCode>
                <c:ptCount val="40"/>
                <c:pt idx="0">
                  <c:v>40</c:v>
                </c:pt>
                <c:pt idx="12">
                  <c:v>40</c:v>
                </c:pt>
                <c:pt idx="24">
                  <c:v>40</c:v>
                </c:pt>
                <c:pt idx="36">
                  <c:v>40</c:v>
                </c:pt>
              </c:numCache>
            </c:numRef>
          </c:val>
          <c:smooth val="0"/>
          <c:extLst>
            <c:ext xmlns:c16="http://schemas.microsoft.com/office/drawing/2014/chart" uri="{C3380CC4-5D6E-409C-BE32-E72D297353CC}">
              <c16:uniqueId val="{00000003-39D4-4343-9F82-6CB8A3F9FD36}"/>
            </c:ext>
          </c:extLst>
        </c:ser>
        <c:ser>
          <c:idx val="4"/>
          <c:order val="1"/>
          <c:tx>
            <c:strRef>
              <c:f>'Prerađivačka_FS graf'!$BL$7</c:f>
              <c:strCache>
                <c:ptCount val="1"/>
                <c:pt idx="0">
                  <c:v>Series5</c:v>
                </c:pt>
              </c:strCache>
            </c:strRef>
          </c:tx>
          <c:spPr>
            <a:ln w="25400" cap="rnd">
              <a:noFill/>
              <a:round/>
            </a:ln>
            <a:effectLst/>
          </c:spPr>
          <c:marker>
            <c:symbol val="none"/>
          </c:marker>
          <c:dLbls>
            <c:dLbl>
              <c:idx val="0"/>
              <c:tx>
                <c:rich>
                  <a:bodyPr/>
                  <a:lstStyle/>
                  <a:p>
                    <a:fld id="{9651DCFD-F2A8-4185-BDE2-F134B544C69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9D4-4343-9F82-6CB8A3F9FD36}"/>
                </c:ext>
              </c:extLst>
            </c:dLbl>
            <c:dLbl>
              <c:idx val="1"/>
              <c:tx>
                <c:rich>
                  <a:bodyPr/>
                  <a:lstStyle/>
                  <a:p>
                    <a:fld id="{35733622-68B7-4BFC-982C-DF2BAA3C43B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39D4-4343-9F82-6CB8A3F9FD36}"/>
                </c:ext>
              </c:extLst>
            </c:dLbl>
            <c:dLbl>
              <c:idx val="2"/>
              <c:tx>
                <c:rich>
                  <a:bodyPr/>
                  <a:lstStyle/>
                  <a:p>
                    <a:fld id="{6A1CD948-3BD6-4237-9D8E-5C9B57C09F1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9D4-4343-9F82-6CB8A3F9FD36}"/>
                </c:ext>
              </c:extLst>
            </c:dLbl>
            <c:dLbl>
              <c:idx val="3"/>
              <c:tx>
                <c:rich>
                  <a:bodyPr/>
                  <a:lstStyle/>
                  <a:p>
                    <a:fld id="{F5781222-BF8C-42CB-A00A-7B8F07A60E7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9D4-4343-9F82-6CB8A3F9FD36}"/>
                </c:ext>
              </c:extLst>
            </c:dLbl>
            <c:dLbl>
              <c:idx val="4"/>
              <c:tx>
                <c:rich>
                  <a:bodyPr/>
                  <a:lstStyle/>
                  <a:p>
                    <a:fld id="{A6D64F3A-4E60-443D-A831-8C9AA6E1529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9D4-4343-9F82-6CB8A3F9FD36}"/>
                </c:ext>
              </c:extLst>
            </c:dLbl>
            <c:dLbl>
              <c:idx val="5"/>
              <c:tx>
                <c:rich>
                  <a:bodyPr/>
                  <a:lstStyle/>
                  <a:p>
                    <a:fld id="{2FFCC221-1F7B-476A-88D8-06E98770910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39D4-4343-9F82-6CB8A3F9FD36}"/>
                </c:ext>
              </c:extLst>
            </c:dLbl>
            <c:dLbl>
              <c:idx val="6"/>
              <c:tx>
                <c:rich>
                  <a:bodyPr/>
                  <a:lstStyle/>
                  <a:p>
                    <a:fld id="{99871B86-42C1-41EF-8C5A-09B2CBBE3A7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9D4-4343-9F82-6CB8A3F9FD36}"/>
                </c:ext>
              </c:extLst>
            </c:dLbl>
            <c:dLbl>
              <c:idx val="7"/>
              <c:tx>
                <c:rich>
                  <a:bodyPr/>
                  <a:lstStyle/>
                  <a:p>
                    <a:fld id="{7B79317B-9AF9-4735-B57C-CE9269FC982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39D4-4343-9F82-6CB8A3F9FD36}"/>
                </c:ext>
              </c:extLst>
            </c:dLbl>
            <c:dLbl>
              <c:idx val="8"/>
              <c:tx>
                <c:rich>
                  <a:bodyPr/>
                  <a:lstStyle/>
                  <a:p>
                    <a:fld id="{AE004A40-FF12-4213-83F7-F49E4BD4D2F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39D4-4343-9F82-6CB8A3F9FD36}"/>
                </c:ext>
              </c:extLst>
            </c:dLbl>
            <c:dLbl>
              <c:idx val="9"/>
              <c:tx>
                <c:rich>
                  <a:bodyPr/>
                  <a:lstStyle/>
                  <a:p>
                    <a:fld id="{479DA804-39B5-4BA1-95ED-E58C7B12D15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9D4-4343-9F82-6CB8A3F9FD36}"/>
                </c:ext>
              </c:extLst>
            </c:dLbl>
            <c:dLbl>
              <c:idx val="10"/>
              <c:tx>
                <c:rich>
                  <a:bodyPr/>
                  <a:lstStyle/>
                  <a:p>
                    <a:fld id="{C36D8D22-2921-44A6-A07D-87C0AAC63BC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39D4-4343-9F82-6CB8A3F9FD36}"/>
                </c:ext>
              </c:extLst>
            </c:dLbl>
            <c:dLbl>
              <c:idx val="11"/>
              <c:tx>
                <c:rich>
                  <a:bodyPr/>
                  <a:lstStyle/>
                  <a:p>
                    <a:fld id="{7BA86A30-AC58-4750-896F-02EC3A626A0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39D4-4343-9F82-6CB8A3F9FD36}"/>
                </c:ext>
              </c:extLst>
            </c:dLbl>
            <c:dLbl>
              <c:idx val="12"/>
              <c:tx>
                <c:rich>
                  <a:bodyPr/>
                  <a:lstStyle/>
                  <a:p>
                    <a:fld id="{38E043A9-F50F-4194-938F-D10B5976D4B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9D4-4343-9F82-6CB8A3F9FD36}"/>
                </c:ext>
              </c:extLst>
            </c:dLbl>
            <c:dLbl>
              <c:idx val="13"/>
              <c:tx>
                <c:rich>
                  <a:bodyPr/>
                  <a:lstStyle/>
                  <a:p>
                    <a:fld id="{9B967DF1-551A-4B5E-9D90-93AE991538F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39D4-4343-9F82-6CB8A3F9FD36}"/>
                </c:ext>
              </c:extLst>
            </c:dLbl>
            <c:dLbl>
              <c:idx val="14"/>
              <c:tx>
                <c:rich>
                  <a:bodyPr/>
                  <a:lstStyle/>
                  <a:p>
                    <a:fld id="{500E06CA-5571-40C2-B528-AAA156E1C55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39D4-4343-9F82-6CB8A3F9FD36}"/>
                </c:ext>
              </c:extLst>
            </c:dLbl>
            <c:dLbl>
              <c:idx val="15"/>
              <c:tx>
                <c:rich>
                  <a:bodyPr/>
                  <a:lstStyle/>
                  <a:p>
                    <a:fld id="{141391E0-2DB4-481D-A4F5-A1CCD37F398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9D4-4343-9F82-6CB8A3F9FD36}"/>
                </c:ext>
              </c:extLst>
            </c:dLbl>
            <c:dLbl>
              <c:idx val="16"/>
              <c:tx>
                <c:rich>
                  <a:bodyPr/>
                  <a:lstStyle/>
                  <a:p>
                    <a:fld id="{C9FBB00C-903C-4CBA-AE9A-7F131A37ADC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39D4-4343-9F82-6CB8A3F9FD36}"/>
                </c:ext>
              </c:extLst>
            </c:dLbl>
            <c:dLbl>
              <c:idx val="17"/>
              <c:tx>
                <c:rich>
                  <a:bodyPr/>
                  <a:lstStyle/>
                  <a:p>
                    <a:fld id="{7C89D96B-7354-4EB6-AC75-A50DB46397A1}"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39D4-4343-9F82-6CB8A3F9FD36}"/>
                </c:ext>
              </c:extLst>
            </c:dLbl>
            <c:dLbl>
              <c:idx val="18"/>
              <c:tx>
                <c:rich>
                  <a:bodyPr/>
                  <a:lstStyle/>
                  <a:p>
                    <a:fld id="{DA258AA5-6ADA-4D79-A0F5-E6D72FD1C9B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9D4-4343-9F82-6CB8A3F9FD36}"/>
                </c:ext>
              </c:extLst>
            </c:dLbl>
            <c:dLbl>
              <c:idx val="19"/>
              <c:tx>
                <c:rich>
                  <a:bodyPr/>
                  <a:lstStyle/>
                  <a:p>
                    <a:fld id="{51BA3BD5-058C-4180-B813-1540C35F3D46}"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39D4-4343-9F82-6CB8A3F9FD36}"/>
                </c:ext>
              </c:extLst>
            </c:dLbl>
            <c:dLbl>
              <c:idx val="20"/>
              <c:tx>
                <c:rich>
                  <a:bodyPr/>
                  <a:lstStyle/>
                  <a:p>
                    <a:fld id="{5674D88F-0753-4DFB-8722-7E42FCCFFE2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39D4-4343-9F82-6CB8A3F9FD36}"/>
                </c:ext>
              </c:extLst>
            </c:dLbl>
            <c:dLbl>
              <c:idx val="21"/>
              <c:tx>
                <c:rich>
                  <a:bodyPr/>
                  <a:lstStyle/>
                  <a:p>
                    <a:fld id="{DFC28541-DB72-4450-9182-6B9CA8F53C1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9D4-4343-9F82-6CB8A3F9FD36}"/>
                </c:ext>
              </c:extLst>
            </c:dLbl>
            <c:dLbl>
              <c:idx val="22"/>
              <c:tx>
                <c:rich>
                  <a:bodyPr/>
                  <a:lstStyle/>
                  <a:p>
                    <a:fld id="{7E75CB8D-21C8-43FC-B140-A4DA93864A7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39D4-4343-9F82-6CB8A3F9FD36}"/>
                </c:ext>
              </c:extLst>
            </c:dLbl>
            <c:dLbl>
              <c:idx val="23"/>
              <c:tx>
                <c:rich>
                  <a:bodyPr/>
                  <a:lstStyle/>
                  <a:p>
                    <a:fld id="{82547BAB-A67E-447F-BD34-C13D4ADA554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39D4-4343-9F82-6CB8A3F9FD36}"/>
                </c:ext>
              </c:extLst>
            </c:dLbl>
            <c:dLbl>
              <c:idx val="24"/>
              <c:tx>
                <c:rich>
                  <a:bodyPr/>
                  <a:lstStyle/>
                  <a:p>
                    <a:fld id="{33D792C7-513B-4C51-A9BD-067E312FDB1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9D4-4343-9F82-6CB8A3F9FD36}"/>
                </c:ext>
              </c:extLst>
            </c:dLbl>
            <c:dLbl>
              <c:idx val="25"/>
              <c:tx>
                <c:rich>
                  <a:bodyPr/>
                  <a:lstStyle/>
                  <a:p>
                    <a:fld id="{DEEECD13-BFD8-4C39-8874-FB3B352EE10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39D4-4343-9F82-6CB8A3F9FD36}"/>
                </c:ext>
              </c:extLst>
            </c:dLbl>
            <c:dLbl>
              <c:idx val="26"/>
              <c:tx>
                <c:rich>
                  <a:bodyPr/>
                  <a:lstStyle/>
                  <a:p>
                    <a:fld id="{4FF9EA58-275F-47A7-858D-1B3306605FD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39D4-4343-9F82-6CB8A3F9FD36}"/>
                </c:ext>
              </c:extLst>
            </c:dLbl>
            <c:dLbl>
              <c:idx val="27"/>
              <c:tx>
                <c:rich>
                  <a:bodyPr/>
                  <a:lstStyle/>
                  <a:p>
                    <a:fld id="{A157A3B3-C4BE-4848-9319-5A0D6C576C2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39D4-4343-9F82-6CB8A3F9FD36}"/>
                </c:ext>
              </c:extLst>
            </c:dLbl>
            <c:dLbl>
              <c:idx val="28"/>
              <c:tx>
                <c:rich>
                  <a:bodyPr/>
                  <a:lstStyle/>
                  <a:p>
                    <a:fld id="{B403DD4B-ADB4-4B79-90E7-248FB144B2F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39D4-4343-9F82-6CB8A3F9FD36}"/>
                </c:ext>
              </c:extLst>
            </c:dLbl>
            <c:dLbl>
              <c:idx val="29"/>
              <c:tx>
                <c:rich>
                  <a:bodyPr/>
                  <a:lstStyle/>
                  <a:p>
                    <a:fld id="{F5DFAE90-D176-46A1-AD82-755455B1AA2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39D4-4343-9F82-6CB8A3F9FD36}"/>
                </c:ext>
              </c:extLst>
            </c:dLbl>
            <c:dLbl>
              <c:idx val="30"/>
              <c:tx>
                <c:rich>
                  <a:bodyPr/>
                  <a:lstStyle/>
                  <a:p>
                    <a:fld id="{538AFA6B-66CD-4793-904D-EE893455DFA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39D4-4343-9F82-6CB8A3F9FD36}"/>
                </c:ext>
              </c:extLst>
            </c:dLbl>
            <c:dLbl>
              <c:idx val="31"/>
              <c:tx>
                <c:rich>
                  <a:bodyPr/>
                  <a:lstStyle/>
                  <a:p>
                    <a:fld id="{FC8A1D33-01A3-4F6E-A8B7-D49113987E5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39D4-4343-9F82-6CB8A3F9FD36}"/>
                </c:ext>
              </c:extLst>
            </c:dLbl>
            <c:dLbl>
              <c:idx val="32"/>
              <c:tx>
                <c:rich>
                  <a:bodyPr/>
                  <a:lstStyle/>
                  <a:p>
                    <a:fld id="{1AC95EC9-BCE4-43A9-A969-A243FABB916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39D4-4343-9F82-6CB8A3F9FD36}"/>
                </c:ext>
              </c:extLst>
            </c:dLbl>
            <c:dLbl>
              <c:idx val="33"/>
              <c:tx>
                <c:rich>
                  <a:bodyPr/>
                  <a:lstStyle/>
                  <a:p>
                    <a:fld id="{96C9E89F-A4CE-436A-97D3-CA68538DAAA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39D4-4343-9F82-6CB8A3F9FD36}"/>
                </c:ext>
              </c:extLst>
            </c:dLbl>
            <c:dLbl>
              <c:idx val="34"/>
              <c:tx>
                <c:rich>
                  <a:bodyPr/>
                  <a:lstStyle/>
                  <a:p>
                    <a:fld id="{A8DE12B6-6742-47DB-B213-F0518A02208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39D4-4343-9F82-6CB8A3F9FD36}"/>
                </c:ext>
              </c:extLst>
            </c:dLbl>
            <c:dLbl>
              <c:idx val="35"/>
              <c:tx>
                <c:rich>
                  <a:bodyPr/>
                  <a:lstStyle/>
                  <a:p>
                    <a:fld id="{0EA3519C-A185-4030-8A11-F7C8DCEF2D4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39D4-4343-9F82-6CB8A3F9FD36}"/>
                </c:ext>
              </c:extLst>
            </c:dLbl>
            <c:dLbl>
              <c:idx val="36"/>
              <c:tx>
                <c:rich>
                  <a:bodyPr/>
                  <a:lstStyle/>
                  <a:p>
                    <a:fld id="{43F69FD0-8D8B-4886-9371-A9EDCF340F1C}"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39D4-4343-9F82-6CB8A3F9FD36}"/>
                </c:ext>
              </c:extLst>
            </c:dLbl>
            <c:dLbl>
              <c:idx val="37"/>
              <c:tx>
                <c:rich>
                  <a:bodyPr/>
                  <a:lstStyle/>
                  <a:p>
                    <a:fld id="{63D83A3B-E946-416D-BC14-07FCE9BBA8A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39D4-4343-9F82-6CB8A3F9FD36}"/>
                </c:ext>
              </c:extLst>
            </c:dLbl>
            <c:dLbl>
              <c:idx val="38"/>
              <c:tx>
                <c:rich>
                  <a:bodyPr/>
                  <a:lstStyle/>
                  <a:p>
                    <a:fld id="{2756363F-303B-4AC3-84BA-62758152E3F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39D4-4343-9F82-6CB8A3F9FD36}"/>
                </c:ext>
              </c:extLst>
            </c:dLbl>
            <c:dLbl>
              <c:idx val="39"/>
              <c:tx>
                <c:rich>
                  <a:bodyPr/>
                  <a:lstStyle/>
                  <a:p>
                    <a:fld id="{DB8DD938-1776-4EA6-A419-5A9A2BABC5E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39D4-4343-9F82-6CB8A3F9FD36}"/>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graf'!$BL$56:$BL$95</c:f>
              <c:numCache>
                <c:formatCode>General</c:formatCode>
                <c:ptCount val="40"/>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pt idx="27">
                  <c:v>40</c:v>
                </c:pt>
                <c:pt idx="28">
                  <c:v>40</c:v>
                </c:pt>
                <c:pt idx="29">
                  <c:v>40</c:v>
                </c:pt>
                <c:pt idx="30">
                  <c:v>40</c:v>
                </c:pt>
                <c:pt idx="31">
                  <c:v>40</c:v>
                </c:pt>
                <c:pt idx="32">
                  <c:v>40</c:v>
                </c:pt>
                <c:pt idx="33">
                  <c:v>40</c:v>
                </c:pt>
                <c:pt idx="34">
                  <c:v>40</c:v>
                </c:pt>
                <c:pt idx="35">
                  <c:v>40</c:v>
                </c:pt>
                <c:pt idx="36">
                  <c:v>40</c:v>
                </c:pt>
                <c:pt idx="37">
                  <c:v>40</c:v>
                </c:pt>
                <c:pt idx="38">
                  <c:v>40</c:v>
                </c:pt>
                <c:pt idx="39">
                  <c:v>40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39D4-4343-9F82-6CB8A3F9FD36}"/>
            </c:ext>
          </c:extLst>
        </c:ser>
        <c:ser>
          <c:idx val="0"/>
          <c:order val="2"/>
          <c:tx>
            <c:strRef>
              <c:f>'Prerađivačka_FS graf'!$BM$7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graf'!$BM$56:$BM$95</c:f>
              <c:numCache>
                <c:formatCode>0.0</c:formatCode>
                <c:ptCount val="40"/>
                <c:pt idx="0">
                  <c:v>54.037267080745345</c:v>
                </c:pt>
                <c:pt idx="1">
                  <c:v>81.469979296066271</c:v>
                </c:pt>
                <c:pt idx="2">
                  <c:v>109.73084886128366</c:v>
                </c:pt>
                <c:pt idx="3">
                  <c:v>115.63146997929607</c:v>
                </c:pt>
                <c:pt idx="4">
                  <c:v>123.49896480331265</c:v>
                </c:pt>
                <c:pt idx="5">
                  <c:v>115.94202898550725</c:v>
                </c:pt>
                <c:pt idx="6">
                  <c:v>112.42236024844721</c:v>
                </c:pt>
                <c:pt idx="7">
                  <c:v>106.5217391304348</c:v>
                </c:pt>
                <c:pt idx="8">
                  <c:v>110.45548654244308</c:v>
                </c:pt>
                <c:pt idx="9">
                  <c:v>121.42857142857144</c:v>
                </c:pt>
                <c:pt idx="10">
                  <c:v>108.17805383022775</c:v>
                </c:pt>
                <c:pt idx="11">
                  <c:v>92.546583850931682</c:v>
                </c:pt>
                <c:pt idx="12">
                  <c:v>59.730848861283647</c:v>
                </c:pt>
                <c:pt idx="13">
                  <c:v>69.25465838509318</c:v>
                </c:pt>
                <c:pt idx="14">
                  <c:v>103.51966873706004</c:v>
                </c:pt>
                <c:pt idx="15">
                  <c:v>100.41407867494824</c:v>
                </c:pt>
                <c:pt idx="16">
                  <c:v>108.17805383022775</c:v>
                </c:pt>
                <c:pt idx="17">
                  <c:v>104.45134575569359</c:v>
                </c:pt>
                <c:pt idx="18">
                  <c:v>100.31055900621119</c:v>
                </c:pt>
                <c:pt idx="19">
                  <c:v>125.36231884057972</c:v>
                </c:pt>
                <c:pt idx="20">
                  <c:v>114.38923395445136</c:v>
                </c:pt>
                <c:pt idx="21">
                  <c:v>117.9089026915114</c:v>
                </c:pt>
                <c:pt idx="22">
                  <c:v>104.03726708074534</c:v>
                </c:pt>
                <c:pt idx="23">
                  <c:v>96.997929606625263</c:v>
                </c:pt>
                <c:pt idx="24">
                  <c:v>54.658385093167702</c:v>
                </c:pt>
                <c:pt idx="25">
                  <c:v>80.848861283643885</c:v>
                </c:pt>
                <c:pt idx="26">
                  <c:v>105.17598343685299</c:v>
                </c:pt>
                <c:pt idx="27">
                  <c:v>112.83643892339545</c:v>
                </c:pt>
                <c:pt idx="28">
                  <c:v>106.5217391304348</c:v>
                </c:pt>
                <c:pt idx="29">
                  <c:v>103.62318840579709</c:v>
                </c:pt>
                <c:pt idx="30">
                  <c:v>104.34782608695652</c:v>
                </c:pt>
                <c:pt idx="31">
                  <c:v>107.24637681159422</c:v>
                </c:pt>
                <c:pt idx="32">
                  <c:v>106.41821946169772</c:v>
                </c:pt>
                <c:pt idx="33">
                  <c:v>122.67080745341616</c:v>
                </c:pt>
                <c:pt idx="34">
                  <c:v>102.48447204968944</c:v>
                </c:pt>
                <c:pt idx="35">
                  <c:v>93.581780538302283</c:v>
                </c:pt>
                <c:pt idx="36">
                  <c:v>57.7</c:v>
                </c:pt>
                <c:pt idx="37">
                  <c:v>80.7</c:v>
                </c:pt>
                <c:pt idx="38">
                  <c:v>105.7</c:v>
                </c:pt>
                <c:pt idx="39">
                  <c:v>97.7</c:v>
                </c:pt>
              </c:numCache>
            </c:numRef>
          </c:val>
          <c:smooth val="0"/>
          <c:extLst>
            <c:ext xmlns:c16="http://schemas.microsoft.com/office/drawing/2014/chart" uri="{C3380CC4-5D6E-409C-BE32-E72D297353CC}">
              <c16:uniqueId val="{0000002D-39D4-4343-9F82-6CB8A3F9FD36}"/>
            </c:ext>
          </c:extLst>
        </c:ser>
        <c:ser>
          <c:idx val="1"/>
          <c:order val="3"/>
          <c:tx>
            <c:strRef>
              <c:f>'Prerađivačka_FS graf'!$BN$7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graf'!$BN$56:$BN$95</c:f>
              <c:numCache>
                <c:formatCode>0.0</c:formatCode>
                <c:ptCount val="40"/>
                <c:pt idx="0">
                  <c:v>101.8274395100814</c:v>
                </c:pt>
                <c:pt idx="1">
                  <c:v>107.80327285487878</c:v>
                </c:pt>
                <c:pt idx="2">
                  <c:v>105.00098887579028</c:v>
                </c:pt>
                <c:pt idx="3">
                  <c:v>108.29906428336794</c:v>
                </c:pt>
                <c:pt idx="4">
                  <c:v>112.25394500106788</c:v>
                </c:pt>
                <c:pt idx="5">
                  <c:v>107.94605360485888</c:v>
                </c:pt>
                <c:pt idx="6">
                  <c:v>104.48538139017133</c:v>
                </c:pt>
                <c:pt idx="7">
                  <c:v>95.234488319092691</c:v>
                </c:pt>
                <c:pt idx="8">
                  <c:v>98.769205683131872</c:v>
                </c:pt>
                <c:pt idx="9">
                  <c:v>105.3278448409892</c:v>
                </c:pt>
                <c:pt idx="10">
                  <c:v>103.93961052770651</c:v>
                </c:pt>
                <c:pt idx="11">
                  <c:v>100.79074274365608</c:v>
                </c:pt>
                <c:pt idx="12">
                  <c:v>105.62103413293914</c:v>
                </c:pt>
                <c:pt idx="13">
                  <c:v>94.304856809001748</c:v>
                </c:pt>
                <c:pt idx="14">
                  <c:v>98.266115013991211</c:v>
                </c:pt>
                <c:pt idx="15">
                  <c:v>93.976573221002681</c:v>
                </c:pt>
                <c:pt idx="16">
                  <c:v>97.595755021586541</c:v>
                </c:pt>
                <c:pt idx="17">
                  <c:v>97.086179712957701</c:v>
                </c:pt>
                <c:pt idx="18">
                  <c:v>93.830693051562292</c:v>
                </c:pt>
                <c:pt idx="19">
                  <c:v>114.71026403570451</c:v>
                </c:pt>
                <c:pt idx="20">
                  <c:v>104.69527496410507</c:v>
                </c:pt>
                <c:pt idx="21">
                  <c:v>100.09166071191066</c:v>
                </c:pt>
                <c:pt idx="22">
                  <c:v>99.191259611270681</c:v>
                </c:pt>
                <c:pt idx="23">
                  <c:v>105.14247955342265</c:v>
                </c:pt>
                <c:pt idx="24">
                  <c:v>99.892893630672077</c:v>
                </c:pt>
                <c:pt idx="25">
                  <c:v>103.75017589553778</c:v>
                </c:pt>
                <c:pt idx="26">
                  <c:v>100.94956182224628</c:v>
                </c:pt>
                <c:pt idx="27">
                  <c:v>103.18409376988146</c:v>
                </c:pt>
                <c:pt idx="28">
                  <c:v>98.214228073999067</c:v>
                </c:pt>
                <c:pt idx="29">
                  <c:v>98.597444204214085</c:v>
                </c:pt>
                <c:pt idx="30">
                  <c:v>97.123802845606079</c:v>
                </c:pt>
                <c:pt idx="31">
                  <c:v>97.691478058390729</c:v>
                </c:pt>
                <c:pt idx="32">
                  <c:v>97.248983249606496</c:v>
                </c:pt>
                <c:pt idx="33">
                  <c:v>103.25580560682261</c:v>
                </c:pt>
                <c:pt idx="34">
                  <c:v>99.817519172802648</c:v>
                </c:pt>
                <c:pt idx="35">
                  <c:v>100.3723198960883</c:v>
                </c:pt>
                <c:pt idx="36">
                  <c:v>103.14393434359069</c:v>
                </c:pt>
                <c:pt idx="37">
                  <c:v>102.2152541751651</c:v>
                </c:pt>
                <c:pt idx="38">
                  <c:v>101.09257380839276</c:v>
                </c:pt>
                <c:pt idx="39">
                  <c:v>90.122817961247179</c:v>
                </c:pt>
              </c:numCache>
            </c:numRef>
          </c:val>
          <c:smooth val="0"/>
          <c:extLst>
            <c:ext xmlns:c16="http://schemas.microsoft.com/office/drawing/2014/chart" uri="{C3380CC4-5D6E-409C-BE32-E72D297353CC}">
              <c16:uniqueId val="{0000002E-39D4-4343-9F82-6CB8A3F9FD36}"/>
            </c:ext>
          </c:extLst>
        </c:ser>
        <c:ser>
          <c:idx val="2"/>
          <c:order val="4"/>
          <c:tx>
            <c:strRef>
              <c:f>'Prerađivačka_FS graf'!$BO$7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graf'!$BO$56:$BO$95</c:f>
              <c:numCache>
                <c:formatCode>0.0</c:formatCode>
                <c:ptCount val="40"/>
                <c:pt idx="0">
                  <c:v>103.88910674103133</c:v>
                </c:pt>
                <c:pt idx="1">
                  <c:v>105.58300815680431</c:v>
                </c:pt>
                <c:pt idx="2">
                  <c:v>107.18993443352537</c:v>
                </c:pt>
                <c:pt idx="3">
                  <c:v>108.17479495813491</c:v>
                </c:pt>
                <c:pt idx="4">
                  <c:v>108.13002398839305</c:v>
                </c:pt>
                <c:pt idx="5">
                  <c:v>107.25159875994589</c:v>
                </c:pt>
                <c:pt idx="6">
                  <c:v>105.79833562645814</c:v>
                </c:pt>
                <c:pt idx="7">
                  <c:v>104.44452240713457</c:v>
                </c:pt>
                <c:pt idx="8">
                  <c:v>103.40464802230983</c:v>
                </c:pt>
                <c:pt idx="9">
                  <c:v>102.65127869928097</c:v>
                </c:pt>
                <c:pt idx="10">
                  <c:v>101.96081467436515</c:v>
                </c:pt>
                <c:pt idx="11">
                  <c:v>100.95541341826633</c:v>
                </c:pt>
                <c:pt idx="12">
                  <c:v>99.457607462664612</c:v>
                </c:pt>
                <c:pt idx="13">
                  <c:v>97.816738490344193</c:v>
                </c:pt>
                <c:pt idx="14">
                  <c:v>96.539074768423376</c:v>
                </c:pt>
                <c:pt idx="15">
                  <c:v>96.200364499245794</c:v>
                </c:pt>
                <c:pt idx="16">
                  <c:v>97.012857793424459</c:v>
                </c:pt>
                <c:pt idx="17">
                  <c:v>98.36416314201945</c:v>
                </c:pt>
                <c:pt idx="18">
                  <c:v>99.852093866749556</c:v>
                </c:pt>
                <c:pt idx="19">
                  <c:v>101.03295635645284</c:v>
                </c:pt>
                <c:pt idx="20">
                  <c:v>101.72321983827851</c:v>
                </c:pt>
                <c:pt idx="21">
                  <c:v>101.99882225015135</c:v>
                </c:pt>
                <c:pt idx="22">
                  <c:v>102.03380292140075</c:v>
                </c:pt>
                <c:pt idx="23">
                  <c:v>102.08677835789813</c:v>
                </c:pt>
                <c:pt idx="24">
                  <c:v>102.14894162312292</c:v>
                </c:pt>
                <c:pt idx="25">
                  <c:v>102.09911903634362</c:v>
                </c:pt>
                <c:pt idx="26">
                  <c:v>101.70437327645337</c:v>
                </c:pt>
                <c:pt idx="27">
                  <c:v>100.77010451089296</c:v>
                </c:pt>
                <c:pt idx="28">
                  <c:v>99.548847978301112</c:v>
                </c:pt>
                <c:pt idx="29">
                  <c:v>98.576474350015744</c:v>
                </c:pt>
                <c:pt idx="30">
                  <c:v>98.093732640928962</c:v>
                </c:pt>
                <c:pt idx="31">
                  <c:v>98.154397698821398</c:v>
                </c:pt>
                <c:pt idx="32">
                  <c:v>98.834487094834245</c:v>
                </c:pt>
                <c:pt idx="33">
                  <c:v>99.859629719593187</c:v>
                </c:pt>
                <c:pt idx="34">
                  <c:v>100.94326932091344</c:v>
                </c:pt>
                <c:pt idx="35">
                  <c:v>101.65059815156292</c:v>
                </c:pt>
                <c:pt idx="36">
                  <c:v>101.84009416293453</c:v>
                </c:pt>
                <c:pt idx="37">
                  <c:v>101.40198916745915</c:v>
                </c:pt>
                <c:pt idx="38">
                  <c:v>100.51212848840095</c:v>
                </c:pt>
                <c:pt idx="39">
                  <c:v>99.460497147201337</c:v>
                </c:pt>
              </c:numCache>
            </c:numRef>
          </c:val>
          <c:smooth val="0"/>
          <c:extLst>
            <c:ext xmlns:c16="http://schemas.microsoft.com/office/drawing/2014/chart" uri="{C3380CC4-5D6E-409C-BE32-E72D297353CC}">
              <c16:uniqueId val="{0000002F-39D4-4343-9F82-6CB8A3F9FD36}"/>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graf'!$BA$7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7.078404730482976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8E9-4488-AD4A-040059A6A78C}"/>
                </c:ext>
              </c:extLst>
            </c:dLbl>
            <c:dLbl>
              <c:idx val="12"/>
              <c:layout>
                <c:manualLayout>
                  <c:x val="7.201803482695425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E9-4488-AD4A-040059A6A78C}"/>
                </c:ext>
              </c:extLst>
            </c:dLbl>
            <c:dLbl>
              <c:idx val="24"/>
              <c:layout>
                <c:manualLayout>
                  <c:x val="7.0513408046216447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8E9-4488-AD4A-040059A6A78C}"/>
                </c:ext>
              </c:extLst>
            </c:dLbl>
            <c:dLbl>
              <c:idx val="36"/>
              <c:layout>
                <c:manualLayout>
                  <c:x val="-4.0158174672610368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61-4217-A175-A39D58FC41E1}"/>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graf'!$BA$56:$BA$95</c:f>
              <c:numCache>
                <c:formatCode>General</c:formatCode>
                <c:ptCount val="40"/>
                <c:pt idx="0">
                  <c:v>70</c:v>
                </c:pt>
                <c:pt idx="12">
                  <c:v>70</c:v>
                </c:pt>
                <c:pt idx="24">
                  <c:v>70</c:v>
                </c:pt>
                <c:pt idx="36">
                  <c:v>70</c:v>
                </c:pt>
              </c:numCache>
            </c:numRef>
          </c:val>
          <c:smooth val="0"/>
          <c:extLst>
            <c:ext xmlns:c16="http://schemas.microsoft.com/office/drawing/2014/chart" uri="{C3380CC4-5D6E-409C-BE32-E72D297353CC}">
              <c16:uniqueId val="{00000003-28E9-4488-AD4A-040059A6A78C}"/>
            </c:ext>
          </c:extLst>
        </c:ser>
        <c:ser>
          <c:idx val="4"/>
          <c:order val="1"/>
          <c:tx>
            <c:strRef>
              <c:f>'Prerađivačka_FS graf'!$BB$7</c:f>
              <c:strCache>
                <c:ptCount val="1"/>
                <c:pt idx="0">
                  <c:v>Series5</c:v>
                </c:pt>
              </c:strCache>
            </c:strRef>
          </c:tx>
          <c:spPr>
            <a:ln w="25400" cap="rnd">
              <a:noFill/>
              <a:round/>
            </a:ln>
            <a:effectLst/>
          </c:spPr>
          <c:marker>
            <c:symbol val="none"/>
          </c:marker>
          <c:dLbls>
            <c:dLbl>
              <c:idx val="0"/>
              <c:tx>
                <c:rich>
                  <a:bodyPr/>
                  <a:lstStyle/>
                  <a:p>
                    <a:fld id="{669CF2FC-983C-4A71-89A3-C5930B02D1D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28E9-4488-AD4A-040059A6A78C}"/>
                </c:ext>
              </c:extLst>
            </c:dLbl>
            <c:dLbl>
              <c:idx val="1"/>
              <c:tx>
                <c:rich>
                  <a:bodyPr/>
                  <a:lstStyle/>
                  <a:p>
                    <a:fld id="{555CF6ED-6B8D-41EA-8CF4-508FA82745D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28E9-4488-AD4A-040059A6A78C}"/>
                </c:ext>
              </c:extLst>
            </c:dLbl>
            <c:dLbl>
              <c:idx val="2"/>
              <c:tx>
                <c:rich>
                  <a:bodyPr/>
                  <a:lstStyle/>
                  <a:p>
                    <a:fld id="{D9CF6D9B-5A96-4CB3-BEC1-9DCCDFE75C8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28E9-4488-AD4A-040059A6A78C}"/>
                </c:ext>
              </c:extLst>
            </c:dLbl>
            <c:dLbl>
              <c:idx val="3"/>
              <c:tx>
                <c:rich>
                  <a:bodyPr/>
                  <a:lstStyle/>
                  <a:p>
                    <a:fld id="{C16FB47F-F834-44CF-A047-19C59B265D23}"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28E9-4488-AD4A-040059A6A78C}"/>
                </c:ext>
              </c:extLst>
            </c:dLbl>
            <c:dLbl>
              <c:idx val="4"/>
              <c:tx>
                <c:rich>
                  <a:bodyPr/>
                  <a:lstStyle/>
                  <a:p>
                    <a:fld id="{12874D31-7969-43A1-8AE0-D045A4F85EB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28E9-4488-AD4A-040059A6A78C}"/>
                </c:ext>
              </c:extLst>
            </c:dLbl>
            <c:dLbl>
              <c:idx val="5"/>
              <c:tx>
                <c:rich>
                  <a:bodyPr/>
                  <a:lstStyle/>
                  <a:p>
                    <a:fld id="{027968EB-0CF5-42F9-9122-FAFE3C179FB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28E9-4488-AD4A-040059A6A78C}"/>
                </c:ext>
              </c:extLst>
            </c:dLbl>
            <c:dLbl>
              <c:idx val="6"/>
              <c:tx>
                <c:rich>
                  <a:bodyPr/>
                  <a:lstStyle/>
                  <a:p>
                    <a:fld id="{1DC57C54-25EC-4563-8CE1-5FC187E0A4F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28E9-4488-AD4A-040059A6A78C}"/>
                </c:ext>
              </c:extLst>
            </c:dLbl>
            <c:dLbl>
              <c:idx val="7"/>
              <c:tx>
                <c:rich>
                  <a:bodyPr/>
                  <a:lstStyle/>
                  <a:p>
                    <a:fld id="{222EA898-F3CE-4113-BB58-2F36F2E09F3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28E9-4488-AD4A-040059A6A78C}"/>
                </c:ext>
              </c:extLst>
            </c:dLbl>
            <c:dLbl>
              <c:idx val="8"/>
              <c:tx>
                <c:rich>
                  <a:bodyPr/>
                  <a:lstStyle/>
                  <a:p>
                    <a:fld id="{CCD009CE-E8EE-4DBF-82ED-554E36BE732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28E9-4488-AD4A-040059A6A78C}"/>
                </c:ext>
              </c:extLst>
            </c:dLbl>
            <c:dLbl>
              <c:idx val="9"/>
              <c:tx>
                <c:rich>
                  <a:bodyPr/>
                  <a:lstStyle/>
                  <a:p>
                    <a:fld id="{9BD8ADDA-FBF7-4B6A-8C14-1C6FEB95B21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28E9-4488-AD4A-040059A6A78C}"/>
                </c:ext>
              </c:extLst>
            </c:dLbl>
            <c:dLbl>
              <c:idx val="10"/>
              <c:tx>
                <c:rich>
                  <a:bodyPr/>
                  <a:lstStyle/>
                  <a:p>
                    <a:fld id="{0DA22C1A-0AAC-4927-8AF7-21ACCAB275C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28E9-4488-AD4A-040059A6A78C}"/>
                </c:ext>
              </c:extLst>
            </c:dLbl>
            <c:dLbl>
              <c:idx val="11"/>
              <c:tx>
                <c:rich>
                  <a:bodyPr/>
                  <a:lstStyle/>
                  <a:p>
                    <a:fld id="{75199AE8-3845-4556-A4FA-49EFD8018DA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28E9-4488-AD4A-040059A6A78C}"/>
                </c:ext>
              </c:extLst>
            </c:dLbl>
            <c:dLbl>
              <c:idx val="12"/>
              <c:tx>
                <c:rich>
                  <a:bodyPr/>
                  <a:lstStyle/>
                  <a:p>
                    <a:fld id="{85A48E21-F444-4306-A07F-B158195E78B5}"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28E9-4488-AD4A-040059A6A78C}"/>
                </c:ext>
              </c:extLst>
            </c:dLbl>
            <c:dLbl>
              <c:idx val="13"/>
              <c:tx>
                <c:rich>
                  <a:bodyPr/>
                  <a:lstStyle/>
                  <a:p>
                    <a:fld id="{54E66C8A-30F3-4954-89EF-EB464019431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28E9-4488-AD4A-040059A6A78C}"/>
                </c:ext>
              </c:extLst>
            </c:dLbl>
            <c:dLbl>
              <c:idx val="14"/>
              <c:tx>
                <c:rich>
                  <a:bodyPr/>
                  <a:lstStyle/>
                  <a:p>
                    <a:fld id="{10A0267C-AA31-4706-BC08-3F42E863778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28E9-4488-AD4A-040059A6A78C}"/>
                </c:ext>
              </c:extLst>
            </c:dLbl>
            <c:dLbl>
              <c:idx val="15"/>
              <c:tx>
                <c:rich>
                  <a:bodyPr/>
                  <a:lstStyle/>
                  <a:p>
                    <a:fld id="{5035C05A-DC91-46AD-8598-C6F7F16FEDB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28E9-4488-AD4A-040059A6A78C}"/>
                </c:ext>
              </c:extLst>
            </c:dLbl>
            <c:dLbl>
              <c:idx val="16"/>
              <c:tx>
                <c:rich>
                  <a:bodyPr/>
                  <a:lstStyle/>
                  <a:p>
                    <a:fld id="{3641A19D-B957-4856-A1BC-55D93F1D2CCD}"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28E9-4488-AD4A-040059A6A78C}"/>
                </c:ext>
              </c:extLst>
            </c:dLbl>
            <c:dLbl>
              <c:idx val="17"/>
              <c:tx>
                <c:rich>
                  <a:bodyPr/>
                  <a:lstStyle/>
                  <a:p>
                    <a:fld id="{39966120-1D39-4184-BB66-23C588A67A9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28E9-4488-AD4A-040059A6A78C}"/>
                </c:ext>
              </c:extLst>
            </c:dLbl>
            <c:dLbl>
              <c:idx val="18"/>
              <c:tx>
                <c:rich>
                  <a:bodyPr/>
                  <a:lstStyle/>
                  <a:p>
                    <a:fld id="{5A354C57-D386-4F26-87E1-45D147AE176E}"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28E9-4488-AD4A-040059A6A78C}"/>
                </c:ext>
              </c:extLst>
            </c:dLbl>
            <c:dLbl>
              <c:idx val="19"/>
              <c:tx>
                <c:rich>
                  <a:bodyPr/>
                  <a:lstStyle/>
                  <a:p>
                    <a:fld id="{F593ECB2-163A-45CA-B55C-79EDCFBF2C9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28E9-4488-AD4A-040059A6A78C}"/>
                </c:ext>
              </c:extLst>
            </c:dLbl>
            <c:dLbl>
              <c:idx val="20"/>
              <c:tx>
                <c:rich>
                  <a:bodyPr/>
                  <a:lstStyle/>
                  <a:p>
                    <a:fld id="{8A3B3885-EC14-4DEE-B1ED-B63C854D5C0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28E9-4488-AD4A-040059A6A78C}"/>
                </c:ext>
              </c:extLst>
            </c:dLbl>
            <c:dLbl>
              <c:idx val="21"/>
              <c:tx>
                <c:rich>
                  <a:bodyPr/>
                  <a:lstStyle/>
                  <a:p>
                    <a:fld id="{4E798944-AC3A-4057-87BB-B5F4C5E5003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28E9-4488-AD4A-040059A6A78C}"/>
                </c:ext>
              </c:extLst>
            </c:dLbl>
            <c:dLbl>
              <c:idx val="22"/>
              <c:tx>
                <c:rich>
                  <a:bodyPr/>
                  <a:lstStyle/>
                  <a:p>
                    <a:fld id="{60918C6A-C9FE-4FBB-A3C4-1320EC51EB0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28E9-4488-AD4A-040059A6A78C}"/>
                </c:ext>
              </c:extLst>
            </c:dLbl>
            <c:dLbl>
              <c:idx val="23"/>
              <c:tx>
                <c:rich>
                  <a:bodyPr/>
                  <a:lstStyle/>
                  <a:p>
                    <a:fld id="{7D651F15-7D92-4618-B3F5-AA0782E21B6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28E9-4488-AD4A-040059A6A78C}"/>
                </c:ext>
              </c:extLst>
            </c:dLbl>
            <c:dLbl>
              <c:idx val="24"/>
              <c:tx>
                <c:rich>
                  <a:bodyPr/>
                  <a:lstStyle/>
                  <a:p>
                    <a:fld id="{982253F6-FC7E-4F67-B799-707617361E1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28E9-4488-AD4A-040059A6A78C}"/>
                </c:ext>
              </c:extLst>
            </c:dLbl>
            <c:dLbl>
              <c:idx val="25"/>
              <c:tx>
                <c:rich>
                  <a:bodyPr/>
                  <a:lstStyle/>
                  <a:p>
                    <a:fld id="{112F2D0D-4854-4F25-B866-21836814F3D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28E9-4488-AD4A-040059A6A78C}"/>
                </c:ext>
              </c:extLst>
            </c:dLbl>
            <c:dLbl>
              <c:idx val="26"/>
              <c:tx>
                <c:rich>
                  <a:bodyPr/>
                  <a:lstStyle/>
                  <a:p>
                    <a:fld id="{9876C76B-3570-4F32-A361-647ECB40E6E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28E9-4488-AD4A-040059A6A78C}"/>
                </c:ext>
              </c:extLst>
            </c:dLbl>
            <c:dLbl>
              <c:idx val="27"/>
              <c:tx>
                <c:rich>
                  <a:bodyPr/>
                  <a:lstStyle/>
                  <a:p>
                    <a:fld id="{7F37D2CD-D89C-4213-8230-565E94ECFB70}"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28E9-4488-AD4A-040059A6A78C}"/>
                </c:ext>
              </c:extLst>
            </c:dLbl>
            <c:dLbl>
              <c:idx val="28"/>
              <c:tx>
                <c:rich>
                  <a:bodyPr/>
                  <a:lstStyle/>
                  <a:p>
                    <a:fld id="{6B45F7D2-4AAD-4FBF-B041-316A0A27A7A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28E9-4488-AD4A-040059A6A78C}"/>
                </c:ext>
              </c:extLst>
            </c:dLbl>
            <c:dLbl>
              <c:idx val="29"/>
              <c:tx>
                <c:rich>
                  <a:bodyPr/>
                  <a:lstStyle/>
                  <a:p>
                    <a:fld id="{EFA3C3ED-0505-4EDE-BE2B-079010463A3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28E9-4488-AD4A-040059A6A78C}"/>
                </c:ext>
              </c:extLst>
            </c:dLbl>
            <c:dLbl>
              <c:idx val="30"/>
              <c:tx>
                <c:rich>
                  <a:bodyPr/>
                  <a:lstStyle/>
                  <a:p>
                    <a:fld id="{8874F5C7-834D-4E76-A1F0-21A5989A02E6}"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28E9-4488-AD4A-040059A6A78C}"/>
                </c:ext>
              </c:extLst>
            </c:dLbl>
            <c:dLbl>
              <c:idx val="31"/>
              <c:tx>
                <c:rich>
                  <a:bodyPr/>
                  <a:lstStyle/>
                  <a:p>
                    <a:fld id="{72BCBFC5-CD3A-4F51-BBA3-BE47AEC62D4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28E9-4488-AD4A-040059A6A78C}"/>
                </c:ext>
              </c:extLst>
            </c:dLbl>
            <c:dLbl>
              <c:idx val="32"/>
              <c:tx>
                <c:rich>
                  <a:bodyPr/>
                  <a:lstStyle/>
                  <a:p>
                    <a:fld id="{2C42C5FC-D0B1-4424-8A9A-C7F0FA6C534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28E9-4488-AD4A-040059A6A78C}"/>
                </c:ext>
              </c:extLst>
            </c:dLbl>
            <c:dLbl>
              <c:idx val="33"/>
              <c:tx>
                <c:rich>
                  <a:bodyPr/>
                  <a:lstStyle/>
                  <a:p>
                    <a:fld id="{3E3359B0-DFB6-4E6B-8FB5-09847120FCC1}"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28E9-4488-AD4A-040059A6A78C}"/>
                </c:ext>
              </c:extLst>
            </c:dLbl>
            <c:dLbl>
              <c:idx val="34"/>
              <c:tx>
                <c:rich>
                  <a:bodyPr/>
                  <a:lstStyle/>
                  <a:p>
                    <a:fld id="{F1C596FC-1E50-4995-A398-63290D6682D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28E9-4488-AD4A-040059A6A78C}"/>
                </c:ext>
              </c:extLst>
            </c:dLbl>
            <c:dLbl>
              <c:idx val="35"/>
              <c:tx>
                <c:rich>
                  <a:bodyPr/>
                  <a:lstStyle/>
                  <a:p>
                    <a:fld id="{EE6B97FE-5E1A-45D7-A5A7-FE7A0C37A95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28E9-4488-AD4A-040059A6A78C}"/>
                </c:ext>
              </c:extLst>
            </c:dLbl>
            <c:dLbl>
              <c:idx val="36"/>
              <c:tx>
                <c:rich>
                  <a:bodyPr/>
                  <a:lstStyle/>
                  <a:p>
                    <a:fld id="{28A7D770-72FE-408F-B212-EB75E64465B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28E9-4488-AD4A-040059A6A78C}"/>
                </c:ext>
              </c:extLst>
            </c:dLbl>
            <c:dLbl>
              <c:idx val="37"/>
              <c:tx>
                <c:rich>
                  <a:bodyPr/>
                  <a:lstStyle/>
                  <a:p>
                    <a:fld id="{D54E3D18-C0FE-4A5D-8CE8-1B0E3F88098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28E9-4488-AD4A-040059A6A78C}"/>
                </c:ext>
              </c:extLst>
            </c:dLbl>
            <c:dLbl>
              <c:idx val="38"/>
              <c:tx>
                <c:rich>
                  <a:bodyPr/>
                  <a:lstStyle/>
                  <a:p>
                    <a:fld id="{BFBD9D67-5D09-47D8-93B3-0E282F231F7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28E9-4488-AD4A-040059A6A78C}"/>
                </c:ext>
              </c:extLst>
            </c:dLbl>
            <c:dLbl>
              <c:idx val="39"/>
              <c:tx>
                <c:rich>
                  <a:bodyPr/>
                  <a:lstStyle/>
                  <a:p>
                    <a:fld id="{1C1B1D96-5B84-418E-8689-D06BD6620B7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28E9-4488-AD4A-040059A6A78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graf'!$BB$56:$BB$95</c:f>
              <c:numCache>
                <c:formatCode>General</c:formatCode>
                <c:ptCount val="40"/>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pt idx="27">
                  <c:v>70</c:v>
                </c:pt>
                <c:pt idx="28">
                  <c:v>70</c:v>
                </c:pt>
                <c:pt idx="29">
                  <c:v>70</c:v>
                </c:pt>
                <c:pt idx="30">
                  <c:v>70</c:v>
                </c:pt>
                <c:pt idx="31">
                  <c:v>70</c:v>
                </c:pt>
                <c:pt idx="32">
                  <c:v>70</c:v>
                </c:pt>
                <c:pt idx="33">
                  <c:v>70</c:v>
                </c:pt>
                <c:pt idx="34">
                  <c:v>70</c:v>
                </c:pt>
                <c:pt idx="35">
                  <c:v>70</c:v>
                </c:pt>
                <c:pt idx="36">
                  <c:v>70</c:v>
                </c:pt>
                <c:pt idx="37">
                  <c:v>70</c:v>
                </c:pt>
                <c:pt idx="38">
                  <c:v>70</c:v>
                </c:pt>
                <c:pt idx="39">
                  <c:v>70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28E9-4488-AD4A-040059A6A78C}"/>
            </c:ext>
          </c:extLst>
        </c:ser>
        <c:ser>
          <c:idx val="0"/>
          <c:order val="2"/>
          <c:tx>
            <c:strRef>
              <c:f>'Prerađivačka_FS graf'!$BC$7</c:f>
              <c:strCache>
                <c:ptCount val="1"/>
                <c:pt idx="0">
                  <c:v>y</c:v>
                </c:pt>
              </c:strCache>
            </c:strRef>
          </c:tx>
          <c:spPr>
            <a:ln w="12700" cap="rnd">
              <a:solidFill>
                <a:srgbClr val="92278F"/>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graf'!$BC$56:$BC$95</c:f>
              <c:numCache>
                <c:formatCode>0.0</c:formatCode>
                <c:ptCount val="40"/>
                <c:pt idx="0">
                  <c:v>73.027522935779814</c:v>
                </c:pt>
                <c:pt idx="1">
                  <c:v>87.064220183486242</c:v>
                </c:pt>
                <c:pt idx="2">
                  <c:v>103.6697247706422</c:v>
                </c:pt>
                <c:pt idx="3">
                  <c:v>92.201834862385326</c:v>
                </c:pt>
                <c:pt idx="4">
                  <c:v>96.605504587155963</c:v>
                </c:pt>
                <c:pt idx="5">
                  <c:v>101.46788990825688</c:v>
                </c:pt>
                <c:pt idx="6">
                  <c:v>90.183486238532112</c:v>
                </c:pt>
                <c:pt idx="7">
                  <c:v>85.22935779816514</c:v>
                </c:pt>
                <c:pt idx="8">
                  <c:v>99.174311926605498</c:v>
                </c:pt>
                <c:pt idx="9">
                  <c:v>106.14678899082568</c:v>
                </c:pt>
                <c:pt idx="10">
                  <c:v>101.74311926605506</c:v>
                </c:pt>
                <c:pt idx="11">
                  <c:v>86.972477064220172</c:v>
                </c:pt>
                <c:pt idx="12">
                  <c:v>79.541284403669735</c:v>
                </c:pt>
                <c:pt idx="13">
                  <c:v>91.009174311926614</c:v>
                </c:pt>
                <c:pt idx="14">
                  <c:v>107.70642201834863</c:v>
                </c:pt>
                <c:pt idx="15">
                  <c:v>88.715596330275233</c:v>
                </c:pt>
                <c:pt idx="16">
                  <c:v>97.247706422018354</c:v>
                </c:pt>
                <c:pt idx="17">
                  <c:v>100.64220183486239</c:v>
                </c:pt>
                <c:pt idx="18">
                  <c:v>86.330275229357795</c:v>
                </c:pt>
                <c:pt idx="19">
                  <c:v>100.55045871559633</c:v>
                </c:pt>
                <c:pt idx="20">
                  <c:v>106.05504587155963</c:v>
                </c:pt>
                <c:pt idx="21">
                  <c:v>111.65137614678899</c:v>
                </c:pt>
                <c:pt idx="22">
                  <c:v>113.39449541284404</c:v>
                </c:pt>
                <c:pt idx="23">
                  <c:v>82.752293577981646</c:v>
                </c:pt>
                <c:pt idx="24">
                  <c:v>90.550458715596335</c:v>
                </c:pt>
                <c:pt idx="25">
                  <c:v>107.24770642201835</c:v>
                </c:pt>
                <c:pt idx="26">
                  <c:v>115.96330275229359</c:v>
                </c:pt>
                <c:pt idx="27">
                  <c:v>108.62385321100918</c:v>
                </c:pt>
                <c:pt idx="28">
                  <c:v>96.788990825688074</c:v>
                </c:pt>
                <c:pt idx="29">
                  <c:v>96.880733944954116</c:v>
                </c:pt>
                <c:pt idx="30">
                  <c:v>93.11926605504587</c:v>
                </c:pt>
                <c:pt idx="31">
                  <c:v>92.018348623853214</c:v>
                </c:pt>
                <c:pt idx="32">
                  <c:v>101.65137614678899</c:v>
                </c:pt>
                <c:pt idx="33">
                  <c:v>114.03669724770641</c:v>
                </c:pt>
                <c:pt idx="34">
                  <c:v>102.8440366972477</c:v>
                </c:pt>
                <c:pt idx="35">
                  <c:v>80.733944954128447</c:v>
                </c:pt>
                <c:pt idx="36">
                  <c:v>79.900000000000006</c:v>
                </c:pt>
                <c:pt idx="37">
                  <c:v>89.2</c:v>
                </c:pt>
                <c:pt idx="38">
                  <c:v>113.1</c:v>
                </c:pt>
                <c:pt idx="39">
                  <c:v>103.3</c:v>
                </c:pt>
              </c:numCache>
            </c:numRef>
          </c:val>
          <c:smooth val="0"/>
          <c:extLst>
            <c:ext xmlns:c16="http://schemas.microsoft.com/office/drawing/2014/chart" uri="{C3380CC4-5D6E-409C-BE32-E72D297353CC}">
              <c16:uniqueId val="{0000002D-28E9-4488-AD4A-040059A6A78C}"/>
            </c:ext>
          </c:extLst>
        </c:ser>
        <c:ser>
          <c:idx val="1"/>
          <c:order val="3"/>
          <c:tx>
            <c:strRef>
              <c:f>'Prerađivačka_FS graf'!$BD$7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graf'!$BD$56:$BD$95</c:f>
              <c:numCache>
                <c:formatCode>0.0</c:formatCode>
                <c:ptCount val="40"/>
                <c:pt idx="0">
                  <c:v>88.38155189072927</c:v>
                </c:pt>
                <c:pt idx="1">
                  <c:v>90.950094007202964</c:v>
                </c:pt>
                <c:pt idx="2">
                  <c:v>92.051334413928515</c:v>
                </c:pt>
                <c:pt idx="3">
                  <c:v>92.172337520381774</c:v>
                </c:pt>
                <c:pt idx="4">
                  <c:v>95.797329453470269</c:v>
                </c:pt>
                <c:pt idx="5">
                  <c:v>95.134514491377686</c:v>
                </c:pt>
                <c:pt idx="6">
                  <c:v>93.519837114382938</c:v>
                </c:pt>
                <c:pt idx="7">
                  <c:v>93.97021919328003</c:v>
                </c:pt>
                <c:pt idx="8">
                  <c:v>93.226862551003947</c:v>
                </c:pt>
                <c:pt idx="9">
                  <c:v>95.033973129034294</c:v>
                </c:pt>
                <c:pt idx="10">
                  <c:v>95.651735993389792</c:v>
                </c:pt>
                <c:pt idx="11">
                  <c:v>95.363422596387778</c:v>
                </c:pt>
                <c:pt idx="12">
                  <c:v>95.46160897652743</c:v>
                </c:pt>
                <c:pt idx="13">
                  <c:v>95.674617072205749</c:v>
                </c:pt>
                <c:pt idx="14">
                  <c:v>94.428394972148837</c:v>
                </c:pt>
                <c:pt idx="15">
                  <c:v>89.64356868629929</c:v>
                </c:pt>
                <c:pt idx="16">
                  <c:v>95.371696545463394</c:v>
                </c:pt>
                <c:pt idx="17">
                  <c:v>95.888834458727445</c:v>
                </c:pt>
                <c:pt idx="18">
                  <c:v>91.681766913557439</c:v>
                </c:pt>
                <c:pt idx="19">
                  <c:v>107.42751893966786</c:v>
                </c:pt>
                <c:pt idx="20">
                  <c:v>100.65343913316057</c:v>
                </c:pt>
                <c:pt idx="21">
                  <c:v>100.76974334024034</c:v>
                </c:pt>
                <c:pt idx="22">
                  <c:v>106.43719734186148</c:v>
                </c:pt>
                <c:pt idx="23">
                  <c:v>94.954447117840019</c:v>
                </c:pt>
                <c:pt idx="24">
                  <c:v>103.31351334482702</c:v>
                </c:pt>
                <c:pt idx="25">
                  <c:v>107.52303642117288</c:v>
                </c:pt>
                <c:pt idx="26">
                  <c:v>105.07557859411649</c:v>
                </c:pt>
                <c:pt idx="27">
                  <c:v>103.02184640678026</c:v>
                </c:pt>
                <c:pt idx="28">
                  <c:v>100.97143343680385</c:v>
                </c:pt>
                <c:pt idx="29">
                  <c:v>94.676322499750512</c:v>
                </c:pt>
                <c:pt idx="30">
                  <c:v>97.066507345757671</c:v>
                </c:pt>
                <c:pt idx="31">
                  <c:v>99.126537292052305</c:v>
                </c:pt>
                <c:pt idx="32">
                  <c:v>98.852193335764369</c:v>
                </c:pt>
                <c:pt idx="33">
                  <c:v>98.715255016855764</c:v>
                </c:pt>
                <c:pt idx="34">
                  <c:v>96.444568980469171</c:v>
                </c:pt>
                <c:pt idx="35">
                  <c:v>95.032691677656587</c:v>
                </c:pt>
                <c:pt idx="36">
                  <c:v>95.632145403707455</c:v>
                </c:pt>
                <c:pt idx="37">
                  <c:v>90.347160559198031</c:v>
                </c:pt>
                <c:pt idx="38">
                  <c:v>102.11167285736479</c:v>
                </c:pt>
                <c:pt idx="39">
                  <c:v>100.91018216696487</c:v>
                </c:pt>
              </c:numCache>
            </c:numRef>
          </c:val>
          <c:smooth val="0"/>
          <c:extLst>
            <c:ext xmlns:c16="http://schemas.microsoft.com/office/drawing/2014/chart" uri="{C3380CC4-5D6E-409C-BE32-E72D297353CC}">
              <c16:uniqueId val="{0000002E-28E9-4488-AD4A-040059A6A78C}"/>
            </c:ext>
          </c:extLst>
        </c:ser>
        <c:ser>
          <c:idx val="2"/>
          <c:order val="4"/>
          <c:tx>
            <c:strRef>
              <c:f>'Prerađivačka_FS graf'!$BE$7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graf'!$BE$56:$BE$95</c:f>
              <c:numCache>
                <c:formatCode>0.0</c:formatCode>
                <c:ptCount val="40"/>
                <c:pt idx="0">
                  <c:v>89.939808329422107</c:v>
                </c:pt>
                <c:pt idx="1">
                  <c:v>90.894081280103507</c:v>
                </c:pt>
                <c:pt idx="2">
                  <c:v>92.010148763585391</c:v>
                </c:pt>
                <c:pt idx="3">
                  <c:v>93.068662593510851</c:v>
                </c:pt>
                <c:pt idx="4">
                  <c:v>93.855140911873079</c:v>
                </c:pt>
                <c:pt idx="5">
                  <c:v>94.263830690546442</c:v>
                </c:pt>
                <c:pt idx="6">
                  <c:v>94.347885709874532</c:v>
                </c:pt>
                <c:pt idx="7">
                  <c:v>94.309831675828917</c:v>
                </c:pt>
                <c:pt idx="8">
                  <c:v>94.399552846180811</c:v>
                </c:pt>
                <c:pt idx="9">
                  <c:v>94.672614166817425</c:v>
                </c:pt>
                <c:pt idx="10">
                  <c:v>95.029396948849879</c:v>
                </c:pt>
                <c:pt idx="11">
                  <c:v>95.287811363555761</c:v>
                </c:pt>
                <c:pt idx="12">
                  <c:v>95.254066087049296</c:v>
                </c:pt>
                <c:pt idx="13">
                  <c:v>95.004273193739593</c:v>
                </c:pt>
                <c:pt idx="14">
                  <c:v>94.778737950231971</c:v>
                </c:pt>
                <c:pt idx="15">
                  <c:v>94.847674698299798</c:v>
                </c:pt>
                <c:pt idx="16">
                  <c:v>95.348389847387438</c:v>
                </c:pt>
                <c:pt idx="17">
                  <c:v>96.28599349419946</c:v>
                </c:pt>
                <c:pt idx="18">
                  <c:v>97.57391588239966</c:v>
                </c:pt>
                <c:pt idx="19">
                  <c:v>99.004898306893267</c:v>
                </c:pt>
                <c:pt idx="20">
                  <c:v>100.36643767867339</c:v>
                </c:pt>
                <c:pt idx="21">
                  <c:v>101.57967781190709</c:v>
                </c:pt>
                <c:pt idx="22">
                  <c:v>102.66249475621744</c:v>
                </c:pt>
                <c:pt idx="23">
                  <c:v>103.55770942956525</c:v>
                </c:pt>
                <c:pt idx="24">
                  <c:v>104.1640961359151</c:v>
                </c:pt>
                <c:pt idx="25">
                  <c:v>104.2817462786425</c:v>
                </c:pt>
                <c:pt idx="26">
                  <c:v>103.77924955856663</c:v>
                </c:pt>
                <c:pt idx="27">
                  <c:v>102.7273400717432</c:v>
                </c:pt>
                <c:pt idx="28">
                  <c:v>101.42500720834849</c:v>
                </c:pt>
                <c:pt idx="29">
                  <c:v>100.20898203850703</c:v>
                </c:pt>
                <c:pt idx="30">
                  <c:v>99.226977594619839</c:v>
                </c:pt>
                <c:pt idx="31">
                  <c:v>98.519587413740169</c:v>
                </c:pt>
                <c:pt idx="32">
                  <c:v>97.929530456433341</c:v>
                </c:pt>
                <c:pt idx="33">
                  <c:v>97.278297117528908</c:v>
                </c:pt>
                <c:pt idx="34">
                  <c:v>96.64155939992412</c:v>
                </c:pt>
                <c:pt idx="35">
                  <c:v>96.279386767264199</c:v>
                </c:pt>
                <c:pt idx="36">
                  <c:v>96.399977014703722</c:v>
                </c:pt>
                <c:pt idx="37">
                  <c:v>97.04207015621742</c:v>
                </c:pt>
                <c:pt idx="38">
                  <c:v>98.123307845849297</c:v>
                </c:pt>
                <c:pt idx="39">
                  <c:v>99.347533822016814</c:v>
                </c:pt>
              </c:numCache>
            </c:numRef>
          </c:val>
          <c:smooth val="0"/>
          <c:extLst>
            <c:ext xmlns:c16="http://schemas.microsoft.com/office/drawing/2014/chart" uri="{C3380CC4-5D6E-409C-BE32-E72D297353CC}">
              <c16:uniqueId val="{0000002F-28E9-4488-AD4A-040059A6A78C}"/>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65968"/>
        <c:crosses val="autoZero"/>
        <c:auto val="1"/>
        <c:lblOffset val="0"/>
        <c:baseTimeUnit val="months"/>
        <c:majorUnit val="12"/>
        <c:majorTimeUnit val="months"/>
      </c:dateAx>
      <c:valAx>
        <c:axId val="2092165968"/>
        <c:scaling>
          <c:orientation val="minMax"/>
          <c:max val="125"/>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'Prerađivačka_FS graf'!$AA$7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7.0864229787752891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18-4896-ADFB-5D673A4B48DB}"/>
                </c:ext>
              </c:extLst>
            </c:dLbl>
            <c:dLbl>
              <c:idx val="12"/>
              <c:layout>
                <c:manualLayout>
                  <c:x val="7.2010381557059369E-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18-4896-ADFB-5D673A4B48DB}"/>
                </c:ext>
              </c:extLst>
            </c:dLbl>
            <c:dLbl>
              <c:idx val="24"/>
              <c:layout>
                <c:manualLayout>
                  <c:x val="6.6107361579802612E-2"/>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518-4896-ADFB-5D673A4B48DB}"/>
                </c:ext>
              </c:extLst>
            </c:dLbl>
            <c:dLbl>
              <c:idx val="36"/>
              <c:layout>
                <c:manualLayout>
                  <c:x val="-4.0158174672610368E-3"/>
                  <c:y val="2.959317585301837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600-4F45-BC5D-6A4AE79DEA8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graf'!$AA$56:$AA$95</c:f>
              <c:numCache>
                <c:formatCode>General</c:formatCode>
                <c:ptCount val="40"/>
                <c:pt idx="0">
                  <c:v>60</c:v>
                </c:pt>
                <c:pt idx="12">
                  <c:v>60</c:v>
                </c:pt>
                <c:pt idx="24">
                  <c:v>60</c:v>
                </c:pt>
                <c:pt idx="36">
                  <c:v>60</c:v>
                </c:pt>
              </c:numCache>
            </c:numRef>
          </c:val>
          <c:smooth val="0"/>
          <c:extLst>
            <c:ext xmlns:c16="http://schemas.microsoft.com/office/drawing/2014/chart" uri="{C3380CC4-5D6E-409C-BE32-E72D297353CC}">
              <c16:uniqueId val="{00000003-5518-4896-ADFB-5D673A4B48DB}"/>
            </c:ext>
          </c:extLst>
        </c:ser>
        <c:ser>
          <c:idx val="4"/>
          <c:order val="1"/>
          <c:tx>
            <c:strRef>
              <c:f>'Prerađivačka_FS graf'!$AB$7</c:f>
              <c:strCache>
                <c:ptCount val="1"/>
                <c:pt idx="0">
                  <c:v>Series5</c:v>
                </c:pt>
              </c:strCache>
            </c:strRef>
          </c:tx>
          <c:spPr>
            <a:ln w="25400" cap="rnd">
              <a:noFill/>
              <a:round/>
            </a:ln>
            <a:effectLst/>
          </c:spPr>
          <c:marker>
            <c:symbol val="none"/>
          </c:marker>
          <c:dLbls>
            <c:dLbl>
              <c:idx val="0"/>
              <c:tx>
                <c:rich>
                  <a:bodyPr/>
                  <a:lstStyle/>
                  <a:p>
                    <a:fld id="{7A381748-0E78-40B3-BC11-DAB8CC5BEDE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5518-4896-ADFB-5D673A4B48DB}"/>
                </c:ext>
              </c:extLst>
            </c:dLbl>
            <c:dLbl>
              <c:idx val="1"/>
              <c:tx>
                <c:rich>
                  <a:bodyPr/>
                  <a:lstStyle/>
                  <a:p>
                    <a:fld id="{79610A04-D9E2-45DB-B155-55030F7E2D0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5518-4896-ADFB-5D673A4B48DB}"/>
                </c:ext>
              </c:extLst>
            </c:dLbl>
            <c:dLbl>
              <c:idx val="2"/>
              <c:tx>
                <c:rich>
                  <a:bodyPr/>
                  <a:lstStyle/>
                  <a:p>
                    <a:fld id="{E4BD76CC-B270-4A31-8946-03F33A5D9C5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5518-4896-ADFB-5D673A4B48DB}"/>
                </c:ext>
              </c:extLst>
            </c:dLbl>
            <c:dLbl>
              <c:idx val="3"/>
              <c:tx>
                <c:rich>
                  <a:bodyPr/>
                  <a:lstStyle/>
                  <a:p>
                    <a:fld id="{79352B4C-B184-4706-87E1-26D8DCBAE974}"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518-4896-ADFB-5D673A4B48DB}"/>
                </c:ext>
              </c:extLst>
            </c:dLbl>
            <c:dLbl>
              <c:idx val="4"/>
              <c:tx>
                <c:rich>
                  <a:bodyPr/>
                  <a:lstStyle/>
                  <a:p>
                    <a:fld id="{E80E501F-8330-4D33-B3C9-23A55C7ACD4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5518-4896-ADFB-5D673A4B48DB}"/>
                </c:ext>
              </c:extLst>
            </c:dLbl>
            <c:dLbl>
              <c:idx val="5"/>
              <c:tx>
                <c:rich>
                  <a:bodyPr/>
                  <a:lstStyle/>
                  <a:p>
                    <a:fld id="{88215552-8319-45B3-8797-6426E6A5B0E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5518-4896-ADFB-5D673A4B48DB}"/>
                </c:ext>
              </c:extLst>
            </c:dLbl>
            <c:dLbl>
              <c:idx val="6"/>
              <c:tx>
                <c:rich>
                  <a:bodyPr/>
                  <a:lstStyle/>
                  <a:p>
                    <a:fld id="{662BAD5E-B8D0-49B7-933D-346D7931098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518-4896-ADFB-5D673A4B48DB}"/>
                </c:ext>
              </c:extLst>
            </c:dLbl>
            <c:dLbl>
              <c:idx val="7"/>
              <c:tx>
                <c:rich>
                  <a:bodyPr/>
                  <a:lstStyle/>
                  <a:p>
                    <a:fld id="{93E08828-BE92-482E-828F-1973D7800B50}"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5518-4896-ADFB-5D673A4B48DB}"/>
                </c:ext>
              </c:extLst>
            </c:dLbl>
            <c:dLbl>
              <c:idx val="8"/>
              <c:tx>
                <c:rich>
                  <a:bodyPr/>
                  <a:lstStyle/>
                  <a:p>
                    <a:fld id="{8FD69C57-01CE-4BC2-A2AB-F31CBD2FDFB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5518-4896-ADFB-5D673A4B48DB}"/>
                </c:ext>
              </c:extLst>
            </c:dLbl>
            <c:dLbl>
              <c:idx val="9"/>
              <c:tx>
                <c:rich>
                  <a:bodyPr/>
                  <a:lstStyle/>
                  <a:p>
                    <a:fld id="{84481C12-FBEF-4279-A802-1DF4459BDFBF}"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518-4896-ADFB-5D673A4B48DB}"/>
                </c:ext>
              </c:extLst>
            </c:dLbl>
            <c:dLbl>
              <c:idx val="10"/>
              <c:tx>
                <c:rich>
                  <a:bodyPr/>
                  <a:lstStyle/>
                  <a:p>
                    <a:fld id="{174B33B3-6014-48F7-B520-770AACFE83D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5518-4896-ADFB-5D673A4B48DB}"/>
                </c:ext>
              </c:extLst>
            </c:dLbl>
            <c:dLbl>
              <c:idx val="11"/>
              <c:tx>
                <c:rich>
                  <a:bodyPr/>
                  <a:lstStyle/>
                  <a:p>
                    <a:fld id="{036F90A3-16B3-4EAC-A448-1ED6BFDFD07F}"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5518-4896-ADFB-5D673A4B48DB}"/>
                </c:ext>
              </c:extLst>
            </c:dLbl>
            <c:dLbl>
              <c:idx val="12"/>
              <c:tx>
                <c:rich>
                  <a:bodyPr/>
                  <a:lstStyle/>
                  <a:p>
                    <a:fld id="{903E0A10-6EA0-4AB9-9184-E0007A7CB9D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518-4896-ADFB-5D673A4B48DB}"/>
                </c:ext>
              </c:extLst>
            </c:dLbl>
            <c:dLbl>
              <c:idx val="13"/>
              <c:tx>
                <c:rich>
                  <a:bodyPr/>
                  <a:lstStyle/>
                  <a:p>
                    <a:fld id="{18DB33F6-B0C4-4295-958A-2098E44C0377}"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5518-4896-ADFB-5D673A4B48DB}"/>
                </c:ext>
              </c:extLst>
            </c:dLbl>
            <c:dLbl>
              <c:idx val="14"/>
              <c:tx>
                <c:rich>
                  <a:bodyPr/>
                  <a:lstStyle/>
                  <a:p>
                    <a:fld id="{472D632B-AAA5-4C22-B829-A98F00C7C87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5518-4896-ADFB-5D673A4B48DB}"/>
                </c:ext>
              </c:extLst>
            </c:dLbl>
            <c:dLbl>
              <c:idx val="15"/>
              <c:tx>
                <c:rich>
                  <a:bodyPr/>
                  <a:lstStyle/>
                  <a:p>
                    <a:fld id="{91FD41CE-4769-4FBA-BA8E-22F542D3F5EB}"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518-4896-ADFB-5D673A4B48DB}"/>
                </c:ext>
              </c:extLst>
            </c:dLbl>
            <c:dLbl>
              <c:idx val="16"/>
              <c:tx>
                <c:rich>
                  <a:bodyPr/>
                  <a:lstStyle/>
                  <a:p>
                    <a:fld id="{1042E473-CC32-4B0E-9FC8-CFA23C11CA7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5518-4896-ADFB-5D673A4B48DB}"/>
                </c:ext>
              </c:extLst>
            </c:dLbl>
            <c:dLbl>
              <c:idx val="17"/>
              <c:tx>
                <c:rich>
                  <a:bodyPr/>
                  <a:lstStyle/>
                  <a:p>
                    <a:fld id="{724884EF-6232-4763-B26E-D88A0234496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5518-4896-ADFB-5D673A4B48DB}"/>
                </c:ext>
              </c:extLst>
            </c:dLbl>
            <c:dLbl>
              <c:idx val="18"/>
              <c:tx>
                <c:rich>
                  <a:bodyPr/>
                  <a:lstStyle/>
                  <a:p>
                    <a:fld id="{D0F6FA3F-C163-4BCD-B080-ED6116C72C8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518-4896-ADFB-5D673A4B48DB}"/>
                </c:ext>
              </c:extLst>
            </c:dLbl>
            <c:dLbl>
              <c:idx val="19"/>
              <c:tx>
                <c:rich>
                  <a:bodyPr/>
                  <a:lstStyle/>
                  <a:p>
                    <a:fld id="{D0FD636C-C301-4F04-AC81-69891EE38433}"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5518-4896-ADFB-5D673A4B48DB}"/>
                </c:ext>
              </c:extLst>
            </c:dLbl>
            <c:dLbl>
              <c:idx val="20"/>
              <c:tx>
                <c:rich>
                  <a:bodyPr/>
                  <a:lstStyle/>
                  <a:p>
                    <a:fld id="{CF6039A3-C5B1-48B6-8659-34D3F15CCA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5518-4896-ADFB-5D673A4B48DB}"/>
                </c:ext>
              </c:extLst>
            </c:dLbl>
            <c:dLbl>
              <c:idx val="21"/>
              <c:tx>
                <c:rich>
                  <a:bodyPr/>
                  <a:lstStyle/>
                  <a:p>
                    <a:fld id="{503FAC03-FCF4-4199-A02D-62A57D92BA6A}"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518-4896-ADFB-5D673A4B48DB}"/>
                </c:ext>
              </c:extLst>
            </c:dLbl>
            <c:dLbl>
              <c:idx val="22"/>
              <c:tx>
                <c:rich>
                  <a:bodyPr/>
                  <a:lstStyle/>
                  <a:p>
                    <a:fld id="{DB7A9B64-092B-4125-ADB9-5ADF3BDE2C7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5518-4896-ADFB-5D673A4B48DB}"/>
                </c:ext>
              </c:extLst>
            </c:dLbl>
            <c:dLbl>
              <c:idx val="23"/>
              <c:tx>
                <c:rich>
                  <a:bodyPr/>
                  <a:lstStyle/>
                  <a:p>
                    <a:fld id="{B047A5C8-0ADD-4217-9FBE-53B3376A862B}"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5518-4896-ADFB-5D673A4B48DB}"/>
                </c:ext>
              </c:extLst>
            </c:dLbl>
            <c:dLbl>
              <c:idx val="24"/>
              <c:tx>
                <c:rich>
                  <a:bodyPr/>
                  <a:lstStyle/>
                  <a:p>
                    <a:fld id="{F07ACAE7-656E-48F7-A2A9-DFB74AA9C778}"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518-4896-ADFB-5D673A4B48DB}"/>
                </c:ext>
              </c:extLst>
            </c:dLbl>
            <c:dLbl>
              <c:idx val="25"/>
              <c:tx>
                <c:rich>
                  <a:bodyPr/>
                  <a:lstStyle/>
                  <a:p>
                    <a:fld id="{FAA11CC1-BA44-4AAA-866F-D09143A1B3CA}"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D-5518-4896-ADFB-5D673A4B48DB}"/>
                </c:ext>
              </c:extLst>
            </c:dLbl>
            <c:dLbl>
              <c:idx val="26"/>
              <c:tx>
                <c:rich>
                  <a:bodyPr/>
                  <a:lstStyle/>
                  <a:p>
                    <a:fld id="{A040B6DA-B5D0-4EBE-8BB0-C5D1EA3DAE9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E-5518-4896-ADFB-5D673A4B48DB}"/>
                </c:ext>
              </c:extLst>
            </c:dLbl>
            <c:dLbl>
              <c:idx val="27"/>
              <c:tx>
                <c:rich>
                  <a:bodyPr/>
                  <a:lstStyle/>
                  <a:p>
                    <a:fld id="{2EFE004B-095E-45A7-8AE9-A3529EC5A2BD}"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5518-4896-ADFB-5D673A4B48DB}"/>
                </c:ext>
              </c:extLst>
            </c:dLbl>
            <c:dLbl>
              <c:idx val="28"/>
              <c:tx>
                <c:rich>
                  <a:bodyPr/>
                  <a:lstStyle/>
                  <a:p>
                    <a:fld id="{A1EEFF20-EA4A-4052-A06E-7B0A4929D92E}"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0-5518-4896-ADFB-5D673A4B48DB}"/>
                </c:ext>
              </c:extLst>
            </c:dLbl>
            <c:dLbl>
              <c:idx val="29"/>
              <c:tx>
                <c:rich>
                  <a:bodyPr/>
                  <a:lstStyle/>
                  <a:p>
                    <a:fld id="{9AC72AC8-A211-4FB3-9496-D8679AC89AA9}"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1-5518-4896-ADFB-5D673A4B48DB}"/>
                </c:ext>
              </c:extLst>
            </c:dLbl>
            <c:dLbl>
              <c:idx val="30"/>
              <c:tx>
                <c:rich>
                  <a:bodyPr/>
                  <a:lstStyle/>
                  <a:p>
                    <a:fld id="{80F4357B-F59E-40E7-BA3F-5551429730C7}"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2-5518-4896-ADFB-5D673A4B48DB}"/>
                </c:ext>
              </c:extLst>
            </c:dLbl>
            <c:dLbl>
              <c:idx val="31"/>
              <c:tx>
                <c:rich>
                  <a:bodyPr/>
                  <a:lstStyle/>
                  <a:p>
                    <a:fld id="{942C46D0-B22A-42A8-919B-34EB0237BEA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3-5518-4896-ADFB-5D673A4B48DB}"/>
                </c:ext>
              </c:extLst>
            </c:dLbl>
            <c:dLbl>
              <c:idx val="32"/>
              <c:tx>
                <c:rich>
                  <a:bodyPr/>
                  <a:lstStyle/>
                  <a:p>
                    <a:fld id="{9044B49C-19F2-4D07-8735-471DA5D782E4}"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4-5518-4896-ADFB-5D673A4B48DB}"/>
                </c:ext>
              </c:extLst>
            </c:dLbl>
            <c:dLbl>
              <c:idx val="33"/>
              <c:tx>
                <c:rich>
                  <a:bodyPr/>
                  <a:lstStyle/>
                  <a:p>
                    <a:fld id="{FCADC010-F22E-41E9-B46E-607CBA6531F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5518-4896-ADFB-5D673A4B48DB}"/>
                </c:ext>
              </c:extLst>
            </c:dLbl>
            <c:dLbl>
              <c:idx val="34"/>
              <c:tx>
                <c:rich>
                  <a:bodyPr/>
                  <a:lstStyle/>
                  <a:p>
                    <a:fld id="{0DD4616A-F059-4D14-A9A5-A574BCF3947C}"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6-5518-4896-ADFB-5D673A4B48DB}"/>
                </c:ext>
              </c:extLst>
            </c:dLbl>
            <c:dLbl>
              <c:idx val="35"/>
              <c:tx>
                <c:rich>
                  <a:bodyPr/>
                  <a:lstStyle/>
                  <a:p>
                    <a:fld id="{90567082-B3A5-4CDB-A11C-D7A073900FF8}"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5518-4896-ADFB-5D673A4B48DB}"/>
                </c:ext>
              </c:extLst>
            </c:dLbl>
            <c:dLbl>
              <c:idx val="36"/>
              <c:tx>
                <c:rich>
                  <a:bodyPr/>
                  <a:lstStyle/>
                  <a:p>
                    <a:fld id="{E1EB8574-1C8F-48BD-A38B-AFA1010836A2}"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8-5518-4896-ADFB-5D673A4B48DB}"/>
                </c:ext>
              </c:extLst>
            </c:dLbl>
            <c:dLbl>
              <c:idx val="37"/>
              <c:tx>
                <c:rich>
                  <a:bodyPr/>
                  <a:lstStyle/>
                  <a:p>
                    <a:fld id="{E7AF2D79-15A5-4385-BAC7-15B8C43DCF05}"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9-5518-4896-ADFB-5D673A4B48DB}"/>
                </c:ext>
              </c:extLst>
            </c:dLbl>
            <c:dLbl>
              <c:idx val="38"/>
              <c:tx>
                <c:rich>
                  <a:bodyPr/>
                  <a:lstStyle/>
                  <a:p>
                    <a:fld id="{80472007-CAE4-4CBB-9E3B-83D28BAE2422}" type="CELLRANGE">
                      <a:rPr lang="en-U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A-5518-4896-ADFB-5D673A4B48DB}"/>
                </c:ext>
              </c:extLst>
            </c:dLbl>
            <c:dLbl>
              <c:idx val="39"/>
              <c:tx>
                <c:rich>
                  <a:bodyPr/>
                  <a:lstStyle/>
                  <a:p>
                    <a:fld id="{2F2F31BB-92C8-46A1-B5A9-34DEEF932739}" type="CELLRANGE">
                      <a:rPr lang="sr-Cyrl-RS"/>
                      <a:pPr/>
                      <a:t>[CELLRANGE]</a:t>
                    </a:fld>
                    <a:endParaRPr lang="sr-Cyrl-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B-5518-4896-ADFB-5D673A4B48DB}"/>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graf'!$AB$56:$AB$95</c:f>
              <c:numCache>
                <c:formatCode>General</c:formatCode>
                <c:ptCount val="40"/>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pt idx="27">
                  <c:v>60</c:v>
                </c:pt>
                <c:pt idx="28">
                  <c:v>60</c:v>
                </c:pt>
                <c:pt idx="29">
                  <c:v>60</c:v>
                </c:pt>
                <c:pt idx="30">
                  <c:v>60</c:v>
                </c:pt>
                <c:pt idx="31">
                  <c:v>60</c:v>
                </c:pt>
                <c:pt idx="32">
                  <c:v>60</c:v>
                </c:pt>
                <c:pt idx="33">
                  <c:v>60</c:v>
                </c:pt>
                <c:pt idx="34">
                  <c:v>60</c:v>
                </c:pt>
                <c:pt idx="35">
                  <c:v>60</c:v>
                </c:pt>
                <c:pt idx="36">
                  <c:v>60</c:v>
                </c:pt>
                <c:pt idx="37">
                  <c:v>60</c:v>
                </c:pt>
                <c:pt idx="38">
                  <c:v>60</c:v>
                </c:pt>
                <c:pt idx="39">
                  <c:v>60</c:v>
                </c:pt>
              </c:numCache>
            </c:numRef>
          </c:val>
          <c:smooth val="0"/>
          <c:extLst>
            <c:ext xmlns:c15="http://schemas.microsoft.com/office/drawing/2012/chart" uri="{02D57815-91ED-43cb-92C2-25804820EDAC}">
              <c15:datalabelsRange>
                <c15:f>'Prerađivačka_FS graf'!$B$44:$B$87</c15:f>
                <c15:dlblRangeCache>
                  <c:ptCount val="44"/>
                  <c:pt idx="0">
                    <c:v>I</c:v>
                  </c:pt>
                  <c:pt idx="3">
                    <c:v>IV</c:v>
                  </c:pt>
                  <c:pt idx="6">
                    <c:v>VII</c:v>
                  </c:pt>
                  <c:pt idx="9">
                    <c:v>X</c:v>
                  </c:pt>
                  <c:pt idx="12">
                    <c:v>I</c:v>
                  </c:pt>
                  <c:pt idx="15">
                    <c:v>IV</c:v>
                  </c:pt>
                  <c:pt idx="18">
                    <c:v>VII</c:v>
                  </c:pt>
                  <c:pt idx="21">
                    <c:v>X</c:v>
                  </c:pt>
                  <c:pt idx="24">
                    <c:v>I</c:v>
                  </c:pt>
                  <c:pt idx="27">
                    <c:v>IV</c:v>
                  </c:pt>
                  <c:pt idx="30">
                    <c:v>VII</c:v>
                  </c:pt>
                  <c:pt idx="33">
                    <c:v>X</c:v>
                  </c:pt>
                  <c:pt idx="36">
                    <c:v>I</c:v>
                  </c:pt>
                  <c:pt idx="39">
                    <c:v>IV</c:v>
                  </c:pt>
                  <c:pt idx="42">
                    <c:v>VII</c:v>
                  </c:pt>
                </c15:dlblRangeCache>
              </c15:datalabelsRange>
            </c:ext>
            <c:ext xmlns:c16="http://schemas.microsoft.com/office/drawing/2014/chart" uri="{C3380CC4-5D6E-409C-BE32-E72D297353CC}">
              <c16:uniqueId val="{0000002C-5518-4896-ADFB-5D673A4B48DB}"/>
            </c:ext>
          </c:extLst>
        </c:ser>
        <c:ser>
          <c:idx val="0"/>
          <c:order val="2"/>
          <c:tx>
            <c:strRef>
              <c:f>'Prerađivačka_FS graf'!$AC$7</c:f>
              <c:strCache>
                <c:ptCount val="1"/>
                <c:pt idx="0">
                  <c:v>y</c:v>
                </c:pt>
              </c:strCache>
            </c:strRef>
          </c:tx>
          <c:spPr>
            <a:ln w="12700" cap="rnd">
              <a:solidFill>
                <a:srgbClr val="7F3F98"/>
              </a:solidFill>
              <a:prstDash val="sysDash"/>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graf'!$AC$56:$AC$95</c:f>
              <c:numCache>
                <c:formatCode>0.0</c:formatCode>
                <c:ptCount val="40"/>
                <c:pt idx="0">
                  <c:v>75.61196736174071</c:v>
                </c:pt>
                <c:pt idx="1">
                  <c:v>93.834995466908438</c:v>
                </c:pt>
                <c:pt idx="2">
                  <c:v>99.546690843155034</c:v>
                </c:pt>
                <c:pt idx="3">
                  <c:v>90.389845874886674</c:v>
                </c:pt>
                <c:pt idx="4">
                  <c:v>108.5222121486854</c:v>
                </c:pt>
                <c:pt idx="5">
                  <c:v>101.90389845874887</c:v>
                </c:pt>
                <c:pt idx="6">
                  <c:v>84.315503173164103</c:v>
                </c:pt>
                <c:pt idx="7">
                  <c:v>79.782411604714426</c:v>
                </c:pt>
                <c:pt idx="8">
                  <c:v>87.669990933816862</c:v>
                </c:pt>
                <c:pt idx="9">
                  <c:v>92.203082502266554</c:v>
                </c:pt>
                <c:pt idx="10">
                  <c:v>94.378966455122395</c:v>
                </c:pt>
                <c:pt idx="11">
                  <c:v>108.06890299184045</c:v>
                </c:pt>
                <c:pt idx="12">
                  <c:v>86.672710788757939</c:v>
                </c:pt>
                <c:pt idx="13">
                  <c:v>104.71441523118767</c:v>
                </c:pt>
                <c:pt idx="14">
                  <c:v>104.80507706255666</c:v>
                </c:pt>
                <c:pt idx="15">
                  <c:v>98.549410698096111</c:v>
                </c:pt>
                <c:pt idx="16">
                  <c:v>104.07978241160471</c:v>
                </c:pt>
                <c:pt idx="17">
                  <c:v>109.15684496826836</c:v>
                </c:pt>
                <c:pt idx="18">
                  <c:v>101.63191296464188</c:v>
                </c:pt>
                <c:pt idx="19">
                  <c:v>105.07706255666365</c:v>
                </c:pt>
                <c:pt idx="20">
                  <c:v>113.59927470534905</c:v>
                </c:pt>
                <c:pt idx="21">
                  <c:v>112.87398005439711</c:v>
                </c:pt>
                <c:pt idx="22">
                  <c:v>107.70625566636447</c:v>
                </c:pt>
                <c:pt idx="23">
                  <c:v>115.95648232094288</c:v>
                </c:pt>
                <c:pt idx="24">
                  <c:v>89.936536718041708</c:v>
                </c:pt>
                <c:pt idx="25">
                  <c:v>101.45058930190392</c:v>
                </c:pt>
                <c:pt idx="26">
                  <c:v>103.98912058023572</c:v>
                </c:pt>
                <c:pt idx="27">
                  <c:v>103.80779691749773</c:v>
                </c:pt>
                <c:pt idx="28">
                  <c:v>93.019038984587482</c:v>
                </c:pt>
                <c:pt idx="29">
                  <c:v>100.72529465095195</c:v>
                </c:pt>
                <c:pt idx="30">
                  <c:v>96.826835902085222</c:v>
                </c:pt>
                <c:pt idx="31">
                  <c:v>88.84859474161378</c:v>
                </c:pt>
                <c:pt idx="32">
                  <c:v>97.370806890299193</c:v>
                </c:pt>
                <c:pt idx="33">
                  <c:v>104.17044424297373</c:v>
                </c:pt>
                <c:pt idx="34">
                  <c:v>95.648232094288304</c:v>
                </c:pt>
                <c:pt idx="35">
                  <c:v>124.11604714415232</c:v>
                </c:pt>
                <c:pt idx="36">
                  <c:v>84.4</c:v>
                </c:pt>
                <c:pt idx="37">
                  <c:v>94.7</c:v>
                </c:pt>
                <c:pt idx="38">
                  <c:v>106</c:v>
                </c:pt>
                <c:pt idx="39">
                  <c:v>89.1</c:v>
                </c:pt>
              </c:numCache>
            </c:numRef>
          </c:val>
          <c:smooth val="0"/>
          <c:extLst>
            <c:ext xmlns:c16="http://schemas.microsoft.com/office/drawing/2014/chart" uri="{C3380CC4-5D6E-409C-BE32-E72D297353CC}">
              <c16:uniqueId val="{0000002D-5518-4896-ADFB-5D673A4B48DB}"/>
            </c:ext>
          </c:extLst>
        </c:ser>
        <c:ser>
          <c:idx val="1"/>
          <c:order val="3"/>
          <c:tx>
            <c:strRef>
              <c:f>'Prerađivačka_FS graf'!$AD$7</c:f>
              <c:strCache>
                <c:ptCount val="1"/>
                <c:pt idx="0">
                  <c:v>sa</c:v>
                </c:pt>
              </c:strCache>
            </c:strRef>
          </c:tx>
          <c:spPr>
            <a:ln w="22225" cap="rnd">
              <a:solidFill>
                <a:srgbClr val="25AAE1"/>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graf'!$AD$56:$AD$95</c:f>
              <c:numCache>
                <c:formatCode>0.0</c:formatCode>
                <c:ptCount val="40"/>
                <c:pt idx="0">
                  <c:v>90.032635234558796</c:v>
                </c:pt>
                <c:pt idx="1">
                  <c:v>94.269345611636609</c:v>
                </c:pt>
                <c:pt idx="2">
                  <c:v>94.038732158384221</c:v>
                </c:pt>
                <c:pt idx="3">
                  <c:v>91.139109380455196</c:v>
                </c:pt>
                <c:pt idx="4">
                  <c:v>104.47919974140385</c:v>
                </c:pt>
                <c:pt idx="5">
                  <c:v>96.733902157143234</c:v>
                </c:pt>
                <c:pt idx="6">
                  <c:v>90.665197781216051</c:v>
                </c:pt>
                <c:pt idx="7">
                  <c:v>87.350589658183424</c:v>
                </c:pt>
                <c:pt idx="8">
                  <c:v>87.161452191872101</c:v>
                </c:pt>
                <c:pt idx="9">
                  <c:v>90.359220255081752</c:v>
                </c:pt>
                <c:pt idx="10">
                  <c:v>90.941554788808958</c:v>
                </c:pt>
                <c:pt idx="11">
                  <c:v>97.534252876740794</c:v>
                </c:pt>
                <c:pt idx="12">
                  <c:v>99.647916362366786</c:v>
                </c:pt>
                <c:pt idx="13">
                  <c:v>105.01022666150624</c:v>
                </c:pt>
                <c:pt idx="14">
                  <c:v>98.545765109053505</c:v>
                </c:pt>
                <c:pt idx="15">
                  <c:v>101.44458401448267</c:v>
                </c:pt>
                <c:pt idx="16">
                  <c:v>102.17392759445991</c:v>
                </c:pt>
                <c:pt idx="17">
                  <c:v>103.96338599645408</c:v>
                </c:pt>
                <c:pt idx="18">
                  <c:v>107.74739229529814</c:v>
                </c:pt>
                <c:pt idx="19">
                  <c:v>112.33145556816092</c:v>
                </c:pt>
                <c:pt idx="20">
                  <c:v>113.65782969054213</c:v>
                </c:pt>
                <c:pt idx="21">
                  <c:v>109.58258069302734</c:v>
                </c:pt>
                <c:pt idx="22">
                  <c:v>104.16024358078931</c:v>
                </c:pt>
                <c:pt idx="23">
                  <c:v>105.57498997047702</c:v>
                </c:pt>
                <c:pt idx="24">
                  <c:v>102.41828829821506</c:v>
                </c:pt>
                <c:pt idx="25">
                  <c:v>99.56099386464939</c:v>
                </c:pt>
                <c:pt idx="26">
                  <c:v>99.661353431354968</c:v>
                </c:pt>
                <c:pt idx="27">
                  <c:v>103.13811635449953</c:v>
                </c:pt>
                <c:pt idx="28">
                  <c:v>94.575529395621317</c:v>
                </c:pt>
                <c:pt idx="29">
                  <c:v>98.353972039771051</c:v>
                </c:pt>
                <c:pt idx="30">
                  <c:v>100.00426254934756</c:v>
                </c:pt>
                <c:pt idx="31">
                  <c:v>96.644493268488532</c:v>
                </c:pt>
                <c:pt idx="32">
                  <c:v>97.048637876124261</c:v>
                </c:pt>
                <c:pt idx="33">
                  <c:v>99.332033485466894</c:v>
                </c:pt>
                <c:pt idx="34">
                  <c:v>94.90555165343082</c:v>
                </c:pt>
                <c:pt idx="35">
                  <c:v>112.03514384720189</c:v>
                </c:pt>
                <c:pt idx="36">
                  <c:v>97.544478307118624</c:v>
                </c:pt>
                <c:pt idx="37">
                  <c:v>93.245025087955838</c:v>
                </c:pt>
                <c:pt idx="38">
                  <c:v>101.89991637644972</c:v>
                </c:pt>
                <c:pt idx="39">
                  <c:v>91.061240726490595</c:v>
                </c:pt>
              </c:numCache>
            </c:numRef>
          </c:val>
          <c:smooth val="0"/>
          <c:extLst>
            <c:ext xmlns:c16="http://schemas.microsoft.com/office/drawing/2014/chart" uri="{C3380CC4-5D6E-409C-BE32-E72D297353CC}">
              <c16:uniqueId val="{0000002E-5518-4896-ADFB-5D673A4B48DB}"/>
            </c:ext>
          </c:extLst>
        </c:ser>
        <c:ser>
          <c:idx val="2"/>
          <c:order val="4"/>
          <c:tx>
            <c:strRef>
              <c:f>'Prerađivačka_FS graf'!$AE$7</c:f>
              <c:strCache>
                <c:ptCount val="1"/>
                <c:pt idx="0">
                  <c:v>t</c:v>
                </c:pt>
              </c:strCache>
            </c:strRef>
          </c:tx>
          <c:spPr>
            <a:ln w="25400" cap="rnd">
              <a:solidFill>
                <a:srgbClr val="FF0000"/>
              </a:solidFill>
              <a:round/>
            </a:ln>
            <a:effectLst/>
          </c:spPr>
          <c:marker>
            <c:symbol val="none"/>
          </c:marker>
          <c:cat>
            <c:numRef>
              <c:f>'Prerađivačka_FS graf'!$C$56:$C$95</c:f>
              <c:numCache>
                <c:formatCode>yyyy</c:formatCode>
                <c:ptCount val="40"/>
                <c:pt idx="0">
                  <c:v>44562</c:v>
                </c:pt>
                <c:pt idx="1">
                  <c:v>44593</c:v>
                </c:pt>
                <c:pt idx="2">
                  <c:v>44621</c:v>
                </c:pt>
                <c:pt idx="3">
                  <c:v>44652</c:v>
                </c:pt>
                <c:pt idx="4">
                  <c:v>44682</c:v>
                </c:pt>
                <c:pt idx="5">
                  <c:v>44713</c:v>
                </c:pt>
                <c:pt idx="6">
                  <c:v>44743</c:v>
                </c:pt>
                <c:pt idx="7">
                  <c:v>44774</c:v>
                </c:pt>
                <c:pt idx="8">
                  <c:v>44805</c:v>
                </c:pt>
                <c:pt idx="9">
                  <c:v>44835</c:v>
                </c:pt>
                <c:pt idx="10">
                  <c:v>44866</c:v>
                </c:pt>
                <c:pt idx="11">
                  <c:v>44896</c:v>
                </c:pt>
                <c:pt idx="12">
                  <c:v>44927</c:v>
                </c:pt>
                <c:pt idx="13">
                  <c:v>44958</c:v>
                </c:pt>
                <c:pt idx="14">
                  <c:v>44986</c:v>
                </c:pt>
                <c:pt idx="15">
                  <c:v>45017</c:v>
                </c:pt>
                <c:pt idx="16">
                  <c:v>45047</c:v>
                </c:pt>
                <c:pt idx="17">
                  <c:v>45078</c:v>
                </c:pt>
                <c:pt idx="18">
                  <c:v>45108</c:v>
                </c:pt>
                <c:pt idx="19">
                  <c:v>45139</c:v>
                </c:pt>
                <c:pt idx="20">
                  <c:v>45170</c:v>
                </c:pt>
                <c:pt idx="21">
                  <c:v>45200</c:v>
                </c:pt>
                <c:pt idx="22">
                  <c:v>45231</c:v>
                </c:pt>
                <c:pt idx="23">
                  <c:v>45261</c:v>
                </c:pt>
                <c:pt idx="24">
                  <c:v>45292</c:v>
                </c:pt>
                <c:pt idx="25">
                  <c:v>45323</c:v>
                </c:pt>
                <c:pt idx="26">
                  <c:v>45352</c:v>
                </c:pt>
                <c:pt idx="27">
                  <c:v>45383</c:v>
                </c:pt>
                <c:pt idx="28">
                  <c:v>45413</c:v>
                </c:pt>
                <c:pt idx="29">
                  <c:v>45444</c:v>
                </c:pt>
                <c:pt idx="30">
                  <c:v>45474</c:v>
                </c:pt>
                <c:pt idx="31">
                  <c:v>45505</c:v>
                </c:pt>
                <c:pt idx="32">
                  <c:v>45536</c:v>
                </c:pt>
                <c:pt idx="33">
                  <c:v>45566</c:v>
                </c:pt>
                <c:pt idx="34">
                  <c:v>45597</c:v>
                </c:pt>
                <c:pt idx="35">
                  <c:v>45627</c:v>
                </c:pt>
                <c:pt idx="36">
                  <c:v>45658</c:v>
                </c:pt>
                <c:pt idx="37">
                  <c:v>45689</c:v>
                </c:pt>
                <c:pt idx="38">
                  <c:v>45717</c:v>
                </c:pt>
                <c:pt idx="39">
                  <c:v>45748</c:v>
                </c:pt>
              </c:numCache>
            </c:numRef>
          </c:cat>
          <c:val>
            <c:numRef>
              <c:f>'Prerađivačka_FS graf'!$AE$56:$AE$95</c:f>
              <c:numCache>
                <c:formatCode>0.0</c:formatCode>
                <c:ptCount val="40"/>
                <c:pt idx="0">
                  <c:v>94.906205994545587</c:v>
                </c:pt>
                <c:pt idx="1">
                  <c:v>94.075271535951757</c:v>
                </c:pt>
                <c:pt idx="2">
                  <c:v>93.696425753397051</c:v>
                </c:pt>
                <c:pt idx="3">
                  <c:v>93.461723589380981</c:v>
                </c:pt>
                <c:pt idx="4">
                  <c:v>93.081185437303233</c:v>
                </c:pt>
                <c:pt idx="5">
                  <c:v>92.207601595032699</c:v>
                </c:pt>
                <c:pt idx="6">
                  <c:v>90.818496867141562</c:v>
                </c:pt>
                <c:pt idx="7">
                  <c:v>89.542491232353328</c:v>
                </c:pt>
                <c:pt idx="8">
                  <c:v>89.323238873845924</c:v>
                </c:pt>
                <c:pt idx="9">
                  <c:v>90.474349533468398</c:v>
                </c:pt>
                <c:pt idx="10">
                  <c:v>92.86431780014928</c:v>
                </c:pt>
                <c:pt idx="11">
                  <c:v>95.864548749481884</c:v>
                </c:pt>
                <c:pt idx="12">
                  <c:v>98.510765526278007</c:v>
                </c:pt>
                <c:pt idx="13">
                  <c:v>100.20886887615966</c:v>
                </c:pt>
                <c:pt idx="14">
                  <c:v>101.17318591426427</c:v>
                </c:pt>
                <c:pt idx="15">
                  <c:v>102.08651799926541</c:v>
                </c:pt>
                <c:pt idx="16">
                  <c:v>103.59870504781325</c:v>
                </c:pt>
                <c:pt idx="17">
                  <c:v>105.74089386810473</c:v>
                </c:pt>
                <c:pt idx="18">
                  <c:v>108.09037835548011</c:v>
                </c:pt>
                <c:pt idx="19">
                  <c:v>109.85615009176405</c:v>
                </c:pt>
                <c:pt idx="20">
                  <c:v>110.36166874472599</c:v>
                </c:pt>
                <c:pt idx="21">
                  <c:v>109.28402246678209</c:v>
                </c:pt>
                <c:pt idx="22">
                  <c:v>107.25528274976065</c:v>
                </c:pt>
                <c:pt idx="23">
                  <c:v>104.85117745196582</c:v>
                </c:pt>
                <c:pt idx="24">
                  <c:v>102.6298661370072</c:v>
                </c:pt>
                <c:pt idx="25">
                  <c:v>101.00418836662172</c:v>
                </c:pt>
                <c:pt idx="26">
                  <c:v>99.969254776106226</c:v>
                </c:pt>
                <c:pt idx="27">
                  <c:v>99.219130964717863</c:v>
                </c:pt>
                <c:pt idx="28">
                  <c:v>98.663708029031994</c:v>
                </c:pt>
                <c:pt idx="29">
                  <c:v>98.259395308309436</c:v>
                </c:pt>
                <c:pt idx="30">
                  <c:v>97.967318936084482</c:v>
                </c:pt>
                <c:pt idx="31">
                  <c:v>97.76704395301465</c:v>
                </c:pt>
                <c:pt idx="32">
                  <c:v>97.502113429830644</c:v>
                </c:pt>
                <c:pt idx="33">
                  <c:v>97.346436395854866</c:v>
                </c:pt>
                <c:pt idx="34">
                  <c:v>97.143899092699925</c:v>
                </c:pt>
                <c:pt idx="35">
                  <c:v>96.896716693347727</c:v>
                </c:pt>
                <c:pt idx="36">
                  <c:v>96.716755901150634</c:v>
                </c:pt>
                <c:pt idx="37">
                  <c:v>96.476116660830911</c:v>
                </c:pt>
                <c:pt idx="38">
                  <c:v>96.233955123437539</c:v>
                </c:pt>
                <c:pt idx="39">
                  <c:v>96.128059621025798</c:v>
                </c:pt>
              </c:numCache>
            </c:numRef>
          </c:val>
          <c:smooth val="0"/>
          <c:extLst>
            <c:ext xmlns:c16="http://schemas.microsoft.com/office/drawing/2014/chart" uri="{C3380CC4-5D6E-409C-BE32-E72D297353CC}">
              <c16:uniqueId val="{0000002F-5518-4896-ADFB-5D673A4B48DB}"/>
            </c:ext>
          </c:extLst>
        </c:ser>
        <c:dLbls>
          <c:showLegendKey val="0"/>
          <c:showVal val="0"/>
          <c:showCatName val="0"/>
          <c:showSerName val="0"/>
          <c:showPercent val="0"/>
          <c:showBubbleSize val="0"/>
        </c:dLbls>
        <c:marker val="1"/>
        <c:smooth val="0"/>
        <c:axId val="2092140944"/>
        <c:axId val="2092131696"/>
      </c:lineChart>
      <c:dateAx>
        <c:axId val="2092140944"/>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en-US"/>
          </a:p>
        </c:txPr>
        <c:crossAx val="2092131696"/>
        <c:crosses val="autoZero"/>
        <c:auto val="1"/>
        <c:lblOffset val="0"/>
        <c:baseTimeUnit val="months"/>
        <c:majorUnit val="12"/>
        <c:majorTimeUnit val="months"/>
      </c:dateAx>
      <c:valAx>
        <c:axId val="2092131696"/>
        <c:scaling>
          <c:orientation val="minMax"/>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92140944"/>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232712471043058E-2"/>
          <c:y val="3.5328753680078512E-2"/>
          <c:w val="0.94644103857851081"/>
          <c:h val="0.82206053487671249"/>
        </c:manualLayout>
      </c:layout>
      <c:areaChart>
        <c:grouping val="stacked"/>
        <c:varyColors val="0"/>
        <c:ser>
          <c:idx val="0"/>
          <c:order val="0"/>
          <c:tx>
            <c:strRef>
              <c:f>'Quarterly GDP chart fan'!$AE$16</c:f>
              <c:strCache>
                <c:ptCount val="1"/>
                <c:pt idx="0">
                  <c:v>Baza</c:v>
                </c:pt>
              </c:strCache>
            </c:strRef>
          </c:tx>
          <c:spPr>
            <a:noFill/>
            <a:ln>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fan'!$AE$17:$AE$33</c:f>
              <c:numCache>
                <c:formatCode>0.00</c:formatCode>
                <c:ptCount val="8"/>
                <c:pt idx="0">
                  <c:v>4.5999999999999996</c:v>
                </c:pt>
                <c:pt idx="1">
                  <c:v>4.5</c:v>
                </c:pt>
                <c:pt idx="2">
                  <c:v>3.2</c:v>
                </c:pt>
                <c:pt idx="3">
                  <c:v>3.2690420744048083</c:v>
                </c:pt>
                <c:pt idx="4">
                  <c:v>2</c:v>
                </c:pt>
                <c:pt idx="5">
                  <c:v>1.9209103207922456</c:v>
                </c:pt>
                <c:pt idx="6">
                  <c:v>1.7596210706643178</c:v>
                </c:pt>
                <c:pt idx="7">
                  <c:v>1.391919721091871</c:v>
                </c:pt>
              </c:numCache>
            </c:numRef>
          </c:val>
          <c:extLst>
            <c:ext xmlns:c16="http://schemas.microsoft.com/office/drawing/2014/chart" uri="{C3380CC4-5D6E-409C-BE32-E72D297353CC}">
              <c16:uniqueId val="{00000000-6A1C-4845-8431-4E99C448D996}"/>
            </c:ext>
          </c:extLst>
        </c:ser>
        <c:ser>
          <c:idx val="1"/>
          <c:order val="1"/>
          <c:tx>
            <c:strRef>
              <c:f>'Quarterly GDP chart fan'!$AF$16</c:f>
              <c:strCache>
                <c:ptCount val="1"/>
                <c:pt idx="0">
                  <c:v>Lower 10</c:v>
                </c:pt>
              </c:strCache>
            </c:strRef>
          </c:tx>
          <c:spPr>
            <a:solidFill>
              <a:srgbClr val="C00000">
                <a:alpha val="1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fan'!$AF$17:$AF$33</c:f>
              <c:numCache>
                <c:formatCode>0.0000</c:formatCode>
                <c:ptCount val="8"/>
                <c:pt idx="0">
                  <c:v>0</c:v>
                </c:pt>
                <c:pt idx="1">
                  <c:v>0</c:v>
                </c:pt>
                <c:pt idx="2">
                  <c:v>0</c:v>
                </c:pt>
                <c:pt idx="3">
                  <c:v>0</c:v>
                </c:pt>
                <c:pt idx="4">
                  <c:v>0</c:v>
                </c:pt>
                <c:pt idx="5">
                  <c:v>0.18181818181818188</c:v>
                </c:pt>
                <c:pt idx="6">
                  <c:v>0.28787878787878785</c:v>
                </c:pt>
                <c:pt idx="7">
                  <c:v>0.39393939393939403</c:v>
                </c:pt>
              </c:numCache>
            </c:numRef>
          </c:val>
          <c:extLst>
            <c:ext xmlns:c16="http://schemas.microsoft.com/office/drawing/2014/chart" uri="{C3380CC4-5D6E-409C-BE32-E72D297353CC}">
              <c16:uniqueId val="{00000001-6A1C-4845-8431-4E99C448D996}"/>
            </c:ext>
          </c:extLst>
        </c:ser>
        <c:ser>
          <c:idx val="2"/>
          <c:order val="2"/>
          <c:tx>
            <c:strRef>
              <c:f>'Quarterly GDP chart fan'!$AG$16</c:f>
              <c:strCache>
                <c:ptCount val="1"/>
                <c:pt idx="0">
                  <c:v>Lower 9</c:v>
                </c:pt>
              </c:strCache>
            </c:strRef>
          </c:tx>
          <c:spPr>
            <a:solidFill>
              <a:srgbClr val="C00000">
                <a:alpha val="2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fan'!$AG$17:$AG$33</c:f>
              <c:numCache>
                <c:formatCode>0.0000</c:formatCode>
                <c:ptCount val="8"/>
                <c:pt idx="0">
                  <c:v>0</c:v>
                </c:pt>
                <c:pt idx="1">
                  <c:v>0</c:v>
                </c:pt>
                <c:pt idx="2">
                  <c:v>0</c:v>
                </c:pt>
                <c:pt idx="3">
                  <c:v>0</c:v>
                </c:pt>
                <c:pt idx="4">
                  <c:v>0</c:v>
                </c:pt>
                <c:pt idx="5">
                  <c:v>0.16363636363636358</c:v>
                </c:pt>
                <c:pt idx="6">
                  <c:v>0.25909090909090926</c:v>
                </c:pt>
                <c:pt idx="7">
                  <c:v>0.35454545454545472</c:v>
                </c:pt>
              </c:numCache>
            </c:numRef>
          </c:val>
          <c:extLst>
            <c:ext xmlns:c16="http://schemas.microsoft.com/office/drawing/2014/chart" uri="{C3380CC4-5D6E-409C-BE32-E72D297353CC}">
              <c16:uniqueId val="{00000002-6A1C-4845-8431-4E99C448D996}"/>
            </c:ext>
          </c:extLst>
        </c:ser>
        <c:ser>
          <c:idx val="3"/>
          <c:order val="3"/>
          <c:tx>
            <c:strRef>
              <c:f>'Quarterly GDP chart fan'!$AH$16</c:f>
              <c:strCache>
                <c:ptCount val="1"/>
                <c:pt idx="0">
                  <c:v>Lower 8</c:v>
                </c:pt>
              </c:strCache>
            </c:strRef>
          </c:tx>
          <c:spPr>
            <a:solidFill>
              <a:srgbClr val="C00000">
                <a:alpha val="3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fan'!$AH$17:$AH$33</c:f>
              <c:numCache>
                <c:formatCode>0.0000</c:formatCode>
                <c:ptCount val="8"/>
                <c:pt idx="0">
                  <c:v>0</c:v>
                </c:pt>
                <c:pt idx="1">
                  <c:v>0</c:v>
                </c:pt>
                <c:pt idx="2">
                  <c:v>0</c:v>
                </c:pt>
                <c:pt idx="3">
                  <c:v>0</c:v>
                </c:pt>
                <c:pt idx="4">
                  <c:v>0</c:v>
                </c:pt>
                <c:pt idx="5">
                  <c:v>0.1454545454545455</c:v>
                </c:pt>
                <c:pt idx="6">
                  <c:v>0.23030303030303045</c:v>
                </c:pt>
                <c:pt idx="7">
                  <c:v>0.3151515151515154</c:v>
                </c:pt>
              </c:numCache>
            </c:numRef>
          </c:val>
          <c:extLst>
            <c:ext xmlns:c16="http://schemas.microsoft.com/office/drawing/2014/chart" uri="{C3380CC4-5D6E-409C-BE32-E72D297353CC}">
              <c16:uniqueId val="{00000003-6A1C-4845-8431-4E99C448D996}"/>
            </c:ext>
          </c:extLst>
        </c:ser>
        <c:ser>
          <c:idx val="4"/>
          <c:order val="4"/>
          <c:tx>
            <c:strRef>
              <c:f>'Quarterly GDP chart fan'!$AI$16</c:f>
              <c:strCache>
                <c:ptCount val="1"/>
                <c:pt idx="0">
                  <c:v>Lower 7</c:v>
                </c:pt>
              </c:strCache>
            </c:strRef>
          </c:tx>
          <c:spPr>
            <a:solidFill>
              <a:srgbClr val="C00000">
                <a:alpha val="4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fan'!$AI$17:$AI$33</c:f>
              <c:numCache>
                <c:formatCode>0.0000</c:formatCode>
                <c:ptCount val="8"/>
                <c:pt idx="0">
                  <c:v>0</c:v>
                </c:pt>
                <c:pt idx="1">
                  <c:v>0</c:v>
                </c:pt>
                <c:pt idx="2">
                  <c:v>0</c:v>
                </c:pt>
                <c:pt idx="3">
                  <c:v>0</c:v>
                </c:pt>
                <c:pt idx="4">
                  <c:v>0</c:v>
                </c:pt>
                <c:pt idx="5">
                  <c:v>0.12727272727272743</c:v>
                </c:pt>
                <c:pt idx="6">
                  <c:v>0.20151515151515165</c:v>
                </c:pt>
                <c:pt idx="7">
                  <c:v>0.27575757575757587</c:v>
                </c:pt>
              </c:numCache>
            </c:numRef>
          </c:val>
          <c:extLst>
            <c:ext xmlns:c16="http://schemas.microsoft.com/office/drawing/2014/chart" uri="{C3380CC4-5D6E-409C-BE32-E72D297353CC}">
              <c16:uniqueId val="{00000004-6A1C-4845-8431-4E99C448D996}"/>
            </c:ext>
          </c:extLst>
        </c:ser>
        <c:ser>
          <c:idx val="5"/>
          <c:order val="5"/>
          <c:tx>
            <c:strRef>
              <c:f>'Quarterly GDP chart fan'!$AJ$16</c:f>
              <c:strCache>
                <c:ptCount val="1"/>
                <c:pt idx="0">
                  <c:v>Lower 6</c:v>
                </c:pt>
              </c:strCache>
            </c:strRef>
          </c:tx>
          <c:spPr>
            <a:solidFill>
              <a:srgbClr val="C00000">
                <a:alpha val="5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fan'!$AJ$17:$AJ$33</c:f>
              <c:numCache>
                <c:formatCode>0.0000</c:formatCode>
                <c:ptCount val="8"/>
                <c:pt idx="0">
                  <c:v>0</c:v>
                </c:pt>
                <c:pt idx="1">
                  <c:v>0</c:v>
                </c:pt>
                <c:pt idx="2">
                  <c:v>0</c:v>
                </c:pt>
                <c:pt idx="3">
                  <c:v>0</c:v>
                </c:pt>
                <c:pt idx="4">
                  <c:v>0</c:v>
                </c:pt>
                <c:pt idx="5">
                  <c:v>0.10909090909090891</c:v>
                </c:pt>
                <c:pt idx="6">
                  <c:v>0.17272727272727284</c:v>
                </c:pt>
                <c:pt idx="7">
                  <c:v>0.23636363636363633</c:v>
                </c:pt>
              </c:numCache>
            </c:numRef>
          </c:val>
          <c:extLst>
            <c:ext xmlns:c16="http://schemas.microsoft.com/office/drawing/2014/chart" uri="{C3380CC4-5D6E-409C-BE32-E72D297353CC}">
              <c16:uniqueId val="{00000005-6A1C-4845-8431-4E99C448D996}"/>
            </c:ext>
          </c:extLst>
        </c:ser>
        <c:ser>
          <c:idx val="6"/>
          <c:order val="6"/>
          <c:tx>
            <c:strRef>
              <c:f>'Quarterly GDP chart fan'!$AK$16</c:f>
              <c:strCache>
                <c:ptCount val="1"/>
                <c:pt idx="0">
                  <c:v>Lower 5</c:v>
                </c:pt>
              </c:strCache>
            </c:strRef>
          </c:tx>
          <c:spPr>
            <a:solidFill>
              <a:srgbClr val="C00000">
                <a:alpha val="6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fan'!$AK$17:$AK$33</c:f>
              <c:numCache>
                <c:formatCode>0.0000</c:formatCode>
                <c:ptCount val="8"/>
                <c:pt idx="0">
                  <c:v>0</c:v>
                </c:pt>
                <c:pt idx="1">
                  <c:v>0</c:v>
                </c:pt>
                <c:pt idx="2">
                  <c:v>0</c:v>
                </c:pt>
                <c:pt idx="3">
                  <c:v>0</c:v>
                </c:pt>
                <c:pt idx="4">
                  <c:v>0</c:v>
                </c:pt>
                <c:pt idx="5">
                  <c:v>9.0909090909090828E-2</c:v>
                </c:pt>
                <c:pt idx="6">
                  <c:v>0.14393939393939403</c:v>
                </c:pt>
                <c:pt idx="7">
                  <c:v>0.19696969696969679</c:v>
                </c:pt>
              </c:numCache>
            </c:numRef>
          </c:val>
          <c:extLst>
            <c:ext xmlns:c16="http://schemas.microsoft.com/office/drawing/2014/chart" uri="{C3380CC4-5D6E-409C-BE32-E72D297353CC}">
              <c16:uniqueId val="{00000006-6A1C-4845-8431-4E99C448D996}"/>
            </c:ext>
          </c:extLst>
        </c:ser>
        <c:ser>
          <c:idx val="7"/>
          <c:order val="7"/>
          <c:tx>
            <c:strRef>
              <c:f>'Quarterly GDP chart fan'!$AL$16</c:f>
              <c:strCache>
                <c:ptCount val="1"/>
                <c:pt idx="0">
                  <c:v>Lower 4</c:v>
                </c:pt>
              </c:strCache>
            </c:strRef>
          </c:tx>
          <c:spPr>
            <a:solidFill>
              <a:srgbClr val="C00000">
                <a:alpha val="7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fan'!$AL$17:$AL$33</c:f>
              <c:numCache>
                <c:formatCode>0.0000</c:formatCode>
                <c:ptCount val="8"/>
                <c:pt idx="0">
                  <c:v>0</c:v>
                </c:pt>
                <c:pt idx="1">
                  <c:v>0</c:v>
                </c:pt>
                <c:pt idx="2">
                  <c:v>0</c:v>
                </c:pt>
                <c:pt idx="3">
                  <c:v>0</c:v>
                </c:pt>
                <c:pt idx="4">
                  <c:v>0</c:v>
                </c:pt>
                <c:pt idx="5">
                  <c:v>7.2727272727272751E-2</c:v>
                </c:pt>
                <c:pt idx="6">
                  <c:v>0.11515151515151523</c:v>
                </c:pt>
                <c:pt idx="7">
                  <c:v>0.1575757575757577</c:v>
                </c:pt>
              </c:numCache>
            </c:numRef>
          </c:val>
          <c:extLst>
            <c:ext xmlns:c16="http://schemas.microsoft.com/office/drawing/2014/chart" uri="{C3380CC4-5D6E-409C-BE32-E72D297353CC}">
              <c16:uniqueId val="{00000007-6A1C-4845-8431-4E99C448D996}"/>
            </c:ext>
          </c:extLst>
        </c:ser>
        <c:ser>
          <c:idx val="8"/>
          <c:order val="8"/>
          <c:tx>
            <c:strRef>
              <c:f>'Quarterly GDP chart fan'!$AM$16</c:f>
              <c:strCache>
                <c:ptCount val="1"/>
                <c:pt idx="0">
                  <c:v>Lower 3</c:v>
                </c:pt>
              </c:strCache>
            </c:strRef>
          </c:tx>
          <c:spPr>
            <a:solidFill>
              <a:srgbClr val="C00000">
                <a:alpha val="8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fan'!$AM$17:$AM$33</c:f>
              <c:numCache>
                <c:formatCode>0.0000</c:formatCode>
                <c:ptCount val="8"/>
                <c:pt idx="0">
                  <c:v>0</c:v>
                </c:pt>
                <c:pt idx="1">
                  <c:v>0</c:v>
                </c:pt>
                <c:pt idx="2">
                  <c:v>0</c:v>
                </c:pt>
                <c:pt idx="3">
                  <c:v>0</c:v>
                </c:pt>
                <c:pt idx="4">
                  <c:v>0</c:v>
                </c:pt>
                <c:pt idx="5">
                  <c:v>5.4545454545454675E-2</c:v>
                </c:pt>
                <c:pt idx="6">
                  <c:v>8.636363636363642E-2</c:v>
                </c:pt>
                <c:pt idx="7">
                  <c:v>0.11818181818181817</c:v>
                </c:pt>
              </c:numCache>
            </c:numRef>
          </c:val>
          <c:extLst>
            <c:ext xmlns:c16="http://schemas.microsoft.com/office/drawing/2014/chart" uri="{C3380CC4-5D6E-409C-BE32-E72D297353CC}">
              <c16:uniqueId val="{00000008-6A1C-4845-8431-4E99C448D996}"/>
            </c:ext>
          </c:extLst>
        </c:ser>
        <c:ser>
          <c:idx val="9"/>
          <c:order val="9"/>
          <c:tx>
            <c:strRef>
              <c:f>'Quarterly GDP chart fan'!$AN$16</c:f>
              <c:strCache>
                <c:ptCount val="1"/>
                <c:pt idx="0">
                  <c:v>Lower 2</c:v>
                </c:pt>
              </c:strCache>
            </c:strRef>
          </c:tx>
          <c:spPr>
            <a:solidFill>
              <a:srgbClr val="C00000">
                <a:alpha val="9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fan'!$AN$17:$AN$33</c:f>
              <c:numCache>
                <c:formatCode>0.0000</c:formatCode>
                <c:ptCount val="8"/>
                <c:pt idx="0">
                  <c:v>0</c:v>
                </c:pt>
                <c:pt idx="1">
                  <c:v>0</c:v>
                </c:pt>
                <c:pt idx="2">
                  <c:v>0</c:v>
                </c:pt>
                <c:pt idx="3">
                  <c:v>0</c:v>
                </c:pt>
                <c:pt idx="4">
                  <c:v>0</c:v>
                </c:pt>
                <c:pt idx="5">
                  <c:v>3.6363636363636154E-2</c:v>
                </c:pt>
                <c:pt idx="6">
                  <c:v>5.7575757575757613E-2</c:v>
                </c:pt>
                <c:pt idx="7">
                  <c:v>7.8787878787878629E-2</c:v>
                </c:pt>
              </c:numCache>
            </c:numRef>
          </c:val>
          <c:extLst>
            <c:ext xmlns:c16="http://schemas.microsoft.com/office/drawing/2014/chart" uri="{C3380CC4-5D6E-409C-BE32-E72D297353CC}">
              <c16:uniqueId val="{00000009-6A1C-4845-8431-4E99C448D996}"/>
            </c:ext>
          </c:extLst>
        </c:ser>
        <c:ser>
          <c:idx val="10"/>
          <c:order val="10"/>
          <c:tx>
            <c:strRef>
              <c:f>'Quarterly GDP chart fan'!$AO$16</c:f>
              <c:strCache>
                <c:ptCount val="1"/>
                <c:pt idx="0">
                  <c:v>Lower 1</c:v>
                </c:pt>
              </c:strCache>
            </c:strRef>
          </c:tx>
          <c:spPr>
            <a:solidFill>
              <a:srgbClr val="C00000"/>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fan'!$AO$17:$AO$33</c:f>
              <c:numCache>
                <c:formatCode>0.0000</c:formatCode>
                <c:ptCount val="8"/>
                <c:pt idx="0">
                  <c:v>0</c:v>
                </c:pt>
                <c:pt idx="1">
                  <c:v>0</c:v>
                </c:pt>
                <c:pt idx="2">
                  <c:v>0</c:v>
                </c:pt>
                <c:pt idx="3">
                  <c:v>0</c:v>
                </c:pt>
                <c:pt idx="4">
                  <c:v>0</c:v>
                </c:pt>
                <c:pt idx="5">
                  <c:v>1.8181818181818077E-2</c:v>
                </c:pt>
                <c:pt idx="6">
                  <c:v>2.8787878787878807E-2</c:v>
                </c:pt>
                <c:pt idx="7">
                  <c:v>3.9393939393939537E-2</c:v>
                </c:pt>
              </c:numCache>
            </c:numRef>
          </c:val>
          <c:extLst>
            <c:ext xmlns:c16="http://schemas.microsoft.com/office/drawing/2014/chart" uri="{C3380CC4-5D6E-409C-BE32-E72D297353CC}">
              <c16:uniqueId val="{0000000A-6A1C-4845-8431-4E99C448D996}"/>
            </c:ext>
          </c:extLst>
        </c:ser>
        <c:ser>
          <c:idx val="11"/>
          <c:order val="11"/>
          <c:tx>
            <c:strRef>
              <c:f>'Quarterly GDP chart fan'!$AP$16</c:f>
              <c:strCache>
                <c:ptCount val="1"/>
                <c:pt idx="0">
                  <c:v>Upper 1</c:v>
                </c:pt>
              </c:strCache>
            </c:strRef>
          </c:tx>
          <c:spPr>
            <a:solidFill>
              <a:srgbClr val="C00000"/>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fan'!$AP$17:$AP$33</c:f>
              <c:numCache>
                <c:formatCode>0.0000</c:formatCode>
                <c:ptCount val="8"/>
                <c:pt idx="0">
                  <c:v>0</c:v>
                </c:pt>
                <c:pt idx="1">
                  <c:v>0</c:v>
                </c:pt>
                <c:pt idx="2">
                  <c:v>0</c:v>
                </c:pt>
                <c:pt idx="3">
                  <c:v>0</c:v>
                </c:pt>
                <c:pt idx="4">
                  <c:v>0</c:v>
                </c:pt>
                <c:pt idx="5">
                  <c:v>1.8181818181818077E-2</c:v>
                </c:pt>
                <c:pt idx="6">
                  <c:v>2.8787878787878807E-2</c:v>
                </c:pt>
                <c:pt idx="7">
                  <c:v>3.9393939393939537E-2</c:v>
                </c:pt>
              </c:numCache>
            </c:numRef>
          </c:val>
          <c:extLst>
            <c:ext xmlns:c16="http://schemas.microsoft.com/office/drawing/2014/chart" uri="{C3380CC4-5D6E-409C-BE32-E72D297353CC}">
              <c16:uniqueId val="{0000000B-6A1C-4845-8431-4E99C448D996}"/>
            </c:ext>
          </c:extLst>
        </c:ser>
        <c:ser>
          <c:idx val="12"/>
          <c:order val="12"/>
          <c:tx>
            <c:strRef>
              <c:f>'Quarterly GDP chart fan'!$AQ$16</c:f>
              <c:strCache>
                <c:ptCount val="1"/>
                <c:pt idx="0">
                  <c:v>Upper 2</c:v>
                </c:pt>
              </c:strCache>
            </c:strRef>
          </c:tx>
          <c:spPr>
            <a:solidFill>
              <a:srgbClr val="C00000">
                <a:alpha val="9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fan'!$AQ$17:$AQ$33</c:f>
              <c:numCache>
                <c:formatCode>0.0000</c:formatCode>
                <c:ptCount val="8"/>
                <c:pt idx="0">
                  <c:v>0</c:v>
                </c:pt>
                <c:pt idx="1">
                  <c:v>0</c:v>
                </c:pt>
                <c:pt idx="2">
                  <c:v>0</c:v>
                </c:pt>
                <c:pt idx="3">
                  <c:v>0</c:v>
                </c:pt>
                <c:pt idx="4">
                  <c:v>0</c:v>
                </c:pt>
                <c:pt idx="5">
                  <c:v>3.6363636363636154E-2</c:v>
                </c:pt>
                <c:pt idx="6">
                  <c:v>5.7575757575757613E-2</c:v>
                </c:pt>
                <c:pt idx="7">
                  <c:v>7.8787878787878629E-2</c:v>
                </c:pt>
              </c:numCache>
            </c:numRef>
          </c:val>
          <c:extLst>
            <c:ext xmlns:c16="http://schemas.microsoft.com/office/drawing/2014/chart" uri="{C3380CC4-5D6E-409C-BE32-E72D297353CC}">
              <c16:uniqueId val="{0000000C-6A1C-4845-8431-4E99C448D996}"/>
            </c:ext>
          </c:extLst>
        </c:ser>
        <c:ser>
          <c:idx val="13"/>
          <c:order val="13"/>
          <c:tx>
            <c:strRef>
              <c:f>'Quarterly GDP chart fan'!$AR$16</c:f>
              <c:strCache>
                <c:ptCount val="1"/>
                <c:pt idx="0">
                  <c:v>Upper 3</c:v>
                </c:pt>
              </c:strCache>
            </c:strRef>
          </c:tx>
          <c:spPr>
            <a:solidFill>
              <a:srgbClr val="C00000">
                <a:alpha val="8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fan'!$AR$17:$AR$33</c:f>
              <c:numCache>
                <c:formatCode>0.0000</c:formatCode>
                <c:ptCount val="8"/>
                <c:pt idx="0">
                  <c:v>0</c:v>
                </c:pt>
                <c:pt idx="1">
                  <c:v>0</c:v>
                </c:pt>
                <c:pt idx="2">
                  <c:v>0</c:v>
                </c:pt>
                <c:pt idx="3">
                  <c:v>0</c:v>
                </c:pt>
                <c:pt idx="4">
                  <c:v>0</c:v>
                </c:pt>
                <c:pt idx="5">
                  <c:v>5.4545454545454675E-2</c:v>
                </c:pt>
                <c:pt idx="6">
                  <c:v>8.636363636363642E-2</c:v>
                </c:pt>
                <c:pt idx="7">
                  <c:v>0.11818181818181817</c:v>
                </c:pt>
              </c:numCache>
            </c:numRef>
          </c:val>
          <c:extLst>
            <c:ext xmlns:c16="http://schemas.microsoft.com/office/drawing/2014/chart" uri="{C3380CC4-5D6E-409C-BE32-E72D297353CC}">
              <c16:uniqueId val="{0000000D-6A1C-4845-8431-4E99C448D996}"/>
            </c:ext>
          </c:extLst>
        </c:ser>
        <c:ser>
          <c:idx val="14"/>
          <c:order val="14"/>
          <c:tx>
            <c:strRef>
              <c:f>'Quarterly GDP chart fan'!$AS$16</c:f>
              <c:strCache>
                <c:ptCount val="1"/>
                <c:pt idx="0">
                  <c:v>Upper 4</c:v>
                </c:pt>
              </c:strCache>
            </c:strRef>
          </c:tx>
          <c:spPr>
            <a:solidFill>
              <a:srgbClr val="C00000">
                <a:alpha val="7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fan'!$AS$17:$AS$33</c:f>
              <c:numCache>
                <c:formatCode>0.0000</c:formatCode>
                <c:ptCount val="8"/>
                <c:pt idx="0">
                  <c:v>0</c:v>
                </c:pt>
                <c:pt idx="1">
                  <c:v>0</c:v>
                </c:pt>
                <c:pt idx="2">
                  <c:v>0</c:v>
                </c:pt>
                <c:pt idx="3">
                  <c:v>0</c:v>
                </c:pt>
                <c:pt idx="4">
                  <c:v>0</c:v>
                </c:pt>
                <c:pt idx="5">
                  <c:v>7.2727272727272751E-2</c:v>
                </c:pt>
                <c:pt idx="6">
                  <c:v>0.11515151515151523</c:v>
                </c:pt>
                <c:pt idx="7">
                  <c:v>0.1575757575757577</c:v>
                </c:pt>
              </c:numCache>
            </c:numRef>
          </c:val>
          <c:extLst>
            <c:ext xmlns:c16="http://schemas.microsoft.com/office/drawing/2014/chart" uri="{C3380CC4-5D6E-409C-BE32-E72D297353CC}">
              <c16:uniqueId val="{0000000E-6A1C-4845-8431-4E99C448D996}"/>
            </c:ext>
          </c:extLst>
        </c:ser>
        <c:ser>
          <c:idx val="15"/>
          <c:order val="15"/>
          <c:tx>
            <c:strRef>
              <c:f>'Quarterly GDP chart fan'!$AT$16</c:f>
              <c:strCache>
                <c:ptCount val="1"/>
                <c:pt idx="0">
                  <c:v>Upper 5</c:v>
                </c:pt>
              </c:strCache>
            </c:strRef>
          </c:tx>
          <c:spPr>
            <a:solidFill>
              <a:srgbClr val="C00000">
                <a:alpha val="6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fan'!$AT$17:$AT$33</c:f>
              <c:numCache>
                <c:formatCode>0.0000</c:formatCode>
                <c:ptCount val="8"/>
                <c:pt idx="0">
                  <c:v>0</c:v>
                </c:pt>
                <c:pt idx="1">
                  <c:v>0</c:v>
                </c:pt>
                <c:pt idx="2">
                  <c:v>0</c:v>
                </c:pt>
                <c:pt idx="3">
                  <c:v>0</c:v>
                </c:pt>
                <c:pt idx="4">
                  <c:v>0</c:v>
                </c:pt>
                <c:pt idx="5">
                  <c:v>9.0909090909090828E-2</c:v>
                </c:pt>
                <c:pt idx="6">
                  <c:v>0.14393939393939403</c:v>
                </c:pt>
                <c:pt idx="7">
                  <c:v>0.19696969696969679</c:v>
                </c:pt>
              </c:numCache>
            </c:numRef>
          </c:val>
          <c:extLst>
            <c:ext xmlns:c16="http://schemas.microsoft.com/office/drawing/2014/chart" uri="{C3380CC4-5D6E-409C-BE32-E72D297353CC}">
              <c16:uniqueId val="{0000000F-6A1C-4845-8431-4E99C448D996}"/>
            </c:ext>
          </c:extLst>
        </c:ser>
        <c:ser>
          <c:idx val="16"/>
          <c:order val="16"/>
          <c:tx>
            <c:strRef>
              <c:f>'Quarterly GDP chart fan'!$AU$16</c:f>
              <c:strCache>
                <c:ptCount val="1"/>
                <c:pt idx="0">
                  <c:v>Upper 6</c:v>
                </c:pt>
              </c:strCache>
            </c:strRef>
          </c:tx>
          <c:spPr>
            <a:solidFill>
              <a:srgbClr val="C00000">
                <a:alpha val="5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fan'!$AU$17:$AU$33</c:f>
              <c:numCache>
                <c:formatCode>0.0000</c:formatCode>
                <c:ptCount val="8"/>
                <c:pt idx="0">
                  <c:v>0</c:v>
                </c:pt>
                <c:pt idx="1">
                  <c:v>0</c:v>
                </c:pt>
                <c:pt idx="2">
                  <c:v>0</c:v>
                </c:pt>
                <c:pt idx="3">
                  <c:v>0</c:v>
                </c:pt>
                <c:pt idx="4">
                  <c:v>0</c:v>
                </c:pt>
                <c:pt idx="5">
                  <c:v>0.10909090909090891</c:v>
                </c:pt>
                <c:pt idx="6">
                  <c:v>0.17272727272727284</c:v>
                </c:pt>
                <c:pt idx="7">
                  <c:v>0.23636363636363633</c:v>
                </c:pt>
              </c:numCache>
            </c:numRef>
          </c:val>
          <c:extLst>
            <c:ext xmlns:c16="http://schemas.microsoft.com/office/drawing/2014/chart" uri="{C3380CC4-5D6E-409C-BE32-E72D297353CC}">
              <c16:uniqueId val="{00000010-6A1C-4845-8431-4E99C448D996}"/>
            </c:ext>
          </c:extLst>
        </c:ser>
        <c:ser>
          <c:idx val="17"/>
          <c:order val="17"/>
          <c:tx>
            <c:strRef>
              <c:f>'Quarterly GDP chart fan'!$AV$16</c:f>
              <c:strCache>
                <c:ptCount val="1"/>
                <c:pt idx="0">
                  <c:v>Upper 7</c:v>
                </c:pt>
              </c:strCache>
            </c:strRef>
          </c:tx>
          <c:spPr>
            <a:solidFill>
              <a:srgbClr val="C00000">
                <a:alpha val="4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fan'!$AV$17:$AV$33</c:f>
              <c:numCache>
                <c:formatCode>0.0000</c:formatCode>
                <c:ptCount val="8"/>
                <c:pt idx="0">
                  <c:v>0</c:v>
                </c:pt>
                <c:pt idx="1">
                  <c:v>0</c:v>
                </c:pt>
                <c:pt idx="2">
                  <c:v>0</c:v>
                </c:pt>
                <c:pt idx="3">
                  <c:v>0</c:v>
                </c:pt>
                <c:pt idx="4">
                  <c:v>0</c:v>
                </c:pt>
                <c:pt idx="5">
                  <c:v>0.12727272727272743</c:v>
                </c:pt>
                <c:pt idx="6">
                  <c:v>0.20151515151515165</c:v>
                </c:pt>
                <c:pt idx="7">
                  <c:v>0.27575757575757542</c:v>
                </c:pt>
              </c:numCache>
            </c:numRef>
          </c:val>
          <c:extLst>
            <c:ext xmlns:c16="http://schemas.microsoft.com/office/drawing/2014/chart" uri="{C3380CC4-5D6E-409C-BE32-E72D297353CC}">
              <c16:uniqueId val="{00000011-6A1C-4845-8431-4E99C448D996}"/>
            </c:ext>
          </c:extLst>
        </c:ser>
        <c:ser>
          <c:idx val="18"/>
          <c:order val="18"/>
          <c:tx>
            <c:strRef>
              <c:f>'Quarterly GDP chart fan'!$AW$16</c:f>
              <c:strCache>
                <c:ptCount val="1"/>
                <c:pt idx="0">
                  <c:v>Upper 8</c:v>
                </c:pt>
              </c:strCache>
            </c:strRef>
          </c:tx>
          <c:spPr>
            <a:solidFill>
              <a:srgbClr val="C00000">
                <a:alpha val="3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fan'!$AW$17:$AW$33</c:f>
              <c:numCache>
                <c:formatCode>0.0000</c:formatCode>
                <c:ptCount val="8"/>
                <c:pt idx="0">
                  <c:v>0</c:v>
                </c:pt>
                <c:pt idx="1">
                  <c:v>0</c:v>
                </c:pt>
                <c:pt idx="2">
                  <c:v>0</c:v>
                </c:pt>
                <c:pt idx="3">
                  <c:v>0</c:v>
                </c:pt>
                <c:pt idx="4">
                  <c:v>0</c:v>
                </c:pt>
                <c:pt idx="5">
                  <c:v>0.1454545454545455</c:v>
                </c:pt>
                <c:pt idx="6">
                  <c:v>0.23030303030303045</c:v>
                </c:pt>
                <c:pt idx="7">
                  <c:v>0.3151515151515154</c:v>
                </c:pt>
              </c:numCache>
            </c:numRef>
          </c:val>
          <c:extLst>
            <c:ext xmlns:c16="http://schemas.microsoft.com/office/drawing/2014/chart" uri="{C3380CC4-5D6E-409C-BE32-E72D297353CC}">
              <c16:uniqueId val="{00000012-6A1C-4845-8431-4E99C448D996}"/>
            </c:ext>
          </c:extLst>
        </c:ser>
        <c:ser>
          <c:idx val="19"/>
          <c:order val="19"/>
          <c:tx>
            <c:strRef>
              <c:f>'Quarterly GDP chart fan'!$AX$16</c:f>
              <c:strCache>
                <c:ptCount val="1"/>
                <c:pt idx="0">
                  <c:v>Upper 9</c:v>
                </c:pt>
              </c:strCache>
            </c:strRef>
          </c:tx>
          <c:spPr>
            <a:solidFill>
              <a:srgbClr val="C00000">
                <a:alpha val="2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fan'!$AX$17:$AX$33</c:f>
              <c:numCache>
                <c:formatCode>0.0000</c:formatCode>
                <c:ptCount val="8"/>
                <c:pt idx="0">
                  <c:v>0</c:v>
                </c:pt>
                <c:pt idx="1">
                  <c:v>0</c:v>
                </c:pt>
                <c:pt idx="2">
                  <c:v>0</c:v>
                </c:pt>
                <c:pt idx="3">
                  <c:v>0</c:v>
                </c:pt>
                <c:pt idx="4">
                  <c:v>0</c:v>
                </c:pt>
                <c:pt idx="5">
                  <c:v>0.16363636363636358</c:v>
                </c:pt>
                <c:pt idx="6">
                  <c:v>0.25909090909090882</c:v>
                </c:pt>
                <c:pt idx="7">
                  <c:v>0.3545454545454545</c:v>
                </c:pt>
              </c:numCache>
            </c:numRef>
          </c:val>
          <c:extLst>
            <c:ext xmlns:c16="http://schemas.microsoft.com/office/drawing/2014/chart" uri="{C3380CC4-5D6E-409C-BE32-E72D297353CC}">
              <c16:uniqueId val="{00000013-6A1C-4845-8431-4E99C448D996}"/>
            </c:ext>
          </c:extLst>
        </c:ser>
        <c:ser>
          <c:idx val="20"/>
          <c:order val="20"/>
          <c:tx>
            <c:strRef>
              <c:f>'Quarterly GDP chart fan'!$AY$16</c:f>
              <c:strCache>
                <c:ptCount val="1"/>
                <c:pt idx="0">
                  <c:v>Upper 10</c:v>
                </c:pt>
              </c:strCache>
            </c:strRef>
          </c:tx>
          <c:spPr>
            <a:solidFill>
              <a:srgbClr val="C00000">
                <a:alpha val="10000"/>
              </a:srgbClr>
            </a:solidFill>
            <a:ln w="25400">
              <a:noFill/>
            </a:ln>
            <a:effectLst/>
          </c:spPr>
          <c:cat>
            <c:multiLvlStrRef>
              <c:f>'Quarterly GDP chart fan'!$B$17:$C$33</c:f>
              <c:multiLvlStrCache>
                <c:ptCount val="8"/>
                <c:lvl>
                  <c:pt idx="0">
                    <c:v>Q1</c:v>
                  </c:pt>
                  <c:pt idx="1">
                    <c:v>Q2</c:v>
                  </c:pt>
                  <c:pt idx="2">
                    <c:v>Q3</c:v>
                  </c:pt>
                  <c:pt idx="3">
                    <c:v>Q4</c:v>
                  </c:pt>
                  <c:pt idx="4">
                    <c:v>Q1</c:v>
                  </c:pt>
                  <c:pt idx="5">
                    <c:v>Q2</c:v>
                  </c:pt>
                  <c:pt idx="6">
                    <c:v>Q3</c:v>
                  </c:pt>
                  <c:pt idx="7">
                    <c:v>Q4</c:v>
                  </c:pt>
                </c:lvl>
                <c:lvl>
                  <c:pt idx="0">
                    <c:v>2024</c:v>
                  </c:pt>
                  <c:pt idx="4">
                    <c:v>2025</c:v>
                  </c:pt>
                </c:lvl>
              </c:multiLvlStrCache>
            </c:multiLvlStrRef>
          </c:cat>
          <c:val>
            <c:numRef>
              <c:f>'Quarterly GDP chart fan'!$AY$17:$AY$33</c:f>
              <c:numCache>
                <c:formatCode>0.0000</c:formatCode>
                <c:ptCount val="8"/>
                <c:pt idx="0">
                  <c:v>0</c:v>
                </c:pt>
                <c:pt idx="1">
                  <c:v>0</c:v>
                </c:pt>
                <c:pt idx="2">
                  <c:v>0</c:v>
                </c:pt>
                <c:pt idx="3">
                  <c:v>0</c:v>
                </c:pt>
                <c:pt idx="4">
                  <c:v>0</c:v>
                </c:pt>
                <c:pt idx="5">
                  <c:v>0.18181818181818166</c:v>
                </c:pt>
                <c:pt idx="6">
                  <c:v>0.28787878787878807</c:v>
                </c:pt>
                <c:pt idx="7">
                  <c:v>0.39393939393939359</c:v>
                </c:pt>
              </c:numCache>
            </c:numRef>
          </c:val>
          <c:extLst>
            <c:ext xmlns:c16="http://schemas.microsoft.com/office/drawing/2014/chart" uri="{C3380CC4-5D6E-409C-BE32-E72D297353CC}">
              <c16:uniqueId val="{00000014-6A1C-4845-8431-4E99C448D996}"/>
            </c:ext>
          </c:extLst>
        </c:ser>
        <c:dLbls>
          <c:showLegendKey val="0"/>
          <c:showVal val="0"/>
          <c:showCatName val="0"/>
          <c:showSerName val="0"/>
          <c:showPercent val="0"/>
          <c:showBubbleSize val="0"/>
        </c:dLbls>
        <c:axId val="136355472"/>
        <c:axId val="136350480"/>
      </c:areaChart>
      <c:lineChart>
        <c:grouping val="standard"/>
        <c:varyColors val="0"/>
        <c:ser>
          <c:idx val="21"/>
          <c:order val="21"/>
          <c:tx>
            <c:strRef>
              <c:f>'Quarterly GDP chart fan'!$J$16</c:f>
              <c:strCache>
                <c:ptCount val="1"/>
                <c:pt idx="0">
                  <c:v>Kombinovana</c:v>
                </c:pt>
              </c:strCache>
            </c:strRef>
          </c:tx>
          <c:spPr>
            <a:ln w="12700" cap="rnd">
              <a:solidFill>
                <a:schemeClr val="tx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8"/>
              <c:pt idx="0">
                <c:v>2024 Q1</c:v>
              </c:pt>
              <c:pt idx="1">
                <c:v>2024 Q2</c:v>
              </c:pt>
              <c:pt idx="2">
                <c:v>2024 Q3</c:v>
              </c:pt>
              <c:pt idx="3">
                <c:v>2024 Q4</c:v>
              </c:pt>
              <c:pt idx="4">
                <c:v>2025 Q1</c:v>
              </c:pt>
              <c:pt idx="5">
                <c:v>2025 Q2</c:v>
              </c:pt>
              <c:pt idx="6">
                <c:v>2025 Q3</c:v>
              </c:pt>
              <c:pt idx="7">
                <c:v>2025 Q4</c:v>
              </c:pt>
              <c:extLst>
                <c:ext xmlns:c15="http://schemas.microsoft.com/office/drawing/2012/chart" uri="{02D57815-91ED-43cb-92C2-25804820EDAC}">
                  <c15:autoCat val="1"/>
                </c:ext>
              </c:extLst>
            </c:strLit>
          </c:cat>
          <c:val>
            <c:numRef>
              <c:f>'Quarterly GDP chart fan'!$J$17:$J$33</c:f>
              <c:numCache>
                <c:formatCode>0.0</c:formatCode>
                <c:ptCount val="8"/>
                <c:pt idx="0">
                  <c:v>4.5999999999999996</c:v>
                </c:pt>
                <c:pt idx="1">
                  <c:v>4.5</c:v>
                </c:pt>
                <c:pt idx="2">
                  <c:v>3.2</c:v>
                </c:pt>
                <c:pt idx="3">
                  <c:v>3.2690420744048083</c:v>
                </c:pt>
                <c:pt idx="4">
                  <c:v>2</c:v>
                </c:pt>
                <c:pt idx="5">
                  <c:v>2.9209103207922453</c:v>
                </c:pt>
                <c:pt idx="6">
                  <c:v>3.342954403997652</c:v>
                </c:pt>
                <c:pt idx="7">
                  <c:v>3.5585863877585382</c:v>
                </c:pt>
              </c:numCache>
            </c:numRef>
          </c:val>
          <c:smooth val="0"/>
          <c:extLst>
            <c:ext xmlns:c16="http://schemas.microsoft.com/office/drawing/2014/chart" uri="{C3380CC4-5D6E-409C-BE32-E72D297353CC}">
              <c16:uniqueId val="{00000015-6A1C-4845-8431-4E99C448D996}"/>
            </c:ext>
          </c:extLst>
        </c:ser>
        <c:dLbls>
          <c:showLegendKey val="0"/>
          <c:showVal val="0"/>
          <c:showCatName val="0"/>
          <c:showSerName val="0"/>
          <c:showPercent val="0"/>
          <c:showBubbleSize val="0"/>
        </c:dLbls>
        <c:marker val="1"/>
        <c:smooth val="0"/>
        <c:axId val="136355472"/>
        <c:axId val="136350480"/>
      </c:lineChart>
      <c:catAx>
        <c:axId val="136355472"/>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b" anchorCtr="0"/>
          <a:lstStyle/>
          <a:p>
            <a:pPr>
              <a:defRPr sz="750" b="0" i="0" u="none" strike="noStrike" kern="1200" baseline="0">
                <a:solidFill>
                  <a:schemeClr val="tx2"/>
                </a:solidFill>
                <a:latin typeface="+mn-lt"/>
                <a:ea typeface="+mn-ea"/>
                <a:cs typeface="+mn-cs"/>
              </a:defRPr>
            </a:pPr>
            <a:endParaRPr lang="en-US"/>
          </a:p>
        </c:txPr>
        <c:crossAx val="136350480"/>
        <c:crosses val="autoZero"/>
        <c:auto val="1"/>
        <c:lblAlgn val="ctr"/>
        <c:lblOffset val="100"/>
        <c:noMultiLvlLbl val="0"/>
      </c:catAx>
      <c:valAx>
        <c:axId val="136350480"/>
        <c:scaling>
          <c:orientation val="minMax"/>
          <c:max val="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36355472"/>
        <c:crosses val="autoZero"/>
        <c:crossBetween val="between"/>
        <c:majorUnit val="1"/>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4639482349106514"/>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BDP_doprinosi!$AE$8:$AM$8</c:f>
              <c:numCache>
                <c:formatCode>0.0</c:formatCode>
                <c:ptCount val="7"/>
                <c:pt idx="0">
                  <c:v>2.2066920500920113</c:v>
                </c:pt>
                <c:pt idx="1">
                  <c:v>0.33183102897687944</c:v>
                </c:pt>
                <c:pt idx="2">
                  <c:v>2.6097220225245445</c:v>
                </c:pt>
                <c:pt idx="3">
                  <c:v>1.9647217158400836</c:v>
                </c:pt>
                <c:pt idx="4">
                  <c:v>2.4697656150830292</c:v>
                </c:pt>
                <c:pt idx="5">
                  <c:v>2.1269724925926328</c:v>
                </c:pt>
                <c:pt idx="6">
                  <c:v>2.0953597154542458</c:v>
                </c:pt>
              </c:numCache>
            </c:numRef>
          </c:val>
          <c:extLst>
            <c:ext xmlns:c16="http://schemas.microsoft.com/office/drawing/2014/chart" uri="{C3380CC4-5D6E-409C-BE32-E72D297353CC}">
              <c16:uniqueId val="{00000000-E488-4984-925A-1561FFAC12D7}"/>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BDP_doprinosi!$AE$9:$AM$9</c:f>
              <c:numCache>
                <c:formatCode>0.0</c:formatCode>
                <c:ptCount val="7"/>
                <c:pt idx="0">
                  <c:v>0.24535717484312647</c:v>
                </c:pt>
                <c:pt idx="1">
                  <c:v>-0.44215128061637587</c:v>
                </c:pt>
                <c:pt idx="2">
                  <c:v>0.4325361745751613</c:v>
                </c:pt>
                <c:pt idx="3">
                  <c:v>0.64228938117557255</c:v>
                </c:pt>
                <c:pt idx="4">
                  <c:v>0.57798004433499506</c:v>
                </c:pt>
                <c:pt idx="5">
                  <c:v>0.36057437120376867</c:v>
                </c:pt>
                <c:pt idx="6">
                  <c:v>0.40753724616982229</c:v>
                </c:pt>
              </c:numCache>
            </c:numRef>
          </c:val>
          <c:extLst>
            <c:ext xmlns:c16="http://schemas.microsoft.com/office/drawing/2014/chart" uri="{C3380CC4-5D6E-409C-BE32-E72D297353CC}">
              <c16:uniqueId val="{00000001-E488-4984-925A-1561FFAC12D7}"/>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BDP_doprinosi!$AE$10:$AM$10</c:f>
              <c:numCache>
                <c:formatCode>0.0</c:formatCode>
                <c:ptCount val="7"/>
                <c:pt idx="0">
                  <c:v>0.5017158770996798</c:v>
                </c:pt>
                <c:pt idx="1">
                  <c:v>2.3213659464193923</c:v>
                </c:pt>
                <c:pt idx="2">
                  <c:v>1.5811641025762502</c:v>
                </c:pt>
                <c:pt idx="3">
                  <c:v>1.0441620472788027</c:v>
                </c:pt>
                <c:pt idx="4">
                  <c:v>2.2243319033831646</c:v>
                </c:pt>
                <c:pt idx="5">
                  <c:v>1.6934112947363169</c:v>
                </c:pt>
                <c:pt idx="6">
                  <c:v>1.1999693198012136</c:v>
                </c:pt>
              </c:numCache>
            </c:numRef>
          </c:val>
          <c:extLst>
            <c:ext xmlns:c16="http://schemas.microsoft.com/office/drawing/2014/chart" uri="{C3380CC4-5D6E-409C-BE32-E72D297353CC}">
              <c16:uniqueId val="{00000002-E488-4984-925A-1561FFAC12D7}"/>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BDP_doprinosi!$AE$11:$AM$11</c:f>
              <c:numCache>
                <c:formatCode>0.0</c:formatCode>
                <c:ptCount val="7"/>
                <c:pt idx="0">
                  <c:v>-0.77659463953919172</c:v>
                </c:pt>
                <c:pt idx="1">
                  <c:v>2.8186404350303107</c:v>
                </c:pt>
                <c:pt idx="2">
                  <c:v>-1.5</c:v>
                </c:pt>
                <c:pt idx="3">
                  <c:v>-0.92538422445998492</c:v>
                </c:pt>
                <c:pt idx="4">
                  <c:v>-1.1397334986957264</c:v>
                </c:pt>
                <c:pt idx="5">
                  <c:v>0.76880625957637361</c:v>
                </c:pt>
                <c:pt idx="6">
                  <c:v>-0.29164779997078444</c:v>
                </c:pt>
              </c:numCache>
            </c:numRef>
          </c:val>
          <c:extLst>
            <c:ext xmlns:c16="http://schemas.microsoft.com/office/drawing/2014/chart" uri="{C3380CC4-5D6E-409C-BE32-E72D297353CC}">
              <c16:uniqueId val="{00000003-E488-4984-925A-1561FFAC12D7}"/>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BDP_doprinosi!$AE$12:$AM$12</c:f>
              <c:numCache>
                <c:formatCode>0.0</c:formatCode>
                <c:ptCount val="7"/>
                <c:pt idx="0">
                  <c:v>0.45381595902653044</c:v>
                </c:pt>
                <c:pt idx="1">
                  <c:v>-1.1822141759975731</c:v>
                </c:pt>
                <c:pt idx="2">
                  <c:v>0.8</c:v>
                </c:pt>
                <c:pt idx="3">
                  <c:v>0.22721108016553812</c:v>
                </c:pt>
                <c:pt idx="4">
                  <c:v>1.7655935894538583E-2</c:v>
                </c:pt>
                <c:pt idx="5">
                  <c:v>1.0235581890917091E-2</c:v>
                </c:pt>
                <c:pt idx="6">
                  <c:v>3.878151854551086E-2</c:v>
                </c:pt>
              </c:numCache>
            </c:numRef>
          </c:val>
          <c:extLst>
            <c:ext xmlns:c16="http://schemas.microsoft.com/office/drawing/2014/chart" uri="{C3380CC4-5D6E-409C-BE32-E72D297353CC}">
              <c16:uniqueId val="{00000004-E488-4984-925A-1561FFAC12D7}"/>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4"/>
              <c:layout>
                <c:manualLayout>
                  <c:x val="-6.1585739282589674E-2"/>
                  <c:y val="-0.1117476451894260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488-4984-925A-1561FFAC12D7}"/>
                </c:ext>
              </c:extLst>
            </c:dLbl>
            <c:dLbl>
              <c:idx val="5"/>
              <c:layout>
                <c:manualLayout>
                  <c:x val="-6.3285578885972665E-2"/>
                  <c:y val="-2.45413363191617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488-4984-925A-1561FFAC12D7}"/>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BDP_doprinosi!$AE$6:$AM$6</c:f>
              <c:numCache>
                <c:formatCode>General</c:formatCode>
                <c:ptCount val="7"/>
                <c:pt idx="0">
                  <c:v>2022</c:v>
                </c:pt>
                <c:pt idx="1">
                  <c:v>2023</c:v>
                </c:pt>
                <c:pt idx="2">
                  <c:v>2024</c:v>
                </c:pt>
                <c:pt idx="3">
                  <c:v>2025</c:v>
                </c:pt>
                <c:pt idx="4">
                  <c:v>2026</c:v>
                </c:pt>
                <c:pt idx="5">
                  <c:v>2027</c:v>
                </c:pt>
                <c:pt idx="6">
                  <c:v>2028</c:v>
                </c:pt>
              </c:numCache>
            </c:numRef>
          </c:cat>
          <c:val>
            <c:numRef>
              <c:f>BDP_doprinosi!$AE$13:$AM$13</c:f>
              <c:numCache>
                <c:formatCode>0.0</c:formatCode>
                <c:ptCount val="7"/>
                <c:pt idx="0">
                  <c:v>2.6309864215221368</c:v>
                </c:pt>
                <c:pt idx="1">
                  <c:v>3.8474719538126321</c:v>
                </c:pt>
                <c:pt idx="2">
                  <c:v>3.8780121808468664</c:v>
                </c:pt>
                <c:pt idx="3">
                  <c:v>2.9529999999999998</c:v>
                </c:pt>
                <c:pt idx="4">
                  <c:v>4.1500000000000004</c:v>
                </c:pt>
                <c:pt idx="5">
                  <c:v>4.96</c:v>
                </c:pt>
                <c:pt idx="6">
                  <c:v>3.45</c:v>
                </c:pt>
              </c:numCache>
            </c:numRef>
          </c:val>
          <c:smooth val="0"/>
          <c:extLst>
            <c:ext xmlns:c16="http://schemas.microsoft.com/office/drawing/2014/chart" uri="{C3380CC4-5D6E-409C-BE32-E72D297353CC}">
              <c16:uniqueId val="{00000006-E488-4984-925A-1561FFAC12D7}"/>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5072"/>
        <c:crosses val="autoZero"/>
        <c:auto val="1"/>
        <c:lblAlgn val="ctr"/>
        <c:lblOffset val="100"/>
        <c:noMultiLvlLbl val="0"/>
      </c:catAx>
      <c:valAx>
        <c:axId val="1768855072"/>
        <c:scaling>
          <c:orientation val="minMax"/>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248"/>
        <c:crosses val="autoZero"/>
        <c:crossBetween val="between"/>
        <c:majorUnit val="1"/>
      </c:valAx>
      <c:spPr>
        <a:noFill/>
        <a:ln>
          <a:noFill/>
        </a:ln>
        <a:effectLst/>
      </c:spPr>
    </c:plotArea>
    <c:legend>
      <c:legendPos val="b"/>
      <c:layout>
        <c:manualLayout>
          <c:xMode val="edge"/>
          <c:yMode val="edge"/>
          <c:x val="0"/>
          <c:y val="0.80177821773811442"/>
          <c:w val="1"/>
          <c:h val="0.1905560099353238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0.11699681443309462"/>
          <c:w val="0.90740810185185183"/>
          <c:h val="0.55493118293431765"/>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BDP_doprinosi!$AF$34:$AM$34</c:f>
              <c:numCache>
                <c:formatCode>0.0</c:formatCode>
                <c:ptCount val="7"/>
                <c:pt idx="0">
                  <c:v>-0.3905003996335783</c:v>
                </c:pt>
                <c:pt idx="1">
                  <c:v>0.39724555358175428</c:v>
                </c:pt>
                <c:pt idx="2">
                  <c:v>-0.36636981536821633</c:v>
                </c:pt>
                <c:pt idx="3">
                  <c:v>0.22796344067355684</c:v>
                </c:pt>
                <c:pt idx="4">
                  <c:v>0</c:v>
                </c:pt>
                <c:pt idx="5">
                  <c:v>-1.8092336561393398E-3</c:v>
                </c:pt>
                <c:pt idx="6">
                  <c:v>0</c:v>
                </c:pt>
              </c:numCache>
            </c:numRef>
          </c:val>
          <c:extLst>
            <c:ext xmlns:c16="http://schemas.microsoft.com/office/drawing/2014/chart" uri="{C3380CC4-5D6E-409C-BE32-E72D297353CC}">
              <c16:uniqueId val="{00000000-169F-4A70-A333-5A80DE4DD1B1}"/>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BDP_doprinosi!$AF$35:$AM$35</c:f>
              <c:numCache>
                <c:formatCode>0.0</c:formatCode>
                <c:ptCount val="7"/>
                <c:pt idx="0">
                  <c:v>0.81446630973366285</c:v>
                </c:pt>
                <c:pt idx="1">
                  <c:v>0.42758436892858137</c:v>
                </c:pt>
                <c:pt idx="2">
                  <c:v>0.58268738759056815</c:v>
                </c:pt>
                <c:pt idx="3">
                  <c:v>0.55455765163792003</c:v>
                </c:pt>
                <c:pt idx="4">
                  <c:v>0.75548433701397799</c:v>
                </c:pt>
                <c:pt idx="5">
                  <c:v>0.93229982014490898</c:v>
                </c:pt>
                <c:pt idx="6">
                  <c:v>0.95239248868251491</c:v>
                </c:pt>
              </c:numCache>
            </c:numRef>
          </c:val>
          <c:extLst>
            <c:ext xmlns:c16="http://schemas.microsoft.com/office/drawing/2014/chart" uri="{C3380CC4-5D6E-409C-BE32-E72D297353CC}">
              <c16:uniqueId val="{00000001-169F-4A70-A333-5A80DE4DD1B1}"/>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BDP_doprinosi!$AF$36:$AM$36</c:f>
              <c:numCache>
                <c:formatCode>0.0</c:formatCode>
                <c:ptCount val="7"/>
                <c:pt idx="0">
                  <c:v>-0.51995400260096358</c:v>
                </c:pt>
                <c:pt idx="1">
                  <c:v>0.50184602353374486</c:v>
                </c:pt>
                <c:pt idx="2">
                  <c:v>0.14749492937126682</c:v>
                </c:pt>
                <c:pt idx="3">
                  <c:v>9.4600196079502166E-2</c:v>
                </c:pt>
                <c:pt idx="4">
                  <c:v>0.42417507274357424</c:v>
                </c:pt>
                <c:pt idx="5">
                  <c:v>0.34279855998701325</c:v>
                </c:pt>
                <c:pt idx="6">
                  <c:v>0.13427124604832566</c:v>
                </c:pt>
              </c:numCache>
            </c:numRef>
          </c:val>
          <c:extLst>
            <c:ext xmlns:c16="http://schemas.microsoft.com/office/drawing/2014/chart" uri="{C3380CC4-5D6E-409C-BE32-E72D297353CC}">
              <c16:uniqueId val="{00000002-169F-4A70-A333-5A80DE4DD1B1}"/>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BDP_doprinosi!$AF$37:$AM$37</c:f>
              <c:numCache>
                <c:formatCode>0.0</c:formatCode>
                <c:ptCount val="7"/>
                <c:pt idx="0">
                  <c:v>2.2070509475026205</c:v>
                </c:pt>
                <c:pt idx="1">
                  <c:v>2.7753935944784551</c:v>
                </c:pt>
                <c:pt idx="2">
                  <c:v>2.8527457024772973</c:v>
                </c:pt>
                <c:pt idx="3">
                  <c:v>1.7675836117310315</c:v>
                </c:pt>
                <c:pt idx="4">
                  <c:v>2.4835668468625887</c:v>
                </c:pt>
                <c:pt idx="5">
                  <c:v>3.0429287493091177</c:v>
                </c:pt>
                <c:pt idx="6">
                  <c:v>1.8794559922203371</c:v>
                </c:pt>
              </c:numCache>
            </c:numRef>
          </c:val>
          <c:extLst>
            <c:ext xmlns:c16="http://schemas.microsoft.com/office/drawing/2014/chart" uri="{C3380CC4-5D6E-409C-BE32-E72D297353CC}">
              <c16:uniqueId val="{00000003-169F-4A70-A333-5A80DE4DD1B1}"/>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BDP_doprinosi!$AF$38:$AM$38</c:f>
              <c:numCache>
                <c:formatCode>0.0</c:formatCode>
                <c:ptCount val="7"/>
                <c:pt idx="0">
                  <c:v>0.51992206841094535</c:v>
                </c:pt>
                <c:pt idx="1">
                  <c:v>-0.25460123616495017</c:v>
                </c:pt>
                <c:pt idx="2">
                  <c:v>0.7</c:v>
                </c:pt>
                <c:pt idx="3">
                  <c:v>0.39639181956595793</c:v>
                </c:pt>
                <c:pt idx="4">
                  <c:v>0.53713963955676913</c:v>
                </c:pt>
                <c:pt idx="5">
                  <c:v>0.66639784158914672</c:v>
                </c:pt>
                <c:pt idx="6">
                  <c:v>0.48830876323342648</c:v>
                </c:pt>
              </c:numCache>
            </c:numRef>
          </c:val>
          <c:extLst>
            <c:ext xmlns:c16="http://schemas.microsoft.com/office/drawing/2014/chart" uri="{C3380CC4-5D6E-409C-BE32-E72D297353CC}">
              <c16:uniqueId val="{00000004-169F-4A70-A333-5A80DE4DD1B1}"/>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5"/>
              <c:layout>
                <c:manualLayout>
                  <c:x val="-6.1585739282589674E-2"/>
                  <c:y val="-3.4313945389509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69F-4A70-A333-5A80DE4DD1B1}"/>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BDP_doprinosi!$AF$33:$AM$33</c:f>
              <c:numCache>
                <c:formatCode>General</c:formatCode>
                <c:ptCount val="7"/>
                <c:pt idx="0">
                  <c:v>2022</c:v>
                </c:pt>
                <c:pt idx="1">
                  <c:v>2023</c:v>
                </c:pt>
                <c:pt idx="2">
                  <c:v>2024</c:v>
                </c:pt>
                <c:pt idx="3">
                  <c:v>2025</c:v>
                </c:pt>
                <c:pt idx="4">
                  <c:v>2026</c:v>
                </c:pt>
                <c:pt idx="5">
                  <c:v>2027</c:v>
                </c:pt>
                <c:pt idx="6">
                  <c:v>2028</c:v>
                </c:pt>
              </c:numCache>
            </c:numRef>
          </c:cat>
          <c:val>
            <c:numRef>
              <c:f>BDP_doprinosi!$AF$39:$AM$39</c:f>
              <c:numCache>
                <c:formatCode>0.0</c:formatCode>
                <c:ptCount val="7"/>
                <c:pt idx="0">
                  <c:v>2.6309864215221368</c:v>
                </c:pt>
                <c:pt idx="1">
                  <c:v>3.8474719538126321</c:v>
                </c:pt>
                <c:pt idx="2">
                  <c:v>3.9165582040709159</c:v>
                </c:pt>
                <c:pt idx="3">
                  <c:v>3.0410967196879684</c:v>
                </c:pt>
                <c:pt idx="4">
                  <c:v>4.2003658961769101</c:v>
                </c:pt>
                <c:pt idx="5">
                  <c:v>4.9826157373740472</c:v>
                </c:pt>
                <c:pt idx="6">
                  <c:v>3.4544284901846041</c:v>
                </c:pt>
              </c:numCache>
            </c:numRef>
          </c:val>
          <c:smooth val="0"/>
          <c:extLst>
            <c:ext xmlns:c16="http://schemas.microsoft.com/office/drawing/2014/chart" uri="{C3380CC4-5D6E-409C-BE32-E72D297353CC}">
              <c16:uniqueId val="{00000006-169F-4A70-A333-5A80DE4DD1B1}"/>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8336"/>
        <c:crosses val="autoZero"/>
        <c:auto val="1"/>
        <c:lblAlgn val="ctr"/>
        <c:lblOffset val="100"/>
        <c:noMultiLvlLbl val="0"/>
      </c:catAx>
      <c:valAx>
        <c:axId val="1768858336"/>
        <c:scaling>
          <c:orientation val="minMax"/>
          <c:max val="6"/>
          <c:min val="-1"/>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857792"/>
        <c:crosses val="autoZero"/>
        <c:crossBetween val="between"/>
        <c:majorUnit val="1"/>
      </c:valAx>
      <c:spPr>
        <a:noFill/>
        <a:ln>
          <a:noFill/>
        </a:ln>
        <a:effectLst/>
      </c:spPr>
    </c:plotArea>
    <c:legend>
      <c:legendPos val="b"/>
      <c:layout>
        <c:manualLayout>
          <c:xMode val="edge"/>
          <c:yMode val="edge"/>
          <c:x val="1.5718868474773986E-3"/>
          <c:y val="0.79427208608833422"/>
          <c:w val="0.96826844561096526"/>
          <c:h val="0.20572791391166581"/>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3375984251968498E-2"/>
          <c:y val="6.9052102950408034E-2"/>
          <c:w val="0.92898804316127148"/>
          <c:h val="0.75594208915975902"/>
        </c:manualLayout>
      </c:layout>
      <c:areaChart>
        <c:grouping val="stacked"/>
        <c:varyColors val="0"/>
        <c:ser>
          <c:idx val="0"/>
          <c:order val="0"/>
          <c:tx>
            <c:strRef>
              <c:f>Fan_chart!$A$19</c:f>
              <c:strCache>
                <c:ptCount val="1"/>
                <c:pt idx="0">
                  <c:v>90% Lower Bound:</c:v>
                </c:pt>
              </c:strCache>
            </c:strRef>
          </c:tx>
          <c:spPr>
            <a:no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Fan_chart!$B$19:$Q$19</c:f>
              <c:numCache>
                <c:formatCode>General</c:formatCode>
                <c:ptCount val="9"/>
                <c:pt idx="4" formatCode="0.0">
                  <c:v>3.9</c:v>
                </c:pt>
                <c:pt idx="5" formatCode="0.0">
                  <c:v>2.012683828643417</c:v>
                </c:pt>
                <c:pt idx="6" formatCode="0.0">
                  <c:v>0.9961754672948091</c:v>
                </c:pt>
                <c:pt idx="7" formatCode="0.0">
                  <c:v>1.6090413843083646</c:v>
                </c:pt>
                <c:pt idx="8" formatCode="0.0">
                  <c:v>2.4283187600002698E-2</c:v>
                </c:pt>
              </c:numCache>
            </c:numRef>
          </c:val>
          <c:extLst>
            <c:ext xmlns:c16="http://schemas.microsoft.com/office/drawing/2014/chart" uri="{C3380CC4-5D6E-409C-BE32-E72D297353CC}">
              <c16:uniqueId val="{00000000-7D24-4B6A-933C-FD4BB6E46E2A}"/>
            </c:ext>
          </c:extLst>
        </c:ser>
        <c:ser>
          <c:idx val="1"/>
          <c:order val="1"/>
          <c:tx>
            <c:strRef>
              <c:f>Fan_chart!$A$20</c:f>
              <c:strCache>
                <c:ptCount val="1"/>
                <c:pt idx="0">
                  <c:v>75% Lower Bound: (aditional 15%)</c:v>
                </c:pt>
              </c:strCache>
            </c:strRef>
          </c:tx>
          <c:spPr>
            <a:solidFill>
              <a:srgbClr val="C00000">
                <a:alpha val="2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Fan_chart!$B$20:$Q$20</c:f>
              <c:numCache>
                <c:formatCode>General</c:formatCode>
                <c:ptCount val="9"/>
                <c:pt idx="5" formatCode="0.0">
                  <c:v>0.29499080729556404</c:v>
                </c:pt>
                <c:pt idx="6" formatCode="0.0">
                  <c:v>0.95724025672289281</c:v>
                </c:pt>
                <c:pt idx="7" formatCode="0.0">
                  <c:v>1.013152269322501</c:v>
                </c:pt>
                <c:pt idx="8" formatCode="0.0">
                  <c:v>1.0384763646804869</c:v>
                </c:pt>
              </c:numCache>
            </c:numRef>
          </c:val>
          <c:extLst>
            <c:ext xmlns:c16="http://schemas.microsoft.com/office/drawing/2014/chart" uri="{C3380CC4-5D6E-409C-BE32-E72D297353CC}">
              <c16:uniqueId val="{00000001-7D24-4B6A-933C-FD4BB6E46E2A}"/>
            </c:ext>
          </c:extLst>
        </c:ser>
        <c:ser>
          <c:idx val="2"/>
          <c:order val="2"/>
          <c:tx>
            <c:strRef>
              <c:f>Fan_chart!$A$21</c:f>
              <c:strCache>
                <c:ptCount val="1"/>
                <c:pt idx="0">
                  <c:v>50% Lower Bound: (aditional 25%)</c:v>
                </c:pt>
              </c:strCache>
            </c:strRef>
          </c:tx>
          <c:spPr>
            <a:solidFill>
              <a:srgbClr val="C00000">
                <a:alpha val="50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Fan_chart!$B$21:$Q$21</c:f>
              <c:numCache>
                <c:formatCode>General</c:formatCode>
                <c:ptCount val="9"/>
                <c:pt idx="5" formatCode="0.0">
                  <c:v>0.28897058673851239</c:v>
                </c:pt>
                <c:pt idx="6" formatCode="0.0">
                  <c:v>0.9377047412795676</c:v>
                </c:pt>
                <c:pt idx="7" formatCode="0.0">
                  <c:v>0.99247569239755151</c:v>
                </c:pt>
                <c:pt idx="8" formatCode="0.0">
                  <c:v>1.0172829694829257</c:v>
                </c:pt>
              </c:numCache>
            </c:numRef>
          </c:val>
          <c:extLst>
            <c:ext xmlns:c16="http://schemas.microsoft.com/office/drawing/2014/chart" uri="{C3380CC4-5D6E-409C-BE32-E72D297353CC}">
              <c16:uniqueId val="{00000002-7D24-4B6A-933C-FD4BB6E46E2A}"/>
            </c:ext>
          </c:extLst>
        </c:ser>
        <c:ser>
          <c:idx val="3"/>
          <c:order val="3"/>
          <c:tx>
            <c:strRef>
              <c:f>Fan_chart!$A$22</c:f>
              <c:strCache>
                <c:ptCount val="1"/>
                <c:pt idx="0">
                  <c:v>50% Upper Bound: (aditional 50%)</c:v>
                </c:pt>
              </c:strCache>
            </c:strRef>
          </c:tx>
          <c:spPr>
            <a:solidFill>
              <a:srgbClr val="C00000">
                <a:alpha val="7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Fan_chart!$B$22:$Q$22</c:f>
              <c:numCache>
                <c:formatCode>General</c:formatCode>
                <c:ptCount val="9"/>
                <c:pt idx="5" formatCode="0.0">
                  <c:v>0.80670955464501315</c:v>
                </c:pt>
                <c:pt idx="6" formatCode="0.0">
                  <c:v>2.6177590694054609</c:v>
                </c:pt>
                <c:pt idx="7" formatCode="0.0">
                  <c:v>2.7706613079431652</c:v>
                </c:pt>
                <c:pt idx="8" formatCode="0.0">
                  <c:v>2.8399149564731694</c:v>
                </c:pt>
              </c:numCache>
            </c:numRef>
          </c:val>
          <c:extLst>
            <c:ext xmlns:c16="http://schemas.microsoft.com/office/drawing/2014/chart" uri="{C3380CC4-5D6E-409C-BE32-E72D297353CC}">
              <c16:uniqueId val="{00000003-7D24-4B6A-933C-FD4BB6E46E2A}"/>
            </c:ext>
          </c:extLst>
        </c:ser>
        <c:ser>
          <c:idx val="4"/>
          <c:order val="4"/>
          <c:tx>
            <c:strRef>
              <c:f>Fan_chart!$A$23</c:f>
              <c:strCache>
                <c:ptCount val="1"/>
                <c:pt idx="0">
                  <c:v>75% Upper Bound: (aditional 25%)</c:v>
                </c:pt>
              </c:strCache>
            </c:strRef>
          </c:tx>
          <c:spPr>
            <a:solidFill>
              <a:srgbClr val="C00000">
                <a:alpha val="50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Fan_chart!$B$23:$Q$23</c:f>
              <c:numCache>
                <c:formatCode>General</c:formatCode>
                <c:ptCount val="9"/>
                <c:pt idx="5" formatCode="0.0">
                  <c:v>0.28897058673851239</c:v>
                </c:pt>
                <c:pt idx="6" formatCode="0.0">
                  <c:v>0.9377047412795676</c:v>
                </c:pt>
                <c:pt idx="7" formatCode="0.0">
                  <c:v>0.99247569239755151</c:v>
                </c:pt>
                <c:pt idx="8" formatCode="0.0">
                  <c:v>1.0172829694829257</c:v>
                </c:pt>
              </c:numCache>
            </c:numRef>
          </c:val>
          <c:extLst>
            <c:ext xmlns:c16="http://schemas.microsoft.com/office/drawing/2014/chart" uri="{C3380CC4-5D6E-409C-BE32-E72D297353CC}">
              <c16:uniqueId val="{00000004-7D24-4B6A-933C-FD4BB6E46E2A}"/>
            </c:ext>
          </c:extLst>
        </c:ser>
        <c:ser>
          <c:idx val="5"/>
          <c:order val="5"/>
          <c:tx>
            <c:strRef>
              <c:f>Fan_chart!$A$24</c:f>
              <c:strCache>
                <c:ptCount val="1"/>
                <c:pt idx="0">
                  <c:v>90% Upper Bound: (aditional 15%)</c:v>
                </c:pt>
              </c:strCache>
            </c:strRef>
          </c:tx>
          <c:spPr>
            <a:solidFill>
              <a:srgbClr val="C00000">
                <a:alpha val="25000"/>
              </a:srgbClr>
            </a:solidFill>
            <a:ln>
              <a:noFill/>
            </a:ln>
            <a:effectLst/>
          </c:spPr>
          <c:cat>
            <c:strLit>
              <c:ptCount val="9"/>
              <c:pt idx="0">
                <c:v>2020</c:v>
              </c:pt>
              <c:pt idx="1">
                <c:v>2021</c:v>
              </c:pt>
              <c:pt idx="2">
                <c:v>2022</c:v>
              </c:pt>
              <c:pt idx="3">
                <c:v>2023</c:v>
              </c:pt>
              <c:pt idx="4">
                <c:v>2024</c:v>
              </c:pt>
              <c:pt idx="5">
                <c:v>2025</c:v>
              </c:pt>
              <c:pt idx="6">
                <c:v>2026</c:v>
              </c:pt>
              <c:pt idx="7">
                <c:v>2027</c:v>
              </c:pt>
              <c:pt idx="8">
                <c:v>2028</c:v>
              </c:pt>
              <c:extLst>
                <c:ext xmlns:c15="http://schemas.microsoft.com/office/drawing/2012/chart" uri="{02D57815-91ED-43cb-92C2-25804820EDAC}">
                  <c15:autoCat val="1"/>
                </c:ext>
              </c:extLst>
            </c:strLit>
          </c:cat>
          <c:val>
            <c:numRef>
              <c:f>Fan_chart!$B$24:$Q$24</c:f>
              <c:numCache>
                <c:formatCode>General</c:formatCode>
                <c:ptCount val="9"/>
                <c:pt idx="5" formatCode="0.0">
                  <c:v>0.29499080729556404</c:v>
                </c:pt>
                <c:pt idx="6" formatCode="0.0">
                  <c:v>0.95724025672289326</c:v>
                </c:pt>
                <c:pt idx="7" formatCode="0.0">
                  <c:v>1.0131522693225019</c:v>
                </c:pt>
                <c:pt idx="8" formatCode="0.0">
                  <c:v>1.0384763646804869</c:v>
                </c:pt>
              </c:numCache>
            </c:numRef>
          </c:val>
          <c:extLst>
            <c:ext xmlns:c16="http://schemas.microsoft.com/office/drawing/2014/chart" uri="{C3380CC4-5D6E-409C-BE32-E72D297353CC}">
              <c16:uniqueId val="{00000005-7D24-4B6A-933C-FD4BB6E46E2A}"/>
            </c:ext>
          </c:extLst>
        </c:ser>
        <c:dLbls>
          <c:showLegendKey val="0"/>
          <c:showVal val="0"/>
          <c:showCatName val="0"/>
          <c:showSerName val="0"/>
          <c:showPercent val="0"/>
          <c:showBubbleSize val="0"/>
        </c:dLbls>
        <c:axId val="1853986224"/>
        <c:axId val="1853987472"/>
      </c:areaChart>
      <c:lineChart>
        <c:grouping val="standard"/>
        <c:varyColors val="0"/>
        <c:ser>
          <c:idx val="6"/>
          <c:order val="6"/>
          <c:tx>
            <c:strRef>
              <c:f>Fan_chart!$A$12</c:f>
              <c:strCache>
                <c:ptCount val="1"/>
                <c:pt idx="0">
                  <c:v>Central Forecast</c:v>
                </c:pt>
              </c:strCache>
            </c:strRef>
          </c:tx>
          <c:spPr>
            <a:ln w="19050" cap="rnd">
              <a:solidFill>
                <a:sysClr val="windowText" lastClr="000000"/>
              </a:solidFill>
              <a:round/>
            </a:ln>
            <a:effectLst/>
          </c:spPr>
          <c:marker>
            <c:symbol val="circle"/>
            <c:size val="5"/>
            <c:spPr>
              <a:noFill/>
              <a:ln w="9525">
                <a:noFill/>
              </a:ln>
              <a:effectLst/>
            </c:spPr>
          </c:marker>
          <c:dPt>
            <c:idx val="4"/>
            <c:marker>
              <c:symbol val="circle"/>
              <c:size val="5"/>
              <c:spPr>
                <a:noFill/>
                <a:ln w="9525">
                  <a:noFill/>
                </a:ln>
                <a:effectLst/>
              </c:spPr>
            </c:marker>
            <c:bubble3D val="0"/>
            <c:spPr>
              <a:ln w="19050" cap="rnd">
                <a:solidFill>
                  <a:sysClr val="windowText" lastClr="000000"/>
                </a:solidFill>
                <a:prstDash val="solid"/>
                <a:round/>
              </a:ln>
              <a:effectLst/>
            </c:spPr>
            <c:extLst>
              <c:ext xmlns:c16="http://schemas.microsoft.com/office/drawing/2014/chart" uri="{C3380CC4-5D6E-409C-BE32-E72D297353CC}">
                <c16:uniqueId val="{00000007-7D24-4B6A-933C-FD4BB6E46E2A}"/>
              </c:ext>
            </c:extLst>
          </c:dPt>
          <c:dPt>
            <c:idx val="5"/>
            <c:marker>
              <c:symbol val="circle"/>
              <c:size val="5"/>
              <c:spPr>
                <a:noFill/>
                <a:ln w="9525">
                  <a:noFill/>
                </a:ln>
                <a:effectLst/>
              </c:spPr>
            </c:marker>
            <c:bubble3D val="0"/>
            <c:spPr>
              <a:ln w="19050" cap="rnd">
                <a:solidFill>
                  <a:sysClr val="windowText" lastClr="000000"/>
                </a:solidFill>
                <a:prstDash val="sysDash"/>
                <a:round/>
              </a:ln>
              <a:effectLst/>
            </c:spPr>
            <c:extLst>
              <c:ext xmlns:c16="http://schemas.microsoft.com/office/drawing/2014/chart" uri="{C3380CC4-5D6E-409C-BE32-E72D297353CC}">
                <c16:uniqueId val="{00000009-7D24-4B6A-933C-FD4BB6E46E2A}"/>
              </c:ext>
            </c:extLst>
          </c:dPt>
          <c:dPt>
            <c:idx val="6"/>
            <c:marker>
              <c:symbol val="circle"/>
              <c:size val="5"/>
              <c:spPr>
                <a:noFill/>
                <a:ln w="9525">
                  <a:noFill/>
                </a:ln>
                <a:effectLst/>
              </c:spPr>
            </c:marker>
            <c:bubble3D val="0"/>
            <c:spPr>
              <a:ln w="19050" cap="rnd">
                <a:solidFill>
                  <a:sysClr val="windowText" lastClr="000000"/>
                </a:solidFill>
                <a:prstDash val="sysDash"/>
                <a:round/>
              </a:ln>
              <a:effectLst/>
            </c:spPr>
            <c:extLst>
              <c:ext xmlns:c16="http://schemas.microsoft.com/office/drawing/2014/chart" uri="{C3380CC4-5D6E-409C-BE32-E72D297353CC}">
                <c16:uniqueId val="{0000000B-7D24-4B6A-933C-FD4BB6E46E2A}"/>
              </c:ext>
            </c:extLst>
          </c:dPt>
          <c:dPt>
            <c:idx val="7"/>
            <c:marker>
              <c:symbol val="circle"/>
              <c:size val="5"/>
              <c:spPr>
                <a:noFill/>
                <a:ln w="9525">
                  <a:noFill/>
                </a:ln>
                <a:effectLst/>
              </c:spPr>
            </c:marker>
            <c:bubble3D val="0"/>
            <c:spPr>
              <a:ln w="19050" cap="rnd">
                <a:solidFill>
                  <a:sysClr val="windowText" lastClr="000000"/>
                </a:solidFill>
                <a:prstDash val="sysDash"/>
                <a:round/>
              </a:ln>
              <a:effectLst/>
            </c:spPr>
            <c:extLst>
              <c:ext xmlns:c16="http://schemas.microsoft.com/office/drawing/2014/chart" uri="{C3380CC4-5D6E-409C-BE32-E72D297353CC}">
                <c16:uniqueId val="{0000000D-7D24-4B6A-933C-FD4BB6E46E2A}"/>
              </c:ext>
            </c:extLst>
          </c:dPt>
          <c:dPt>
            <c:idx val="8"/>
            <c:marker>
              <c:symbol val="circle"/>
              <c:size val="5"/>
              <c:spPr>
                <a:noFill/>
                <a:ln w="9525">
                  <a:noFill/>
                </a:ln>
                <a:effectLst/>
              </c:spPr>
            </c:marker>
            <c:bubble3D val="0"/>
            <c:spPr>
              <a:ln w="19050" cap="rnd">
                <a:solidFill>
                  <a:sysClr val="windowText" lastClr="000000"/>
                </a:solidFill>
                <a:prstDash val="sysDash"/>
                <a:round/>
              </a:ln>
              <a:effectLst/>
            </c:spPr>
            <c:extLst>
              <c:ext xmlns:c16="http://schemas.microsoft.com/office/drawing/2014/chart" uri="{C3380CC4-5D6E-409C-BE32-E72D297353CC}">
                <c16:uniqueId val="{0000000F-7D24-4B6A-933C-FD4BB6E46E2A}"/>
              </c:ext>
            </c:extLst>
          </c:dPt>
          <c:dLbls>
            <c:dLbl>
              <c:idx val="0"/>
              <c:layout>
                <c:manualLayout>
                  <c:x val="-8.7986293379994182E-2"/>
                  <c:y val="2.33991231322072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8F3-404D-81FE-DBAE7FDD5A09}"/>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Fan_chart!$B$11:$Q$11</c:f>
              <c:numCache>
                <c:formatCode>General</c:formatCode>
                <c:ptCount val="9"/>
                <c:pt idx="0">
                  <c:v>2020</c:v>
                </c:pt>
                <c:pt idx="1">
                  <c:v>2021</c:v>
                </c:pt>
                <c:pt idx="2">
                  <c:v>2022</c:v>
                </c:pt>
                <c:pt idx="3">
                  <c:v>2023</c:v>
                </c:pt>
                <c:pt idx="4">
                  <c:v>2024</c:v>
                </c:pt>
                <c:pt idx="5">
                  <c:v>2025</c:v>
                </c:pt>
                <c:pt idx="6">
                  <c:v>2026</c:v>
                </c:pt>
                <c:pt idx="7">
                  <c:v>2027</c:v>
                </c:pt>
                <c:pt idx="8">
                  <c:v>2028</c:v>
                </c:pt>
              </c:numCache>
            </c:numRef>
          </c:cat>
          <c:val>
            <c:numRef>
              <c:f>Fan_chart!$B$12:$Q$12</c:f>
              <c:numCache>
                <c:formatCode>0.0</c:formatCode>
                <c:ptCount val="9"/>
                <c:pt idx="0">
                  <c:v>-0.95002358986207014</c:v>
                </c:pt>
                <c:pt idx="1">
                  <c:v>7.9490568037111018</c:v>
                </c:pt>
                <c:pt idx="2">
                  <c:v>2.6309864215221199</c:v>
                </c:pt>
                <c:pt idx="3">
                  <c:v>3.8474719538126299</c:v>
                </c:pt>
                <c:pt idx="4">
                  <c:v>3.9</c:v>
                </c:pt>
                <c:pt idx="5">
                  <c:v>3</c:v>
                </c:pt>
                <c:pt idx="6">
                  <c:v>4.2</c:v>
                </c:pt>
                <c:pt idx="7">
                  <c:v>5</c:v>
                </c:pt>
                <c:pt idx="8">
                  <c:v>3.5</c:v>
                </c:pt>
              </c:numCache>
            </c:numRef>
          </c:val>
          <c:smooth val="0"/>
          <c:extLst>
            <c:ext xmlns:c16="http://schemas.microsoft.com/office/drawing/2014/chart" uri="{C3380CC4-5D6E-409C-BE32-E72D297353CC}">
              <c16:uniqueId val="{00000010-7D24-4B6A-933C-FD4BB6E46E2A}"/>
            </c:ext>
          </c:extLst>
        </c:ser>
        <c:dLbls>
          <c:showLegendKey val="0"/>
          <c:showVal val="0"/>
          <c:showCatName val="0"/>
          <c:showSerName val="0"/>
          <c:showPercent val="0"/>
          <c:showBubbleSize val="0"/>
        </c:dLbls>
        <c:marker val="1"/>
        <c:smooth val="0"/>
        <c:axId val="1853986224"/>
        <c:axId val="1853987472"/>
      </c:lineChart>
      <c:catAx>
        <c:axId val="1853986224"/>
        <c:scaling>
          <c:orientation val="minMax"/>
        </c:scaling>
        <c:delete val="0"/>
        <c:axPos val="b"/>
        <c:numFmt formatCode="General" sourceLinked="0"/>
        <c:majorTickMark val="out"/>
        <c:minorTickMark val="none"/>
        <c:tickLblPos val="low"/>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750" b="0" i="0" u="none" strike="noStrike" kern="1200" baseline="0">
                <a:solidFill>
                  <a:srgbClr val="002060"/>
                </a:solidFill>
                <a:latin typeface="+mn-lt"/>
                <a:ea typeface="+mn-ea"/>
                <a:cs typeface="+mn-cs"/>
              </a:defRPr>
            </a:pPr>
            <a:endParaRPr lang="en-US"/>
          </a:p>
        </c:txPr>
        <c:crossAx val="1853987472"/>
        <c:crosses val="autoZero"/>
        <c:auto val="1"/>
        <c:lblAlgn val="ctr"/>
        <c:lblOffset val="100"/>
        <c:noMultiLvlLbl val="0"/>
      </c:catAx>
      <c:valAx>
        <c:axId val="1853987472"/>
        <c:scaling>
          <c:orientation val="minMax"/>
          <c:max val="9"/>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en-US"/>
          </a:p>
        </c:txPr>
        <c:crossAx val="1853986224"/>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3.2668451682857202E-2"/>
          <c:w val="0.90740810185185183"/>
          <c:h val="0.64325861344072932"/>
        </c:manualLayout>
      </c:layout>
      <c:barChart>
        <c:barDir val="col"/>
        <c:grouping val="stacked"/>
        <c:varyColors val="0"/>
        <c:ser>
          <c:idx val="2"/>
          <c:order val="1"/>
          <c:tx>
            <c:strRef>
              <c:f>'потенцијални BDP'!$D$5</c:f>
              <c:strCache>
                <c:ptCount val="1"/>
                <c:pt idx="0">
                  <c:v>Допринос фактора рада, п.п.</c:v>
                </c:pt>
              </c:strCache>
            </c:strRef>
          </c:tx>
          <c:spPr>
            <a:solidFill>
              <a:srgbClr val="10103C"/>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BDP'!$D$13:$D$19</c:f>
              <c:numCache>
                <c:formatCode>0.0</c:formatCode>
                <c:ptCount val="7"/>
                <c:pt idx="0">
                  <c:v>0.77351182691832943</c:v>
                </c:pt>
                <c:pt idx="1">
                  <c:v>0.96462765199437417</c:v>
                </c:pt>
                <c:pt idx="2">
                  <c:v>0.87484455151212071</c:v>
                </c:pt>
                <c:pt idx="3">
                  <c:v>0.68062391223311369</c:v>
                </c:pt>
                <c:pt idx="4">
                  <c:v>0.4583367984491527</c:v>
                </c:pt>
                <c:pt idx="5">
                  <c:v>0.29402861333823083</c:v>
                </c:pt>
                <c:pt idx="6">
                  <c:v>0.36643721556870013</c:v>
                </c:pt>
              </c:numCache>
            </c:numRef>
          </c:val>
          <c:extLst>
            <c:ext xmlns:c16="http://schemas.microsoft.com/office/drawing/2014/chart" uri="{C3380CC4-5D6E-409C-BE32-E72D297353CC}">
              <c16:uniqueId val="{00000000-8FA0-4918-A499-733ECEB133AB}"/>
            </c:ext>
          </c:extLst>
        </c:ser>
        <c:ser>
          <c:idx val="1"/>
          <c:order val="2"/>
          <c:tx>
            <c:strRef>
              <c:f>'потенцијални BDP'!$E$5</c:f>
              <c:strCache>
                <c:ptCount val="1"/>
                <c:pt idx="0">
                  <c:v>Допринос капитала, п.п.</c:v>
                </c:pt>
              </c:strCache>
            </c:strRef>
          </c:tx>
          <c:spPr>
            <a:solidFill>
              <a:srgbClr val="29489A"/>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BDP'!$E$13:$E$19</c:f>
              <c:numCache>
                <c:formatCode>0.0</c:formatCode>
                <c:ptCount val="7"/>
                <c:pt idx="0">
                  <c:v>1.6841914599443151</c:v>
                </c:pt>
                <c:pt idx="1">
                  <c:v>1.8524329672844595</c:v>
                </c:pt>
                <c:pt idx="2">
                  <c:v>1.8956746881272177</c:v>
                </c:pt>
                <c:pt idx="3">
                  <c:v>1.8516671190689313</c:v>
                </c:pt>
                <c:pt idx="4">
                  <c:v>1.9773407763798843</c:v>
                </c:pt>
                <c:pt idx="5">
                  <c:v>2.0050154238054843</c:v>
                </c:pt>
                <c:pt idx="6">
                  <c:v>1.9594198635620952</c:v>
                </c:pt>
              </c:numCache>
            </c:numRef>
          </c:val>
          <c:extLst>
            <c:ext xmlns:c16="http://schemas.microsoft.com/office/drawing/2014/chart" uri="{C3380CC4-5D6E-409C-BE32-E72D297353CC}">
              <c16:uniqueId val="{00000001-8FA0-4918-A499-733ECEB133AB}"/>
            </c:ext>
          </c:extLst>
        </c:ser>
        <c:ser>
          <c:idx val="3"/>
          <c:order val="3"/>
          <c:tx>
            <c:strRef>
              <c:f>'потенцијални BDP'!$F$5</c:f>
              <c:strCache>
                <c:ptCount val="1"/>
                <c:pt idx="0">
                  <c:v>ТФП, п.п.</c:v>
                </c:pt>
              </c:strCache>
            </c:strRef>
          </c:tx>
          <c:spPr>
            <a:solidFill>
              <a:srgbClr val="51BBE7"/>
            </a:solidFill>
            <a:ln>
              <a:noFill/>
            </a:ln>
            <a:effectLst/>
          </c:spPr>
          <c:invertIfNegative val="0"/>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BDP'!$F$13:$F$19</c:f>
              <c:numCache>
                <c:formatCode>0.0</c:formatCode>
                <c:ptCount val="7"/>
                <c:pt idx="0">
                  <c:v>1.3282268347633133</c:v>
                </c:pt>
                <c:pt idx="1">
                  <c:v>1.1864371103267204</c:v>
                </c:pt>
                <c:pt idx="2">
                  <c:v>1.2851615984441145</c:v>
                </c:pt>
                <c:pt idx="3">
                  <c:v>1.4739966290857078</c:v>
                </c:pt>
                <c:pt idx="4">
                  <c:v>1.4794101544866214</c:v>
                </c:pt>
                <c:pt idx="5">
                  <c:v>1.6949797921674845</c:v>
                </c:pt>
                <c:pt idx="6">
                  <c:v>1.75441818668212</c:v>
                </c:pt>
              </c:numCache>
            </c:numRef>
          </c:val>
          <c:extLst>
            <c:ext xmlns:c16="http://schemas.microsoft.com/office/drawing/2014/chart" uri="{C3380CC4-5D6E-409C-BE32-E72D297353CC}">
              <c16:uniqueId val="{00000002-8FA0-4918-A499-733ECEB133AB}"/>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'потенцијални BDP'!$C$5</c:f>
              <c:strCache>
                <c:ptCount val="1"/>
                <c:pt idx="0">
                  <c:v>Раст потенцијалног БДП, %</c:v>
                </c:pt>
              </c:strCache>
            </c:strRef>
          </c:tx>
          <c:spPr>
            <a:ln w="28575" cap="rnd">
              <a:solidFill>
                <a:srgbClr val="FF0000"/>
              </a:solidFill>
              <a:round/>
            </a:ln>
            <a:effectLst/>
          </c:spPr>
          <c:marker>
            <c:symbol val="none"/>
          </c:marker>
          <c:cat>
            <c:numRef>
              <c:f>'потенцијални BDP'!$B$13:$B$19</c:f>
              <c:numCache>
                <c:formatCode>General</c:formatCode>
                <c:ptCount val="7"/>
                <c:pt idx="0">
                  <c:v>2022</c:v>
                </c:pt>
                <c:pt idx="1">
                  <c:v>2023</c:v>
                </c:pt>
                <c:pt idx="2">
                  <c:v>2024</c:v>
                </c:pt>
                <c:pt idx="3">
                  <c:v>2025</c:v>
                </c:pt>
                <c:pt idx="4">
                  <c:v>2026</c:v>
                </c:pt>
                <c:pt idx="5">
                  <c:v>2027</c:v>
                </c:pt>
                <c:pt idx="6">
                  <c:v>2028</c:v>
                </c:pt>
              </c:numCache>
            </c:numRef>
          </c:cat>
          <c:val>
            <c:numRef>
              <c:f>'потенцијални BDP'!$C$13:$C$19</c:f>
              <c:numCache>
                <c:formatCode>0.0</c:formatCode>
                <c:ptCount val="7"/>
                <c:pt idx="0">
                  <c:v>3.7859301216259578</c:v>
                </c:pt>
                <c:pt idx="1">
                  <c:v>4.0034977296055541</c:v>
                </c:pt>
                <c:pt idx="2">
                  <c:v>4.0456808380834497</c:v>
                </c:pt>
                <c:pt idx="3">
                  <c:v>4.0062876603877529</c:v>
                </c:pt>
                <c:pt idx="4">
                  <c:v>3.9150877293156583</c:v>
                </c:pt>
                <c:pt idx="5">
                  <c:v>3.9940238293111996</c:v>
                </c:pt>
                <c:pt idx="6">
                  <c:v>4.0602752658129102</c:v>
                </c:pt>
              </c:numCache>
            </c:numRef>
          </c:val>
          <c:smooth val="0"/>
          <c:extLst>
            <c:ext xmlns:c16="http://schemas.microsoft.com/office/drawing/2014/chart" uri="{C3380CC4-5D6E-409C-BE32-E72D297353CC}">
              <c16:uniqueId val="{00000003-8FA0-4918-A499-733ECEB133AB}"/>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solidFill>
                  <a:schemeClr val="tx2"/>
                </a:solidFill>
                <a:latin typeface="+mn-lt"/>
              </a:rPr>
              <a:t>Стопа раста БДП Немачке, %</a:t>
            </a:r>
          </a:p>
        </c:rich>
      </c:tx>
      <c:layout>
        <c:manualLayout>
          <c:xMode val="edge"/>
          <c:yMode val="edge"/>
          <c:x val="0.24777522601341498"/>
          <c:y val="5.7538437515361994E-3"/>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9.7630855269055378E-2"/>
          <c:w val="0.88876071125802292"/>
          <c:h val="0.77851663143649463"/>
        </c:manualLayout>
      </c:layout>
      <c:lineChart>
        <c:grouping val="standard"/>
        <c:varyColors val="0"/>
        <c:ser>
          <c:idx val="0"/>
          <c:order val="0"/>
          <c:tx>
            <c:strRef>
              <c:f>'Nemacka, Italija, realni rast'!$A$13</c:f>
              <c:strCache>
                <c:ptCount val="1"/>
                <c:pt idx="0">
                  <c:v>апр. 2024.</c:v>
                </c:pt>
              </c:strCache>
            </c:strRef>
          </c:tx>
          <c:spPr>
            <a:ln w="25400" cap="rnd">
              <a:solidFill>
                <a:schemeClr val="accent4"/>
              </a:solidFill>
              <a:prstDash val="sysDot"/>
              <a:round/>
            </a:ln>
            <a:effectLst/>
          </c:spPr>
          <c:marker>
            <c:symbol val="none"/>
          </c:marker>
          <c:dLbls>
            <c:dLbl>
              <c:idx val="0"/>
              <c:layout>
                <c:manualLayout>
                  <c:x val="-5.9496546065137809E-2"/>
                  <c:y val="-6.8306010928961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25-4884-8ABF-005DD1721B0E}"/>
                </c:ext>
              </c:extLst>
            </c:dLbl>
            <c:dLbl>
              <c:idx val="1"/>
              <c:layout>
                <c:manualLayout>
                  <c:x val="-5.5170744138634049E-2"/>
                  <c:y val="-5.7012962962963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25-4884-8ABF-005DD1721B0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rast'!$E$13:$I$13</c:f>
              <c:numCache>
                <c:formatCode>0.0</c:formatCode>
                <c:ptCount val="3"/>
                <c:pt idx="0">
                  <c:v>0.15</c:v>
                </c:pt>
                <c:pt idx="1">
                  <c:v>1.3260000000000001</c:v>
                </c:pt>
                <c:pt idx="2">
                  <c:v>1.4510000000000001</c:v>
                </c:pt>
              </c:numCache>
            </c:numRef>
          </c:val>
          <c:smooth val="0"/>
          <c:extLst>
            <c:ext xmlns:c16="http://schemas.microsoft.com/office/drawing/2014/chart" uri="{C3380CC4-5D6E-409C-BE32-E72D297353CC}">
              <c16:uniqueId val="{00000002-7225-4884-8ABF-005DD1721B0E}"/>
            </c:ext>
          </c:extLst>
        </c:ser>
        <c:ser>
          <c:idx val="1"/>
          <c:order val="1"/>
          <c:tx>
            <c:strRef>
              <c:f>'Nemacka, Italija, realni rast'!$A$14</c:f>
              <c:strCache>
                <c:ptCount val="1"/>
                <c:pt idx="0">
                  <c:v>окт. 2024.</c:v>
                </c:pt>
              </c:strCache>
            </c:strRef>
          </c:tx>
          <c:spPr>
            <a:ln w="22225" cap="rnd">
              <a:solidFill>
                <a:srgbClr val="002060"/>
              </a:solidFill>
              <a:prstDash val="sysDash"/>
              <a:round/>
            </a:ln>
            <a:effectLst/>
          </c:spPr>
          <c:marker>
            <c:symbol val="none"/>
          </c:marker>
          <c:dLbls>
            <c:dLbl>
              <c:idx val="0"/>
              <c:layout>
                <c:manualLayout>
                  <c:x val="-0.10030699650468052"/>
                  <c:y val="-4.92423876502183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225-4884-8ABF-005DD1721B0E}"/>
                </c:ext>
              </c:extLst>
            </c:dLbl>
            <c:dLbl>
              <c:idx val="1"/>
              <c:layout>
                <c:manualLayout>
                  <c:x val="-4.5753670841161789E-2"/>
                  <c:y val="-6.1420456740986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225-4884-8ABF-005DD1721B0E}"/>
                </c:ext>
              </c:extLst>
            </c:dLbl>
            <c:dLbl>
              <c:idx val="2"/>
              <c:layout>
                <c:manualLayout>
                  <c:x val="-2.254270547732001E-2"/>
                  <c:y val="9.757549557556319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25-4884-8ABF-005DD1721B0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rast'!$E$14:$I$14</c:f>
              <c:numCache>
                <c:formatCode>0.0</c:formatCode>
                <c:ptCount val="3"/>
                <c:pt idx="0">
                  <c:v>7.0000000000000001E-3</c:v>
                </c:pt>
                <c:pt idx="1">
                  <c:v>0.78600000000000003</c:v>
                </c:pt>
                <c:pt idx="2">
                  <c:v>1.395</c:v>
                </c:pt>
              </c:numCache>
            </c:numRef>
          </c:val>
          <c:smooth val="0"/>
          <c:extLst>
            <c:ext xmlns:c16="http://schemas.microsoft.com/office/drawing/2014/chart" uri="{C3380CC4-5D6E-409C-BE32-E72D297353CC}">
              <c16:uniqueId val="{00000006-7225-4884-8ABF-005DD1721B0E}"/>
            </c:ext>
          </c:extLst>
        </c:ser>
        <c:ser>
          <c:idx val="2"/>
          <c:order val="2"/>
          <c:tx>
            <c:strRef>
              <c:f>'Nemacka, Italija, realni rast'!$A$15</c:f>
              <c:strCache>
                <c:ptCount val="1"/>
                <c:pt idx="0">
                  <c:v>апр. 2025.</c:v>
                </c:pt>
              </c:strCache>
            </c:strRef>
          </c:tx>
          <c:spPr>
            <a:ln w="28575" cap="rnd">
              <a:solidFill>
                <a:srgbClr val="FF0000"/>
              </a:solidFill>
              <a:round/>
            </a:ln>
            <a:effectLst/>
          </c:spPr>
          <c:marker>
            <c:symbol val="circle"/>
            <c:size val="13"/>
            <c:spPr>
              <a:solidFill>
                <a:srgbClr val="FF0000"/>
              </a:solidFill>
              <a:ln w="9525">
                <a:noFill/>
              </a:ln>
              <a:effectLst/>
            </c:spPr>
          </c:marker>
          <c:dLbls>
            <c:dLbl>
              <c:idx val="1"/>
              <c:tx>
                <c:rich>
                  <a:bodyPr/>
                  <a:lstStyle/>
                  <a:p>
                    <a:r>
                      <a:rPr lang="en-US"/>
                      <a:t>0.0</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658-480D-8FE3-1A83A840F420}"/>
                </c:ext>
              </c:extLst>
            </c:dLbl>
            <c:dLbl>
              <c:idx val="2"/>
              <c:layout>
                <c:manualLayout>
                  <c:x val="-0.10877845907259058"/>
                  <c:y val="7.667896750260759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225-4884-8ABF-005DD1721B0E}"/>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700" b="0" i="0" u="none" strike="noStrike" kern="1200" baseline="0">
                    <a:solidFill>
                      <a:schemeClr val="bg1"/>
                    </a:solidFill>
                    <a:latin typeface="+mn-lt"/>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rast'!$E$12:$I$12</c:f>
              <c:numCache>
                <c:formatCode>General</c:formatCode>
                <c:ptCount val="3"/>
                <c:pt idx="0">
                  <c:v>2024</c:v>
                </c:pt>
                <c:pt idx="1">
                  <c:v>2025</c:v>
                </c:pt>
                <c:pt idx="2">
                  <c:v>2026</c:v>
                </c:pt>
              </c:numCache>
            </c:numRef>
          </c:cat>
          <c:val>
            <c:numRef>
              <c:f>'Nemacka, Italija, realni rast'!$E$15:$I$15</c:f>
              <c:numCache>
                <c:formatCode>0.0</c:formatCode>
                <c:ptCount val="3"/>
                <c:pt idx="0">
                  <c:v>-0.23200000000000001</c:v>
                </c:pt>
                <c:pt idx="1">
                  <c:v>-0.05</c:v>
                </c:pt>
                <c:pt idx="2">
                  <c:v>0.92200000000000004</c:v>
                </c:pt>
              </c:numCache>
            </c:numRef>
          </c:val>
          <c:smooth val="0"/>
          <c:extLst>
            <c:ext xmlns:c16="http://schemas.microsoft.com/office/drawing/2014/chart" uri="{C3380CC4-5D6E-409C-BE32-E72D297353CC}">
              <c16:uniqueId val="{00000008-7225-4884-8ABF-005DD1721B0E}"/>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165682414698163"/>
          <c:y val="6.035665294924554E-2"/>
          <c:w val="0.71252661125692618"/>
          <c:h val="0.70831513409961688"/>
        </c:manualLayout>
      </c:layout>
      <c:barChart>
        <c:barDir val="col"/>
        <c:grouping val="clustered"/>
        <c:varyColors val="0"/>
        <c:ser>
          <c:idx val="1"/>
          <c:order val="1"/>
          <c:tx>
            <c:strRef>
              <c:f>'Trziste rada-br zap croso'!$B$15</c:f>
              <c:strCache>
                <c:ptCount val="1"/>
                <c:pt idx="0">
                  <c:v>Стопа раста, у % (десна скала)</c:v>
                </c:pt>
              </c:strCache>
            </c:strRef>
          </c:tx>
          <c:spPr>
            <a:solidFill>
              <a:srgbClr val="29489A"/>
            </a:solidFill>
            <a:ln>
              <a:noFill/>
            </a:ln>
            <a:effectLst/>
          </c:spPr>
          <c:invertIfNegative val="0"/>
          <c:dLbls>
            <c:dLbl>
              <c:idx val="7"/>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en-US"/>
                </a:p>
              </c:txPr>
              <c:dLblPos val="inBase"/>
              <c:showLegendKey val="0"/>
              <c:showVal val="1"/>
              <c:showCatName val="0"/>
              <c:showSerName val="0"/>
              <c:showPercent val="0"/>
              <c:showBubbleSize val="0"/>
              <c:extLst>
                <c:ext xmlns:c16="http://schemas.microsoft.com/office/drawing/2014/chart" uri="{C3380CC4-5D6E-409C-BE32-E72D297353CC}">
                  <c16:uniqueId val="{00000000-CF9A-447A-9A86-2CA97DACE55A}"/>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rada-br zap croso'!$C$13:$J$13</c:f>
              <c:strCache>
                <c:ptCount val="8"/>
                <c:pt idx="0">
                  <c:v>2018</c:v>
                </c:pt>
                <c:pt idx="1">
                  <c:v>2019</c:v>
                </c:pt>
                <c:pt idx="2">
                  <c:v>2020</c:v>
                </c:pt>
                <c:pt idx="3">
                  <c:v>2021</c:v>
                </c:pt>
                <c:pt idx="4">
                  <c:v>2022</c:v>
                </c:pt>
                <c:pt idx="5">
                  <c:v>2023</c:v>
                </c:pt>
                <c:pt idx="6">
                  <c:v>2024</c:v>
                </c:pt>
                <c:pt idx="7">
                  <c:v>I-IV 2025</c:v>
                </c:pt>
              </c:strCache>
            </c:strRef>
          </c:cat>
          <c:val>
            <c:numRef>
              <c:f>'Trziste rada-br zap croso'!$C$15:$J$15</c:f>
              <c:numCache>
                <c:formatCode>0.0</c:formatCode>
                <c:ptCount val="8"/>
                <c:pt idx="0">
                  <c:v>3.8024992025341504</c:v>
                </c:pt>
                <c:pt idx="1">
                  <c:v>2.3736491221046947</c:v>
                </c:pt>
                <c:pt idx="2">
                  <c:v>2.2763571179288817</c:v>
                </c:pt>
                <c:pt idx="3">
                  <c:v>2.9561962168021836</c:v>
                </c:pt>
                <c:pt idx="4">
                  <c:v>1.8458948204450394</c:v>
                </c:pt>
                <c:pt idx="5">
                  <c:v>2.4</c:v>
                </c:pt>
                <c:pt idx="6">
                  <c:v>0.5</c:v>
                </c:pt>
                <c:pt idx="7">
                  <c:v>0.2</c:v>
                </c:pt>
              </c:numCache>
            </c:numRef>
          </c:val>
          <c:extLst>
            <c:ext xmlns:c16="http://schemas.microsoft.com/office/drawing/2014/chart" uri="{C3380CC4-5D6E-409C-BE32-E72D297353CC}">
              <c16:uniqueId val="{00000001-CF9A-447A-9A86-2CA97DACE55A}"/>
            </c:ext>
          </c:extLst>
        </c:ser>
        <c:dLbls>
          <c:showLegendKey val="0"/>
          <c:showVal val="0"/>
          <c:showCatName val="0"/>
          <c:showSerName val="0"/>
          <c:showPercent val="0"/>
          <c:showBubbleSize val="0"/>
        </c:dLbls>
        <c:gapWidth val="32"/>
        <c:axId val="1699767695"/>
        <c:axId val="1699779759"/>
      </c:barChart>
      <c:lineChart>
        <c:grouping val="standard"/>
        <c:varyColors val="0"/>
        <c:ser>
          <c:idx val="0"/>
          <c:order val="0"/>
          <c:tx>
            <c:strRef>
              <c:f>'Trziste rada-br zap croso'!$B$14</c:f>
              <c:strCache>
                <c:ptCount val="1"/>
                <c:pt idx="0">
                  <c:v>Просечан број запослених, у хиљ.</c:v>
                </c:pt>
              </c:strCache>
            </c:strRef>
          </c:tx>
          <c:spPr>
            <a:ln w="28575" cap="rnd">
              <a:solidFill>
                <a:srgbClr val="FF0000"/>
              </a:solidFill>
              <a:round/>
            </a:ln>
            <a:effectLst/>
          </c:spPr>
          <c:marker>
            <c:symbol val="circle"/>
            <c:size val="18"/>
            <c:spPr>
              <a:solidFill>
                <a:srgbClr val="FF0000"/>
              </a:solidFill>
              <a:ln w="9525">
                <a:solidFill>
                  <a:srgbClr val="ED1C2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rada-br zap croso'!$C$13:$J$13</c:f>
              <c:strCache>
                <c:ptCount val="8"/>
                <c:pt idx="0">
                  <c:v>2018</c:v>
                </c:pt>
                <c:pt idx="1">
                  <c:v>2019</c:v>
                </c:pt>
                <c:pt idx="2">
                  <c:v>2020</c:v>
                </c:pt>
                <c:pt idx="3">
                  <c:v>2021</c:v>
                </c:pt>
                <c:pt idx="4">
                  <c:v>2022</c:v>
                </c:pt>
                <c:pt idx="5">
                  <c:v>2023</c:v>
                </c:pt>
                <c:pt idx="6">
                  <c:v>2024</c:v>
                </c:pt>
                <c:pt idx="7">
                  <c:v>I-IV 2025</c:v>
                </c:pt>
              </c:strCache>
            </c:strRef>
          </c:cat>
          <c:val>
            <c:numRef>
              <c:f>'Trziste rada-br zap croso'!$C$14:$J$14</c:f>
              <c:numCache>
                <c:formatCode>0</c:formatCode>
                <c:ptCount val="8"/>
                <c:pt idx="0">
                  <c:v>2052.5464166666666</c:v>
                </c:pt>
                <c:pt idx="1">
                  <c:v>2101.2666666666664</c:v>
                </c:pt>
                <c:pt idx="2">
                  <c:v>2149.0990000000002</c:v>
                </c:pt>
                <c:pt idx="3">
                  <c:v>2212.6305833333336</c:v>
                </c:pt>
                <c:pt idx="4">
                  <c:v>2253.4734166666667</c:v>
                </c:pt>
                <c:pt idx="5">
                  <c:v>2306.9553333333333</c:v>
                </c:pt>
                <c:pt idx="6">
                  <c:v>2319.5354166666666</c:v>
                </c:pt>
                <c:pt idx="7">
                  <c:v>2318.42175</c:v>
                </c:pt>
              </c:numCache>
            </c:numRef>
          </c:val>
          <c:smooth val="0"/>
          <c:extLst>
            <c:ext xmlns:c16="http://schemas.microsoft.com/office/drawing/2014/chart" uri="{C3380CC4-5D6E-409C-BE32-E72D297353CC}">
              <c16:uniqueId val="{00000002-CF9A-447A-9A86-2CA97DACE55A}"/>
            </c:ext>
          </c:extLst>
        </c:ser>
        <c:dLbls>
          <c:showLegendKey val="0"/>
          <c:showVal val="0"/>
          <c:showCatName val="0"/>
          <c:showSerName val="0"/>
          <c:showPercent val="0"/>
          <c:showBubbleSize val="0"/>
        </c:dLbls>
        <c:marker val="1"/>
        <c:smooth val="0"/>
        <c:axId val="1299337759"/>
        <c:axId val="1299338591"/>
      </c:lineChart>
      <c:catAx>
        <c:axId val="1299337759"/>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99338591"/>
        <c:crosses val="autoZero"/>
        <c:auto val="1"/>
        <c:lblAlgn val="ctr"/>
        <c:lblOffset val="100"/>
        <c:noMultiLvlLbl val="0"/>
      </c:catAx>
      <c:valAx>
        <c:axId val="1299338591"/>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299337759"/>
        <c:crosses val="autoZero"/>
        <c:crossBetween val="between"/>
      </c:valAx>
      <c:valAx>
        <c:axId val="1699779759"/>
        <c:scaling>
          <c:orientation val="minMax"/>
        </c:scaling>
        <c:delete val="0"/>
        <c:axPos val="r"/>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a:t>
                </a:r>
                <a:r>
                  <a:rPr lang="sr-Cyrl-RS" sz="700" baseline="0">
                    <a:solidFill>
                      <a:schemeClr val="tx2"/>
                    </a:solidFill>
                  </a:rPr>
                  <a:t> на и</a:t>
                </a:r>
                <a:r>
                  <a:rPr lang="sr-Cyrl-RS" sz="700">
                    <a:solidFill>
                      <a:schemeClr val="tx2"/>
                    </a:solidFill>
                  </a:rPr>
                  <a:t>сти период претходне године, %</a:t>
                </a:r>
                <a:endParaRPr lang="en-GB" sz="700">
                  <a:solidFill>
                    <a:schemeClr val="tx2"/>
                  </a:solidFill>
                </a:endParaRPr>
              </a:p>
            </c:rich>
          </c:tx>
          <c:layout>
            <c:manualLayout>
              <c:xMode val="edge"/>
              <c:yMode val="edge"/>
              <c:x val="0.90699074074074071"/>
              <c:y val="0.1016364725082481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GB"/>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699767695"/>
        <c:crosses val="max"/>
        <c:crossBetween val="between"/>
      </c:valAx>
      <c:catAx>
        <c:axId val="1699767695"/>
        <c:scaling>
          <c:orientation val="minMax"/>
        </c:scaling>
        <c:delete val="1"/>
        <c:axPos val="b"/>
        <c:numFmt formatCode="General" sourceLinked="1"/>
        <c:majorTickMark val="out"/>
        <c:minorTickMark val="none"/>
        <c:tickLblPos val="nextTo"/>
        <c:crossAx val="1699779759"/>
        <c:crosses val="autoZero"/>
        <c:auto val="1"/>
        <c:lblAlgn val="ctr"/>
        <c:lblOffset val="100"/>
        <c:noMultiLvlLbl val="0"/>
      </c:catAx>
      <c:spPr>
        <a:noFill/>
        <a:ln>
          <a:noFill/>
        </a:ln>
        <a:effectLst/>
      </c:spPr>
    </c:plotArea>
    <c:legend>
      <c:legendPos val="b"/>
      <c:layout>
        <c:manualLayout>
          <c:xMode val="edge"/>
          <c:yMode val="edge"/>
          <c:x val="0"/>
          <c:y val="0.88085296934865898"/>
          <c:w val="0.9740740740740742"/>
          <c:h val="0.119147030651341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79862933799949E-2"/>
          <c:y val="9.8260956915078204E-2"/>
          <c:w val="0.92629337999416761"/>
          <c:h val="0.72096111111111116"/>
        </c:manualLayout>
      </c:layout>
      <c:barChart>
        <c:barDir val="col"/>
        <c:grouping val="clustered"/>
        <c:varyColors val="0"/>
        <c:ser>
          <c:idx val="0"/>
          <c:order val="0"/>
          <c:spPr>
            <a:solidFill>
              <a:srgbClr val="29489A"/>
            </a:solidFill>
            <a:ln>
              <a:noFill/>
            </a:ln>
            <a:effectLst/>
          </c:spPr>
          <c:invertIfNegative val="0"/>
          <c:dLbls>
            <c:dLbl>
              <c:idx val="0"/>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92E-428E-9BAE-6BAA446B1B49}"/>
                </c:ext>
              </c:extLst>
            </c:dLbl>
            <c:dLbl>
              <c:idx val="1"/>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92E-428E-9BAE-6BAA446B1B49}"/>
                </c:ext>
              </c:extLst>
            </c:dLbl>
            <c:dLbl>
              <c:idx val="2"/>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92E-428E-9BAE-6BAA446B1B49}"/>
                </c:ext>
              </c:extLst>
            </c:dLbl>
            <c:dLbl>
              <c:idx val="3"/>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29489A"/>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92E-428E-9BAE-6BAA446B1B49}"/>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rada-ARS'!$E$39:$E$61</c:f>
              <c:numCache>
                <c:formatCode>0.0%</c:formatCode>
                <c:ptCount val="15"/>
                <c:pt idx="0">
                  <c:v>9.4E-2</c:v>
                </c:pt>
                <c:pt idx="1">
                  <c:v>8.2000000000000003E-2</c:v>
                </c:pt>
                <c:pt idx="2">
                  <c:v>8.1000000000000003E-2</c:v>
                </c:pt>
                <c:pt idx="3">
                  <c:v>8.5999999999999993E-2</c:v>
                </c:pt>
                <c:pt idx="5">
                  <c:v>0.50900000000000001</c:v>
                </c:pt>
                <c:pt idx="6">
                  <c:v>0.51400000000000001</c:v>
                </c:pt>
                <c:pt idx="7">
                  <c:v>0.51900000000000002</c:v>
                </c:pt>
                <c:pt idx="8">
                  <c:v>0.51400000000000001</c:v>
                </c:pt>
                <c:pt idx="10">
                  <c:v>0.438</c:v>
                </c:pt>
                <c:pt idx="11">
                  <c:v>0.44</c:v>
                </c:pt>
                <c:pt idx="12">
                  <c:v>0.436</c:v>
                </c:pt>
                <c:pt idx="13">
                  <c:v>0.437</c:v>
                </c:pt>
              </c:numCache>
            </c:numRef>
          </c:val>
          <c:extLst>
            <c:ext xmlns:c16="http://schemas.microsoft.com/office/drawing/2014/chart" uri="{C3380CC4-5D6E-409C-BE32-E72D297353CC}">
              <c16:uniqueId val="{00000004-492E-428E-9BAE-6BAA446B1B49}"/>
            </c:ext>
          </c:extLst>
        </c:ser>
        <c:dLbls>
          <c:showLegendKey val="0"/>
          <c:showVal val="0"/>
          <c:showCatName val="0"/>
          <c:showSerName val="0"/>
          <c:showPercent val="0"/>
          <c:showBubbleSize val="0"/>
        </c:dLbls>
        <c:gapWidth val="14"/>
        <c:overlap val="-27"/>
        <c:axId val="961497464"/>
        <c:axId val="961498448"/>
      </c:barChart>
      <c:barChart>
        <c:barDir val="col"/>
        <c:grouping val="clustered"/>
        <c:varyColors val="0"/>
        <c:ser>
          <c:idx val="1"/>
          <c:order val="1"/>
          <c:spPr>
            <a:solidFill>
              <a:srgbClr val="FF0000"/>
            </a:solidFill>
            <a:ln>
              <a:noFill/>
            </a:ln>
            <a:effectLst/>
          </c:spPr>
          <c:invertIfNegative val="0"/>
          <c:dLbls>
            <c:dLbl>
              <c:idx val="4"/>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92E-428E-9BAE-6BAA446B1B49}"/>
                </c:ext>
              </c:extLst>
            </c:dLbl>
            <c:spPr>
              <a:noFill/>
              <a:ln>
                <a:noFill/>
              </a:ln>
              <a:effectLst/>
            </c:spPr>
            <c:txPr>
              <a:bodyPr rot="-540000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rada-ARS'!$F$39:$F$61</c:f>
              <c:numCache>
                <c:formatCode>General</c:formatCode>
                <c:ptCount val="15"/>
                <c:pt idx="4" formatCode="0.0%">
                  <c:v>9.0999999999999998E-2</c:v>
                </c:pt>
                <c:pt idx="9" formatCode="0.0%">
                  <c:v>0.51400000000000001</c:v>
                </c:pt>
                <c:pt idx="14" formatCode="0.0%">
                  <c:v>0.434</c:v>
                </c:pt>
              </c:numCache>
            </c:numRef>
          </c:val>
          <c:extLst>
            <c:ext xmlns:c16="http://schemas.microsoft.com/office/drawing/2014/chart" uri="{C3380CC4-5D6E-409C-BE32-E72D297353CC}">
              <c16:uniqueId val="{00000006-492E-428E-9BAE-6BAA446B1B49}"/>
            </c:ext>
          </c:extLst>
        </c:ser>
        <c:dLbls>
          <c:showLegendKey val="0"/>
          <c:showVal val="0"/>
          <c:showCatName val="0"/>
          <c:showSerName val="0"/>
          <c:showPercent val="0"/>
          <c:showBubbleSize val="0"/>
        </c:dLbls>
        <c:gapWidth val="14"/>
        <c:overlap val="-27"/>
        <c:axId val="1025104512"/>
        <c:axId val="1025106808"/>
      </c:barChart>
      <c:lineChart>
        <c:grouping val="standard"/>
        <c:varyColors val="0"/>
        <c:ser>
          <c:idx val="2"/>
          <c:order val="2"/>
          <c:spPr>
            <a:ln w="28575" cap="rnd">
              <a:noFill/>
              <a:round/>
            </a:ln>
            <a:effectLst/>
          </c:spPr>
          <c:marker>
            <c:symbol val="none"/>
          </c:marker>
          <c:dLbls>
            <c:dLbl>
              <c:idx val="0"/>
              <c:tx>
                <c:rich>
                  <a:bodyPr/>
                  <a:lstStyle/>
                  <a:p>
                    <a:fld id="{69B51C73-DF7F-4682-8A51-E7B1F4ADB319}" type="CELLRANGE">
                      <a:rPr lang="en-U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492E-428E-9BAE-6BAA446B1B49}"/>
                </c:ext>
              </c:extLst>
            </c:dLbl>
            <c:dLbl>
              <c:idx val="1"/>
              <c:tx>
                <c:rich>
                  <a:bodyPr/>
                  <a:lstStyle/>
                  <a:p>
                    <a:fld id="{2F46D723-60EA-4740-B7F8-510FDBAFE7F1}"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92E-428E-9BAE-6BAA446B1B49}"/>
                </c:ext>
              </c:extLst>
            </c:dLbl>
            <c:dLbl>
              <c:idx val="2"/>
              <c:tx>
                <c:rich>
                  <a:bodyPr/>
                  <a:lstStyle/>
                  <a:p>
                    <a:fld id="{A0A46476-F619-453E-AA7A-AD0169A569C7}"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492E-428E-9BAE-6BAA446B1B49}"/>
                </c:ext>
              </c:extLst>
            </c:dLbl>
            <c:dLbl>
              <c:idx val="3"/>
              <c:tx>
                <c:rich>
                  <a:bodyPr/>
                  <a:lstStyle/>
                  <a:p>
                    <a:fld id="{0DD37DF1-4240-4BBF-A28B-F3FD5645DD33}"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92E-428E-9BAE-6BAA446B1B49}"/>
                </c:ext>
              </c:extLst>
            </c:dLbl>
            <c:dLbl>
              <c:idx val="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492E-428E-9BAE-6BAA446B1B49}"/>
                </c:ext>
              </c:extLst>
            </c:dLbl>
            <c:dLbl>
              <c:idx val="5"/>
              <c:tx>
                <c:rich>
                  <a:bodyPr/>
                  <a:lstStyle/>
                  <a:p>
                    <a:fld id="{7EEB6E75-B99B-4052-8FD6-0E695E21B1F1}"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492E-428E-9BAE-6BAA446B1B49}"/>
                </c:ext>
              </c:extLst>
            </c:dLbl>
            <c:dLbl>
              <c:idx val="6"/>
              <c:tx>
                <c:rich>
                  <a:bodyPr/>
                  <a:lstStyle/>
                  <a:p>
                    <a:fld id="{11E51A56-DFAF-4D3B-9258-F8D635652DE6}"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492E-428E-9BAE-6BAA446B1B49}"/>
                </c:ext>
              </c:extLst>
            </c:dLbl>
            <c:dLbl>
              <c:idx val="7"/>
              <c:tx>
                <c:rich>
                  <a:bodyPr/>
                  <a:lstStyle/>
                  <a:p>
                    <a:fld id="{55CD2564-003C-4DD8-B668-811BFA6F501E}"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92E-428E-9BAE-6BAA446B1B49}"/>
                </c:ext>
              </c:extLst>
            </c:dLbl>
            <c:dLbl>
              <c:idx val="8"/>
              <c:tx>
                <c:rich>
                  <a:bodyPr/>
                  <a:lstStyle/>
                  <a:p>
                    <a:fld id="{00847C50-287E-4367-968A-62E5E30CBA7B}"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492E-428E-9BAE-6BAA446B1B49}"/>
                </c:ext>
              </c:extLst>
            </c:dLbl>
            <c:dLbl>
              <c:idx val="9"/>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492E-428E-9BAE-6BAA446B1B49}"/>
                </c:ext>
              </c:extLst>
            </c:dLbl>
            <c:dLbl>
              <c:idx val="10"/>
              <c:tx>
                <c:rich>
                  <a:bodyPr/>
                  <a:lstStyle/>
                  <a:p>
                    <a:fld id="{58772E13-DFBD-4DDA-9240-C475155C9A64}"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492E-428E-9BAE-6BAA446B1B49}"/>
                </c:ext>
              </c:extLst>
            </c:dLbl>
            <c:dLbl>
              <c:idx val="11"/>
              <c:tx>
                <c:rich>
                  <a:bodyPr/>
                  <a:lstStyle/>
                  <a:p>
                    <a:fld id="{C3B0C701-3DD2-4857-A655-0773325092A7}"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492E-428E-9BAE-6BAA446B1B49}"/>
                </c:ext>
              </c:extLst>
            </c:dLbl>
            <c:dLbl>
              <c:idx val="12"/>
              <c:tx>
                <c:rich>
                  <a:bodyPr/>
                  <a:lstStyle/>
                  <a:p>
                    <a:fld id="{6D9FA4B6-337F-48FD-839D-14E4CC923F37}"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492E-428E-9BAE-6BAA446B1B49}"/>
                </c:ext>
              </c:extLst>
            </c:dLbl>
            <c:dLbl>
              <c:idx val="13"/>
              <c:tx>
                <c:rich>
                  <a:bodyPr/>
                  <a:lstStyle/>
                  <a:p>
                    <a:fld id="{7B48C3CE-CF5C-48B3-8A6E-CDCC44B3DA50}"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492E-428E-9BAE-6BAA446B1B49}"/>
                </c:ext>
              </c:extLst>
            </c:dLbl>
            <c:dLbl>
              <c:idx val="14"/>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492E-428E-9BAE-6BAA446B1B49}"/>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29489A"/>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rada-ARS'!$G$39:$G$61</c:f>
              <c:numCache>
                <c:formatCode>General</c:formatCode>
                <c:ptCount val="15"/>
                <c:pt idx="0">
                  <c:v>0</c:v>
                </c:pt>
                <c:pt idx="1">
                  <c:v>0</c:v>
                </c:pt>
                <c:pt idx="2">
                  <c:v>0</c:v>
                </c:pt>
                <c:pt idx="3">
                  <c:v>0</c:v>
                </c:pt>
                <c:pt idx="5">
                  <c:v>0</c:v>
                </c:pt>
                <c:pt idx="6">
                  <c:v>0</c:v>
                </c:pt>
                <c:pt idx="7">
                  <c:v>0</c:v>
                </c:pt>
                <c:pt idx="8">
                  <c:v>0</c:v>
                </c:pt>
                <c:pt idx="10">
                  <c:v>0</c:v>
                </c:pt>
                <c:pt idx="11">
                  <c:v>0</c:v>
                </c:pt>
                <c:pt idx="12">
                  <c:v>0</c:v>
                </c:pt>
                <c:pt idx="13">
                  <c:v>0</c:v>
                </c:pt>
              </c:numCache>
            </c:numRef>
          </c:val>
          <c:smooth val="0"/>
          <c:extLst>
            <c:ext xmlns:c15="http://schemas.microsoft.com/office/drawing/2012/chart" uri="{02D57815-91ED-43cb-92C2-25804820EDAC}">
              <c15:datalabelsRange>
                <c15:f>'Trziste rada-ARS'!$K$39:$K$64</c15:f>
                <c15:dlblRangeCache>
                  <c:ptCount val="15"/>
                  <c:pt idx="0">
                    <c:v>I</c:v>
                  </c:pt>
                  <c:pt idx="1">
                    <c:v>II</c:v>
                  </c:pt>
                  <c:pt idx="2">
                    <c:v>III</c:v>
                  </c:pt>
                  <c:pt idx="3">
                    <c:v>IV</c:v>
                  </c:pt>
                  <c:pt idx="5">
                    <c:v>I</c:v>
                  </c:pt>
                  <c:pt idx="6">
                    <c:v>II</c:v>
                  </c:pt>
                  <c:pt idx="7">
                    <c:v>III</c:v>
                  </c:pt>
                  <c:pt idx="8">
                    <c:v>IV</c:v>
                  </c:pt>
                  <c:pt idx="10">
                    <c:v>I</c:v>
                  </c:pt>
                  <c:pt idx="11">
                    <c:v>II</c:v>
                  </c:pt>
                  <c:pt idx="12">
                    <c:v>III</c:v>
                  </c:pt>
                  <c:pt idx="13">
                    <c:v>IV</c:v>
                  </c:pt>
                </c15:dlblRangeCache>
              </c15:datalabelsRange>
            </c:ext>
            <c:ext xmlns:c16="http://schemas.microsoft.com/office/drawing/2014/chart" uri="{C3380CC4-5D6E-409C-BE32-E72D297353CC}">
              <c16:uniqueId val="{00000016-492E-428E-9BAE-6BAA446B1B49}"/>
            </c:ext>
          </c:extLst>
        </c:ser>
        <c:ser>
          <c:idx val="3"/>
          <c:order val="3"/>
          <c:spPr>
            <a:ln w="28575" cap="rnd">
              <a:noFill/>
              <a:round/>
            </a:ln>
            <a:effectLst/>
          </c:spPr>
          <c:marker>
            <c:symbol val="none"/>
          </c:marker>
          <c:dLbls>
            <c:dLbl>
              <c:idx val="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492E-428E-9BAE-6BAA446B1B49}"/>
                </c:ext>
              </c:extLst>
            </c:dLbl>
            <c:dLbl>
              <c:idx val="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492E-428E-9BAE-6BAA446B1B49}"/>
                </c:ext>
              </c:extLst>
            </c:dLbl>
            <c:dLbl>
              <c:idx val="2"/>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492E-428E-9BAE-6BAA446B1B49}"/>
                </c:ext>
              </c:extLst>
            </c:dLbl>
            <c:dLbl>
              <c:idx val="3"/>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492E-428E-9BAE-6BAA446B1B49}"/>
                </c:ext>
              </c:extLst>
            </c:dLbl>
            <c:dLbl>
              <c:idx val="4"/>
              <c:tx>
                <c:rich>
                  <a:bodyPr/>
                  <a:lstStyle/>
                  <a:p>
                    <a:fld id="{E7F4F5FE-B0D6-4E49-A809-82C9983F8128}" type="CELLRANGE">
                      <a:rPr lang="en-U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492E-428E-9BAE-6BAA446B1B49}"/>
                </c:ext>
              </c:extLst>
            </c:dLbl>
            <c:dLbl>
              <c:idx val="5"/>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492E-428E-9BAE-6BAA446B1B49}"/>
                </c:ext>
              </c:extLst>
            </c:dLbl>
            <c:dLbl>
              <c:idx val="6"/>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492E-428E-9BAE-6BAA446B1B49}"/>
                </c:ext>
              </c:extLst>
            </c:dLbl>
            <c:dLbl>
              <c:idx val="7"/>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492E-428E-9BAE-6BAA446B1B49}"/>
                </c:ext>
              </c:extLst>
            </c:dLbl>
            <c:dLbl>
              <c:idx val="8"/>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492E-428E-9BAE-6BAA446B1B49}"/>
                </c:ext>
              </c:extLst>
            </c:dLbl>
            <c:dLbl>
              <c:idx val="9"/>
              <c:tx>
                <c:rich>
                  <a:bodyPr/>
                  <a:lstStyle/>
                  <a:p>
                    <a:fld id="{29D9B933-229A-40AB-90BB-184149E19463}"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492E-428E-9BAE-6BAA446B1B49}"/>
                </c:ext>
              </c:extLst>
            </c:dLbl>
            <c:dLbl>
              <c:idx val="10"/>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492E-428E-9BAE-6BAA446B1B49}"/>
                </c:ext>
              </c:extLst>
            </c:dLbl>
            <c:dLbl>
              <c:idx val="11"/>
              <c:tx>
                <c:rich>
                  <a:bodyPr/>
                  <a:lstStyle/>
                  <a:p>
                    <a:endParaRPr lang="en-GB"/>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492E-428E-9BAE-6BAA446B1B49}"/>
                </c:ext>
              </c:extLst>
            </c:dLbl>
            <c:dLbl>
              <c:idx val="12"/>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492E-428E-9BAE-6BAA446B1B49}"/>
                </c:ext>
              </c:extLst>
            </c:dLbl>
            <c:dLbl>
              <c:idx val="13"/>
              <c:tx>
                <c:rich>
                  <a:bodyPr/>
                  <a:lstStyle/>
                  <a:p>
                    <a:endParaRPr lang="en-US"/>
                  </a:p>
                </c:rich>
              </c:tx>
              <c:dLblPos val="b"/>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492E-428E-9BAE-6BAA446B1B49}"/>
                </c:ext>
              </c:extLst>
            </c:dLbl>
            <c:dLbl>
              <c:idx val="14"/>
              <c:tx>
                <c:rich>
                  <a:bodyPr/>
                  <a:lstStyle/>
                  <a:p>
                    <a:fld id="{A3062A75-B9EE-4BE0-87BC-30B821CD6F39}" type="CELLRANGE">
                      <a:rPr lang="sr-Cyrl-RS"/>
                      <a:pPr/>
                      <a:t>[CELLRANGE]</a:t>
                    </a:fld>
                    <a:endParaRPr lang="sr-Cyrl-R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5-492E-428E-9BAE-6BAA446B1B49}"/>
                </c:ext>
              </c:extLst>
            </c:dLbl>
            <c:spPr>
              <a:noFill/>
              <a:ln>
                <a:noFill/>
              </a:ln>
              <a:effectLst/>
            </c:spPr>
            <c:txPr>
              <a:bodyPr rot="0" spcFirstLastPara="1" vertOverflow="ellipsis" vert="horz" wrap="square" lIns="38100" tIns="0" rIns="38100" bIns="0" anchor="t" anchorCtr="0">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rada-ARS'!$H$39:$H$61</c:f>
              <c:numCache>
                <c:formatCode>General</c:formatCode>
                <c:ptCount val="15"/>
                <c:pt idx="4">
                  <c:v>0</c:v>
                </c:pt>
                <c:pt idx="9">
                  <c:v>0</c:v>
                </c:pt>
                <c:pt idx="14">
                  <c:v>0</c:v>
                </c:pt>
              </c:numCache>
            </c:numRef>
          </c:val>
          <c:smooth val="0"/>
          <c:extLst>
            <c:ext xmlns:c15="http://schemas.microsoft.com/office/drawing/2012/chart" uri="{02D57815-91ED-43cb-92C2-25804820EDAC}">
              <c15:datalabelsRange>
                <c15:f>'Trziste rada-ARS'!$L$39:$L$64</c15:f>
                <c15:dlblRangeCache>
                  <c:ptCount val="15"/>
                  <c:pt idx="4">
                    <c:v>I</c:v>
                  </c:pt>
                  <c:pt idx="9">
                    <c:v>I</c:v>
                  </c:pt>
                  <c:pt idx="14">
                    <c:v>I</c:v>
                  </c:pt>
                </c15:dlblRangeCache>
              </c15:datalabelsRange>
            </c:ext>
            <c:ext xmlns:c16="http://schemas.microsoft.com/office/drawing/2014/chart" uri="{C3380CC4-5D6E-409C-BE32-E72D297353CC}">
              <c16:uniqueId val="{00000026-492E-428E-9BAE-6BAA446B1B49}"/>
            </c:ext>
          </c:extLst>
        </c:ser>
        <c:ser>
          <c:idx val="4"/>
          <c:order val="4"/>
          <c:spPr>
            <a:ln w="28575" cap="rnd">
              <a:noFill/>
              <a:round/>
            </a:ln>
            <a:effectLst/>
          </c:spPr>
          <c:marker>
            <c:symbol val="none"/>
          </c:marker>
          <c:dLbls>
            <c:dLbl>
              <c:idx val="0"/>
              <c:layout>
                <c:manualLayout>
                  <c:x val="2.5083843686205995E-3"/>
                  <c:y val="0.13676669659601692"/>
                </c:manualLayout>
              </c:layout>
              <c:tx>
                <c:rich>
                  <a:bodyPr/>
                  <a:lstStyle/>
                  <a:p>
                    <a:fld id="{998B72C7-FC6F-4BAC-B62B-849E2A8C69E1}" type="CELLRANGE">
                      <a:rPr lang="en-U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7-492E-428E-9BAE-6BAA446B1B49}"/>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492E-428E-9BAE-6BAA446B1B49}"/>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492E-428E-9BAE-6BAA446B1B49}"/>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492E-428E-9BAE-6BAA446B1B49}"/>
                </c:ext>
              </c:extLst>
            </c:dLbl>
            <c:dLbl>
              <c:idx val="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B-492E-428E-9BAE-6BAA446B1B49}"/>
                </c:ext>
              </c:extLst>
            </c:dLbl>
            <c:dLbl>
              <c:idx val="5"/>
              <c:layout>
                <c:manualLayout>
                  <c:x val="-4.2614464858559348E-3"/>
                  <c:y val="0.13676669659601692"/>
                </c:manualLayout>
              </c:layout>
              <c:tx>
                <c:rich>
                  <a:bodyPr/>
                  <a:lstStyle/>
                  <a:p>
                    <a:fld id="{090DAF71-6BDB-4593-981C-E8FC4754D242}" type="CELLRANGE">
                      <a:rPr lang="en-U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2C-492E-428E-9BAE-6BAA446B1B49}"/>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492E-428E-9BAE-6BAA446B1B49}"/>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492E-428E-9BAE-6BAA446B1B49}"/>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492E-428E-9BAE-6BAA446B1B49}"/>
                </c:ext>
              </c:extLst>
            </c:dLbl>
            <c:dLbl>
              <c:idx val="9"/>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492E-428E-9BAE-6BAA446B1B49}"/>
                </c:ext>
              </c:extLst>
            </c:dLbl>
            <c:dLbl>
              <c:idx val="10"/>
              <c:layout>
                <c:manualLayout>
                  <c:x val="2.9148439778361036E-3"/>
                  <c:y val="0.13676669659601692"/>
                </c:manualLayout>
              </c:layout>
              <c:tx>
                <c:rich>
                  <a:bodyPr/>
                  <a:lstStyle/>
                  <a:p>
                    <a:fld id="{CE7E63E8-1690-4A3D-BD13-0B87457FB28A}" type="CELLRANGE">
                      <a:rPr lang="en-U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1-492E-428E-9BAE-6BAA446B1B49}"/>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2-492E-428E-9BAE-6BAA446B1B49}"/>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492E-428E-9BAE-6BAA446B1B4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492E-428E-9BAE-6BAA446B1B49}"/>
                </c:ext>
              </c:extLst>
            </c:dLbl>
            <c:dLbl>
              <c:idx val="14"/>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5-492E-428E-9BAE-6BAA446B1B49}"/>
                </c:ext>
              </c:extLst>
            </c:dLbl>
            <c:spPr>
              <a:noFill/>
              <a:ln>
                <a:noFill/>
              </a:ln>
              <a:effectLst/>
            </c:spPr>
            <c:txPr>
              <a:bodyPr rot="0" spcFirstLastPara="1" vertOverflow="ellipsis" vert="horz" wrap="none" lIns="38100" tIns="19050" rIns="38100" bIns="19050" anchor="ctr" anchorCtr="1">
                <a:spAutoFit/>
              </a:bodyPr>
              <a:lstStyle/>
              <a:p>
                <a:pPr>
                  <a:defRPr sz="759" b="1" i="0" u="none" strike="noStrike" kern="1200" baseline="0">
                    <a:solidFill>
                      <a:srgbClr val="29489A"/>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rada-ARS'!$I$39:$I$61</c:f>
              <c:numCache>
                <c:formatCode>General</c:formatCode>
                <c:ptCount val="15"/>
                <c:pt idx="0">
                  <c:v>0</c:v>
                </c:pt>
                <c:pt idx="5">
                  <c:v>0</c:v>
                </c:pt>
                <c:pt idx="10">
                  <c:v>0</c:v>
                </c:pt>
              </c:numCache>
            </c:numRef>
          </c:val>
          <c:smooth val="0"/>
          <c:extLst>
            <c:ext xmlns:c15="http://schemas.microsoft.com/office/drawing/2012/chart" uri="{02D57815-91ED-43cb-92C2-25804820EDAC}">
              <c15:datalabelsRange>
                <c15:f>'Trziste rada-ARS'!$M$39:$M$64</c15:f>
                <c15:dlblRangeCache>
                  <c:ptCount val="15"/>
                  <c:pt idx="0">
                    <c:v>2024</c:v>
                  </c:pt>
                  <c:pt idx="5">
                    <c:v>2024</c:v>
                  </c:pt>
                  <c:pt idx="10">
                    <c:v>2024</c:v>
                  </c:pt>
                </c15:dlblRangeCache>
              </c15:datalabelsRange>
            </c:ext>
            <c:ext xmlns:c16="http://schemas.microsoft.com/office/drawing/2014/chart" uri="{C3380CC4-5D6E-409C-BE32-E72D297353CC}">
              <c16:uniqueId val="{00000036-492E-428E-9BAE-6BAA446B1B49}"/>
            </c:ext>
          </c:extLst>
        </c:ser>
        <c:ser>
          <c:idx val="5"/>
          <c:order val="5"/>
          <c:spPr>
            <a:ln w="28575" cap="rnd">
              <a:solidFill>
                <a:schemeClr val="accent6"/>
              </a:solidFill>
              <a:round/>
            </a:ln>
            <a:effectLst/>
          </c:spPr>
          <c:marker>
            <c:symbol val="none"/>
          </c:marker>
          <c:dLbls>
            <c:dLbl>
              <c:idx val="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7-492E-428E-9BAE-6BAA446B1B49}"/>
                </c:ext>
              </c:extLst>
            </c:dLbl>
            <c:dLbl>
              <c:idx val="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8-492E-428E-9BAE-6BAA446B1B49}"/>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9-492E-428E-9BAE-6BAA446B1B49}"/>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A-492E-428E-9BAE-6BAA446B1B49}"/>
                </c:ext>
              </c:extLst>
            </c:dLbl>
            <c:dLbl>
              <c:idx val="4"/>
              <c:layout>
                <c:manualLayout>
                  <c:x val="-7.6224846894138235E-2"/>
                  <c:y val="0.13716154435447334"/>
                </c:manualLayout>
              </c:layout>
              <c:tx>
                <c:rich>
                  <a:bodyPr/>
                  <a:lstStyle/>
                  <a:p>
                    <a:fld id="{1F9E83EB-B3F4-481D-AC2B-BC1B775CF940}" type="CELLRANGE">
                      <a:rPr lang="en-US"/>
                      <a:pPr/>
                      <a:t>[CELLRANGE]</a:t>
                    </a:fld>
                    <a:endParaRPr lang="sr-Cyrl-R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3B-492E-428E-9BAE-6BAA446B1B49}"/>
                </c:ext>
              </c:extLst>
            </c:dLbl>
            <c:dLbl>
              <c:idx val="5"/>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C-492E-428E-9BAE-6BAA446B1B49}"/>
                </c:ext>
              </c:extLst>
            </c:dLbl>
            <c:dLbl>
              <c:idx val="6"/>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D-492E-428E-9BAE-6BAA446B1B49}"/>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E-492E-428E-9BAE-6BAA446B1B49}"/>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F-492E-428E-9BAE-6BAA446B1B49}"/>
                </c:ext>
              </c:extLst>
            </c:dLbl>
            <c:dLbl>
              <c:idx val="9"/>
              <c:layout>
                <c:manualLayout>
                  <c:x val="-7.3708078156897061E-2"/>
                  <c:y val="0.13716154435447334"/>
                </c:manualLayout>
              </c:layout>
              <c:tx>
                <c:rich>
                  <a:bodyPr/>
                  <a:lstStyle/>
                  <a:p>
                    <a:fld id="{3D12582E-2522-4820-9E9F-4C79D0DAB7DC}" type="CELLRANGE">
                      <a:rPr lang="en-U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0-492E-428E-9BAE-6BAA446B1B49}"/>
                </c:ext>
              </c:extLst>
            </c:dLbl>
            <c:dLbl>
              <c:idx val="10"/>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1-492E-428E-9BAE-6BAA446B1B49}"/>
                </c:ext>
              </c:extLst>
            </c:dLbl>
            <c:dLbl>
              <c:idx val="11"/>
              <c:tx>
                <c:rich>
                  <a:bodyPr/>
                  <a:lstStyle/>
                  <a:p>
                    <a:endParaRPr lang="en-GB"/>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2-492E-428E-9BAE-6BAA446B1B49}"/>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3-492E-428E-9BAE-6BAA446B1B4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44-492E-428E-9BAE-6BAA446B1B49}"/>
                </c:ext>
              </c:extLst>
            </c:dLbl>
            <c:dLbl>
              <c:idx val="14"/>
              <c:layout>
                <c:manualLayout>
                  <c:x val="-1.3509769612131817E-2"/>
                  <c:y val="0.13716154435447334"/>
                </c:manualLayout>
              </c:layout>
              <c:tx>
                <c:rich>
                  <a:bodyPr/>
                  <a:lstStyle/>
                  <a:p>
                    <a:fld id="{1A27527D-78D6-4064-8A02-E05C17C2F8D0}" type="CELLRANGE">
                      <a:rPr lang="en-U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45-492E-428E-9BAE-6BAA446B1B49}"/>
                </c:ext>
              </c:extLst>
            </c:dLbl>
            <c:spPr>
              <a:noFill/>
              <a:ln>
                <a:noFill/>
              </a:ln>
              <a:effectLst/>
            </c:spPr>
            <c:txPr>
              <a:bodyPr rot="0" spcFirstLastPara="1" vertOverflow="ellipsis" vert="horz" wrap="non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DataLabelsRange val="1"/>
                <c15:showLeaderLines val="0"/>
              </c:ext>
            </c:extLst>
          </c:dLbls>
          <c:cat>
            <c:multiLvlStrRef>
              <c:f>'Trziste rada-ARS'!$C$39:$D$61</c:f>
              <c:multiLvlStrCache>
                <c:ptCount val="15"/>
                <c:lvl>
                  <c:pt idx="0">
                    <c:v>I</c:v>
                  </c:pt>
                  <c:pt idx="1">
                    <c:v>II</c:v>
                  </c:pt>
                  <c:pt idx="2">
                    <c:v>III</c:v>
                  </c:pt>
                  <c:pt idx="3">
                    <c:v>IV</c:v>
                  </c:pt>
                  <c:pt idx="4">
                    <c:v>I</c:v>
                  </c:pt>
                  <c:pt idx="5">
                    <c:v>I</c:v>
                  </c:pt>
                  <c:pt idx="6">
                    <c:v>II</c:v>
                  </c:pt>
                  <c:pt idx="7">
                    <c:v>III</c:v>
                  </c:pt>
                  <c:pt idx="8">
                    <c:v>IV</c:v>
                  </c:pt>
                  <c:pt idx="9">
                    <c:v>I</c:v>
                  </c:pt>
                  <c:pt idx="10">
                    <c:v>I</c:v>
                  </c:pt>
                  <c:pt idx="11">
                    <c:v>II</c:v>
                  </c:pt>
                  <c:pt idx="12">
                    <c:v>III</c:v>
                  </c:pt>
                  <c:pt idx="13">
                    <c:v>IV</c:v>
                  </c:pt>
                  <c:pt idx="14">
                    <c:v>I</c:v>
                  </c:pt>
                </c:lvl>
                <c:lvl>
                  <c:pt idx="0">
                    <c:v>2024</c:v>
                  </c:pt>
                  <c:pt idx="4">
                    <c:v>2025</c:v>
                  </c:pt>
                  <c:pt idx="5">
                    <c:v>2024</c:v>
                  </c:pt>
                  <c:pt idx="9">
                    <c:v>2025</c:v>
                  </c:pt>
                  <c:pt idx="10">
                    <c:v>2024</c:v>
                  </c:pt>
                  <c:pt idx="14">
                    <c:v>2025</c:v>
                  </c:pt>
                </c:lvl>
              </c:multiLvlStrCache>
            </c:multiLvlStrRef>
          </c:cat>
          <c:val>
            <c:numRef>
              <c:f>'Trziste rada-ARS'!$J$39:$J$61</c:f>
              <c:numCache>
                <c:formatCode>General</c:formatCode>
                <c:ptCount val="15"/>
                <c:pt idx="4">
                  <c:v>0</c:v>
                </c:pt>
                <c:pt idx="9">
                  <c:v>0</c:v>
                </c:pt>
                <c:pt idx="14">
                  <c:v>0</c:v>
                </c:pt>
              </c:numCache>
            </c:numRef>
          </c:val>
          <c:smooth val="0"/>
          <c:extLst>
            <c:ext xmlns:c15="http://schemas.microsoft.com/office/drawing/2012/chart" uri="{02D57815-91ED-43cb-92C2-25804820EDAC}">
              <c15:datalabelsRange>
                <c15:f>'Trziste rada-ARS'!$N$39:$N$64</c15:f>
                <c15:dlblRangeCache>
                  <c:ptCount val="15"/>
                  <c:pt idx="4">
                    <c:v>2025</c:v>
                  </c:pt>
                  <c:pt idx="9">
                    <c:v>2025</c:v>
                  </c:pt>
                  <c:pt idx="14">
                    <c:v>2025</c:v>
                  </c:pt>
                </c15:dlblRangeCache>
              </c15:datalabelsRange>
            </c:ext>
            <c:ext xmlns:c16="http://schemas.microsoft.com/office/drawing/2014/chart" uri="{C3380CC4-5D6E-409C-BE32-E72D297353CC}">
              <c16:uniqueId val="{00000046-492E-428E-9BAE-6BAA446B1B49}"/>
            </c:ext>
          </c:extLst>
        </c:ser>
        <c:dLbls>
          <c:showLegendKey val="0"/>
          <c:showVal val="0"/>
          <c:showCatName val="0"/>
          <c:showSerName val="0"/>
          <c:showPercent val="0"/>
          <c:showBubbleSize val="0"/>
        </c:dLbls>
        <c:marker val="1"/>
        <c:smooth val="0"/>
        <c:axId val="961497464"/>
        <c:axId val="961498448"/>
      </c:lineChart>
      <c:catAx>
        <c:axId val="961497464"/>
        <c:scaling>
          <c:orientation val="minMax"/>
        </c:scaling>
        <c:delete val="0"/>
        <c:axPos val="b"/>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1498448"/>
        <c:crosses val="autoZero"/>
        <c:auto val="1"/>
        <c:lblAlgn val="ctr"/>
        <c:lblOffset val="100"/>
        <c:noMultiLvlLbl val="0"/>
      </c:catAx>
      <c:valAx>
        <c:axId val="961498448"/>
        <c:scaling>
          <c:orientation val="minMax"/>
        </c:scaling>
        <c:delete val="0"/>
        <c:axPos val="l"/>
        <c:numFmt formatCode="0%" sourceLinked="0"/>
        <c:majorTickMark val="none"/>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961497464"/>
        <c:crosses val="autoZero"/>
        <c:crossBetween val="between"/>
      </c:valAx>
      <c:valAx>
        <c:axId val="1025106808"/>
        <c:scaling>
          <c:orientation val="minMax"/>
        </c:scaling>
        <c:delete val="0"/>
        <c:axPos val="r"/>
        <c:numFmt formatCode="0%" sourceLinked="0"/>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en-US"/>
          </a:p>
        </c:txPr>
        <c:crossAx val="1025104512"/>
        <c:crosses val="max"/>
        <c:crossBetween val="between"/>
      </c:valAx>
      <c:catAx>
        <c:axId val="1025104512"/>
        <c:scaling>
          <c:orientation val="minMax"/>
        </c:scaling>
        <c:delete val="1"/>
        <c:axPos val="b"/>
        <c:numFmt formatCode="General" sourceLinked="1"/>
        <c:majorTickMark val="out"/>
        <c:minorTickMark val="none"/>
        <c:tickLblPos val="nextTo"/>
        <c:crossAx val="1025106808"/>
        <c:crosses val="autoZero"/>
        <c:auto val="1"/>
        <c:lblAlgn val="ctr"/>
        <c:lblOffset val="100"/>
        <c:noMultiLvlLbl val="0"/>
      </c:cat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2">
    <c:autoUpdate val="0"/>
  </c:externalData>
  <c:userShapes r:id="rId3"/>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700459317585304"/>
          <c:y val="6.4675925925925928E-2"/>
          <c:w val="0.66217155147273266"/>
          <c:h val="0.66223309478603765"/>
        </c:manualLayout>
      </c:layout>
      <c:barChart>
        <c:barDir val="col"/>
        <c:grouping val="clustered"/>
        <c:varyColors val="0"/>
        <c:ser>
          <c:idx val="0"/>
          <c:order val="0"/>
          <c:tx>
            <c:strRef>
              <c:f>Inflacija!$U$191</c:f>
              <c:strCache>
                <c:ptCount val="1"/>
                <c:pt idx="0">
                  <c:v>Месечна инфлација</c:v>
                </c:pt>
              </c:strCache>
            </c:strRef>
          </c:tx>
          <c:spPr>
            <a:solidFill>
              <a:srgbClr val="29489A"/>
            </a:solidFill>
            <a:ln>
              <a:noFill/>
            </a:ln>
            <a:effectLst/>
          </c:spPr>
          <c:invertIfNegative val="0"/>
          <c:cat>
            <c:multiLvlStrRef>
              <c:f>Inflacija!$R$192:$S$219</c:f>
              <c:multiLvlStrCache>
                <c:ptCount val="2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lvl>
                <c:lvl>
                  <c:pt idx="0">
                    <c:v>2023</c:v>
                  </c:pt>
                  <c:pt idx="12">
                    <c:v>2024</c:v>
                  </c:pt>
                  <c:pt idx="24">
                    <c:v>2025</c:v>
                  </c:pt>
                </c:lvl>
              </c:multiLvlStrCache>
            </c:multiLvlStrRef>
          </c:cat>
          <c:val>
            <c:numRef>
              <c:f>Inflacija!$U$192:$U$219</c:f>
              <c:numCache>
                <c:formatCode>0.0</c:formatCode>
                <c:ptCount val="28"/>
                <c:pt idx="0">
                  <c:v>1.4</c:v>
                </c:pt>
                <c:pt idx="1">
                  <c:v>1.4</c:v>
                </c:pt>
                <c:pt idx="2">
                  <c:v>0.9</c:v>
                </c:pt>
                <c:pt idx="3">
                  <c:v>0.7</c:v>
                </c:pt>
                <c:pt idx="4">
                  <c:v>0.9</c:v>
                </c:pt>
                <c:pt idx="5">
                  <c:v>0.7</c:v>
                </c:pt>
                <c:pt idx="6">
                  <c:v>-0.1</c:v>
                </c:pt>
                <c:pt idx="7">
                  <c:v>0.4</c:v>
                </c:pt>
                <c:pt idx="8">
                  <c:v>0.29999999999999716</c:v>
                </c:pt>
                <c:pt idx="9">
                  <c:v>0.29999999999999716</c:v>
                </c:pt>
                <c:pt idx="10">
                  <c:v>0.5</c:v>
                </c:pt>
                <c:pt idx="11">
                  <c:v>9.9999999999994316E-2</c:v>
                </c:pt>
                <c:pt idx="12">
                  <c:v>0.3</c:v>
                </c:pt>
                <c:pt idx="13">
                  <c:v>0.6</c:v>
                </c:pt>
                <c:pt idx="14">
                  <c:v>0.3</c:v>
                </c:pt>
                <c:pt idx="15">
                  <c:v>0.7</c:v>
                </c:pt>
                <c:pt idx="16">
                  <c:v>0.4</c:v>
                </c:pt>
                <c:pt idx="17">
                  <c:v>0.1</c:v>
                </c:pt>
                <c:pt idx="18">
                  <c:v>0.4</c:v>
                </c:pt>
                <c:pt idx="19">
                  <c:v>0.4</c:v>
                </c:pt>
                <c:pt idx="20">
                  <c:v>0.1</c:v>
                </c:pt>
                <c:pt idx="21">
                  <c:v>0.6</c:v>
                </c:pt>
                <c:pt idx="22">
                  <c:v>0.3</c:v>
                </c:pt>
                <c:pt idx="23">
                  <c:v>0.1</c:v>
                </c:pt>
                <c:pt idx="24">
                  <c:v>0.6</c:v>
                </c:pt>
                <c:pt idx="25">
                  <c:v>0.5</c:v>
                </c:pt>
                <c:pt idx="26">
                  <c:v>0.1</c:v>
                </c:pt>
                <c:pt idx="27">
                  <c:v>0.3</c:v>
                </c:pt>
              </c:numCache>
            </c:numRef>
          </c:val>
          <c:extLst>
            <c:ext xmlns:c16="http://schemas.microsoft.com/office/drawing/2014/chart" uri="{C3380CC4-5D6E-409C-BE32-E72D297353CC}">
              <c16:uniqueId val="{00000000-F4A5-406B-97DA-3FF99287646F}"/>
            </c:ext>
          </c:extLst>
        </c:ser>
        <c:dLbls>
          <c:showLegendKey val="0"/>
          <c:showVal val="0"/>
          <c:showCatName val="0"/>
          <c:showSerName val="0"/>
          <c:showPercent val="0"/>
          <c:showBubbleSize val="0"/>
        </c:dLbls>
        <c:gapWidth val="59"/>
        <c:axId val="807687135"/>
        <c:axId val="807693375"/>
      </c:barChart>
      <c:lineChart>
        <c:grouping val="standard"/>
        <c:varyColors val="0"/>
        <c:ser>
          <c:idx val="1"/>
          <c:order val="1"/>
          <c:tx>
            <c:strRef>
              <c:f>Inflacija!$V$191</c:f>
              <c:strCache>
                <c:ptCount val="1"/>
                <c:pt idx="0">
                  <c:v>Међугодишња инфлација (десна скала)</c:v>
                </c:pt>
              </c:strCache>
            </c:strRef>
          </c:tx>
          <c:spPr>
            <a:ln w="22225" cap="rnd">
              <a:solidFill>
                <a:srgbClr val="FF0000"/>
              </a:solidFill>
              <a:round/>
            </a:ln>
            <a:effectLst/>
          </c:spPr>
          <c:marker>
            <c:symbol val="none"/>
          </c:marker>
          <c:cat>
            <c:multiLvlStrRef>
              <c:f>Inflacija!$R$192:$S$219</c:f>
              <c:multiLvlStrCache>
                <c:ptCount val="28"/>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lvl>
                <c:lvl>
                  <c:pt idx="0">
                    <c:v>2023</c:v>
                  </c:pt>
                  <c:pt idx="12">
                    <c:v>2024</c:v>
                  </c:pt>
                  <c:pt idx="24">
                    <c:v>2025</c:v>
                  </c:pt>
                </c:lvl>
              </c:multiLvlStrCache>
            </c:multiLvlStrRef>
          </c:cat>
          <c:val>
            <c:numRef>
              <c:f>Inflacija!$V$192:$V$219</c:f>
              <c:numCache>
                <c:formatCode>0.0</c:formatCode>
                <c:ptCount val="28"/>
                <c:pt idx="0">
                  <c:v>15.8</c:v>
                </c:pt>
                <c:pt idx="1">
                  <c:v>16.100000000000001</c:v>
                </c:pt>
                <c:pt idx="2">
                  <c:v>16.2</c:v>
                </c:pt>
                <c:pt idx="3">
                  <c:v>15.1</c:v>
                </c:pt>
                <c:pt idx="4">
                  <c:v>14.8</c:v>
                </c:pt>
                <c:pt idx="5">
                  <c:v>13.7</c:v>
                </c:pt>
                <c:pt idx="6">
                  <c:v>12.5</c:v>
                </c:pt>
                <c:pt idx="7">
                  <c:v>11.5</c:v>
                </c:pt>
                <c:pt idx="8">
                  <c:v>10.200000000000003</c:v>
                </c:pt>
                <c:pt idx="9">
                  <c:v>8.5</c:v>
                </c:pt>
                <c:pt idx="10">
                  <c:v>8</c:v>
                </c:pt>
                <c:pt idx="11">
                  <c:v>7.5999999999999943</c:v>
                </c:pt>
                <c:pt idx="12">
                  <c:v>6.4</c:v>
                </c:pt>
                <c:pt idx="13">
                  <c:v>5.6</c:v>
                </c:pt>
                <c:pt idx="14">
                  <c:v>5</c:v>
                </c:pt>
                <c:pt idx="15">
                  <c:v>5</c:v>
                </c:pt>
                <c:pt idx="16">
                  <c:v>4.5</c:v>
                </c:pt>
                <c:pt idx="17">
                  <c:v>3.8</c:v>
                </c:pt>
                <c:pt idx="18">
                  <c:v>4.3</c:v>
                </c:pt>
                <c:pt idx="19">
                  <c:v>4.3</c:v>
                </c:pt>
                <c:pt idx="20">
                  <c:v>4.2</c:v>
                </c:pt>
                <c:pt idx="21">
                  <c:v>4.5</c:v>
                </c:pt>
                <c:pt idx="22">
                  <c:v>4.3</c:v>
                </c:pt>
                <c:pt idx="23">
                  <c:v>4.3</c:v>
                </c:pt>
                <c:pt idx="24">
                  <c:v>4.5999999999999996</c:v>
                </c:pt>
                <c:pt idx="25">
                  <c:v>4.5</c:v>
                </c:pt>
                <c:pt idx="26">
                  <c:v>4.4000000000000004</c:v>
                </c:pt>
                <c:pt idx="27">
                  <c:v>4</c:v>
                </c:pt>
              </c:numCache>
            </c:numRef>
          </c:val>
          <c:smooth val="0"/>
          <c:extLst>
            <c:ext xmlns:c16="http://schemas.microsoft.com/office/drawing/2014/chart" uri="{C3380CC4-5D6E-409C-BE32-E72D297353CC}">
              <c16:uniqueId val="{00000001-F4A5-406B-97DA-3FF99287646F}"/>
            </c:ext>
          </c:extLst>
        </c:ser>
        <c:dLbls>
          <c:showLegendKey val="0"/>
          <c:showVal val="0"/>
          <c:showCatName val="0"/>
          <c:showSerName val="0"/>
          <c:showPercent val="0"/>
          <c:showBubbleSize val="0"/>
        </c:dLbls>
        <c:marker val="1"/>
        <c:smooth val="0"/>
        <c:axId val="1141220367"/>
        <c:axId val="1141215375"/>
      </c:lineChart>
      <c:catAx>
        <c:axId val="807687135"/>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spcFirstLastPara="1" vertOverflow="ellipsis" wrap="square" anchor="t" anchorCtr="0"/>
          <a:lstStyle/>
          <a:p>
            <a:pPr>
              <a:defRPr sz="700" b="0" i="0" u="none" strike="noStrike" kern="1200" baseline="0">
                <a:solidFill>
                  <a:schemeClr val="tx2"/>
                </a:solidFill>
                <a:latin typeface="+mn-lt"/>
                <a:ea typeface="+mn-ea"/>
                <a:cs typeface="+mn-cs"/>
              </a:defRPr>
            </a:pPr>
            <a:endParaRPr lang="en-US"/>
          </a:p>
        </c:txPr>
        <c:crossAx val="807693375"/>
        <c:crosses val="autoZero"/>
        <c:auto val="1"/>
        <c:lblAlgn val="ctr"/>
        <c:lblOffset val="100"/>
        <c:noMultiLvlLbl val="1"/>
      </c:catAx>
      <c:valAx>
        <c:axId val="807693375"/>
        <c:scaling>
          <c:orientation val="minMax"/>
        </c:scaling>
        <c:delete val="0"/>
        <c:axPos val="l"/>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 на претходни месец, %</a:t>
                </a:r>
              </a:p>
            </c:rich>
          </c:tx>
          <c:layout>
            <c:manualLayout>
              <c:xMode val="edge"/>
              <c:yMode val="edge"/>
              <c:x val="2.9932560513269174E-2"/>
              <c:y val="9.9343869731800764E-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807687135"/>
        <c:crosses val="autoZero"/>
        <c:crossBetween val="between"/>
      </c:valAx>
      <c:valAx>
        <c:axId val="1141215375"/>
        <c:scaling>
          <c:orientation val="minMax"/>
        </c:scaling>
        <c:delete val="0"/>
        <c:axPos val="r"/>
        <c:title>
          <c:tx>
            <c:rich>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r>
                  <a:rPr lang="sr-Cyrl-RS" sz="700">
                    <a:solidFill>
                      <a:schemeClr val="tx2"/>
                    </a:solidFill>
                  </a:rPr>
                  <a:t>Промена у односу на исти месец претходне године, %</a:t>
                </a:r>
              </a:p>
            </c:rich>
          </c:tx>
          <c:layout>
            <c:manualLayout>
              <c:xMode val="edge"/>
              <c:yMode val="edge"/>
              <c:x val="0.90699074074074071"/>
              <c:y val="6.4024425287356301E-2"/>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141220367"/>
        <c:crosses val="max"/>
        <c:crossBetween val="between"/>
      </c:valAx>
      <c:catAx>
        <c:axId val="1141220367"/>
        <c:scaling>
          <c:orientation val="minMax"/>
        </c:scaling>
        <c:delete val="1"/>
        <c:axPos val="b"/>
        <c:numFmt formatCode="General" sourceLinked="1"/>
        <c:majorTickMark val="out"/>
        <c:minorTickMark val="none"/>
        <c:tickLblPos val="nextTo"/>
        <c:crossAx val="1141215375"/>
        <c:crosses val="autoZero"/>
        <c:auto val="1"/>
        <c:lblAlgn val="ctr"/>
        <c:lblOffset val="100"/>
        <c:noMultiLvlLbl val="0"/>
      </c:catAx>
      <c:spPr>
        <a:noFill/>
        <a:ln>
          <a:noFill/>
        </a:ln>
        <a:effectLst/>
      </c:spPr>
    </c:plotArea>
    <c:legend>
      <c:legendPos val="b"/>
      <c:layout>
        <c:manualLayout>
          <c:xMode val="edge"/>
          <c:yMode val="edge"/>
          <c:x val="0.10446741032370954"/>
          <c:y val="0.87872129629629614"/>
          <c:w val="0.77717592592592588"/>
          <c:h val="0.1095194444444444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57193732193733"/>
          <c:y val="3.9230096237970254E-2"/>
          <c:w val="0.86351317663817662"/>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Inflacija!$U$64:$U$187</c:f>
              <c:numCache>
                <c:formatCode>0.00</c:formatCode>
                <c:ptCount val="124"/>
                <c:pt idx="0">
                  <c:v>8</c:v>
                </c:pt>
                <c:pt idx="1">
                  <c:v>8</c:v>
                </c:pt>
                <c:pt idx="2">
                  <c:v>7.5</c:v>
                </c:pt>
                <c:pt idx="3">
                  <c:v>7</c:v>
                </c:pt>
                <c:pt idx="4">
                  <c:v>6.5</c:v>
                </c:pt>
                <c:pt idx="5">
                  <c:v>6</c:v>
                </c:pt>
                <c:pt idx="6">
                  <c:v>6</c:v>
                </c:pt>
                <c:pt idx="7">
                  <c:v>5.5</c:v>
                </c:pt>
                <c:pt idx="8">
                  <c:v>5</c:v>
                </c:pt>
                <c:pt idx="9">
                  <c:v>4.5</c:v>
                </c:pt>
                <c:pt idx="10">
                  <c:v>4.5</c:v>
                </c:pt>
                <c:pt idx="11">
                  <c:v>4.5</c:v>
                </c:pt>
                <c:pt idx="12">
                  <c:v>4.5</c:v>
                </c:pt>
                <c:pt idx="13">
                  <c:v>4.25</c:v>
                </c:pt>
                <c:pt idx="14">
                  <c:v>4.25</c:v>
                </c:pt>
                <c:pt idx="15">
                  <c:v>4.25</c:v>
                </c:pt>
                <c:pt idx="16">
                  <c:v>4.25</c:v>
                </c:pt>
                <c:pt idx="17">
                  <c:v>4.25</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3.75</c:v>
                </c:pt>
                <c:pt idx="33">
                  <c:v>3.5</c:v>
                </c:pt>
                <c:pt idx="34">
                  <c:v>3.5</c:v>
                </c:pt>
                <c:pt idx="35">
                  <c:v>3.5</c:v>
                </c:pt>
                <c:pt idx="36">
                  <c:v>3.5</c:v>
                </c:pt>
                <c:pt idx="37">
                  <c:v>3.5</c:v>
                </c:pt>
                <c:pt idx="38">
                  <c:v>3.25</c:v>
                </c:pt>
                <c:pt idx="39">
                  <c:v>3</c:v>
                </c:pt>
                <c:pt idx="40">
                  <c:v>3</c:v>
                </c:pt>
                <c:pt idx="41">
                  <c:v>3</c:v>
                </c:pt>
                <c:pt idx="42">
                  <c:v>3</c:v>
                </c:pt>
                <c:pt idx="43">
                  <c:v>3</c:v>
                </c:pt>
                <c:pt idx="44">
                  <c:v>3</c:v>
                </c:pt>
                <c:pt idx="45">
                  <c:v>3</c:v>
                </c:pt>
                <c:pt idx="46">
                  <c:v>3</c:v>
                </c:pt>
                <c:pt idx="47">
                  <c:v>3</c:v>
                </c:pt>
                <c:pt idx="48">
                  <c:v>3</c:v>
                </c:pt>
                <c:pt idx="49">
                  <c:v>3</c:v>
                </c:pt>
                <c:pt idx="50">
                  <c:v>3</c:v>
                </c:pt>
                <c:pt idx="51">
                  <c:v>3</c:v>
                </c:pt>
                <c:pt idx="52">
                  <c:v>3</c:v>
                </c:pt>
                <c:pt idx="53">
                  <c:v>3</c:v>
                </c:pt>
                <c:pt idx="54">
                  <c:v>2.75</c:v>
                </c:pt>
                <c:pt idx="55">
                  <c:v>2.5</c:v>
                </c:pt>
                <c:pt idx="56">
                  <c:v>2.5</c:v>
                </c:pt>
                <c:pt idx="57">
                  <c:v>2.5</c:v>
                </c:pt>
                <c:pt idx="58">
                  <c:v>2.25</c:v>
                </c:pt>
                <c:pt idx="59">
                  <c:v>2.25</c:v>
                </c:pt>
                <c:pt idx="60">
                  <c:v>2.25</c:v>
                </c:pt>
                <c:pt idx="61">
                  <c:v>2.25</c:v>
                </c:pt>
                <c:pt idx="62">
                  <c:v>1.75</c:v>
                </c:pt>
                <c:pt idx="63">
                  <c:v>1.5</c:v>
                </c:pt>
                <c:pt idx="64">
                  <c:v>1.5</c:v>
                </c:pt>
                <c:pt idx="65">
                  <c:v>1.25</c:v>
                </c:pt>
                <c:pt idx="66">
                  <c:v>1.25</c:v>
                </c:pt>
                <c:pt idx="67">
                  <c:v>1.25</c:v>
                </c:pt>
                <c:pt idx="68">
                  <c:v>1.25</c:v>
                </c:pt>
                <c:pt idx="69" formatCode="General">
                  <c:v>1.25</c:v>
                </c:pt>
                <c:pt idx="70" formatCode="General">
                  <c:v>1.25</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1.5</c:v>
                </c:pt>
                <c:pt idx="88">
                  <c:v>2</c:v>
                </c:pt>
                <c:pt idx="89">
                  <c:v>2.5</c:v>
                </c:pt>
                <c:pt idx="90">
                  <c:v>2.75</c:v>
                </c:pt>
                <c:pt idx="91">
                  <c:v>3</c:v>
                </c:pt>
                <c:pt idx="92">
                  <c:v>3.5</c:v>
                </c:pt>
                <c:pt idx="93">
                  <c:v>4</c:v>
                </c:pt>
                <c:pt idx="94">
                  <c:v>4.5</c:v>
                </c:pt>
                <c:pt idx="95">
                  <c:v>5</c:v>
                </c:pt>
                <c:pt idx="96">
                  <c:v>5.25</c:v>
                </c:pt>
                <c:pt idx="97">
                  <c:v>5.5</c:v>
                </c:pt>
                <c:pt idx="98">
                  <c:v>5.75</c:v>
                </c:pt>
                <c:pt idx="99">
                  <c:v>6</c:v>
                </c:pt>
                <c:pt idx="100">
                  <c:v>6</c:v>
                </c:pt>
                <c:pt idx="101" formatCode="General">
                  <c:v>6.25</c:v>
                </c:pt>
                <c:pt idx="102">
                  <c:v>6.5</c:v>
                </c:pt>
                <c:pt idx="103">
                  <c:v>6.5</c:v>
                </c:pt>
                <c:pt idx="104">
                  <c:v>6.5</c:v>
                </c:pt>
                <c:pt idx="105">
                  <c:v>6.5</c:v>
                </c:pt>
                <c:pt idx="106">
                  <c:v>6.5</c:v>
                </c:pt>
                <c:pt idx="107">
                  <c:v>6.5</c:v>
                </c:pt>
                <c:pt idx="108">
                  <c:v>6.5</c:v>
                </c:pt>
                <c:pt idx="109">
                  <c:v>6.5</c:v>
                </c:pt>
                <c:pt idx="110">
                  <c:v>6.5</c:v>
                </c:pt>
                <c:pt idx="111">
                  <c:v>6.5</c:v>
                </c:pt>
                <c:pt idx="112">
                  <c:v>6.5</c:v>
                </c:pt>
                <c:pt idx="113">
                  <c:v>6.25</c:v>
                </c:pt>
                <c:pt idx="114">
                  <c:v>6</c:v>
                </c:pt>
                <c:pt idx="115">
                  <c:v>6</c:v>
                </c:pt>
                <c:pt idx="116">
                  <c:v>5.75</c:v>
                </c:pt>
                <c:pt idx="117">
                  <c:v>5.75</c:v>
                </c:pt>
                <c:pt idx="118">
                  <c:v>5.75</c:v>
                </c:pt>
                <c:pt idx="119">
                  <c:v>5.75</c:v>
                </c:pt>
                <c:pt idx="120">
                  <c:v>5.75</c:v>
                </c:pt>
                <c:pt idx="121">
                  <c:v>5.75</c:v>
                </c:pt>
                <c:pt idx="122">
                  <c:v>5.75</c:v>
                </c:pt>
                <c:pt idx="123">
                  <c:v>5.75</c:v>
                </c:pt>
              </c:numCache>
            </c:numRef>
          </c:val>
          <c:smooth val="0"/>
          <c:extLst>
            <c:ext xmlns:c16="http://schemas.microsoft.com/office/drawing/2014/chart" uri="{C3380CC4-5D6E-409C-BE32-E72D297353CC}">
              <c16:uniqueId val="{00000000-DAC5-40D1-AF3B-7ECB64601E2C}"/>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Inflacija!$V$64:$V$187</c:f>
              <c:numCache>
                <c:formatCode>General</c:formatCode>
                <c:ptCount val="124"/>
                <c:pt idx="0">
                  <c:v>0.1</c:v>
                </c:pt>
                <c:pt idx="1">
                  <c:v>0.8</c:v>
                </c:pt>
                <c:pt idx="2">
                  <c:v>1.9</c:v>
                </c:pt>
                <c:pt idx="3">
                  <c:v>1.8</c:v>
                </c:pt>
                <c:pt idx="4" formatCode="0.0">
                  <c:v>1.5</c:v>
                </c:pt>
                <c:pt idx="5" formatCode="0.0">
                  <c:v>1.9</c:v>
                </c:pt>
                <c:pt idx="6" formatCode="0.0">
                  <c:v>1</c:v>
                </c:pt>
                <c:pt idx="7">
                  <c:v>2.1</c:v>
                </c:pt>
                <c:pt idx="8">
                  <c:v>1.4</c:v>
                </c:pt>
                <c:pt idx="9">
                  <c:v>1.4</c:v>
                </c:pt>
                <c:pt idx="10">
                  <c:v>1.3</c:v>
                </c:pt>
                <c:pt idx="11">
                  <c:v>1.5</c:v>
                </c:pt>
                <c:pt idx="12">
                  <c:v>2.4</c:v>
                </c:pt>
                <c:pt idx="13">
                  <c:v>1.5</c:v>
                </c:pt>
                <c:pt idx="14">
                  <c:v>0.6</c:v>
                </c:pt>
                <c:pt idx="15">
                  <c:v>0.4</c:v>
                </c:pt>
                <c:pt idx="16" formatCode="0.0">
                  <c:v>0.7</c:v>
                </c:pt>
                <c:pt idx="17" formatCode="0.0">
                  <c:v>0.3</c:v>
                </c:pt>
                <c:pt idx="18" formatCode="0.0">
                  <c:v>1.2</c:v>
                </c:pt>
                <c:pt idx="19">
                  <c:v>1.2</c:v>
                </c:pt>
                <c:pt idx="20">
                  <c:v>0.6</c:v>
                </c:pt>
                <c:pt idx="21">
                  <c:v>1.5</c:v>
                </c:pt>
                <c:pt idx="22">
                  <c:v>1.5</c:v>
                </c:pt>
                <c:pt idx="23">
                  <c:v>1.6</c:v>
                </c:pt>
                <c:pt idx="24">
                  <c:v>2.4</c:v>
                </c:pt>
                <c:pt idx="25">
                  <c:v>3.2</c:v>
                </c:pt>
                <c:pt idx="26">
                  <c:v>3.6</c:v>
                </c:pt>
                <c:pt idx="27" formatCode="0.0">
                  <c:v>4</c:v>
                </c:pt>
                <c:pt idx="28" formatCode="0.0">
                  <c:v>3.5</c:v>
                </c:pt>
                <c:pt idx="29" formatCode="0.0">
                  <c:v>3.6</c:v>
                </c:pt>
                <c:pt idx="30" formatCode="0.0">
                  <c:v>3.2</c:v>
                </c:pt>
                <c:pt idx="31">
                  <c:v>2.5</c:v>
                </c:pt>
                <c:pt idx="32">
                  <c:v>3.2</c:v>
                </c:pt>
                <c:pt idx="33">
                  <c:v>2.8</c:v>
                </c:pt>
                <c:pt idx="34">
                  <c:v>2.8</c:v>
                </c:pt>
                <c:pt idx="35" formatCode="0.0">
                  <c:v>3</c:v>
                </c:pt>
                <c:pt idx="36" formatCode="0.0">
                  <c:v>1.9</c:v>
                </c:pt>
                <c:pt idx="37">
                  <c:v>1.5</c:v>
                </c:pt>
                <c:pt idx="38">
                  <c:v>1.4</c:v>
                </c:pt>
                <c:pt idx="39" formatCode="0.0">
                  <c:v>1.1000000000000001</c:v>
                </c:pt>
                <c:pt idx="40">
                  <c:v>2.1</c:v>
                </c:pt>
                <c:pt idx="41">
                  <c:v>2.2999999999999998</c:v>
                </c:pt>
                <c:pt idx="42">
                  <c:v>2.4</c:v>
                </c:pt>
                <c:pt idx="43">
                  <c:v>2.6</c:v>
                </c:pt>
                <c:pt idx="44">
                  <c:v>2.1</c:v>
                </c:pt>
                <c:pt idx="45">
                  <c:v>2.2000000000000002</c:v>
                </c:pt>
                <c:pt idx="46">
                  <c:v>1.9</c:v>
                </c:pt>
                <c:pt idx="47" formatCode="0.0">
                  <c:v>2</c:v>
                </c:pt>
                <c:pt idx="48" formatCode="0.0">
                  <c:v>2.1</c:v>
                </c:pt>
                <c:pt idx="49" formatCode="0.0">
                  <c:v>2.4</c:v>
                </c:pt>
                <c:pt idx="50">
                  <c:v>2.8</c:v>
                </c:pt>
                <c:pt idx="51">
                  <c:v>3.1</c:v>
                </c:pt>
                <c:pt idx="52">
                  <c:v>2.2000000000000002</c:v>
                </c:pt>
                <c:pt idx="53">
                  <c:v>1.5</c:v>
                </c:pt>
                <c:pt idx="54">
                  <c:v>1.6</c:v>
                </c:pt>
                <c:pt idx="55">
                  <c:v>1.3</c:v>
                </c:pt>
                <c:pt idx="56">
                  <c:v>1.1000000000000001</c:v>
                </c:pt>
                <c:pt idx="57" formatCode="0.0">
                  <c:v>1</c:v>
                </c:pt>
                <c:pt idx="58" formatCode="0.0">
                  <c:v>1.5</c:v>
                </c:pt>
                <c:pt idx="59" formatCode="0.0">
                  <c:v>1.9</c:v>
                </c:pt>
                <c:pt idx="60" formatCode="0.0">
                  <c:v>2</c:v>
                </c:pt>
                <c:pt idx="61" formatCode="0.0">
                  <c:v>1.9</c:v>
                </c:pt>
                <c:pt idx="62" formatCode="0.0">
                  <c:v>1.3</c:v>
                </c:pt>
                <c:pt idx="63" formatCode="0.0">
                  <c:v>0.6</c:v>
                </c:pt>
                <c:pt idx="64" formatCode="0.0">
                  <c:v>0.7</c:v>
                </c:pt>
                <c:pt idx="65" formatCode="0.0">
                  <c:v>1.6</c:v>
                </c:pt>
                <c:pt idx="66" formatCode="0.0">
                  <c:v>2</c:v>
                </c:pt>
                <c:pt idx="67" formatCode="0.0">
                  <c:v>1.9</c:v>
                </c:pt>
                <c:pt idx="68" formatCode="0.0">
                  <c:v>1.8</c:v>
                </c:pt>
                <c:pt idx="69" formatCode="0.0">
                  <c:v>1.8</c:v>
                </c:pt>
                <c:pt idx="70" formatCode="0.0">
                  <c:v>1.7</c:v>
                </c:pt>
                <c:pt idx="71" formatCode="0.0">
                  <c:v>1.3</c:v>
                </c:pt>
                <c:pt idx="72" formatCode="0.0">
                  <c:v>1.1000000000000001</c:v>
                </c:pt>
                <c:pt idx="73" formatCode="0.0">
                  <c:v>1.2</c:v>
                </c:pt>
                <c:pt idx="74" formatCode="0.0">
                  <c:v>1.8</c:v>
                </c:pt>
                <c:pt idx="75" formatCode="0.0">
                  <c:v>2.8</c:v>
                </c:pt>
                <c:pt idx="76" formatCode="0.0">
                  <c:v>3.6</c:v>
                </c:pt>
                <c:pt idx="77" formatCode="0.0">
                  <c:v>3.3</c:v>
                </c:pt>
                <c:pt idx="78" formatCode="0.0">
                  <c:v>3.3</c:v>
                </c:pt>
                <c:pt idx="79" formatCode="0.0">
                  <c:v>4.3</c:v>
                </c:pt>
                <c:pt idx="80" formatCode="0.0">
                  <c:v>5.7</c:v>
                </c:pt>
                <c:pt idx="81">
                  <c:v>6.6</c:v>
                </c:pt>
                <c:pt idx="82">
                  <c:v>7.5</c:v>
                </c:pt>
                <c:pt idx="83">
                  <c:v>7.9</c:v>
                </c:pt>
                <c:pt idx="84">
                  <c:v>8.1999999999999993</c:v>
                </c:pt>
                <c:pt idx="85">
                  <c:v>8.8000000000000007</c:v>
                </c:pt>
                <c:pt idx="86">
                  <c:v>9.1</c:v>
                </c:pt>
                <c:pt idx="87">
                  <c:v>9.6</c:v>
                </c:pt>
                <c:pt idx="88">
                  <c:v>10.4</c:v>
                </c:pt>
                <c:pt idx="89">
                  <c:v>11.9</c:v>
                </c:pt>
                <c:pt idx="90">
                  <c:v>12.8</c:v>
                </c:pt>
                <c:pt idx="91">
                  <c:v>13.2</c:v>
                </c:pt>
                <c:pt idx="92" formatCode="0.0">
                  <c:v>14</c:v>
                </c:pt>
                <c:pt idx="93" formatCode="0.0">
                  <c:v>15</c:v>
                </c:pt>
                <c:pt idx="94">
                  <c:v>15.1</c:v>
                </c:pt>
                <c:pt idx="95">
                  <c:v>15.1</c:v>
                </c:pt>
                <c:pt idx="96">
                  <c:v>15.8</c:v>
                </c:pt>
                <c:pt idx="97">
                  <c:v>16.100000000000001</c:v>
                </c:pt>
                <c:pt idx="98">
                  <c:v>16.2</c:v>
                </c:pt>
                <c:pt idx="99">
                  <c:v>15.1</c:v>
                </c:pt>
                <c:pt idx="100">
                  <c:v>14.8</c:v>
                </c:pt>
                <c:pt idx="101">
                  <c:v>13.7</c:v>
                </c:pt>
                <c:pt idx="102">
                  <c:v>12.5</c:v>
                </c:pt>
                <c:pt idx="103">
                  <c:v>11.5</c:v>
                </c:pt>
                <c:pt idx="104" formatCode="0.0">
                  <c:v>10.200000000000003</c:v>
                </c:pt>
                <c:pt idx="105" formatCode="0.0">
                  <c:v>8.5</c:v>
                </c:pt>
                <c:pt idx="106" formatCode="0.0">
                  <c:v>8</c:v>
                </c:pt>
                <c:pt idx="107" formatCode="0.0">
                  <c:v>7.5999999999999943</c:v>
                </c:pt>
                <c:pt idx="108" formatCode="0.0">
                  <c:v>6.4</c:v>
                </c:pt>
                <c:pt idx="109" formatCode="0.0">
                  <c:v>5.6</c:v>
                </c:pt>
                <c:pt idx="110" formatCode="0.0">
                  <c:v>5</c:v>
                </c:pt>
                <c:pt idx="111" formatCode="0.0">
                  <c:v>5</c:v>
                </c:pt>
                <c:pt idx="112">
                  <c:v>4.5</c:v>
                </c:pt>
                <c:pt idx="113">
                  <c:v>3.8</c:v>
                </c:pt>
                <c:pt idx="114">
                  <c:v>4.3</c:v>
                </c:pt>
                <c:pt idx="115">
                  <c:v>4.3</c:v>
                </c:pt>
                <c:pt idx="116">
                  <c:v>4.2</c:v>
                </c:pt>
                <c:pt idx="117">
                  <c:v>4.5</c:v>
                </c:pt>
                <c:pt idx="118">
                  <c:v>4.3</c:v>
                </c:pt>
                <c:pt idx="119">
                  <c:v>4.3</c:v>
                </c:pt>
                <c:pt idx="120">
                  <c:v>4.5999999999999996</c:v>
                </c:pt>
                <c:pt idx="121">
                  <c:v>4.5</c:v>
                </c:pt>
                <c:pt idx="122">
                  <c:v>4.4000000000000004</c:v>
                </c:pt>
                <c:pt idx="123" formatCode="0.0">
                  <c:v>4</c:v>
                </c:pt>
              </c:numCache>
            </c:numRef>
          </c:val>
          <c:smooth val="0"/>
          <c:extLst>
            <c:ext xmlns:c16="http://schemas.microsoft.com/office/drawing/2014/chart" uri="{C3380CC4-5D6E-409C-BE32-E72D297353CC}">
              <c16:uniqueId val="{00000001-DAC5-40D1-AF3B-7ECB64601E2C}"/>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Inflacija!$W$64:$W$187</c:f>
              <c:numCache>
                <c:formatCode>0.0</c:formatCode>
                <c:ptCount val="124"/>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3</c:v>
                </c:pt>
                <c:pt idx="25">
                  <c:v>3</c:v>
                </c:pt>
                <c:pt idx="26">
                  <c:v>3</c:v>
                </c:pt>
                <c:pt idx="27">
                  <c:v>3</c:v>
                </c:pt>
                <c:pt idx="28">
                  <c:v>3</c:v>
                </c:pt>
                <c:pt idx="29">
                  <c:v>3</c:v>
                </c:pt>
                <c:pt idx="30">
                  <c:v>3</c:v>
                </c:pt>
                <c:pt idx="31">
                  <c:v>3</c:v>
                </c:pt>
                <c:pt idx="32">
                  <c:v>3</c:v>
                </c:pt>
                <c:pt idx="33">
                  <c:v>3</c:v>
                </c:pt>
                <c:pt idx="34">
                  <c:v>3</c:v>
                </c:pt>
                <c:pt idx="35">
                  <c:v>3</c:v>
                </c:pt>
                <c:pt idx="36">
                  <c:v>3</c:v>
                </c:pt>
                <c:pt idx="37">
                  <c:v>3</c:v>
                </c:pt>
                <c:pt idx="38">
                  <c:v>3</c:v>
                </c:pt>
                <c:pt idx="39">
                  <c:v>3</c:v>
                </c:pt>
                <c:pt idx="40">
                  <c:v>3</c:v>
                </c:pt>
                <c:pt idx="41">
                  <c:v>3</c:v>
                </c:pt>
                <c:pt idx="42">
                  <c:v>3</c:v>
                </c:pt>
                <c:pt idx="43">
                  <c:v>3</c:v>
                </c:pt>
                <c:pt idx="44">
                  <c:v>3</c:v>
                </c:pt>
                <c:pt idx="45">
                  <c:v>3</c:v>
                </c:pt>
                <c:pt idx="46">
                  <c:v>3</c:v>
                </c:pt>
                <c:pt idx="47">
                  <c:v>3</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pt idx="99">
                  <c:v>3</c:v>
                </c:pt>
                <c:pt idx="100">
                  <c:v>3</c:v>
                </c:pt>
                <c:pt idx="101">
                  <c:v>3</c:v>
                </c:pt>
                <c:pt idx="102">
                  <c:v>3</c:v>
                </c:pt>
                <c:pt idx="103">
                  <c:v>3</c:v>
                </c:pt>
                <c:pt idx="104">
                  <c:v>3</c:v>
                </c:pt>
                <c:pt idx="105">
                  <c:v>3</c:v>
                </c:pt>
                <c:pt idx="106">
                  <c:v>3</c:v>
                </c:pt>
                <c:pt idx="107">
                  <c:v>3</c:v>
                </c:pt>
                <c:pt idx="108">
                  <c:v>3</c:v>
                </c:pt>
                <c:pt idx="109">
                  <c:v>3</c:v>
                </c:pt>
                <c:pt idx="110">
                  <c:v>3</c:v>
                </c:pt>
                <c:pt idx="111">
                  <c:v>3</c:v>
                </c:pt>
                <c:pt idx="112">
                  <c:v>3</c:v>
                </c:pt>
                <c:pt idx="113">
                  <c:v>3</c:v>
                </c:pt>
                <c:pt idx="114">
                  <c:v>3</c:v>
                </c:pt>
                <c:pt idx="115">
                  <c:v>3</c:v>
                </c:pt>
                <c:pt idx="116">
                  <c:v>3</c:v>
                </c:pt>
                <c:pt idx="117">
                  <c:v>3</c:v>
                </c:pt>
                <c:pt idx="118">
                  <c:v>3</c:v>
                </c:pt>
                <c:pt idx="119">
                  <c:v>3</c:v>
                </c:pt>
                <c:pt idx="120">
                  <c:v>3</c:v>
                </c:pt>
                <c:pt idx="121">
                  <c:v>3</c:v>
                </c:pt>
                <c:pt idx="122">
                  <c:v>3</c:v>
                </c:pt>
                <c:pt idx="123">
                  <c:v>3</c:v>
                </c:pt>
              </c:numCache>
            </c:numRef>
          </c:val>
          <c:smooth val="0"/>
          <c:extLst>
            <c:ext xmlns:c16="http://schemas.microsoft.com/office/drawing/2014/chart" uri="{C3380CC4-5D6E-409C-BE32-E72D297353CC}">
              <c16:uniqueId val="{00000002-DAC5-40D1-AF3B-7ECB64601E2C}"/>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Inflacija!$X$64:$X$187</c:f>
              <c:numCache>
                <c:formatCode>0.0</c:formatCode>
                <c:ptCount val="124"/>
                <c:pt idx="0">
                  <c:v>5.5</c:v>
                </c:pt>
                <c:pt idx="1">
                  <c:v>5.5</c:v>
                </c:pt>
                <c:pt idx="2">
                  <c:v>5.5</c:v>
                </c:pt>
                <c:pt idx="3">
                  <c:v>5.5</c:v>
                </c:pt>
                <c:pt idx="4">
                  <c:v>5.5</c:v>
                </c:pt>
                <c:pt idx="5">
                  <c:v>5.5</c:v>
                </c:pt>
                <c:pt idx="6">
                  <c:v>5.5</c:v>
                </c:pt>
                <c:pt idx="7">
                  <c:v>5.5</c:v>
                </c:pt>
                <c:pt idx="8">
                  <c:v>5.5</c:v>
                </c:pt>
                <c:pt idx="9">
                  <c:v>5.5</c:v>
                </c:pt>
                <c:pt idx="10">
                  <c:v>5.5</c:v>
                </c:pt>
                <c:pt idx="11">
                  <c:v>5.5</c:v>
                </c:pt>
                <c:pt idx="12">
                  <c:v>5.5</c:v>
                </c:pt>
                <c:pt idx="13" formatCode="General">
                  <c:v>5.5</c:v>
                </c:pt>
                <c:pt idx="14" formatCode="General">
                  <c:v>5.5</c:v>
                </c:pt>
                <c:pt idx="15" formatCode="General">
                  <c:v>5.5</c:v>
                </c:pt>
                <c:pt idx="16" formatCode="General">
                  <c:v>5.5</c:v>
                </c:pt>
                <c:pt idx="17" formatCode="General">
                  <c:v>5.5</c:v>
                </c:pt>
                <c:pt idx="18" formatCode="General">
                  <c:v>5.5</c:v>
                </c:pt>
                <c:pt idx="19" formatCode="General">
                  <c:v>5.5</c:v>
                </c:pt>
                <c:pt idx="20" formatCode="General">
                  <c:v>5.5</c:v>
                </c:pt>
                <c:pt idx="21" formatCode="General">
                  <c:v>5.5</c:v>
                </c:pt>
                <c:pt idx="22" formatCode="General">
                  <c:v>5.5</c:v>
                </c:pt>
                <c:pt idx="23" formatCode="General">
                  <c:v>5.5</c:v>
                </c:pt>
                <c:pt idx="24">
                  <c:v>4.5</c:v>
                </c:pt>
                <c:pt idx="25">
                  <c:v>4.5</c:v>
                </c:pt>
                <c:pt idx="26">
                  <c:v>4.5</c:v>
                </c:pt>
                <c:pt idx="27">
                  <c:v>4.5</c:v>
                </c:pt>
                <c:pt idx="28">
                  <c:v>4.5</c:v>
                </c:pt>
                <c:pt idx="29">
                  <c:v>4.5</c:v>
                </c:pt>
                <c:pt idx="30">
                  <c:v>4.5</c:v>
                </c:pt>
                <c:pt idx="31">
                  <c:v>4.5</c:v>
                </c:pt>
                <c:pt idx="32">
                  <c:v>4.5</c:v>
                </c:pt>
                <c:pt idx="33">
                  <c:v>4.5</c:v>
                </c:pt>
                <c:pt idx="34">
                  <c:v>4.5</c:v>
                </c:pt>
                <c:pt idx="35">
                  <c:v>4.5</c:v>
                </c:pt>
                <c:pt idx="36">
                  <c:v>4.5</c:v>
                </c:pt>
                <c:pt idx="37">
                  <c:v>4.5</c:v>
                </c:pt>
                <c:pt idx="38">
                  <c:v>4.5</c:v>
                </c:pt>
                <c:pt idx="39">
                  <c:v>4.5</c:v>
                </c:pt>
                <c:pt idx="40">
                  <c:v>4.5</c:v>
                </c:pt>
                <c:pt idx="41" formatCode="General">
                  <c:v>4.5</c:v>
                </c:pt>
                <c:pt idx="42" formatCode="General">
                  <c:v>4.5</c:v>
                </c:pt>
                <c:pt idx="43" formatCode="General">
                  <c:v>4.5</c:v>
                </c:pt>
                <c:pt idx="44">
                  <c:v>4.5</c:v>
                </c:pt>
                <c:pt idx="45">
                  <c:v>4.5</c:v>
                </c:pt>
                <c:pt idx="46">
                  <c:v>4.5</c:v>
                </c:pt>
                <c:pt idx="47">
                  <c:v>4.5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c:v>4.5</c:v>
                </c:pt>
                <c:pt idx="66">
                  <c:v>4.5</c:v>
                </c:pt>
                <c:pt idx="67">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formatCode="General">
                  <c:v>4.5</c:v>
                </c:pt>
                <c:pt idx="82" formatCode="General">
                  <c:v>4.5</c:v>
                </c:pt>
                <c:pt idx="83" formatCode="General">
                  <c:v>4.5</c:v>
                </c:pt>
                <c:pt idx="84" formatCode="General">
                  <c:v>4.5</c:v>
                </c:pt>
                <c:pt idx="85" formatCode="General">
                  <c:v>4.5</c:v>
                </c:pt>
                <c:pt idx="86" formatCode="General">
                  <c:v>4.5</c:v>
                </c:pt>
                <c:pt idx="87" formatCode="General">
                  <c:v>4.5</c:v>
                </c:pt>
                <c:pt idx="88" formatCode="General">
                  <c:v>4.5</c:v>
                </c:pt>
                <c:pt idx="89" formatCode="General">
                  <c:v>4.5</c:v>
                </c:pt>
                <c:pt idx="90" formatCode="General">
                  <c:v>4.5</c:v>
                </c:pt>
                <c:pt idx="91" formatCode="General">
                  <c:v>4.5</c:v>
                </c:pt>
                <c:pt idx="92" formatCode="General">
                  <c:v>4.5</c:v>
                </c:pt>
                <c:pt idx="93" formatCode="General">
                  <c:v>4.5</c:v>
                </c:pt>
                <c:pt idx="94" formatCode="General">
                  <c:v>4.5</c:v>
                </c:pt>
                <c:pt idx="95" formatCode="General">
                  <c:v>4.5</c:v>
                </c:pt>
                <c:pt idx="96" formatCode="General">
                  <c:v>4.5</c:v>
                </c:pt>
                <c:pt idx="97" formatCode="General">
                  <c:v>4.5</c:v>
                </c:pt>
                <c:pt idx="98" formatCode="General">
                  <c:v>4.5</c:v>
                </c:pt>
                <c:pt idx="99" formatCode="General">
                  <c:v>4.5</c:v>
                </c:pt>
                <c:pt idx="100" formatCode="General">
                  <c:v>4.5</c:v>
                </c:pt>
                <c:pt idx="101" formatCode="General">
                  <c:v>4.5</c:v>
                </c:pt>
                <c:pt idx="102" formatCode="General">
                  <c:v>4.5</c:v>
                </c:pt>
                <c:pt idx="103" formatCode="General">
                  <c:v>4.5</c:v>
                </c:pt>
                <c:pt idx="104" formatCode="General">
                  <c:v>4.5</c:v>
                </c:pt>
                <c:pt idx="105" formatCode="General">
                  <c:v>4.5</c:v>
                </c:pt>
                <c:pt idx="106" formatCode="General">
                  <c:v>4.5</c:v>
                </c:pt>
                <c:pt idx="107" formatCode="General">
                  <c:v>4.5</c:v>
                </c:pt>
                <c:pt idx="108" formatCode="General">
                  <c:v>4.5</c:v>
                </c:pt>
                <c:pt idx="109" formatCode="General">
                  <c:v>4.5</c:v>
                </c:pt>
                <c:pt idx="110" formatCode="General">
                  <c:v>4.5</c:v>
                </c:pt>
                <c:pt idx="111" formatCode="General">
                  <c:v>4.5</c:v>
                </c:pt>
                <c:pt idx="112" formatCode="General">
                  <c:v>4.5</c:v>
                </c:pt>
                <c:pt idx="113" formatCode="General">
                  <c:v>4.5</c:v>
                </c:pt>
                <c:pt idx="114" formatCode="General">
                  <c:v>4.5</c:v>
                </c:pt>
                <c:pt idx="115" formatCode="General">
                  <c:v>4.5</c:v>
                </c:pt>
                <c:pt idx="116" formatCode="General">
                  <c:v>4.5</c:v>
                </c:pt>
                <c:pt idx="117" formatCode="General">
                  <c:v>4.5</c:v>
                </c:pt>
                <c:pt idx="118" formatCode="General">
                  <c:v>4.5</c:v>
                </c:pt>
                <c:pt idx="119" formatCode="General">
                  <c:v>4.5</c:v>
                </c:pt>
                <c:pt idx="120" formatCode="General">
                  <c:v>4.5</c:v>
                </c:pt>
                <c:pt idx="121" formatCode="General">
                  <c:v>4.5</c:v>
                </c:pt>
                <c:pt idx="122" formatCode="General">
                  <c:v>4.5</c:v>
                </c:pt>
                <c:pt idx="123" formatCode="General">
                  <c:v>4.5</c:v>
                </c:pt>
              </c:numCache>
            </c:numRef>
          </c:val>
          <c:smooth val="0"/>
          <c:extLst>
            <c:ext xmlns:c16="http://schemas.microsoft.com/office/drawing/2014/chart" uri="{C3380CC4-5D6E-409C-BE32-E72D297353CC}">
              <c16:uniqueId val="{00000003-DAC5-40D1-AF3B-7ECB64601E2C}"/>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Inflacija!$Y$64:$Y$187</c:f>
              <c:numCache>
                <c:formatCode>0.0</c:formatCode>
                <c:ptCount val="124"/>
                <c:pt idx="0">
                  <c:v>2.5</c:v>
                </c:pt>
                <c:pt idx="1">
                  <c:v>2.5</c:v>
                </c:pt>
                <c:pt idx="2">
                  <c:v>2.5</c:v>
                </c:pt>
                <c:pt idx="3">
                  <c:v>2.5</c:v>
                </c:pt>
                <c:pt idx="4">
                  <c:v>2.5</c:v>
                </c:pt>
                <c:pt idx="5">
                  <c:v>2.5</c:v>
                </c:pt>
                <c:pt idx="6">
                  <c:v>2.5</c:v>
                </c:pt>
                <c:pt idx="7">
                  <c:v>2.5</c:v>
                </c:pt>
                <c:pt idx="8">
                  <c:v>2.5</c:v>
                </c:pt>
                <c:pt idx="9">
                  <c:v>2.5</c:v>
                </c:pt>
                <c:pt idx="10">
                  <c:v>2.5</c:v>
                </c:pt>
                <c:pt idx="11">
                  <c:v>2.5</c:v>
                </c:pt>
                <c:pt idx="12">
                  <c:v>2.5</c:v>
                </c:pt>
                <c:pt idx="13" formatCode="General">
                  <c:v>2.5</c:v>
                </c:pt>
                <c:pt idx="14" formatCode="General">
                  <c:v>2.5</c:v>
                </c:pt>
                <c:pt idx="15" formatCode="General">
                  <c:v>2.5</c:v>
                </c:pt>
                <c:pt idx="16" formatCode="General">
                  <c:v>2.5</c:v>
                </c:pt>
                <c:pt idx="17" formatCode="General">
                  <c:v>2.5</c:v>
                </c:pt>
                <c:pt idx="18" formatCode="General">
                  <c:v>2.5</c:v>
                </c:pt>
                <c:pt idx="19" formatCode="General">
                  <c:v>2.5</c:v>
                </c:pt>
                <c:pt idx="20" formatCode="General">
                  <c:v>2.5</c:v>
                </c:pt>
                <c:pt idx="21" formatCode="General">
                  <c:v>2.5</c:v>
                </c:pt>
                <c:pt idx="22" formatCode="General">
                  <c:v>2.5</c:v>
                </c:pt>
                <c:pt idx="23" formatCode="General">
                  <c:v>2.5</c:v>
                </c:pt>
                <c:pt idx="24">
                  <c:v>1.5</c:v>
                </c:pt>
                <c:pt idx="25">
                  <c:v>1.5</c:v>
                </c:pt>
                <c:pt idx="26">
                  <c:v>1.5</c:v>
                </c:pt>
                <c:pt idx="27">
                  <c:v>1.5</c:v>
                </c:pt>
                <c:pt idx="28">
                  <c:v>1.5</c:v>
                </c:pt>
                <c:pt idx="29">
                  <c:v>1.5</c:v>
                </c:pt>
                <c:pt idx="30">
                  <c:v>1.5</c:v>
                </c:pt>
                <c:pt idx="31">
                  <c:v>1.5</c:v>
                </c:pt>
                <c:pt idx="32">
                  <c:v>1.5</c:v>
                </c:pt>
                <c:pt idx="33">
                  <c:v>1.5</c:v>
                </c:pt>
                <c:pt idx="34">
                  <c:v>1.5</c:v>
                </c:pt>
                <c:pt idx="35">
                  <c:v>1.5</c:v>
                </c:pt>
                <c:pt idx="36">
                  <c:v>1.5</c:v>
                </c:pt>
                <c:pt idx="37">
                  <c:v>1.5</c:v>
                </c:pt>
                <c:pt idx="38">
                  <c:v>1.5</c:v>
                </c:pt>
                <c:pt idx="39">
                  <c:v>1.5</c:v>
                </c:pt>
                <c:pt idx="40">
                  <c:v>1.5</c:v>
                </c:pt>
                <c:pt idx="41" formatCode="General">
                  <c:v>1.5</c:v>
                </c:pt>
                <c:pt idx="42" formatCode="General">
                  <c:v>1.5</c:v>
                </c:pt>
                <c:pt idx="43" formatCode="General">
                  <c:v>1.5</c:v>
                </c:pt>
                <c:pt idx="44">
                  <c:v>1.5</c:v>
                </c:pt>
                <c:pt idx="45">
                  <c:v>1.5</c:v>
                </c:pt>
                <c:pt idx="46">
                  <c:v>1.5</c:v>
                </c:pt>
                <c:pt idx="47">
                  <c:v>1.5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c:v>1.5</c:v>
                </c:pt>
                <c:pt idx="66">
                  <c:v>1.5</c:v>
                </c:pt>
                <c:pt idx="67">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formatCode="General">
                  <c:v>1.5</c:v>
                </c:pt>
                <c:pt idx="82" formatCode="General">
                  <c:v>1.5</c:v>
                </c:pt>
                <c:pt idx="83" formatCode="General">
                  <c:v>1.5</c:v>
                </c:pt>
                <c:pt idx="84" formatCode="General">
                  <c:v>1.5</c:v>
                </c:pt>
                <c:pt idx="85" formatCode="General">
                  <c:v>1.5</c:v>
                </c:pt>
                <c:pt idx="86" formatCode="General">
                  <c:v>1.5</c:v>
                </c:pt>
                <c:pt idx="87" formatCode="General">
                  <c:v>1.5</c:v>
                </c:pt>
                <c:pt idx="88" formatCode="General">
                  <c:v>1.5</c:v>
                </c:pt>
                <c:pt idx="89" formatCode="General">
                  <c:v>1.5</c:v>
                </c:pt>
                <c:pt idx="90" formatCode="General">
                  <c:v>1.5</c:v>
                </c:pt>
                <c:pt idx="91" formatCode="General">
                  <c:v>1.5</c:v>
                </c:pt>
                <c:pt idx="92" formatCode="General">
                  <c:v>1.5</c:v>
                </c:pt>
                <c:pt idx="93" formatCode="General">
                  <c:v>1.5</c:v>
                </c:pt>
                <c:pt idx="94" formatCode="General">
                  <c:v>1.5</c:v>
                </c:pt>
                <c:pt idx="95" formatCode="General">
                  <c:v>1.5</c:v>
                </c:pt>
                <c:pt idx="96" formatCode="General">
                  <c:v>1.5</c:v>
                </c:pt>
                <c:pt idx="97" formatCode="General">
                  <c:v>1.5</c:v>
                </c:pt>
                <c:pt idx="98" formatCode="General">
                  <c:v>1.5</c:v>
                </c:pt>
                <c:pt idx="99" formatCode="General">
                  <c:v>1.5</c:v>
                </c:pt>
                <c:pt idx="100" formatCode="General">
                  <c:v>1.5</c:v>
                </c:pt>
                <c:pt idx="101" formatCode="General">
                  <c:v>1.5</c:v>
                </c:pt>
                <c:pt idx="102" formatCode="General">
                  <c:v>1.5</c:v>
                </c:pt>
                <c:pt idx="103" formatCode="General">
                  <c:v>1.5</c:v>
                </c:pt>
                <c:pt idx="104" formatCode="General">
                  <c:v>1.5</c:v>
                </c:pt>
                <c:pt idx="105" formatCode="General">
                  <c:v>1.5</c:v>
                </c:pt>
                <c:pt idx="106" formatCode="General">
                  <c:v>1.5</c:v>
                </c:pt>
                <c:pt idx="107" formatCode="General">
                  <c:v>1.5</c:v>
                </c:pt>
                <c:pt idx="108" formatCode="General">
                  <c:v>1.5</c:v>
                </c:pt>
                <c:pt idx="109" formatCode="General">
                  <c:v>1.5</c:v>
                </c:pt>
                <c:pt idx="110" formatCode="General">
                  <c:v>1.5</c:v>
                </c:pt>
                <c:pt idx="111" formatCode="General">
                  <c:v>1.5</c:v>
                </c:pt>
                <c:pt idx="112" formatCode="General">
                  <c:v>1.5</c:v>
                </c:pt>
                <c:pt idx="113" formatCode="General">
                  <c:v>1.5</c:v>
                </c:pt>
                <c:pt idx="114" formatCode="General">
                  <c:v>1.5</c:v>
                </c:pt>
                <c:pt idx="115" formatCode="General">
                  <c:v>1.5</c:v>
                </c:pt>
                <c:pt idx="116" formatCode="General">
                  <c:v>1.5</c:v>
                </c:pt>
                <c:pt idx="117" formatCode="General">
                  <c:v>1.5</c:v>
                </c:pt>
                <c:pt idx="118" formatCode="General">
                  <c:v>1.5</c:v>
                </c:pt>
                <c:pt idx="119" formatCode="General">
                  <c:v>1.5</c:v>
                </c:pt>
                <c:pt idx="120" formatCode="General">
                  <c:v>1.5</c:v>
                </c:pt>
                <c:pt idx="121" formatCode="General">
                  <c:v>1.5</c:v>
                </c:pt>
                <c:pt idx="122" formatCode="General">
                  <c:v>1.5</c:v>
                </c:pt>
                <c:pt idx="123" formatCode="General">
                  <c:v>1.5</c:v>
                </c:pt>
              </c:numCache>
            </c:numRef>
          </c:val>
          <c:smooth val="0"/>
          <c:extLst>
            <c:ext xmlns:c16="http://schemas.microsoft.com/office/drawing/2014/chart" uri="{C3380CC4-5D6E-409C-BE32-E72D297353CC}">
              <c16:uniqueId val="{00000004-DAC5-40D1-AF3B-7ECB64601E2C}"/>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0699064389079484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C5-40D1-AF3B-7ECB64601E2C}"/>
                </c:ext>
              </c:extLst>
            </c:dLbl>
            <c:dLbl>
              <c:idx val="12"/>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C5-40D1-AF3B-7ECB64601E2C}"/>
                </c:ext>
              </c:extLst>
            </c:dLbl>
            <c:dLbl>
              <c:idx val="24"/>
              <c:layout>
                <c:manualLayout>
                  <c:x val="-2.068166395065946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C5-40D1-AF3B-7ECB64601E2C}"/>
                </c:ext>
              </c:extLst>
            </c:dLbl>
            <c:dLbl>
              <c:idx val="36"/>
              <c:layout>
                <c:manualLayout>
                  <c:x val="-2.1690534268032802E-2"/>
                  <c:y val="3.591339740739474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C5-40D1-AF3B-7ECB64601E2C}"/>
                </c:ext>
              </c:extLst>
            </c:dLbl>
            <c:dLbl>
              <c:idx val="48"/>
              <c:layout>
                <c:manualLayout>
                  <c:x val="-1.9029687633721565E-2"/>
                  <c:y val="3.57962092722168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AC5-40D1-AF3B-7ECB64601E2C}"/>
                </c:ext>
              </c:extLst>
            </c:dLbl>
            <c:dLbl>
              <c:idx val="60"/>
              <c:layout>
                <c:manualLayout>
                  <c:x val="-2.2446565561833522E-2"/>
                  <c:y val="3.552931189257716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AC5-40D1-AF3B-7ECB64601E2C}"/>
                </c:ext>
              </c:extLst>
            </c:dLbl>
            <c:dLbl>
              <c:idx val="72"/>
              <c:layout>
                <c:manualLayout>
                  <c:x val="-2.162803473411614E-2"/>
                  <c:y val="3.620833022607217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AC5-40D1-AF3B-7ECB64601E2C}"/>
                </c:ext>
              </c:extLst>
            </c:dLbl>
            <c:dLbl>
              <c:idx val="84"/>
              <c:layout>
                <c:manualLayout>
                  <c:x val="-2.5283475783475784E-2"/>
                  <c:y val="3.615711130995147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AC5-40D1-AF3B-7ECB64601E2C}"/>
                </c:ext>
              </c:extLst>
            </c:dLbl>
            <c:dLbl>
              <c:idx val="96"/>
              <c:layout>
                <c:manualLayout>
                  <c:x val="-2.1756940022819433E-2"/>
                  <c:y val="3.567285334045059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AC5-40D1-AF3B-7ECB64601E2C}"/>
                </c:ext>
              </c:extLst>
            </c:dLbl>
            <c:dLbl>
              <c:idx val="108"/>
              <c:layout>
                <c:manualLayout>
                  <c:x val="-3.6503561253561252E-2"/>
                  <c:y val="3.582500000000000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AC5-40D1-AF3B-7ECB64601E2C}"/>
                </c:ext>
              </c:extLst>
            </c:dLbl>
            <c:dLbl>
              <c:idx val="120"/>
              <c:layout>
                <c:manualLayout>
                  <c:x val="-3.6983618233618234E-3"/>
                  <c:y val="3.582500000000000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AC5-40D1-AF3B-7ECB64601E2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Inflacija!$Q$64:$Q$187</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45682</c:v>
                </c:pt>
                <c:pt idx="121" formatCode="yy">
                  <c:v>45683</c:v>
                </c:pt>
                <c:pt idx="122" formatCode="yy">
                  <c:v>45684</c:v>
                </c:pt>
                <c:pt idx="123" formatCode="yy">
                  <c:v>45685</c:v>
                </c:pt>
              </c:numCache>
            </c:numRef>
          </c:cat>
          <c:val>
            <c:numRef>
              <c:f>Inflacija!$Z$64:$Z$187</c:f>
              <c:numCache>
                <c:formatCode>General</c:formatCode>
                <c:ptCount val="124"/>
                <c:pt idx="0">
                  <c:v>0</c:v>
                </c:pt>
                <c:pt idx="12">
                  <c:v>0</c:v>
                </c:pt>
                <c:pt idx="24">
                  <c:v>0</c:v>
                </c:pt>
                <c:pt idx="36">
                  <c:v>0</c:v>
                </c:pt>
                <c:pt idx="48">
                  <c:v>0</c:v>
                </c:pt>
                <c:pt idx="60">
                  <c:v>0</c:v>
                </c:pt>
                <c:pt idx="72">
                  <c:v>0</c:v>
                </c:pt>
                <c:pt idx="84">
                  <c:v>0</c:v>
                </c:pt>
                <c:pt idx="96">
                  <c:v>0</c:v>
                </c:pt>
                <c:pt idx="108">
                  <c:v>0</c:v>
                </c:pt>
                <c:pt idx="120">
                  <c:v>0</c:v>
                </c:pt>
              </c:numCache>
            </c:numRef>
          </c:val>
          <c:smooth val="0"/>
          <c:extLst>
            <c:ext xmlns:c16="http://schemas.microsoft.com/office/drawing/2014/chart" uri="{C3380CC4-5D6E-409C-BE32-E72D297353CC}">
              <c16:uniqueId val="{00000010-DAC5-40D1-AF3B-7ECB64601E2C}"/>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GB"/>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5.2445156695156696E-2"/>
          <c:y val="0.75916055555555551"/>
          <c:w val="0.89270036496097616"/>
          <c:h val="0.237537777777777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178986378388172E-2"/>
          <c:y val="5.3106332138590201E-2"/>
          <c:w val="0.80840046303318902"/>
          <c:h val="0.58882795698924728"/>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III 2025</c:v>
                </c:pt>
              </c:strCache>
            </c:strRef>
          </c:cat>
          <c:val>
            <c:numRef>
              <c:f>NPL!$S$5:$S$17</c:f>
              <c:numCache>
                <c:formatCode>#,##0</c:formatCode>
                <c:ptCount val="13"/>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pt idx="8" formatCode="0">
                  <c:v>43.140020999999997</c:v>
                </c:pt>
                <c:pt idx="9" formatCode="0">
                  <c:v>33.740698000000002</c:v>
                </c:pt>
                <c:pt idx="10" formatCode="0">
                  <c:v>34.603248999999998</c:v>
                </c:pt>
                <c:pt idx="11" formatCode="0">
                  <c:v>30.748996000000002</c:v>
                </c:pt>
                <c:pt idx="12" formatCode="0">
                  <c:v>27.673863999999998</c:v>
                </c:pt>
              </c:numCache>
            </c:numRef>
          </c:val>
          <c:extLst>
            <c:ext xmlns:c16="http://schemas.microsoft.com/office/drawing/2014/chart" uri="{C3380CC4-5D6E-409C-BE32-E72D297353CC}">
              <c16:uniqueId val="{00000000-A368-480B-A65A-6E9BB6CEBBCA}"/>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III 2025</c:v>
                </c:pt>
              </c:strCache>
            </c:strRef>
          </c:cat>
          <c:val>
            <c:numRef>
              <c:f>NPL!$T$5:$T$17</c:f>
              <c:numCache>
                <c:formatCode>#,##0</c:formatCode>
                <c:ptCount val="13"/>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pt idx="8" formatCode="0">
                  <c:v>51.147905000000002</c:v>
                </c:pt>
                <c:pt idx="9" formatCode="0">
                  <c:v>52.061318999999997</c:v>
                </c:pt>
                <c:pt idx="10" formatCode="0">
                  <c:v>58.331890999999999</c:v>
                </c:pt>
                <c:pt idx="11" formatCode="0">
                  <c:v>55.019401999999999</c:v>
                </c:pt>
                <c:pt idx="12" formatCode="0">
                  <c:v>53.016365</c:v>
                </c:pt>
              </c:numCache>
            </c:numRef>
          </c:val>
          <c:extLst>
            <c:ext xmlns:c16="http://schemas.microsoft.com/office/drawing/2014/chart" uri="{C3380CC4-5D6E-409C-BE32-E72D297353CC}">
              <c16:uniqueId val="{00000001-A368-480B-A65A-6E9BB6CEBBCA}"/>
            </c:ext>
          </c:extLst>
        </c:ser>
        <c:ser>
          <c:idx val="2"/>
          <c:order val="2"/>
          <c:tx>
            <c:strRef>
              <c:f>NPL!$U$4</c:f>
              <c:strCache>
                <c:ptCount val="1"/>
                <c:pt idx="0">
                  <c:v>Остали</c:v>
                </c:pt>
              </c:strCache>
            </c:strRef>
          </c:tx>
          <c:spPr>
            <a:solidFill>
              <a:srgbClr val="51BBE7"/>
            </a:solidFill>
            <a:ln>
              <a:noFill/>
            </a:ln>
            <a:effectLst/>
          </c:spPr>
          <c:invertIfNegative val="0"/>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III 2025</c:v>
                </c:pt>
              </c:strCache>
            </c:strRef>
          </c:cat>
          <c:val>
            <c:numRef>
              <c:f>NPL!$U$5:$U$17</c:f>
              <c:numCache>
                <c:formatCode>#,##0</c:formatCode>
                <c:ptCount val="13"/>
                <c:pt idx="0">
                  <c:v>100.2</c:v>
                </c:pt>
                <c:pt idx="1">
                  <c:v>106.4</c:v>
                </c:pt>
                <c:pt idx="2" formatCode="0">
                  <c:v>134.4</c:v>
                </c:pt>
                <c:pt idx="3" formatCode="0">
                  <c:v>103.8</c:v>
                </c:pt>
                <c:pt idx="4" formatCode="0">
                  <c:v>51.9</c:v>
                </c:pt>
                <c:pt idx="5" formatCode="0">
                  <c:v>34.192292000000002</c:v>
                </c:pt>
                <c:pt idx="6" formatCode="0">
                  <c:v>23.450085000000001</c:v>
                </c:pt>
                <c:pt idx="7" formatCode="0">
                  <c:v>19.835072</c:v>
                </c:pt>
                <c:pt idx="8" formatCode="0">
                  <c:v>14.723131</c:v>
                </c:pt>
                <c:pt idx="9" formatCode="0">
                  <c:v>13.706968</c:v>
                </c:pt>
                <c:pt idx="10" formatCode="0">
                  <c:v>14.360376</c:v>
                </c:pt>
                <c:pt idx="11" formatCode="0">
                  <c:v>8.3460190000000001</c:v>
                </c:pt>
                <c:pt idx="12" formatCode="0">
                  <c:v>8.2044160000000002</c:v>
                </c:pt>
              </c:numCache>
            </c:numRef>
          </c:val>
          <c:extLst>
            <c:ext xmlns:c16="http://schemas.microsoft.com/office/drawing/2014/chart" uri="{C3380CC4-5D6E-409C-BE32-E72D297353CC}">
              <c16:uniqueId val="{00000002-A368-480B-A65A-6E9BB6CEBBCA}"/>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dLbl>
              <c:idx val="0"/>
              <c:layout>
                <c:manualLayout>
                  <c:x val="-0.10671296296296297"/>
                  <c:y val="-9.66320978170411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49-4FED-83E3-14184E9DF7C5}"/>
                </c:ext>
              </c:extLst>
            </c:dLbl>
            <c:dLbl>
              <c:idx val="1"/>
              <c:layout>
                <c:manualLayout>
                  <c:x val="-8.3564814814814814E-2"/>
                  <c:y val="-0.1581569464833844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49-4FED-83E3-14184E9DF7C5}"/>
                </c:ext>
              </c:extLst>
            </c:dLbl>
            <c:dLbl>
              <c:idx val="2"/>
              <c:layout>
                <c:manualLayout>
                  <c:x val="-5.5787037037037038E-2"/>
                  <c:y val="-7.49548684463222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49-4FED-83E3-14184E9DF7C5}"/>
                </c:ext>
              </c:extLst>
            </c:dLbl>
            <c:spPr>
              <a:noFill/>
              <a:ln>
                <a:noFill/>
              </a:ln>
              <a:effectLst/>
            </c:spPr>
            <c:txPr>
              <a:bodyPr rot="0" spcFirstLastPara="1" vertOverflow="ellipsis" vert="horz" wrap="square" anchor="ctr" anchorCtr="1"/>
              <a:lstStyle/>
              <a:p>
                <a:pPr>
                  <a:defRPr sz="60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NPL!$Q$5:$Q$17</c:f>
              <c:strCach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III 2025</c:v>
                </c:pt>
              </c:strCache>
            </c:strRef>
          </c:cat>
          <c:val>
            <c:numRef>
              <c:f>NPL!$V$5:$V$17</c:f>
              <c:numCache>
                <c:formatCode>0.0%</c:formatCode>
                <c:ptCount val="13"/>
                <c:pt idx="0">
                  <c:v>0.2137</c:v>
                </c:pt>
                <c:pt idx="1">
                  <c:v>0.21539999999999998</c:v>
                </c:pt>
                <c:pt idx="2">
                  <c:v>0.216</c:v>
                </c:pt>
                <c:pt idx="3">
                  <c:v>0.17030000000000001</c:v>
                </c:pt>
                <c:pt idx="4">
                  <c:v>9.8500000000000004E-2</c:v>
                </c:pt>
                <c:pt idx="5">
                  <c:v>5.7000000000000002E-2</c:v>
                </c:pt>
                <c:pt idx="6">
                  <c:v>4.1000000000000002E-2</c:v>
                </c:pt>
                <c:pt idx="7">
                  <c:v>3.6999999999999998E-2</c:v>
                </c:pt>
                <c:pt idx="8">
                  <c:v>3.5999999999999997E-2</c:v>
                </c:pt>
                <c:pt idx="9">
                  <c:v>0.03</c:v>
                </c:pt>
                <c:pt idx="10">
                  <c:v>3.2000000000000001E-2</c:v>
                </c:pt>
                <c:pt idx="11">
                  <c:v>2.5000000000000001E-2</c:v>
                </c:pt>
                <c:pt idx="12">
                  <c:v>2.3300000000000001E-2</c:v>
                </c:pt>
              </c:numCache>
            </c:numRef>
          </c:val>
          <c:smooth val="0"/>
          <c:extLst>
            <c:ext xmlns:c16="http://schemas.microsoft.com/office/drawing/2014/chart" uri="{C3380CC4-5D6E-409C-BE32-E72D297353CC}">
              <c16:uniqueId val="{00000003-A368-480B-A65A-6E9BB6CEBBCA}"/>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4793963254593176"/>
          <c:y val="0.82833811230585419"/>
          <c:w val="0.76430592009332154"/>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мил. евра (десна скала)</c:v>
                </c:pt>
              </c:strCache>
            </c:strRef>
          </c:tx>
          <c:spPr>
            <a:solidFill>
              <a:srgbClr val="29489A"/>
            </a:solidFill>
            <a:ln>
              <a:noFill/>
            </a:ln>
            <a:effectLst/>
          </c:spPr>
          <c:invertIfNegative val="0"/>
          <c:cat>
            <c:numRef>
              <c:f>'Devizni kurs'!$Q$51:$Q$174</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'Devizni kurs'!$V$51:$V$174</c:f>
              <c:numCache>
                <c:formatCode>General</c:formatCode>
                <c:ptCount val="124"/>
                <c:pt idx="0">
                  <c:v>90</c:v>
                </c:pt>
                <c:pt idx="1">
                  <c:v>-140</c:v>
                </c:pt>
                <c:pt idx="2">
                  <c:v>-120</c:v>
                </c:pt>
                <c:pt idx="3">
                  <c:v>-110</c:v>
                </c:pt>
                <c:pt idx="4">
                  <c:v>0</c:v>
                </c:pt>
                <c:pt idx="5">
                  <c:v>-10</c:v>
                </c:pt>
                <c:pt idx="6">
                  <c:v>-230</c:v>
                </c:pt>
                <c:pt idx="7">
                  <c:v>-130</c:v>
                </c:pt>
                <c:pt idx="8">
                  <c:v>-80</c:v>
                </c:pt>
                <c:pt idx="9">
                  <c:v>-60</c:v>
                </c:pt>
                <c:pt idx="10">
                  <c:v>0</c:v>
                </c:pt>
                <c:pt idx="11">
                  <c:v>270</c:v>
                </c:pt>
                <c:pt idx="12">
                  <c:v>290</c:v>
                </c:pt>
                <c:pt idx="13">
                  <c:v>100</c:v>
                </c:pt>
                <c:pt idx="14">
                  <c:v>175</c:v>
                </c:pt>
                <c:pt idx="15">
                  <c:v>140</c:v>
                </c:pt>
                <c:pt idx="16">
                  <c:v>65</c:v>
                </c:pt>
                <c:pt idx="17">
                  <c:v>50</c:v>
                </c:pt>
                <c:pt idx="18">
                  <c:v>-355</c:v>
                </c:pt>
                <c:pt idx="19">
                  <c:v>-90</c:v>
                </c:pt>
                <c:pt idx="20">
                  <c:v>-30</c:v>
                </c:pt>
                <c:pt idx="21">
                  <c:v>-135</c:v>
                </c:pt>
                <c:pt idx="22">
                  <c:v>-60</c:v>
                </c:pt>
                <c:pt idx="23">
                  <c:v>10</c:v>
                </c:pt>
                <c:pt idx="24">
                  <c:v>225</c:v>
                </c:pt>
                <c:pt idx="25">
                  <c:v>105</c:v>
                </c:pt>
                <c:pt idx="26">
                  <c:v>15</c:v>
                </c:pt>
                <c:pt idx="27">
                  <c:v>-40</c:v>
                </c:pt>
                <c:pt idx="28">
                  <c:v>-120</c:v>
                </c:pt>
                <c:pt idx="29">
                  <c:v>-345</c:v>
                </c:pt>
                <c:pt idx="30">
                  <c:v>-165</c:v>
                </c:pt>
                <c:pt idx="31">
                  <c:v>-290</c:v>
                </c:pt>
                <c:pt idx="32">
                  <c:v>-150</c:v>
                </c:pt>
                <c:pt idx="33">
                  <c:v>-15</c:v>
                </c:pt>
                <c:pt idx="34">
                  <c:v>-50</c:v>
                </c:pt>
                <c:pt idx="35">
                  <c:v>135</c:v>
                </c:pt>
                <c:pt idx="36">
                  <c:v>180</c:v>
                </c:pt>
                <c:pt idx="37">
                  <c:v>-180</c:v>
                </c:pt>
                <c:pt idx="38">
                  <c:v>-400</c:v>
                </c:pt>
                <c:pt idx="39">
                  <c:v>-205</c:v>
                </c:pt>
                <c:pt idx="40">
                  <c:v>-220</c:v>
                </c:pt>
                <c:pt idx="41">
                  <c:v>-365</c:v>
                </c:pt>
                <c:pt idx="42">
                  <c:v>-220</c:v>
                </c:pt>
                <c:pt idx="43">
                  <c:v>-190</c:v>
                </c:pt>
                <c:pt idx="44">
                  <c:v>5</c:v>
                </c:pt>
                <c:pt idx="45">
                  <c:v>30</c:v>
                </c:pt>
                <c:pt idx="46">
                  <c:v>-15</c:v>
                </c:pt>
                <c:pt idx="47">
                  <c:v>0</c:v>
                </c:pt>
                <c:pt idx="48">
                  <c:v>130</c:v>
                </c:pt>
                <c:pt idx="49">
                  <c:v>-30</c:v>
                </c:pt>
                <c:pt idx="50">
                  <c:v>-135</c:v>
                </c:pt>
                <c:pt idx="51">
                  <c:v>-75</c:v>
                </c:pt>
                <c:pt idx="52" formatCode="0">
                  <c:v>-110</c:v>
                </c:pt>
                <c:pt idx="53" formatCode="0">
                  <c:v>-735</c:v>
                </c:pt>
                <c:pt idx="54" formatCode="0">
                  <c:v>-645</c:v>
                </c:pt>
                <c:pt idx="55" formatCode="0">
                  <c:v>-105</c:v>
                </c:pt>
                <c:pt idx="56" formatCode="0">
                  <c:v>-410</c:v>
                </c:pt>
                <c:pt idx="57">
                  <c:v>-235</c:v>
                </c:pt>
                <c:pt idx="58">
                  <c:v>0</c:v>
                </c:pt>
                <c:pt idx="59">
                  <c:v>-355</c:v>
                </c:pt>
                <c:pt idx="60">
                  <c:v>-15</c:v>
                </c:pt>
                <c:pt idx="61">
                  <c:v>65</c:v>
                </c:pt>
                <c:pt idx="62">
                  <c:v>135</c:v>
                </c:pt>
                <c:pt idx="63">
                  <c:v>440</c:v>
                </c:pt>
                <c:pt idx="64">
                  <c:v>250</c:v>
                </c:pt>
                <c:pt idx="65">
                  <c:v>155</c:v>
                </c:pt>
                <c:pt idx="66">
                  <c:v>325</c:v>
                </c:pt>
                <c:pt idx="67">
                  <c:v>160</c:v>
                </c:pt>
                <c:pt idx="68">
                  <c:v>120</c:v>
                </c:pt>
                <c:pt idx="69">
                  <c:v>100</c:v>
                </c:pt>
                <c:pt idx="70">
                  <c:v>-115</c:v>
                </c:pt>
                <c:pt idx="71">
                  <c:v>-170</c:v>
                </c:pt>
                <c:pt idx="72">
                  <c:v>105</c:v>
                </c:pt>
                <c:pt idx="73">
                  <c:v>-55</c:v>
                </c:pt>
                <c:pt idx="74">
                  <c:v>0</c:v>
                </c:pt>
                <c:pt idx="75">
                  <c:v>0</c:v>
                </c:pt>
                <c:pt idx="76">
                  <c:v>-45</c:v>
                </c:pt>
                <c:pt idx="77">
                  <c:v>-325</c:v>
                </c:pt>
                <c:pt idx="78">
                  <c:v>-380</c:v>
                </c:pt>
                <c:pt idx="79">
                  <c:v>-265</c:v>
                </c:pt>
                <c:pt idx="80">
                  <c:v>-135</c:v>
                </c:pt>
                <c:pt idx="81">
                  <c:v>140</c:v>
                </c:pt>
                <c:pt idx="82">
                  <c:v>110</c:v>
                </c:pt>
                <c:pt idx="83">
                  <c:v>205</c:v>
                </c:pt>
                <c:pt idx="84">
                  <c:v>340</c:v>
                </c:pt>
                <c:pt idx="85">
                  <c:v>605</c:v>
                </c:pt>
                <c:pt idx="86">
                  <c:v>1170</c:v>
                </c:pt>
                <c:pt idx="87">
                  <c:v>155</c:v>
                </c:pt>
                <c:pt idx="88">
                  <c:v>-75</c:v>
                </c:pt>
                <c:pt idx="89">
                  <c:v>-405</c:v>
                </c:pt>
                <c:pt idx="90">
                  <c:v>-435</c:v>
                </c:pt>
                <c:pt idx="91">
                  <c:v>-450</c:v>
                </c:pt>
                <c:pt idx="92">
                  <c:v>-480</c:v>
                </c:pt>
                <c:pt idx="93">
                  <c:v>-525</c:v>
                </c:pt>
                <c:pt idx="94">
                  <c:v>-350</c:v>
                </c:pt>
                <c:pt idx="95">
                  <c:v>-550</c:v>
                </c:pt>
                <c:pt idx="96">
                  <c:v>225</c:v>
                </c:pt>
                <c:pt idx="97">
                  <c:v>-390</c:v>
                </c:pt>
                <c:pt idx="98">
                  <c:v>-300</c:v>
                </c:pt>
                <c:pt idx="99">
                  <c:v>-600</c:v>
                </c:pt>
                <c:pt idx="100">
                  <c:v>-255</c:v>
                </c:pt>
                <c:pt idx="101">
                  <c:v>-540</c:v>
                </c:pt>
                <c:pt idx="102">
                  <c:v>-595</c:v>
                </c:pt>
                <c:pt idx="103">
                  <c:v>-315</c:v>
                </c:pt>
                <c:pt idx="104">
                  <c:v>-615</c:v>
                </c:pt>
                <c:pt idx="105">
                  <c:v>-25</c:v>
                </c:pt>
                <c:pt idx="106">
                  <c:v>60</c:v>
                </c:pt>
                <c:pt idx="107">
                  <c:v>-590</c:v>
                </c:pt>
                <c:pt idx="108">
                  <c:v>45</c:v>
                </c:pt>
                <c:pt idx="109">
                  <c:v>-345</c:v>
                </c:pt>
                <c:pt idx="110">
                  <c:v>-20</c:v>
                </c:pt>
                <c:pt idx="111">
                  <c:v>-210</c:v>
                </c:pt>
                <c:pt idx="112">
                  <c:v>-105</c:v>
                </c:pt>
                <c:pt idx="113">
                  <c:v>-695</c:v>
                </c:pt>
                <c:pt idx="114">
                  <c:v>-225</c:v>
                </c:pt>
                <c:pt idx="115">
                  <c:v>-280</c:v>
                </c:pt>
                <c:pt idx="116">
                  <c:v>100</c:v>
                </c:pt>
                <c:pt idx="117">
                  <c:v>-255</c:v>
                </c:pt>
                <c:pt idx="118">
                  <c:v>-325</c:v>
                </c:pt>
                <c:pt idx="119">
                  <c:v>-410</c:v>
                </c:pt>
                <c:pt idx="120">
                  <c:v>420</c:v>
                </c:pt>
                <c:pt idx="121">
                  <c:v>325</c:v>
                </c:pt>
                <c:pt idx="122">
                  <c:v>210</c:v>
                </c:pt>
                <c:pt idx="123">
                  <c:v>-45</c:v>
                </c:pt>
              </c:numCache>
            </c:numRef>
          </c:val>
          <c:extLst>
            <c:ext xmlns:c16="http://schemas.microsoft.com/office/drawing/2014/chart" uri="{C3380CC4-5D6E-409C-BE32-E72D297353CC}">
              <c16:uniqueId val="{00000000-8954-42FF-92CC-E9685E4545E3}"/>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kurs'!$Q$51:$Q$174</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'Devizni kurs'!$U$51:$U$174</c:f>
              <c:numCache>
                <c:formatCode>0.00</c:formatCode>
                <c:ptCount val="124"/>
                <c:pt idx="0">
                  <c:v>122.62</c:v>
                </c:pt>
                <c:pt idx="1">
                  <c:v>121.58</c:v>
                </c:pt>
                <c:pt idx="2">
                  <c:v>120.47</c:v>
                </c:pt>
                <c:pt idx="3">
                  <c:v>120.17</c:v>
                </c:pt>
                <c:pt idx="4">
                  <c:v>120.59</c:v>
                </c:pt>
                <c:pt idx="5">
                  <c:v>120.55517727272726</c:v>
                </c:pt>
                <c:pt idx="6">
                  <c:v>120.21342173913044</c:v>
                </c:pt>
                <c:pt idx="7">
                  <c:v>120.22183333333331</c:v>
                </c:pt>
                <c:pt idx="8">
                  <c:v>120.18703181818181</c:v>
                </c:pt>
                <c:pt idx="9">
                  <c:v>120.07991818181817</c:v>
                </c:pt>
                <c:pt idx="10">
                  <c:v>120.65054000000001</c:v>
                </c:pt>
                <c:pt idx="11">
                  <c:v>121.75174782608696</c:v>
                </c:pt>
                <c:pt idx="12">
                  <c:v>122.54524736842107</c:v>
                </c:pt>
                <c:pt idx="13">
                  <c:v>122.87654736842104</c:v>
                </c:pt>
                <c:pt idx="14">
                  <c:v>123.13206956521738</c:v>
                </c:pt>
                <c:pt idx="15">
                  <c:v>122.80799500000001</c:v>
                </c:pt>
                <c:pt idx="16">
                  <c:v>122.82450500000002</c:v>
                </c:pt>
                <c:pt idx="17">
                  <c:v>123.40000909090909</c:v>
                </c:pt>
                <c:pt idx="18">
                  <c:v>123.34886190476189</c:v>
                </c:pt>
                <c:pt idx="19">
                  <c:v>123.30531739130437</c:v>
                </c:pt>
                <c:pt idx="20">
                  <c:v>123.23121818181816</c:v>
                </c:pt>
                <c:pt idx="21">
                  <c:v>123.17817142857142</c:v>
                </c:pt>
                <c:pt idx="22">
                  <c:v>123.18741904761906</c:v>
                </c:pt>
                <c:pt idx="23">
                  <c:v>123.42</c:v>
                </c:pt>
                <c:pt idx="24">
                  <c:v>123.8</c:v>
                </c:pt>
                <c:pt idx="25">
                  <c:v>123.94</c:v>
                </c:pt>
                <c:pt idx="26">
                  <c:v>123.89</c:v>
                </c:pt>
                <c:pt idx="27">
                  <c:v>123.66</c:v>
                </c:pt>
                <c:pt idx="28">
                  <c:v>123.05</c:v>
                </c:pt>
                <c:pt idx="29">
                  <c:v>122.02</c:v>
                </c:pt>
                <c:pt idx="30">
                  <c:v>120.42</c:v>
                </c:pt>
                <c:pt idx="31">
                  <c:v>119.57</c:v>
                </c:pt>
                <c:pt idx="32">
                  <c:v>119.2957</c:v>
                </c:pt>
                <c:pt idx="33">
                  <c:v>119.2818</c:v>
                </c:pt>
                <c:pt idx="34">
                  <c:v>118.89884545454547</c:v>
                </c:pt>
                <c:pt idx="35">
                  <c:v>119.13943333333332</c:v>
                </c:pt>
                <c:pt idx="36">
                  <c:v>118.61770952380952</c:v>
                </c:pt>
                <c:pt idx="37">
                  <c:v>118.39149999999999</c:v>
                </c:pt>
                <c:pt idx="38">
                  <c:v>118.2688</c:v>
                </c:pt>
                <c:pt idx="39">
                  <c:v>118.19159999999999</c:v>
                </c:pt>
                <c:pt idx="40">
                  <c:v>118.18894761904762</c:v>
                </c:pt>
                <c:pt idx="41">
                  <c:v>118.13484285714287</c:v>
                </c:pt>
                <c:pt idx="42">
                  <c:v>118.04732272727273</c:v>
                </c:pt>
                <c:pt idx="43">
                  <c:v>118.10411304347828</c:v>
                </c:pt>
                <c:pt idx="44">
                  <c:v>118.278565</c:v>
                </c:pt>
                <c:pt idx="45">
                  <c:v>118.43672608695648</c:v>
                </c:pt>
                <c:pt idx="46">
                  <c:v>118.34287619047618</c:v>
                </c:pt>
                <c:pt idx="47">
                  <c:v>118.27724285714282</c:v>
                </c:pt>
                <c:pt idx="48">
                  <c:v>118.41</c:v>
                </c:pt>
                <c:pt idx="49">
                  <c:v>118.24</c:v>
                </c:pt>
                <c:pt idx="50">
                  <c:v>118.04</c:v>
                </c:pt>
                <c:pt idx="51">
                  <c:v>117.99</c:v>
                </c:pt>
                <c:pt idx="52">
                  <c:v>117.96469999999999</c:v>
                </c:pt>
                <c:pt idx="53">
                  <c:v>117.93766999999998</c:v>
                </c:pt>
                <c:pt idx="54">
                  <c:v>117.78449999999999</c:v>
                </c:pt>
                <c:pt idx="55">
                  <c:v>117.777</c:v>
                </c:pt>
                <c:pt idx="56">
                  <c:v>117.5958</c:v>
                </c:pt>
                <c:pt idx="57">
                  <c:v>117.5453</c:v>
                </c:pt>
                <c:pt idx="58">
                  <c:v>117.51315499999998</c:v>
                </c:pt>
                <c:pt idx="59">
                  <c:v>117.54</c:v>
                </c:pt>
                <c:pt idx="60">
                  <c:v>117.5643</c:v>
                </c:pt>
                <c:pt idx="61">
                  <c:v>117.57170000000001</c:v>
                </c:pt>
                <c:pt idx="62">
                  <c:v>117.5625</c:v>
                </c:pt>
                <c:pt idx="63">
                  <c:v>117.5694</c:v>
                </c:pt>
                <c:pt idx="64">
                  <c:v>117.5913</c:v>
                </c:pt>
                <c:pt idx="65">
                  <c:v>117.5852</c:v>
                </c:pt>
                <c:pt idx="66">
                  <c:v>117.58579130434782</c:v>
                </c:pt>
                <c:pt idx="67">
                  <c:v>117.58645238095237</c:v>
                </c:pt>
                <c:pt idx="68">
                  <c:v>117.58302727272726</c:v>
                </c:pt>
                <c:pt idx="69" formatCode="General">
                  <c:v>117.58</c:v>
                </c:pt>
                <c:pt idx="70">
                  <c:v>117.57380000000001</c:v>
                </c:pt>
                <c:pt idx="71">
                  <c:v>117.57769999999999</c:v>
                </c:pt>
                <c:pt idx="72">
                  <c:v>117.58203684210527</c:v>
                </c:pt>
                <c:pt idx="73">
                  <c:v>117.57634999999998</c:v>
                </c:pt>
                <c:pt idx="74">
                  <c:v>117.57657826086957</c:v>
                </c:pt>
                <c:pt idx="75">
                  <c:v>117.57283333333332</c:v>
                </c:pt>
                <c:pt idx="76">
                  <c:v>117.57888421052631</c:v>
                </c:pt>
                <c:pt idx="77">
                  <c:v>117.57026363636363</c:v>
                </c:pt>
                <c:pt idx="78">
                  <c:v>117.56288181818182</c:v>
                </c:pt>
                <c:pt idx="79">
                  <c:v>117.56745909090908</c:v>
                </c:pt>
                <c:pt idx="80">
                  <c:v>117.5668</c:v>
                </c:pt>
                <c:pt idx="81">
                  <c:v>117.56744285714285</c:v>
                </c:pt>
                <c:pt idx="82">
                  <c:v>117.58056666666668</c:v>
                </c:pt>
                <c:pt idx="83">
                  <c:v>117.58005217391303</c:v>
                </c:pt>
                <c:pt idx="84">
                  <c:v>117.58427894736842</c:v>
                </c:pt>
                <c:pt idx="85">
                  <c:v>117.59068333333335</c:v>
                </c:pt>
                <c:pt idx="86">
                  <c:v>117.67664782608693</c:v>
                </c:pt>
                <c:pt idx="87">
                  <c:v>117.72751578947369</c:v>
                </c:pt>
                <c:pt idx="88">
                  <c:v>117.55720999999998</c:v>
                </c:pt>
                <c:pt idx="89">
                  <c:v>117.42971363636362</c:v>
                </c:pt>
                <c:pt idx="90">
                  <c:v>117.39375714285714</c:v>
                </c:pt>
                <c:pt idx="91">
                  <c:v>117.35496086956519</c:v>
                </c:pt>
                <c:pt idx="92">
                  <c:v>117.32463636363637</c:v>
                </c:pt>
                <c:pt idx="93">
                  <c:v>117.31286666666665</c:v>
                </c:pt>
                <c:pt idx="94">
                  <c:v>117.30856666666664</c:v>
                </c:pt>
                <c:pt idx="95">
                  <c:v>117.30965454545456</c:v>
                </c:pt>
                <c:pt idx="96">
                  <c:v>117.36350499999999</c:v>
                </c:pt>
                <c:pt idx="97">
                  <c:v>117.32664444444445</c:v>
                </c:pt>
                <c:pt idx="98">
                  <c:v>117.31440869565216</c:v>
                </c:pt>
                <c:pt idx="99">
                  <c:v>117.2824</c:v>
                </c:pt>
                <c:pt idx="100">
                  <c:v>117.2831</c:v>
                </c:pt>
                <c:pt idx="101">
                  <c:v>117.2731</c:v>
                </c:pt>
                <c:pt idx="102">
                  <c:v>117.2269</c:v>
                </c:pt>
                <c:pt idx="103">
                  <c:v>117.2139</c:v>
                </c:pt>
                <c:pt idx="104">
                  <c:v>117.20146666666668</c:v>
                </c:pt>
                <c:pt idx="105">
                  <c:v>117.1851590909091</c:v>
                </c:pt>
                <c:pt idx="106">
                  <c:v>117.19343181818181</c:v>
                </c:pt>
                <c:pt idx="107">
                  <c:v>117.17399523809523</c:v>
                </c:pt>
                <c:pt idx="108">
                  <c:v>117.21023333333335</c:v>
                </c:pt>
                <c:pt idx="109">
                  <c:v>117.17954210526314</c:v>
                </c:pt>
                <c:pt idx="110">
                  <c:v>117.19119047619047</c:v>
                </c:pt>
                <c:pt idx="111">
                  <c:v>117.13836363636364</c:v>
                </c:pt>
                <c:pt idx="112">
                  <c:v>117.11607368421052</c:v>
                </c:pt>
                <c:pt idx="113">
                  <c:v>117.07152000000001</c:v>
                </c:pt>
                <c:pt idx="114">
                  <c:v>117.05069130434786</c:v>
                </c:pt>
                <c:pt idx="115">
                  <c:v>117.03658181818183</c:v>
                </c:pt>
                <c:pt idx="116">
                  <c:v>117.04607619047617</c:v>
                </c:pt>
                <c:pt idx="117">
                  <c:v>117.0341130434783</c:v>
                </c:pt>
                <c:pt idx="118">
                  <c:v>116.99359999999999</c:v>
                </c:pt>
                <c:pt idx="119">
                  <c:v>116.97295909090911</c:v>
                </c:pt>
                <c:pt idx="120">
                  <c:v>117.12193157894735</c:v>
                </c:pt>
                <c:pt idx="121">
                  <c:v>117.13858421052632</c:v>
                </c:pt>
                <c:pt idx="122">
                  <c:v>117.17125238095237</c:v>
                </c:pt>
                <c:pt idx="123">
                  <c:v>117.20287</c:v>
                </c:pt>
              </c:numCache>
            </c:numRef>
          </c:val>
          <c:smooth val="0"/>
          <c:extLst>
            <c:ext xmlns:c16="http://schemas.microsoft.com/office/drawing/2014/chart" uri="{C3380CC4-5D6E-409C-BE32-E72D297353CC}">
              <c16:uniqueId val="{00000001-8954-42FF-92CC-E9685E4545E3}"/>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3980625329626394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954-42FF-92CC-E9685E4545E3}"/>
                </c:ext>
              </c:extLst>
            </c:dLbl>
            <c:dLbl>
              <c:idx val="12"/>
              <c:layout>
                <c:manualLayout>
                  <c:x val="-2.397662710483818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54-42FF-92CC-E9685E4545E3}"/>
                </c:ext>
              </c:extLst>
            </c:dLbl>
            <c:dLbl>
              <c:idx val="24"/>
              <c:layout>
                <c:manualLayout>
                  <c:x val="-2.3982547555871456E-2"/>
                  <c:y val="3.838557045024561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954-42FF-92CC-E9685E4545E3}"/>
                </c:ext>
              </c:extLst>
            </c:dLbl>
            <c:dLbl>
              <c:idx val="36"/>
              <c:layout>
                <c:manualLayout>
                  <c:x val="-2.4758461788420488E-2"/>
                  <c:y val="3.83853078092342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954-42FF-92CC-E9685E4545E3}"/>
                </c:ext>
              </c:extLst>
            </c:dLbl>
            <c:dLbl>
              <c:idx val="48"/>
              <c:layout>
                <c:manualLayout>
                  <c:x val="-2.5432706328375621E-2"/>
                  <c:y val="3.838550497195249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954-42FF-92CC-E9685E4545E3}"/>
                </c:ext>
              </c:extLst>
            </c:dLbl>
            <c:dLbl>
              <c:idx val="60"/>
              <c:layout>
                <c:manualLayout>
                  <c:x val="-2.5972951297754447E-2"/>
                  <c:y val="3.79044236131545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954-42FF-92CC-E9685E4545E3}"/>
                </c:ext>
              </c:extLst>
            </c:dLbl>
            <c:dLbl>
              <c:idx val="72"/>
              <c:layout>
                <c:manualLayout>
                  <c:x val="-2.6866433362496354E-2"/>
                  <c:y val="3.75296005156444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954-42FF-92CC-E9685E4545E3}"/>
                </c:ext>
              </c:extLst>
            </c:dLbl>
            <c:dLbl>
              <c:idx val="84"/>
              <c:layout>
                <c:manualLayout>
                  <c:x val="-3.1481481481481652E-2"/>
                  <c:y val="3.79499628679922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954-42FF-92CC-E9685E4545E3}"/>
                </c:ext>
              </c:extLst>
            </c:dLbl>
            <c:dLbl>
              <c:idx val="96"/>
              <c:layout>
                <c:manualLayout>
                  <c:x val="-3.6005831592591069E-2"/>
                  <c:y val="3.828911742352270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954-42FF-92CC-E9685E4545E3}"/>
                </c:ext>
              </c:extLst>
            </c:dLbl>
            <c:dLbl>
              <c:idx val="108"/>
              <c:layout>
                <c:manualLayout>
                  <c:x val="-4.4444444444444446E-2"/>
                  <c:y val="3.79502118644066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954-42FF-92CC-E9685E4545E3}"/>
                </c:ext>
              </c:extLst>
            </c:dLbl>
            <c:dLbl>
              <c:idx val="120"/>
              <c:layout>
                <c:manualLayout>
                  <c:x val="-0.05"/>
                  <c:y val="3.795021186440664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954-42FF-92CC-E9685E4545E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kurs'!$Q$51:$Q$174</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'Devizni kurs'!$W$51:$W$174</c:f>
              <c:numCache>
                <c:formatCode>General</c:formatCode>
                <c:ptCount val="124"/>
                <c:pt idx="0">
                  <c:v>85</c:v>
                </c:pt>
                <c:pt idx="12">
                  <c:v>85</c:v>
                </c:pt>
                <c:pt idx="24">
                  <c:v>85</c:v>
                </c:pt>
                <c:pt idx="36">
                  <c:v>85</c:v>
                </c:pt>
                <c:pt idx="48">
                  <c:v>85</c:v>
                </c:pt>
                <c:pt idx="60">
                  <c:v>85</c:v>
                </c:pt>
                <c:pt idx="72">
                  <c:v>85</c:v>
                </c:pt>
                <c:pt idx="84">
                  <c:v>85</c:v>
                </c:pt>
                <c:pt idx="96">
                  <c:v>85</c:v>
                </c:pt>
                <c:pt idx="108">
                  <c:v>85</c:v>
                </c:pt>
                <c:pt idx="120">
                  <c:v>85</c:v>
                </c:pt>
              </c:numCache>
            </c:numRef>
          </c:val>
          <c:smooth val="0"/>
          <c:extLst>
            <c:ext xmlns:c16="http://schemas.microsoft.com/office/drawing/2014/chart" uri="{C3380CC4-5D6E-409C-BE32-E72D297353CC}">
              <c16:uniqueId val="{0000000D-8954-42FF-92CC-E9685E4545E3}"/>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rezerve'!$Q$39:$Q$162</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'Stednja i rezerve'!$V$39:$V$162</c:f>
              <c:numCache>
                <c:formatCode>0.000</c:formatCode>
                <c:ptCount val="124"/>
                <c:pt idx="0">
                  <c:v>10.048999999999999</c:v>
                </c:pt>
                <c:pt idx="1">
                  <c:v>10.313000000000001</c:v>
                </c:pt>
                <c:pt idx="2">
                  <c:v>10.515000000000001</c:v>
                </c:pt>
                <c:pt idx="3">
                  <c:v>10.534000000000001</c:v>
                </c:pt>
                <c:pt idx="4">
                  <c:v>10.545</c:v>
                </c:pt>
                <c:pt idx="5">
                  <c:v>10.292999999999999</c:v>
                </c:pt>
                <c:pt idx="6">
                  <c:v>10.631</c:v>
                </c:pt>
                <c:pt idx="7">
                  <c:v>10.61</c:v>
                </c:pt>
                <c:pt idx="8">
                  <c:v>10.510999999999999</c:v>
                </c:pt>
                <c:pt idx="9">
                  <c:v>10.673999999999999</c:v>
                </c:pt>
                <c:pt idx="10">
                  <c:v>10.746</c:v>
                </c:pt>
                <c:pt idx="11">
                  <c:v>10.378</c:v>
                </c:pt>
                <c:pt idx="12">
                  <c:v>10.1045</c:v>
                </c:pt>
                <c:pt idx="13">
                  <c:v>9.8507999999999996</c:v>
                </c:pt>
                <c:pt idx="14">
                  <c:v>9.5008999999999997</c:v>
                </c:pt>
                <c:pt idx="15">
                  <c:v>9.3379999999999992</c:v>
                </c:pt>
                <c:pt idx="16">
                  <c:v>9.2639999999999993</c:v>
                </c:pt>
                <c:pt idx="17">
                  <c:v>9.2910000000000004</c:v>
                </c:pt>
                <c:pt idx="18">
                  <c:v>9.6059999999999999</c:v>
                </c:pt>
                <c:pt idx="19">
                  <c:v>9.5839999999999996</c:v>
                </c:pt>
                <c:pt idx="20">
                  <c:v>9.5519999999999996</c:v>
                </c:pt>
                <c:pt idx="21">
                  <c:v>9.7070000000000007</c:v>
                </c:pt>
                <c:pt idx="22">
                  <c:v>9.8179999999999996</c:v>
                </c:pt>
                <c:pt idx="23">
                  <c:v>10.205</c:v>
                </c:pt>
                <c:pt idx="24">
                  <c:v>9.8539999999999992</c:v>
                </c:pt>
                <c:pt idx="25">
                  <c:v>9.7590000000000003</c:v>
                </c:pt>
                <c:pt idx="26">
                  <c:v>9.73</c:v>
                </c:pt>
                <c:pt idx="27">
                  <c:v>9.4090000000000007</c:v>
                </c:pt>
                <c:pt idx="28">
                  <c:v>9.4920000000000009</c:v>
                </c:pt>
                <c:pt idx="29">
                  <c:v>9.67</c:v>
                </c:pt>
                <c:pt idx="30">
                  <c:v>9.9480000000000004</c:v>
                </c:pt>
                <c:pt idx="31">
                  <c:v>10.278</c:v>
                </c:pt>
                <c:pt idx="32">
                  <c:v>10.635999999999999</c:v>
                </c:pt>
                <c:pt idx="33">
                  <c:v>10.76</c:v>
                </c:pt>
                <c:pt idx="34">
                  <c:v>10.105</c:v>
                </c:pt>
                <c:pt idx="35">
                  <c:v>9.9617000000000004</c:v>
                </c:pt>
                <c:pt idx="36">
                  <c:v>9.6477000000000004</c:v>
                </c:pt>
                <c:pt idx="37">
                  <c:v>9.7910000000000004</c:v>
                </c:pt>
                <c:pt idx="38">
                  <c:v>10.234999999999999</c:v>
                </c:pt>
                <c:pt idx="39">
                  <c:v>10.43</c:v>
                </c:pt>
                <c:pt idx="40">
                  <c:v>10.882999999999999</c:v>
                </c:pt>
                <c:pt idx="41">
                  <c:v>11.103999999999999</c:v>
                </c:pt>
                <c:pt idx="42">
                  <c:v>11.403</c:v>
                </c:pt>
                <c:pt idx="43">
                  <c:v>11.326000000000001</c:v>
                </c:pt>
                <c:pt idx="44">
                  <c:v>11.17249</c:v>
                </c:pt>
                <c:pt idx="45">
                  <c:v>11.5504</c:v>
                </c:pt>
                <c:pt idx="46">
                  <c:v>11.627000000000001</c:v>
                </c:pt>
                <c:pt idx="47">
                  <c:v>11.262</c:v>
                </c:pt>
                <c:pt idx="48">
                  <c:v>11.346</c:v>
                </c:pt>
                <c:pt idx="49">
                  <c:v>11.398</c:v>
                </c:pt>
                <c:pt idx="50">
                  <c:v>11.44</c:v>
                </c:pt>
                <c:pt idx="51">
                  <c:v>11.336</c:v>
                </c:pt>
                <c:pt idx="52">
                  <c:v>11.656000000000001</c:v>
                </c:pt>
                <c:pt idx="53">
                  <c:v>12.146000000000001</c:v>
                </c:pt>
                <c:pt idx="54">
                  <c:v>12.757999999999999</c:v>
                </c:pt>
                <c:pt idx="55">
                  <c:v>13.1</c:v>
                </c:pt>
                <c:pt idx="56">
                  <c:v>13.295</c:v>
                </c:pt>
                <c:pt idx="57">
                  <c:v>13.499000000000001</c:v>
                </c:pt>
                <c:pt idx="58">
                  <c:v>13.464700000000001</c:v>
                </c:pt>
                <c:pt idx="59">
                  <c:v>13.378500000000001</c:v>
                </c:pt>
                <c:pt idx="60">
                  <c:v>13.694000000000001</c:v>
                </c:pt>
                <c:pt idx="61">
                  <c:v>13.459</c:v>
                </c:pt>
                <c:pt idx="62">
                  <c:v>13.115</c:v>
                </c:pt>
                <c:pt idx="63">
                  <c:v>12.792999999999999</c:v>
                </c:pt>
                <c:pt idx="64">
                  <c:v>14.345000000000001</c:v>
                </c:pt>
                <c:pt idx="65">
                  <c:v>13.956</c:v>
                </c:pt>
                <c:pt idx="66">
                  <c:v>13.521000000000001</c:v>
                </c:pt>
                <c:pt idx="67">
                  <c:v>13.369</c:v>
                </c:pt>
                <c:pt idx="68">
                  <c:v>13.03</c:v>
                </c:pt>
                <c:pt idx="69">
                  <c:v>13.05</c:v>
                </c:pt>
                <c:pt idx="70" formatCode="General">
                  <c:v>12.843999999999999</c:v>
                </c:pt>
                <c:pt idx="71" formatCode="General">
                  <c:v>13.492000000000001</c:v>
                </c:pt>
                <c:pt idx="72">
                  <c:v>13.602928</c:v>
                </c:pt>
                <c:pt idx="73">
                  <c:v>13.4227504</c:v>
                </c:pt>
                <c:pt idx="74">
                  <c:v>14.275499999999999</c:v>
                </c:pt>
                <c:pt idx="75">
                  <c:v>13.997441199999999</c:v>
                </c:pt>
                <c:pt idx="76">
                  <c:v>14.181562900000001</c:v>
                </c:pt>
                <c:pt idx="77">
                  <c:v>14.091799999999999</c:v>
                </c:pt>
                <c:pt idx="78">
                  <c:v>14.5802736</c:v>
                </c:pt>
                <c:pt idx="79">
                  <c:v>15.585386699999999</c:v>
                </c:pt>
                <c:pt idx="80">
                  <c:v>16.802540499999999</c:v>
                </c:pt>
                <c:pt idx="81">
                  <c:v>16.277799999999999</c:v>
                </c:pt>
                <c:pt idx="82">
                  <c:v>16.453099999999999</c:v>
                </c:pt>
                <c:pt idx="83">
                  <c:v>16.454510200000001</c:v>
                </c:pt>
                <c:pt idx="84">
                  <c:v>16.110843299999999</c:v>
                </c:pt>
                <c:pt idx="85">
                  <c:v>15.561500000000001</c:v>
                </c:pt>
                <c:pt idx="86">
                  <c:v>14.296276199999999</c:v>
                </c:pt>
                <c:pt idx="87">
                  <c:v>14.1136</c:v>
                </c:pt>
                <c:pt idx="88">
                  <c:v>13.903600000000001</c:v>
                </c:pt>
                <c:pt idx="89">
                  <c:v>14.775700000000001</c:v>
                </c:pt>
                <c:pt idx="90">
                  <c:v>15.0228</c:v>
                </c:pt>
                <c:pt idx="91">
                  <c:v>15.8756</c:v>
                </c:pt>
                <c:pt idx="92">
                  <c:v>16.502299999999998</c:v>
                </c:pt>
                <c:pt idx="93" formatCode="General">
                  <c:v>16.870999999999999</c:v>
                </c:pt>
                <c:pt idx="94" formatCode="General">
                  <c:v>17.266999999999999</c:v>
                </c:pt>
                <c:pt idx="95" formatCode="General">
                  <c:v>19.416</c:v>
                </c:pt>
                <c:pt idx="96">
                  <c:v>20.913319099999999</c:v>
                </c:pt>
                <c:pt idx="97">
                  <c:v>21.196145100000003</c:v>
                </c:pt>
                <c:pt idx="98">
                  <c:v>21.380610300000001</c:v>
                </c:pt>
                <c:pt idx="99">
                  <c:v>21.556726999999999</c:v>
                </c:pt>
                <c:pt idx="100">
                  <c:v>22.088187399999999</c:v>
                </c:pt>
                <c:pt idx="101">
                  <c:v>22.58493</c:v>
                </c:pt>
                <c:pt idx="102">
                  <c:v>23.134196199999998</c:v>
                </c:pt>
                <c:pt idx="103">
                  <c:v>23.623699999999999</c:v>
                </c:pt>
                <c:pt idx="104">
                  <c:v>24.182471699999997</c:v>
                </c:pt>
                <c:pt idx="105">
                  <c:v>24.388775200000001</c:v>
                </c:pt>
                <c:pt idx="106">
                  <c:v>24.1630912</c:v>
                </c:pt>
                <c:pt idx="107">
                  <c:v>24.909095799999999</c:v>
                </c:pt>
                <c:pt idx="108">
                  <c:v>25.036858199999998</c:v>
                </c:pt>
                <c:pt idx="109">
                  <c:v>25.031424999999999</c:v>
                </c:pt>
                <c:pt idx="110">
                  <c:v>24.942164200000001</c:v>
                </c:pt>
                <c:pt idx="111">
                  <c:v>25.129200000000001</c:v>
                </c:pt>
                <c:pt idx="112">
                  <c:v>25.157084399999999</c:v>
                </c:pt>
                <c:pt idx="113">
                  <c:v>27.506563999999997</c:v>
                </c:pt>
                <c:pt idx="114">
                  <c:v>28.113286899999999</c:v>
                </c:pt>
                <c:pt idx="115">
                  <c:v>28.225012599999999</c:v>
                </c:pt>
                <c:pt idx="116">
                  <c:v>28.279699999999998</c:v>
                </c:pt>
                <c:pt idx="117">
                  <c:v>28.288022400000003</c:v>
                </c:pt>
                <c:pt idx="118">
                  <c:v>28.7045882</c:v>
                </c:pt>
                <c:pt idx="119">
                  <c:v>29.2945718</c:v>
                </c:pt>
                <c:pt idx="120">
                  <c:v>29.018455500000002</c:v>
                </c:pt>
                <c:pt idx="121">
                  <c:v>28.793119600000001</c:v>
                </c:pt>
                <c:pt idx="122">
                  <c:v>28.527438799999999</c:v>
                </c:pt>
                <c:pt idx="123">
                  <c:v>27.705449600000001</c:v>
                </c:pt>
              </c:numCache>
            </c:numRef>
          </c:val>
          <c:extLst>
            <c:ext xmlns:c16="http://schemas.microsoft.com/office/drawing/2014/chart" uri="{C3380CC4-5D6E-409C-BE32-E72D297353CC}">
              <c16:uniqueId val="{00000000-3346-45C2-8368-599759EE68C4}"/>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rezerve'!$Q$39:$Q$162</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'Stednja i rezerve'!$U$39:$U$162</c:f>
              <c:numCache>
                <c:formatCode>0.000</c:formatCode>
                <c:ptCount val="124"/>
                <c:pt idx="0">
                  <c:v>8.6050000000000004</c:v>
                </c:pt>
                <c:pt idx="1">
                  <c:v>8.61</c:v>
                </c:pt>
                <c:pt idx="2">
                  <c:v>8.6419999999999995</c:v>
                </c:pt>
                <c:pt idx="3">
                  <c:v>8.6389999999999993</c:v>
                </c:pt>
                <c:pt idx="4">
                  <c:v>8.6349999999999998</c:v>
                </c:pt>
                <c:pt idx="5">
                  <c:v>8.67</c:v>
                </c:pt>
                <c:pt idx="6">
                  <c:v>8.6210000000000004</c:v>
                </c:pt>
                <c:pt idx="7">
                  <c:v>8.6050000000000004</c:v>
                </c:pt>
                <c:pt idx="8">
                  <c:v>8.59</c:v>
                </c:pt>
                <c:pt idx="9">
                  <c:v>8.6039999999999992</c:v>
                </c:pt>
                <c:pt idx="10">
                  <c:v>8.5969999999999995</c:v>
                </c:pt>
                <c:pt idx="11">
                  <c:v>8.6289999999999996</c:v>
                </c:pt>
                <c:pt idx="12">
                  <c:v>8.6264760000000003</c:v>
                </c:pt>
                <c:pt idx="13">
                  <c:v>8.636355</c:v>
                </c:pt>
                <c:pt idx="14">
                  <c:v>8.6437650000000001</c:v>
                </c:pt>
                <c:pt idx="15">
                  <c:v>8.6690000000000005</c:v>
                </c:pt>
                <c:pt idx="16">
                  <c:v>8.7550000000000008</c:v>
                </c:pt>
                <c:pt idx="17">
                  <c:v>8.7959999999999994</c:v>
                </c:pt>
                <c:pt idx="18">
                  <c:v>8.8219999999999992</c:v>
                </c:pt>
                <c:pt idx="19">
                  <c:v>8.8309999999999995</c:v>
                </c:pt>
                <c:pt idx="20">
                  <c:v>8.843</c:v>
                </c:pt>
                <c:pt idx="21">
                  <c:v>8.8960000000000008</c:v>
                </c:pt>
                <c:pt idx="22">
                  <c:v>8.9149999999999991</c:v>
                </c:pt>
                <c:pt idx="23">
                  <c:v>8.9870000000000001</c:v>
                </c:pt>
                <c:pt idx="24">
                  <c:v>9.0310000000000006</c:v>
                </c:pt>
                <c:pt idx="25">
                  <c:v>9.0555649999999996</c:v>
                </c:pt>
                <c:pt idx="26">
                  <c:v>9.0842139999999993</c:v>
                </c:pt>
                <c:pt idx="27">
                  <c:v>9.1143780000000003</c:v>
                </c:pt>
                <c:pt idx="28">
                  <c:v>9.1059999999999999</c:v>
                </c:pt>
                <c:pt idx="29">
                  <c:v>9.1370000000000005</c:v>
                </c:pt>
                <c:pt idx="30">
                  <c:v>9.1780000000000008</c:v>
                </c:pt>
                <c:pt idx="31">
                  <c:v>9.2170000000000005</c:v>
                </c:pt>
                <c:pt idx="32">
                  <c:v>9.2629999999999999</c:v>
                </c:pt>
                <c:pt idx="33">
                  <c:v>9.2880000000000003</c:v>
                </c:pt>
                <c:pt idx="34">
                  <c:v>9.298</c:v>
                </c:pt>
                <c:pt idx="35">
                  <c:v>9.373151</c:v>
                </c:pt>
                <c:pt idx="36">
                  <c:v>9.4209999999999994</c:v>
                </c:pt>
                <c:pt idx="37">
                  <c:v>9.5150000000000006</c:v>
                </c:pt>
                <c:pt idx="38">
                  <c:v>9.5660000000000007</c:v>
                </c:pt>
                <c:pt idx="39">
                  <c:v>9.5939999999999994</c:v>
                </c:pt>
                <c:pt idx="40">
                  <c:v>9.6340000000000003</c:v>
                </c:pt>
                <c:pt idx="41">
                  <c:v>9.6869999999999994</c:v>
                </c:pt>
                <c:pt idx="42">
                  <c:v>9.718</c:v>
                </c:pt>
                <c:pt idx="43">
                  <c:v>9.7629999999999999</c:v>
                </c:pt>
                <c:pt idx="44">
                  <c:v>9.7824939999999998</c:v>
                </c:pt>
                <c:pt idx="45">
                  <c:v>9.8469999999999995</c:v>
                </c:pt>
                <c:pt idx="46">
                  <c:v>9.875</c:v>
                </c:pt>
                <c:pt idx="47">
                  <c:v>9.9550000000000001</c:v>
                </c:pt>
                <c:pt idx="48">
                  <c:v>10.105</c:v>
                </c:pt>
                <c:pt idx="49">
                  <c:v>10.167</c:v>
                </c:pt>
                <c:pt idx="50">
                  <c:v>10.217000000000001</c:v>
                </c:pt>
                <c:pt idx="51">
                  <c:v>10.295999999999999</c:v>
                </c:pt>
                <c:pt idx="52">
                  <c:v>10.340999999999999</c:v>
                </c:pt>
                <c:pt idx="53">
                  <c:v>10.391</c:v>
                </c:pt>
                <c:pt idx="54">
                  <c:v>10.474</c:v>
                </c:pt>
                <c:pt idx="55">
                  <c:v>10.547000000000001</c:v>
                </c:pt>
                <c:pt idx="56">
                  <c:v>10.612</c:v>
                </c:pt>
                <c:pt idx="57">
                  <c:v>10.661</c:v>
                </c:pt>
                <c:pt idx="58">
                  <c:v>10.72</c:v>
                </c:pt>
                <c:pt idx="59">
                  <c:v>10.804</c:v>
                </c:pt>
                <c:pt idx="60">
                  <c:v>10.941129999999999</c:v>
                </c:pt>
                <c:pt idx="61">
                  <c:v>11.007695</c:v>
                </c:pt>
                <c:pt idx="62">
                  <c:v>10.819725</c:v>
                </c:pt>
                <c:pt idx="63">
                  <c:v>10.889227</c:v>
                </c:pt>
                <c:pt idx="64">
                  <c:v>10.915190000000001</c:v>
                </c:pt>
                <c:pt idx="65">
                  <c:v>10.987965000000001</c:v>
                </c:pt>
                <c:pt idx="66">
                  <c:v>10.998704</c:v>
                </c:pt>
                <c:pt idx="67">
                  <c:v>11.069706</c:v>
                </c:pt>
                <c:pt idx="68">
                  <c:v>11.155711999999999</c:v>
                </c:pt>
                <c:pt idx="69" formatCode="General">
                  <c:v>11.256</c:v>
                </c:pt>
                <c:pt idx="70" formatCode="General">
                  <c:v>11.291</c:v>
                </c:pt>
                <c:pt idx="71" formatCode="General">
                  <c:v>11.436</c:v>
                </c:pt>
                <c:pt idx="72" formatCode="General">
                  <c:v>11.586</c:v>
                </c:pt>
                <c:pt idx="73" formatCode="General">
                  <c:v>11.683999999999999</c:v>
                </c:pt>
                <c:pt idx="74">
                  <c:v>11.778</c:v>
                </c:pt>
                <c:pt idx="75">
                  <c:v>11.84</c:v>
                </c:pt>
                <c:pt idx="76">
                  <c:v>12.006</c:v>
                </c:pt>
                <c:pt idx="77">
                  <c:v>12.118</c:v>
                </c:pt>
                <c:pt idx="78">
                  <c:v>12.221</c:v>
                </c:pt>
                <c:pt idx="79">
                  <c:v>12.275</c:v>
                </c:pt>
                <c:pt idx="80">
                  <c:v>12.321999999999999</c:v>
                </c:pt>
                <c:pt idx="81">
                  <c:v>12.417999999999999</c:v>
                </c:pt>
                <c:pt idx="82">
                  <c:v>12.554</c:v>
                </c:pt>
                <c:pt idx="83">
                  <c:v>12.736000000000001</c:v>
                </c:pt>
                <c:pt idx="84">
                  <c:v>12.88</c:v>
                </c:pt>
                <c:pt idx="85">
                  <c:v>12.94</c:v>
                </c:pt>
                <c:pt idx="86">
                  <c:v>12.803000000000001</c:v>
                </c:pt>
                <c:pt idx="87">
                  <c:v>12.930524</c:v>
                </c:pt>
                <c:pt idx="88">
                  <c:v>12.987158000000001</c:v>
                </c:pt>
                <c:pt idx="89">
                  <c:v>13.180187999999999</c:v>
                </c:pt>
                <c:pt idx="90">
                  <c:v>13.3729</c:v>
                </c:pt>
                <c:pt idx="91">
                  <c:v>13.474511</c:v>
                </c:pt>
                <c:pt idx="92">
                  <c:v>13.526999999999999</c:v>
                </c:pt>
                <c:pt idx="93" formatCode="General">
                  <c:v>13.566000000000001</c:v>
                </c:pt>
                <c:pt idx="94">
                  <c:v>13.62</c:v>
                </c:pt>
                <c:pt idx="95" formatCode="General">
                  <c:v>13.715</c:v>
                </c:pt>
                <c:pt idx="96" formatCode="General">
                  <c:v>13.788</c:v>
                </c:pt>
                <c:pt idx="97" formatCode="General">
                  <c:v>13.925000000000001</c:v>
                </c:pt>
                <c:pt idx="98" formatCode="General">
                  <c:v>13.834</c:v>
                </c:pt>
                <c:pt idx="99" formatCode="General">
                  <c:v>13.847</c:v>
                </c:pt>
                <c:pt idx="100">
                  <c:v>13.9</c:v>
                </c:pt>
                <c:pt idx="101">
                  <c:v>13.92</c:v>
                </c:pt>
                <c:pt idx="102">
                  <c:v>13.978</c:v>
                </c:pt>
                <c:pt idx="103">
                  <c:v>14.022053</c:v>
                </c:pt>
                <c:pt idx="104">
                  <c:v>14.126598</c:v>
                </c:pt>
                <c:pt idx="105">
                  <c:v>14.152494000000001</c:v>
                </c:pt>
                <c:pt idx="106">
                  <c:v>14.246537</c:v>
                </c:pt>
                <c:pt idx="107">
                  <c:v>14.416103999999999</c:v>
                </c:pt>
                <c:pt idx="108">
                  <c:v>14.650832000000001</c:v>
                </c:pt>
                <c:pt idx="109">
                  <c:v>14.690485000000001</c:v>
                </c:pt>
                <c:pt idx="110">
                  <c:v>14.813583000000001</c:v>
                </c:pt>
                <c:pt idx="111">
                  <c:v>14.858000000000001</c:v>
                </c:pt>
                <c:pt idx="112">
                  <c:v>14.903</c:v>
                </c:pt>
                <c:pt idx="113">
                  <c:v>14.974</c:v>
                </c:pt>
                <c:pt idx="114">
                  <c:v>15.051</c:v>
                </c:pt>
                <c:pt idx="115">
                  <c:v>15.108000000000001</c:v>
                </c:pt>
                <c:pt idx="116">
                  <c:v>15.118232000000001</c:v>
                </c:pt>
                <c:pt idx="117">
                  <c:v>15.170664</c:v>
                </c:pt>
                <c:pt idx="118">
                  <c:v>15.2461</c:v>
                </c:pt>
                <c:pt idx="119">
                  <c:v>15.390445</c:v>
                </c:pt>
                <c:pt idx="120">
                  <c:v>15.472897000000001</c:v>
                </c:pt>
                <c:pt idx="121">
                  <c:v>15.610384</c:v>
                </c:pt>
                <c:pt idx="122">
                  <c:v>15.604084</c:v>
                </c:pt>
              </c:numCache>
            </c:numRef>
          </c:val>
          <c:smooth val="0"/>
          <c:extLst>
            <c:ext xmlns:c16="http://schemas.microsoft.com/office/drawing/2014/chart" uri="{C3380CC4-5D6E-409C-BE32-E72D297353CC}">
              <c16:uniqueId val="{00000001-3346-45C2-8368-599759EE68C4}"/>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2.2924743555378331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346-45C2-8368-599759EE68C4}"/>
                </c:ext>
              </c:extLst>
            </c:dLbl>
            <c:dLbl>
              <c:idx val="12"/>
              <c:layout>
                <c:manualLayout>
                  <c:x val="-2.2924743555378352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346-45C2-8368-599759EE68C4}"/>
                </c:ext>
              </c:extLst>
            </c:dLbl>
            <c:dLbl>
              <c:idx val="24"/>
              <c:layout>
                <c:manualLayout>
                  <c:x val="-2.2931977252843436E-2"/>
                  <c:y val="2.802308360257591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346-45C2-8368-599759EE68C4}"/>
                </c:ext>
              </c:extLst>
            </c:dLbl>
            <c:dLbl>
              <c:idx val="36"/>
              <c:layout>
                <c:manualLayout>
                  <c:x val="-2.4774210326358969E-2"/>
                  <c:y val="2.802311915741122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346-45C2-8368-599759EE68C4}"/>
                </c:ext>
              </c:extLst>
            </c:dLbl>
            <c:dLbl>
              <c:idx val="48"/>
              <c:layout>
                <c:manualLayout>
                  <c:x val="-2.2561533270425312E-2"/>
                  <c:y val="2.802255844831594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346-45C2-8368-599759EE68C4}"/>
                </c:ext>
              </c:extLst>
            </c:dLbl>
            <c:dLbl>
              <c:idx val="60"/>
              <c:layout>
                <c:manualLayout>
                  <c:x val="-2.1332429666144369E-2"/>
                  <c:y val="2.8734098290061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346-45C2-8368-599759EE68C4}"/>
                </c:ext>
              </c:extLst>
            </c:dLbl>
            <c:dLbl>
              <c:idx val="72"/>
              <c:layout>
                <c:manualLayout>
                  <c:x val="-2.0649957540717773E-2"/>
                  <c:y val="2.85344858521881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346-45C2-8368-599759EE68C4}"/>
                </c:ext>
              </c:extLst>
            </c:dLbl>
            <c:dLbl>
              <c:idx val="84"/>
              <c:layout>
                <c:manualLayout>
                  <c:x val="-2.7507730930915394E-2"/>
                  <c:y val="2.876886225396084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346-45C2-8368-599759EE68C4}"/>
                </c:ext>
              </c:extLst>
            </c:dLbl>
            <c:dLbl>
              <c:idx val="96"/>
              <c:layout>
                <c:manualLayout>
                  <c:x val="-3.4935112277631963E-2"/>
                  <c:y val="2.869444444444431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346-45C2-8368-599759EE68C4}"/>
                </c:ext>
              </c:extLst>
            </c:dLbl>
            <c:dLbl>
              <c:idx val="108"/>
              <c:layout>
                <c:manualLayout>
                  <c:x val="-3.3026027996500437E-2"/>
                  <c:y val="2.876944444444431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346-45C2-8368-599759EE68C4}"/>
                </c:ext>
              </c:extLst>
            </c:dLbl>
            <c:dLbl>
              <c:idx val="120"/>
              <c:layout>
                <c:manualLayout>
                  <c:x val="-1.9850174978127733E-2"/>
                  <c:y val="2.876944444444431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346-45C2-8368-599759EE68C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rezerve'!$Q$39:$Q$162</c:f>
              <c:numCache>
                <c:formatCode>yyyy</c:formatCode>
                <c:ptCount val="124"/>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44958</c:v>
                </c:pt>
                <c:pt idx="98">
                  <c:v>44986</c:v>
                </c:pt>
                <c:pt idx="99">
                  <c:v>45017</c:v>
                </c:pt>
                <c:pt idx="100">
                  <c:v>45047</c:v>
                </c:pt>
                <c:pt idx="101">
                  <c:v>45078</c:v>
                </c:pt>
                <c:pt idx="102">
                  <c:v>45108</c:v>
                </c:pt>
                <c:pt idx="103">
                  <c:v>45139</c:v>
                </c:pt>
                <c:pt idx="104">
                  <c:v>45170</c:v>
                </c:pt>
                <c:pt idx="105">
                  <c:v>45200</c:v>
                </c:pt>
                <c:pt idx="106">
                  <c:v>45231</c:v>
                </c:pt>
                <c:pt idx="107">
                  <c:v>45261</c:v>
                </c:pt>
                <c:pt idx="108">
                  <c:v>45292</c:v>
                </c:pt>
                <c:pt idx="109">
                  <c:v>45323</c:v>
                </c:pt>
                <c:pt idx="110">
                  <c:v>45352</c:v>
                </c:pt>
                <c:pt idx="111">
                  <c:v>45383</c:v>
                </c:pt>
                <c:pt idx="112">
                  <c:v>45413</c:v>
                </c:pt>
                <c:pt idx="113">
                  <c:v>45444</c:v>
                </c:pt>
                <c:pt idx="114">
                  <c:v>45474</c:v>
                </c:pt>
                <c:pt idx="115">
                  <c:v>45505</c:v>
                </c:pt>
                <c:pt idx="116">
                  <c:v>45536</c:v>
                </c:pt>
                <c:pt idx="117">
                  <c:v>45566</c:v>
                </c:pt>
                <c:pt idx="118">
                  <c:v>45597</c:v>
                </c:pt>
                <c:pt idx="119">
                  <c:v>45627</c:v>
                </c:pt>
                <c:pt idx="120" formatCode="yy">
                  <c:v>45658</c:v>
                </c:pt>
                <c:pt idx="121" formatCode="yy">
                  <c:v>45689</c:v>
                </c:pt>
                <c:pt idx="122" formatCode="yy">
                  <c:v>45717</c:v>
                </c:pt>
                <c:pt idx="123" formatCode="yy">
                  <c:v>45748</c:v>
                </c:pt>
              </c:numCache>
            </c:numRef>
          </c:cat>
          <c:val>
            <c:numRef>
              <c:f>'Stednja i rezerve'!$W$39:$W$162</c:f>
              <c:numCache>
                <c:formatCode>General</c:formatCode>
                <c:ptCount val="124"/>
                <c:pt idx="0">
                  <c:v>7</c:v>
                </c:pt>
                <c:pt idx="12">
                  <c:v>7</c:v>
                </c:pt>
                <c:pt idx="24">
                  <c:v>7</c:v>
                </c:pt>
                <c:pt idx="36">
                  <c:v>7</c:v>
                </c:pt>
                <c:pt idx="48">
                  <c:v>7</c:v>
                </c:pt>
                <c:pt idx="60">
                  <c:v>7</c:v>
                </c:pt>
                <c:pt idx="72">
                  <c:v>7</c:v>
                </c:pt>
                <c:pt idx="84">
                  <c:v>7</c:v>
                </c:pt>
                <c:pt idx="96">
                  <c:v>7</c:v>
                </c:pt>
                <c:pt idx="108">
                  <c:v>7</c:v>
                </c:pt>
                <c:pt idx="120">
                  <c:v>7</c:v>
                </c:pt>
              </c:numCache>
            </c:numRef>
          </c:val>
          <c:smooth val="0"/>
          <c:extLst>
            <c:ext xmlns:c16="http://schemas.microsoft.com/office/drawing/2014/chart" uri="{C3380CC4-5D6E-409C-BE32-E72D297353CC}">
              <c16:uniqueId val="{0000000D-3346-45C2-8368-599759EE68C4}"/>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8832"/>
        <c:crosses val="autoZero"/>
        <c:auto val="0"/>
        <c:lblAlgn val="ctr"/>
        <c:lblOffset val="100"/>
        <c:tickLblSkip val="12"/>
        <c:noMultiLvlLbl val="1"/>
      </c:catAx>
      <c:valAx>
        <c:axId val="2067938832"/>
        <c:scaling>
          <c:orientation val="minMax"/>
          <c:max val="29"/>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15440"/>
        <c:crosses val="autoZero"/>
        <c:crossBetween val="midCat"/>
        <c:majorUnit val="2"/>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64068107026989318"/>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inflacije'!$I$7:$X$7</c:f>
              <c:numCache>
                <c:formatCode>0.0</c:formatCode>
                <c:ptCount val="16"/>
                <c:pt idx="0">
                  <c:v>7.8</c:v>
                </c:pt>
                <c:pt idx="1">
                  <c:v>2.9</c:v>
                </c:pt>
                <c:pt idx="2">
                  <c:v>1.9</c:v>
                </c:pt>
                <c:pt idx="3">
                  <c:v>1.2</c:v>
                </c:pt>
                <c:pt idx="4">
                  <c:v>3</c:v>
                </c:pt>
                <c:pt idx="5">
                  <c:v>2</c:v>
                </c:pt>
                <c:pt idx="6">
                  <c:v>1.7</c:v>
                </c:pt>
                <c:pt idx="7">
                  <c:v>1.6</c:v>
                </c:pt>
                <c:pt idx="8">
                  <c:v>4</c:v>
                </c:pt>
                <c:pt idx="9">
                  <c:v>11.9</c:v>
                </c:pt>
                <c:pt idx="10">
                  <c:v>12.1</c:v>
                </c:pt>
                <c:pt idx="11">
                  <c:v>4.5999999999999996</c:v>
                </c:pt>
                <c:pt idx="12">
                  <c:v>4</c:v>
                </c:pt>
                <c:pt idx="13">
                  <c:v>3.5</c:v>
                </c:pt>
                <c:pt idx="14">
                  <c:v>3.3</c:v>
                </c:pt>
                <c:pt idx="15">
                  <c:v>3</c:v>
                </c:pt>
              </c:numCache>
            </c:numRef>
          </c:val>
          <c:smooth val="0"/>
          <c:extLst>
            <c:ext xmlns:c16="http://schemas.microsoft.com/office/drawing/2014/chart" uri="{C3380CC4-5D6E-409C-BE32-E72D297353CC}">
              <c16:uniqueId val="{00000000-BED9-4822-A656-E0C873B91005}"/>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inflacije'!$I$8:$X$8</c:f>
              <c:numCache>
                <c:formatCode>0.0</c:formatCode>
                <c:ptCount val="16"/>
                <c:pt idx="0">
                  <c:v>7.8010857182483164</c:v>
                </c:pt>
                <c:pt idx="1">
                  <c:v>2.9094071508476844</c:v>
                </c:pt>
                <c:pt idx="2">
                  <c:v>2.1691202965357519</c:v>
                </c:pt>
                <c:pt idx="3">
                  <c:v>1.5438276198060095</c:v>
                </c:pt>
                <c:pt idx="4">
                  <c:v>2.9973541130636789</c:v>
                </c:pt>
                <c:pt idx="5">
                  <c:v>1.9999999999999858</c:v>
                </c:pt>
                <c:pt idx="6">
                  <c:v>2.3478309782552174</c:v>
                </c:pt>
                <c:pt idx="7">
                  <c:v>2.6493590865047878</c:v>
                </c:pt>
                <c:pt idx="8">
                  <c:v>5.6840498037999083</c:v>
                </c:pt>
                <c:pt idx="9">
                  <c:v>10.515922698594053</c:v>
                </c:pt>
                <c:pt idx="10">
                  <c:v>13.84023015272895</c:v>
                </c:pt>
                <c:pt idx="11">
                  <c:v>5.2</c:v>
                </c:pt>
                <c:pt idx="12">
                  <c:v>4.0999999999999996</c:v>
                </c:pt>
                <c:pt idx="13">
                  <c:v>3.1</c:v>
                </c:pt>
                <c:pt idx="14">
                  <c:v>3</c:v>
                </c:pt>
                <c:pt idx="15">
                  <c:v>2.8</c:v>
                </c:pt>
              </c:numCache>
            </c:numRef>
          </c:val>
          <c:smooth val="0"/>
          <c:extLst>
            <c:ext xmlns:c16="http://schemas.microsoft.com/office/drawing/2014/chart" uri="{C3380CC4-5D6E-409C-BE32-E72D297353CC}">
              <c16:uniqueId val="{00000001-BED9-4822-A656-E0C873B91005}"/>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inflacije'!$I$5:$X$5</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'Projekcija inflacije'!$I$9:$X$9</c:f>
              <c:numCache>
                <c:formatCode>General</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smooth val="0"/>
          <c:extLst>
            <c:ext xmlns:c16="http://schemas.microsoft.com/office/drawing/2014/chart" uri="{C3380CC4-5D6E-409C-BE32-E72D297353CC}">
              <c16:uniqueId val="{00000002-BED9-4822-A656-E0C873B91005}"/>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1760"/>
        <c:crosses val="autoZero"/>
        <c:auto val="1"/>
        <c:lblAlgn val="ctr"/>
        <c:lblOffset val="100"/>
        <c:noMultiLvlLbl val="0"/>
      </c:catAx>
      <c:valAx>
        <c:axId val="2067931760"/>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8334791484402E-2"/>
          <c:y val="7.2092777777777783E-2"/>
          <c:w val="0.85158573928258963"/>
          <c:h val="0.61694696969696972"/>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cat>
            <c:strRef>
              <c:f>'Uvoz_ek. namena'!$G$5:$K$5</c:f>
              <c:strCache>
                <c:ptCount val="5"/>
                <c:pt idx="0">
                  <c:v>2021</c:v>
                </c:pt>
                <c:pt idx="1">
                  <c:v>2022</c:v>
                </c:pt>
                <c:pt idx="2">
                  <c:v>2023</c:v>
                </c:pt>
                <c:pt idx="3">
                  <c:v>2024</c:v>
                </c:pt>
                <c:pt idx="4">
                  <c:v>I-IV 2025</c:v>
                </c:pt>
              </c:strCache>
            </c:strRef>
          </c:cat>
          <c:val>
            <c:numRef>
              <c:f>'Uvoz_ek. namena'!$G$7:$K$7</c:f>
              <c:numCache>
                <c:formatCode>0.0</c:formatCode>
                <c:ptCount val="5"/>
                <c:pt idx="0">
                  <c:v>2.461678365167193</c:v>
                </c:pt>
                <c:pt idx="1">
                  <c:v>2.6973397488304194</c:v>
                </c:pt>
                <c:pt idx="2">
                  <c:v>-0.65569822538220568</c:v>
                </c:pt>
                <c:pt idx="3">
                  <c:v>1.1868977341783147</c:v>
                </c:pt>
                <c:pt idx="4">
                  <c:v>0.15176943893488379</c:v>
                </c:pt>
              </c:numCache>
            </c:numRef>
          </c:val>
          <c:extLst>
            <c:ext xmlns:c16="http://schemas.microsoft.com/office/drawing/2014/chart" uri="{C3380CC4-5D6E-409C-BE32-E72D297353CC}">
              <c16:uniqueId val="{00000000-2E24-4BCD-B965-FD910864F8B0}"/>
            </c:ext>
          </c:extLst>
        </c:ser>
        <c:ser>
          <c:idx val="0"/>
          <c:order val="2"/>
          <c:tx>
            <c:strRef>
              <c:f>'Uvoz_ek. namena'!$B$8</c:f>
              <c:strCache>
                <c:ptCount val="1"/>
                <c:pt idx="0">
                  <c:v>Репродукција</c:v>
                </c:pt>
              </c:strCache>
            </c:strRef>
          </c:tx>
          <c:spPr>
            <a:solidFill>
              <a:srgbClr val="2183C4"/>
            </a:solidFill>
            <a:ln>
              <a:noFill/>
            </a:ln>
            <a:effectLst/>
          </c:spPr>
          <c:invertIfNegative val="0"/>
          <c:cat>
            <c:strRef>
              <c:f>'Uvoz_ek. namena'!$G$5:$K$5</c:f>
              <c:strCache>
                <c:ptCount val="5"/>
                <c:pt idx="0">
                  <c:v>2021</c:v>
                </c:pt>
                <c:pt idx="1">
                  <c:v>2022</c:v>
                </c:pt>
                <c:pt idx="2">
                  <c:v>2023</c:v>
                </c:pt>
                <c:pt idx="3">
                  <c:v>2024</c:v>
                </c:pt>
                <c:pt idx="4">
                  <c:v>I-IV 2025</c:v>
                </c:pt>
              </c:strCache>
            </c:strRef>
          </c:cat>
          <c:val>
            <c:numRef>
              <c:f>'Uvoz_ek. namena'!$G$8:$K$8</c:f>
              <c:numCache>
                <c:formatCode>0.0</c:formatCode>
                <c:ptCount val="5"/>
                <c:pt idx="0">
                  <c:v>18.498792219135041</c:v>
                </c:pt>
                <c:pt idx="1">
                  <c:v>24.176152563085061</c:v>
                </c:pt>
                <c:pt idx="2">
                  <c:v>-6.3759659249070815</c:v>
                </c:pt>
                <c:pt idx="3">
                  <c:v>1.7940467922562688</c:v>
                </c:pt>
                <c:pt idx="4">
                  <c:v>5.4709269177955697</c:v>
                </c:pt>
              </c:numCache>
            </c:numRef>
          </c:val>
          <c:extLst>
            <c:ext xmlns:c16="http://schemas.microsoft.com/office/drawing/2014/chart" uri="{C3380CC4-5D6E-409C-BE32-E72D297353CC}">
              <c16:uniqueId val="{00000001-2E24-4BCD-B965-FD910864F8B0}"/>
            </c:ext>
          </c:extLst>
        </c:ser>
        <c:ser>
          <c:idx val="1"/>
          <c:order val="3"/>
          <c:tx>
            <c:strRef>
              <c:f>'Uvoz_ek. namena'!$B$9</c:f>
              <c:strCache>
                <c:ptCount val="1"/>
                <c:pt idx="0">
                  <c:v>Потрошна роба</c:v>
                </c:pt>
              </c:strCache>
            </c:strRef>
          </c:tx>
          <c:spPr>
            <a:solidFill>
              <a:srgbClr val="51BBE7"/>
            </a:solidFill>
            <a:ln>
              <a:noFill/>
            </a:ln>
            <a:effectLst/>
          </c:spPr>
          <c:invertIfNegative val="0"/>
          <c:cat>
            <c:strRef>
              <c:f>'Uvoz_ek. namena'!$G$5:$K$5</c:f>
              <c:strCache>
                <c:ptCount val="5"/>
                <c:pt idx="0">
                  <c:v>2021</c:v>
                </c:pt>
                <c:pt idx="1">
                  <c:v>2022</c:v>
                </c:pt>
                <c:pt idx="2">
                  <c:v>2023</c:v>
                </c:pt>
                <c:pt idx="3">
                  <c:v>2024</c:v>
                </c:pt>
                <c:pt idx="4">
                  <c:v>I-IV 2025</c:v>
                </c:pt>
              </c:strCache>
            </c:strRef>
          </c:cat>
          <c:val>
            <c:numRef>
              <c:f>'Uvoz_ek. namena'!$G$9:$K$9</c:f>
              <c:numCache>
                <c:formatCode>0.0</c:formatCode>
                <c:ptCount val="5"/>
                <c:pt idx="0">
                  <c:v>2.7891658051606432</c:v>
                </c:pt>
                <c:pt idx="1">
                  <c:v>4.4716517496473056</c:v>
                </c:pt>
                <c:pt idx="2">
                  <c:v>1.0271441508230912</c:v>
                </c:pt>
                <c:pt idx="3">
                  <c:v>2.0729338484243405</c:v>
                </c:pt>
                <c:pt idx="4">
                  <c:v>2.49737013273803</c:v>
                </c:pt>
              </c:numCache>
            </c:numRef>
          </c:val>
          <c:extLst>
            <c:ext xmlns:c16="http://schemas.microsoft.com/office/drawing/2014/chart" uri="{C3380CC4-5D6E-409C-BE32-E72D297353CC}">
              <c16:uniqueId val="{00000002-2E24-4BCD-B965-FD910864F8B0}"/>
            </c:ext>
          </c:extLst>
        </c:ser>
        <c:ser>
          <c:idx val="2"/>
          <c:order val="4"/>
          <c:tx>
            <c:strRef>
              <c:f>'Uvoz_ek. namena'!$B$10</c:f>
              <c:strCache>
                <c:ptCount val="1"/>
                <c:pt idx="0">
                  <c:v>Некласификовано</c:v>
                </c:pt>
              </c:strCache>
            </c:strRef>
          </c:tx>
          <c:spPr>
            <a:solidFill>
              <a:srgbClr val="C9E4EB"/>
            </a:solidFill>
            <a:ln>
              <a:noFill/>
            </a:ln>
            <a:effectLst/>
          </c:spPr>
          <c:invertIfNegative val="0"/>
          <c:cat>
            <c:strRef>
              <c:f>'Uvoz_ek. namena'!$G$5:$K$5</c:f>
              <c:strCache>
                <c:ptCount val="5"/>
                <c:pt idx="0">
                  <c:v>2021</c:v>
                </c:pt>
                <c:pt idx="1">
                  <c:v>2022</c:v>
                </c:pt>
                <c:pt idx="2">
                  <c:v>2023</c:v>
                </c:pt>
                <c:pt idx="3">
                  <c:v>2024</c:v>
                </c:pt>
                <c:pt idx="4">
                  <c:v>I-IV 2025</c:v>
                </c:pt>
              </c:strCache>
            </c:strRef>
          </c:cat>
          <c:val>
            <c:numRef>
              <c:f>'Uvoz_ek. namena'!$G$10:$K$10</c:f>
              <c:numCache>
                <c:formatCode>0.0</c:formatCode>
                <c:ptCount val="5"/>
                <c:pt idx="0">
                  <c:v>2.2887251432423157</c:v>
                </c:pt>
                <c:pt idx="1">
                  <c:v>3.4880375049444221</c:v>
                </c:pt>
                <c:pt idx="2">
                  <c:v>0.48440198136402879</c:v>
                </c:pt>
                <c:pt idx="3">
                  <c:v>0.82391049570275177</c:v>
                </c:pt>
                <c:pt idx="4">
                  <c:v>4.4093438581558022</c:v>
                </c:pt>
              </c:numCache>
            </c:numRef>
          </c:val>
          <c:extLst>
            <c:ext xmlns:c16="http://schemas.microsoft.com/office/drawing/2014/chart" uri="{C3380CC4-5D6E-409C-BE32-E72D297353CC}">
              <c16:uniqueId val="{00000003-2E24-4BCD-B965-FD910864F8B0}"/>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2"/>
              <c:layout>
                <c:manualLayout>
                  <c:x val="-6.6933894048841341E-2"/>
                  <c:y val="-0.1063303030303030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24-4BCD-B965-FD910864F8B0}"/>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namena'!$G$5:$K$5</c:f>
              <c:strCache>
                <c:ptCount val="5"/>
                <c:pt idx="0">
                  <c:v>2021</c:v>
                </c:pt>
                <c:pt idx="1">
                  <c:v>2022</c:v>
                </c:pt>
                <c:pt idx="2">
                  <c:v>2023</c:v>
                </c:pt>
                <c:pt idx="3">
                  <c:v>2024</c:v>
                </c:pt>
                <c:pt idx="4">
                  <c:v>I-IV 2025</c:v>
                </c:pt>
              </c:strCache>
            </c:strRef>
          </c:cat>
          <c:val>
            <c:numRef>
              <c:f>'Uvoz_ek. namena'!$G$6:$K$6</c:f>
              <c:numCache>
                <c:formatCode>0.0</c:formatCode>
                <c:ptCount val="5"/>
                <c:pt idx="0">
                  <c:v>26.038357176843505</c:v>
                </c:pt>
                <c:pt idx="1">
                  <c:v>34.833181566506909</c:v>
                </c:pt>
                <c:pt idx="2">
                  <c:v>-5.5201180181020675</c:v>
                </c:pt>
                <c:pt idx="3">
                  <c:v>5.878060161472348</c:v>
                </c:pt>
                <c:pt idx="4">
                  <c:v>12.530213360528705</c:v>
                </c:pt>
              </c:numCache>
            </c:numRef>
          </c:val>
          <c:smooth val="0"/>
          <c:extLst>
            <c:ext xmlns:c16="http://schemas.microsoft.com/office/drawing/2014/chart" uri="{C3380CC4-5D6E-409C-BE32-E72D297353CC}">
              <c16:uniqueId val="{00000005-2E24-4BCD-B965-FD910864F8B0}"/>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6080"/>
        <c:crosses val="autoZero"/>
        <c:auto val="1"/>
        <c:lblAlgn val="ctr"/>
        <c:lblOffset val="100"/>
        <c:noMultiLvlLbl val="0"/>
      </c:catAx>
      <c:valAx>
        <c:axId val="1839196080"/>
        <c:scaling>
          <c:orientation val="minMax"/>
          <c:max val="50"/>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93360"/>
        <c:crosses val="autoZero"/>
        <c:crossBetween val="between"/>
        <c:majorUnit val="6"/>
      </c:valAx>
      <c:spPr>
        <a:noFill/>
        <a:ln>
          <a:noFill/>
        </a:ln>
        <a:effectLst/>
      </c:spPr>
    </c:plotArea>
    <c:legend>
      <c:legendPos val="b"/>
      <c:layout>
        <c:manualLayout>
          <c:xMode val="edge"/>
          <c:yMode val="edge"/>
          <c:x val="1.2789078448527259E-2"/>
          <c:y val="0.80912929292929292"/>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0796150481189"/>
          <c:y val="4.6989720998531569E-2"/>
          <c:w val="0.86246828521434815"/>
          <c:h val="0.81779689433093983"/>
        </c:manualLayout>
      </c:layout>
      <c:areaChart>
        <c:grouping val="standard"/>
        <c:varyColors val="0"/>
        <c:ser>
          <c:idx val="1"/>
          <c:order val="0"/>
          <c:tx>
            <c:strRef>
              <c:f>'Izvoz, uvoz (Q)'!$A$7</c:f>
              <c:strCache>
                <c:ptCount val="1"/>
                <c:pt idx="0">
                  <c:v>Увоз</c:v>
                </c:pt>
              </c:strCache>
            </c:strRef>
          </c:tx>
          <c:spPr>
            <a:solidFill>
              <a:srgbClr val="51BBE7"/>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(Q)'!$AA$3:$BC$4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2018</c:v>
                  </c:pt>
                  <c:pt idx="4">
                    <c:v>2019</c:v>
                  </c:pt>
                  <c:pt idx="8">
                    <c:v>2020</c:v>
                  </c:pt>
                  <c:pt idx="12">
                    <c:v>2021</c:v>
                  </c:pt>
                  <c:pt idx="16">
                    <c:v>2022</c:v>
                  </c:pt>
                  <c:pt idx="20">
                    <c:v>2023</c:v>
                  </c:pt>
                  <c:pt idx="24">
                    <c:v>2024</c:v>
                  </c:pt>
                  <c:pt idx="28">
                    <c:v>2025</c:v>
                  </c:pt>
                </c:lvl>
              </c:multiLvlStrCache>
            </c:multiLvlStrRef>
          </c:cat>
          <c:val>
            <c:numRef>
              <c:f>'Izvoz, uvoz (Q)'!$AA$7:$BC$7</c:f>
              <c:numCache>
                <c:formatCode>#,##0.0</c:formatCode>
                <c:ptCount val="29"/>
                <c:pt idx="0">
                  <c:v>5075.8999999999996</c:v>
                </c:pt>
                <c:pt idx="1">
                  <c:v>5458.7000000000007</c:v>
                </c:pt>
                <c:pt idx="2">
                  <c:v>5419</c:v>
                </c:pt>
                <c:pt idx="3">
                  <c:v>5965.1</c:v>
                </c:pt>
                <c:pt idx="4">
                  <c:v>5560.6</c:v>
                </c:pt>
                <c:pt idx="5">
                  <c:v>5942</c:v>
                </c:pt>
                <c:pt idx="6">
                  <c:v>5842.9999999999982</c:v>
                </c:pt>
                <c:pt idx="7">
                  <c:v>6529.7000000000007</c:v>
                </c:pt>
                <c:pt idx="8">
                  <c:v>5986.9</c:v>
                </c:pt>
                <c:pt idx="9">
                  <c:v>4743.2000000000007</c:v>
                </c:pt>
                <c:pt idx="10">
                  <c:v>5793.9999999999982</c:v>
                </c:pt>
                <c:pt idx="11">
                  <c:v>6553.9771035482336</c:v>
                </c:pt>
                <c:pt idx="12">
                  <c:v>6016.4</c:v>
                </c:pt>
                <c:pt idx="13">
                  <c:v>7087.5</c:v>
                </c:pt>
                <c:pt idx="14">
                  <c:v>7296.6999999999989</c:v>
                </c:pt>
                <c:pt idx="15">
                  <c:v>8534.7428153402725</c:v>
                </c:pt>
                <c:pt idx="16">
                  <c:v>9350</c:v>
                </c:pt>
                <c:pt idx="17">
                  <c:v>10242.900000000001</c:v>
                </c:pt>
                <c:pt idx="18">
                  <c:v>9380.5</c:v>
                </c:pt>
                <c:pt idx="19">
                  <c:v>10041.043315098963</c:v>
                </c:pt>
                <c:pt idx="20">
                  <c:v>9440</c:v>
                </c:pt>
                <c:pt idx="21">
                  <c:v>9206.7000000000007</c:v>
                </c:pt>
                <c:pt idx="22">
                  <c:v>8568</c:v>
                </c:pt>
                <c:pt idx="23">
                  <c:v>9646.1000000000022</c:v>
                </c:pt>
                <c:pt idx="24">
                  <c:v>9114.7000000000007</c:v>
                </c:pt>
                <c:pt idx="25">
                  <c:v>9752.2999999999993</c:v>
                </c:pt>
                <c:pt idx="26">
                  <c:v>9809.7999999999993</c:v>
                </c:pt>
                <c:pt idx="27">
                  <c:v>10350.799999999999</c:v>
                </c:pt>
                <c:pt idx="28">
                  <c:v>10257.6</c:v>
                </c:pt>
              </c:numCache>
            </c:numRef>
          </c:val>
          <c:extLst>
            <c:ext xmlns:c16="http://schemas.microsoft.com/office/drawing/2014/chart" uri="{C3380CC4-5D6E-409C-BE32-E72D297353CC}">
              <c16:uniqueId val="{00000000-8FE4-4062-A7BF-9F910E954079}"/>
            </c:ext>
          </c:extLst>
        </c:ser>
        <c:ser>
          <c:idx val="0"/>
          <c:order val="1"/>
          <c:tx>
            <c:strRef>
              <c:f>'Izvoz, uvoz (Q)'!$A$8</c:f>
              <c:strCache>
                <c:ptCount val="1"/>
                <c:pt idx="0">
                  <c:v>Извоз</c:v>
                </c:pt>
              </c:strCache>
            </c:strRef>
          </c:tx>
          <c:spPr>
            <a:solidFill>
              <a:srgbClr val="29489A"/>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(Q)'!$AA$3:$BC$4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2018</c:v>
                  </c:pt>
                  <c:pt idx="4">
                    <c:v>2019</c:v>
                  </c:pt>
                  <c:pt idx="8">
                    <c:v>2020</c:v>
                  </c:pt>
                  <c:pt idx="12">
                    <c:v>2021</c:v>
                  </c:pt>
                  <c:pt idx="16">
                    <c:v>2022</c:v>
                  </c:pt>
                  <c:pt idx="20">
                    <c:v>2023</c:v>
                  </c:pt>
                  <c:pt idx="24">
                    <c:v>2024</c:v>
                  </c:pt>
                  <c:pt idx="28">
                    <c:v>2025</c:v>
                  </c:pt>
                </c:lvl>
              </c:multiLvlStrCache>
            </c:multiLvlStrRef>
          </c:cat>
          <c:val>
            <c:numRef>
              <c:f>'Izvoz, uvoz (Q)'!$AA$8:$BC$8</c:f>
              <c:numCache>
                <c:formatCode>#,##0.0</c:formatCode>
                <c:ptCount val="29"/>
                <c:pt idx="0">
                  <c:v>3829.1</c:v>
                </c:pt>
                <c:pt idx="1">
                  <c:v>4218.6000000000004</c:v>
                </c:pt>
                <c:pt idx="2">
                  <c:v>4091.0999999999995</c:v>
                </c:pt>
                <c:pt idx="3">
                  <c:v>4143.2000000000007</c:v>
                </c:pt>
                <c:pt idx="4">
                  <c:v>4102.1000000000004</c:v>
                </c:pt>
                <c:pt idx="5">
                  <c:v>4488.7999999999993</c:v>
                </c:pt>
                <c:pt idx="6">
                  <c:v>4404.1000000000004</c:v>
                </c:pt>
                <c:pt idx="7">
                  <c:v>4541.4000000000015</c:v>
                </c:pt>
                <c:pt idx="8">
                  <c:v>4237.5</c:v>
                </c:pt>
                <c:pt idx="9">
                  <c:v>3597.2</c:v>
                </c:pt>
                <c:pt idx="10">
                  <c:v>4371.2</c:v>
                </c:pt>
                <c:pt idx="11">
                  <c:v>4931.2299050380007</c:v>
                </c:pt>
                <c:pt idx="12">
                  <c:v>4837.7</c:v>
                </c:pt>
                <c:pt idx="13">
                  <c:v>5236.7</c:v>
                </c:pt>
                <c:pt idx="14">
                  <c:v>5560.6</c:v>
                </c:pt>
                <c:pt idx="15">
                  <c:v>6223.0277312713006</c:v>
                </c:pt>
                <c:pt idx="16">
                  <c:v>6315</c:v>
                </c:pt>
                <c:pt idx="17">
                  <c:v>7022</c:v>
                </c:pt>
                <c:pt idx="18">
                  <c:v>7019.5</c:v>
                </c:pt>
                <c:pt idx="19">
                  <c:v>7249.3725079049982</c:v>
                </c:pt>
                <c:pt idx="20">
                  <c:v>7298.9</c:v>
                </c:pt>
                <c:pt idx="21">
                  <c:v>7294.6</c:v>
                </c:pt>
                <c:pt idx="22">
                  <c:v>6932</c:v>
                </c:pt>
                <c:pt idx="23">
                  <c:v>7109.5999999999985</c:v>
                </c:pt>
                <c:pt idx="24">
                  <c:v>7299.1</c:v>
                </c:pt>
                <c:pt idx="25">
                  <c:v>7705.5</c:v>
                </c:pt>
                <c:pt idx="26">
                  <c:v>7630.1</c:v>
                </c:pt>
                <c:pt idx="27">
                  <c:v>7829.4</c:v>
                </c:pt>
                <c:pt idx="28">
                  <c:v>8107.2</c:v>
                </c:pt>
              </c:numCache>
            </c:numRef>
          </c:val>
          <c:extLst>
            <c:ext xmlns:c16="http://schemas.microsoft.com/office/drawing/2014/chart" uri="{C3380CC4-5D6E-409C-BE32-E72D297353CC}">
              <c16:uniqueId val="{00000001-8FE4-4062-A7BF-9F910E954079}"/>
            </c:ext>
          </c:extLst>
        </c:ser>
        <c:ser>
          <c:idx val="2"/>
          <c:order val="2"/>
          <c:tx>
            <c:strRef>
              <c:f>'Izvoz, uvoz (Q)'!$A$9</c:f>
              <c:strCache>
                <c:ptCount val="1"/>
                <c:pt idx="0">
                  <c:v>Дефицит</c:v>
                </c:pt>
              </c:strCache>
            </c:strRef>
          </c:tx>
          <c:spPr>
            <a:solidFill>
              <a:srgbClr val="ED1C24"/>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(Q)'!$AA$3:$BC$4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2018</c:v>
                  </c:pt>
                  <c:pt idx="4">
                    <c:v>2019</c:v>
                  </c:pt>
                  <c:pt idx="8">
                    <c:v>2020</c:v>
                  </c:pt>
                  <c:pt idx="12">
                    <c:v>2021</c:v>
                  </c:pt>
                  <c:pt idx="16">
                    <c:v>2022</c:v>
                  </c:pt>
                  <c:pt idx="20">
                    <c:v>2023</c:v>
                  </c:pt>
                  <c:pt idx="24">
                    <c:v>2024</c:v>
                  </c:pt>
                  <c:pt idx="28">
                    <c:v>2025</c:v>
                  </c:pt>
                </c:lvl>
              </c:multiLvlStrCache>
            </c:multiLvlStrRef>
          </c:cat>
          <c:val>
            <c:numRef>
              <c:f>'Izvoz, uvoz (Q)'!$AA$9:$BC$9</c:f>
              <c:numCache>
                <c:formatCode>#,##0.0</c:formatCode>
                <c:ptCount val="29"/>
                <c:pt idx="0">
                  <c:v>-1246.7999999999997</c:v>
                </c:pt>
                <c:pt idx="1">
                  <c:v>-1240.1000000000004</c:v>
                </c:pt>
                <c:pt idx="2">
                  <c:v>-1327.9000000000005</c:v>
                </c:pt>
                <c:pt idx="3">
                  <c:v>-1821.8999999999996</c:v>
                </c:pt>
                <c:pt idx="4">
                  <c:v>-1458.5</c:v>
                </c:pt>
                <c:pt idx="5">
                  <c:v>-1453.2000000000007</c:v>
                </c:pt>
                <c:pt idx="6">
                  <c:v>-1438.8999999999978</c:v>
                </c:pt>
                <c:pt idx="7">
                  <c:v>-1988.2999999999993</c:v>
                </c:pt>
                <c:pt idx="8">
                  <c:v>-1749.3999999999996</c:v>
                </c:pt>
                <c:pt idx="9">
                  <c:v>-1146.0000000000009</c:v>
                </c:pt>
                <c:pt idx="10">
                  <c:v>-1422.7999999999984</c:v>
                </c:pt>
                <c:pt idx="11">
                  <c:v>-1622.7471985102329</c:v>
                </c:pt>
                <c:pt idx="12">
                  <c:v>-1178.6999999999998</c:v>
                </c:pt>
                <c:pt idx="13">
                  <c:v>-1850.8000000000002</c:v>
                </c:pt>
                <c:pt idx="14">
                  <c:v>-1736.0999999999985</c:v>
                </c:pt>
                <c:pt idx="15">
                  <c:v>-2311.7150840689719</c:v>
                </c:pt>
                <c:pt idx="16">
                  <c:v>-3035</c:v>
                </c:pt>
                <c:pt idx="17">
                  <c:v>-3220.9000000000015</c:v>
                </c:pt>
                <c:pt idx="18">
                  <c:v>-2361</c:v>
                </c:pt>
                <c:pt idx="19">
                  <c:v>-2791.6708071939647</c:v>
                </c:pt>
                <c:pt idx="20">
                  <c:v>-2141.1000000000004</c:v>
                </c:pt>
                <c:pt idx="21">
                  <c:v>-1912.1000000000004</c:v>
                </c:pt>
                <c:pt idx="22">
                  <c:v>-1636</c:v>
                </c:pt>
                <c:pt idx="23">
                  <c:v>-2536.5000000000036</c:v>
                </c:pt>
                <c:pt idx="24">
                  <c:v>-1815.6000000000004</c:v>
                </c:pt>
                <c:pt idx="25">
                  <c:v>-2046.7999999999993</c:v>
                </c:pt>
                <c:pt idx="26">
                  <c:v>-2179.6999999999989</c:v>
                </c:pt>
                <c:pt idx="27">
                  <c:v>-2521.3999999999996</c:v>
                </c:pt>
                <c:pt idx="28">
                  <c:v>-2150.4000000000005</c:v>
                </c:pt>
              </c:numCache>
            </c:numRef>
          </c:val>
          <c:extLst>
            <c:ext xmlns:c16="http://schemas.microsoft.com/office/drawing/2014/chart" uri="{C3380CC4-5D6E-409C-BE32-E72D297353CC}">
              <c16:uniqueId val="{00000002-8FE4-4062-A7BF-9F910E954079}"/>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600" b="0" i="0" u="none" strike="noStrike" kern="1200" baseline="0">
                <a:solidFill>
                  <a:schemeClr val="tx2"/>
                </a:solidFill>
                <a:latin typeface="+mn-lt"/>
                <a:ea typeface="+mn-ea"/>
                <a:cs typeface="+mn-cs"/>
              </a:defRPr>
            </a:pPr>
            <a:endParaRPr lang="en-US"/>
          </a:p>
        </c:txPr>
        <c:crossAx val="1839196624"/>
        <c:crosses val="autoZero"/>
        <c:auto val="1"/>
        <c:lblAlgn val="ctr"/>
        <c:lblOffset val="0"/>
        <c:tickLblSkip val="1"/>
        <c:noMultiLvlLbl val="0"/>
      </c:catAx>
      <c:valAx>
        <c:axId val="183919662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202064"/>
        <c:crosses val="autoZero"/>
        <c:crossBetween val="between"/>
        <c:majorUnit val="15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t>Стопа</a:t>
            </a:r>
            <a:r>
              <a:rPr lang="sr-Cyrl-RS" sz="900" b="1" baseline="0"/>
              <a:t> </a:t>
            </a:r>
            <a:r>
              <a:rPr lang="sr-Cyrl-RS" sz="900" b="1"/>
              <a:t>раста БДП Италије, %</a:t>
            </a:r>
          </a:p>
        </c:rich>
      </c:tx>
      <c:layout>
        <c:manualLayout>
          <c:xMode val="edge"/>
          <c:yMode val="edge"/>
          <c:x val="0.26645268299795866"/>
          <c:y val="2.1166504983612378E-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3.7644716152963532E-2"/>
          <c:w val="0.88876071125802292"/>
          <c:h val="0.83635888998840446"/>
        </c:manualLayout>
      </c:layout>
      <c:lineChart>
        <c:grouping val="standard"/>
        <c:varyColors val="0"/>
        <c:ser>
          <c:idx val="0"/>
          <c:order val="0"/>
          <c:tx>
            <c:strRef>
              <c:f>'Nemacka, Italija, realni rast'!$A$20</c:f>
              <c:strCache>
                <c:ptCount val="1"/>
                <c:pt idx="0">
                  <c:v>апр. 2024.</c:v>
                </c:pt>
              </c:strCache>
            </c:strRef>
          </c:tx>
          <c:spPr>
            <a:ln w="25400" cap="rnd">
              <a:solidFill>
                <a:schemeClr val="accent4"/>
              </a:solidFill>
              <a:prstDash val="sysDot"/>
              <a:round/>
            </a:ln>
            <a:effectLst/>
          </c:spPr>
          <c:marker>
            <c:symbol val="none"/>
          </c:marker>
          <c:dLbls>
            <c:dLbl>
              <c:idx val="0"/>
              <c:layout>
                <c:manualLayout>
                  <c:x val="4.3806903531745283E-3"/>
                  <c:y val="-5.85341108987078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F5-485D-B48C-8749C1A695AF}"/>
                </c:ext>
              </c:extLst>
            </c:dLbl>
            <c:dLbl>
              <c:idx val="1"/>
              <c:layout>
                <c:manualLayout>
                  <c:x val="-7.3645403292534134E-2"/>
                  <c:y val="-6.37284396916695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F5-485D-B48C-8749C1A695AF}"/>
                </c:ext>
              </c:extLst>
            </c:dLbl>
            <c:dLbl>
              <c:idx val="2"/>
              <c:layout>
                <c:manualLayout>
                  <c:x val="-4.5858375370995394E-2"/>
                  <c:y val="-4.05334401940928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F5-485D-B48C-8749C1A695A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rast'!$E$20:$I$20</c:f>
              <c:numCache>
                <c:formatCode>0.0</c:formatCode>
                <c:ptCount val="3"/>
                <c:pt idx="0">
                  <c:v>0.70899999999999996</c:v>
                </c:pt>
                <c:pt idx="1">
                  <c:v>0.71399999999999997</c:v>
                </c:pt>
                <c:pt idx="2">
                  <c:v>0.17</c:v>
                </c:pt>
              </c:numCache>
            </c:numRef>
          </c:val>
          <c:smooth val="0"/>
          <c:extLst>
            <c:ext xmlns:c16="http://schemas.microsoft.com/office/drawing/2014/chart" uri="{C3380CC4-5D6E-409C-BE32-E72D297353CC}">
              <c16:uniqueId val="{00000003-4DF5-485D-B48C-8749C1A695AF}"/>
            </c:ext>
          </c:extLst>
        </c:ser>
        <c:ser>
          <c:idx val="1"/>
          <c:order val="1"/>
          <c:tx>
            <c:strRef>
              <c:f>'Nemacka, Italija, realni rast'!$A$21</c:f>
              <c:strCache>
                <c:ptCount val="1"/>
                <c:pt idx="0">
                  <c:v>окт. 2024.</c:v>
                </c:pt>
              </c:strCache>
            </c:strRef>
          </c:tx>
          <c:spPr>
            <a:ln w="22225" cap="rnd">
              <a:solidFill>
                <a:srgbClr val="002060"/>
              </a:solidFill>
              <a:prstDash val="sysDash"/>
              <a:round/>
            </a:ln>
            <a:effectLst/>
          </c:spPr>
          <c:marker>
            <c:symbol val="none"/>
          </c:marker>
          <c:dLbls>
            <c:dLbl>
              <c:idx val="0"/>
              <c:layout>
                <c:manualLayout>
                  <c:x val="-3.6770896801841604E-2"/>
                  <c:y val="4.7985646436972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F5-485D-B48C-8749C1A695AF}"/>
                </c:ext>
              </c:extLst>
            </c:dLbl>
            <c:dLbl>
              <c:idx val="1"/>
              <c:layout>
                <c:manualLayout>
                  <c:x val="-1.8057532824276513E-2"/>
                  <c:y val="-8.84585537235607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F5-485D-B48C-8749C1A695A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rast'!$E$21:$I$21</c:f>
              <c:numCache>
                <c:formatCode>0.0</c:formatCode>
                <c:ptCount val="3"/>
                <c:pt idx="0">
                  <c:v>0.67200000000000004</c:v>
                </c:pt>
                <c:pt idx="1">
                  <c:v>0.76200000000000001</c:v>
                </c:pt>
                <c:pt idx="2">
                  <c:v>0.7</c:v>
                </c:pt>
              </c:numCache>
            </c:numRef>
          </c:val>
          <c:smooth val="0"/>
          <c:extLst>
            <c:ext xmlns:c16="http://schemas.microsoft.com/office/drawing/2014/chart" uri="{C3380CC4-5D6E-409C-BE32-E72D297353CC}">
              <c16:uniqueId val="{00000006-4DF5-485D-B48C-8749C1A695AF}"/>
            </c:ext>
          </c:extLst>
        </c:ser>
        <c:ser>
          <c:idx val="2"/>
          <c:order val="2"/>
          <c:tx>
            <c:strRef>
              <c:f>'Nemacka, Italija, realni rast'!$A$22</c:f>
              <c:strCache>
                <c:ptCount val="1"/>
                <c:pt idx="0">
                  <c:v>апр. 2025.</c:v>
                </c:pt>
              </c:strCache>
            </c:strRef>
          </c:tx>
          <c:spPr>
            <a:ln w="28575" cap="rnd">
              <a:solidFill>
                <a:srgbClr val="FF0000"/>
              </a:solidFill>
              <a:round/>
            </a:ln>
            <a:effectLst/>
          </c:spPr>
          <c:marker>
            <c:symbol val="none"/>
          </c:marker>
          <c:dLbls>
            <c:dLbl>
              <c:idx val="0"/>
              <c:layout>
                <c:manualLayout>
                  <c:x val="-8.290554710600008E-2"/>
                  <c:y val="-1.5375055841607185E-2"/>
                </c:manualLayout>
              </c:layout>
              <c:tx>
                <c:rich>
                  <a:bodyPr/>
                  <a:lstStyle/>
                  <a:p>
                    <a:fld id="{9CEB5E0B-8836-412F-8C36-DD0943CEE504}" type="VALUE">
                      <a:rPr lang="en-US" sz="700">
                        <a:solidFill>
                          <a:schemeClr val="bg1"/>
                        </a:solidFill>
                      </a:rPr>
                      <a:pPr/>
                      <a:t>[VALUE]</a:t>
                    </a:fld>
                    <a:endParaRPr lang="sr-Cyrl-RS"/>
                  </a:p>
                </c:rich>
              </c:tx>
              <c:dLblPos val="r"/>
              <c:showLegendKey val="0"/>
              <c:showVal val="1"/>
              <c:showCatName val="0"/>
              <c:showSerName val="0"/>
              <c:showPercent val="0"/>
              <c:showBubbleSize val="0"/>
              <c:extLst>
                <c:ext xmlns:c15="http://schemas.microsoft.com/office/drawing/2012/chart" uri="{CE6537A1-D6FC-4f65-9D91-7224C49458BB}">
                  <c15:layout>
                    <c:manualLayout>
                      <c:w val="0.10227948586327593"/>
                      <c:h val="0.11361239810798343"/>
                    </c:manualLayout>
                  </c15:layout>
                  <c15:dlblFieldTable/>
                  <c15:showDataLabelsRange val="0"/>
                </c:ext>
                <c:ext xmlns:c16="http://schemas.microsoft.com/office/drawing/2014/chart" uri="{C3380CC4-5D6E-409C-BE32-E72D297353CC}">
                  <c16:uniqueId val="{00000007-4DF5-485D-B48C-8749C1A695AF}"/>
                </c:ext>
              </c:extLst>
            </c:dLbl>
            <c:dLbl>
              <c:idx val="1"/>
              <c:tx>
                <c:rich>
                  <a:bodyPr/>
                  <a:lstStyle/>
                  <a:p>
                    <a:fld id="{C6CF2CDC-FE80-4EAD-A08D-EAA0E190F4C6}"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4DF5-485D-B48C-8749C1A695AF}"/>
                </c:ext>
              </c:extLst>
            </c:dLbl>
            <c:dLbl>
              <c:idx val="2"/>
              <c:tx>
                <c:rich>
                  <a:bodyPr/>
                  <a:lstStyle/>
                  <a:p>
                    <a:fld id="{59AEC806-C090-4EBD-AF96-B4F75B005E31}"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4DF5-485D-B48C-8749C1A695AF}"/>
                </c:ext>
              </c:extLst>
            </c:dLbl>
            <c:spPr>
              <a:solidFill>
                <a:srgbClr val="ED1C24"/>
              </a:solidFill>
              <a:ln>
                <a:solidFill>
                  <a:srgbClr val="ED1C24"/>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'Nemacka, Italija, realni rast'!$E$19:$I$19</c:f>
              <c:numCache>
                <c:formatCode>General</c:formatCode>
                <c:ptCount val="3"/>
                <c:pt idx="0">
                  <c:v>2024</c:v>
                </c:pt>
                <c:pt idx="1">
                  <c:v>2025</c:v>
                </c:pt>
                <c:pt idx="2">
                  <c:v>2026</c:v>
                </c:pt>
              </c:numCache>
            </c:numRef>
          </c:cat>
          <c:val>
            <c:numRef>
              <c:f>'Nemacka, Italija, realni rast'!$E$22:$I$22</c:f>
              <c:numCache>
                <c:formatCode>0.0</c:formatCode>
                <c:ptCount val="3"/>
                <c:pt idx="0">
                  <c:v>0.72599999999999998</c:v>
                </c:pt>
                <c:pt idx="1">
                  <c:v>0.44</c:v>
                </c:pt>
                <c:pt idx="2">
                  <c:v>0.83499999999999996</c:v>
                </c:pt>
              </c:numCache>
            </c:numRef>
          </c:val>
          <c:smooth val="0"/>
          <c:extLst>
            <c:ext xmlns:c16="http://schemas.microsoft.com/office/drawing/2014/chart" uri="{C3380CC4-5D6E-409C-BE32-E72D297353CC}">
              <c16:uniqueId val="{0000000A-4DF5-485D-B48C-8749C1A695AF}"/>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max val="1.4"/>
          <c:min val="0"/>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FA'!$J$10:$P$10</c:f>
              <c:numCache>
                <c:formatCode>0.0</c:formatCode>
                <c:ptCount val="7"/>
                <c:pt idx="0">
                  <c:v>-14.746468422288594</c:v>
                </c:pt>
                <c:pt idx="1">
                  <c:v>-8.813969905152792</c:v>
                </c:pt>
                <c:pt idx="2">
                  <c:v>-8.4301183673412776</c:v>
                </c:pt>
                <c:pt idx="3">
                  <c:v>-8.9875440488569911</c:v>
                </c:pt>
                <c:pt idx="4">
                  <c:v>-9.8931454425054568</c:v>
                </c:pt>
                <c:pt idx="5">
                  <c:v>-10.223597049791961</c:v>
                </c:pt>
                <c:pt idx="6">
                  <c:v>-9.6791791272196992</c:v>
                </c:pt>
              </c:numCache>
            </c:numRef>
          </c:val>
          <c:extLst>
            <c:ext xmlns:c16="http://schemas.microsoft.com/office/drawing/2014/chart" uri="{C3380CC4-5D6E-409C-BE32-E72D297353CC}">
              <c16:uniqueId val="{00000000-C3FD-4791-8C6E-C4C948CD837A}"/>
            </c:ext>
          </c:extLst>
        </c:ser>
        <c:ser>
          <c:idx val="1"/>
          <c:order val="2"/>
          <c:tx>
            <c:strRef>
              <c:f>'Struktura CA i FA'!$B$11</c:f>
              <c:strCache>
                <c:ptCount val="1"/>
                <c:pt idx="0">
                  <c:v>Салдо услугa</c:v>
                </c:pt>
              </c:strCache>
            </c:strRef>
          </c:tx>
          <c:spPr>
            <a:solidFill>
              <a:srgbClr val="29489A"/>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FA'!$J$11:$P$11</c:f>
              <c:numCache>
                <c:formatCode>0.0</c:formatCode>
                <c:ptCount val="7"/>
                <c:pt idx="0">
                  <c:v>3.6444599199506169</c:v>
                </c:pt>
                <c:pt idx="1">
                  <c:v>4.1270028648133463</c:v>
                </c:pt>
                <c:pt idx="2">
                  <c:v>3.3348856991446638</c:v>
                </c:pt>
                <c:pt idx="3">
                  <c:v>3.6537138690114128</c:v>
                </c:pt>
                <c:pt idx="4">
                  <c:v>4.0418059823918755</c:v>
                </c:pt>
                <c:pt idx="5">
                  <c:v>5.4395050437034662</c:v>
                </c:pt>
                <c:pt idx="6">
                  <c:v>4.8447454515414181</c:v>
                </c:pt>
              </c:numCache>
            </c:numRef>
          </c:val>
          <c:extLst>
            <c:ext xmlns:c16="http://schemas.microsoft.com/office/drawing/2014/chart" uri="{C3380CC4-5D6E-409C-BE32-E72D297353CC}">
              <c16:uniqueId val="{00000001-C3FD-4791-8C6E-C4C948CD837A}"/>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FA'!$J$12:$P$12</c:f>
              <c:numCache>
                <c:formatCode>0.0</c:formatCode>
                <c:ptCount val="7"/>
                <c:pt idx="0">
                  <c:v>-4.7260234723992163</c:v>
                </c:pt>
                <c:pt idx="1">
                  <c:v>-5.2091786318051012</c:v>
                </c:pt>
                <c:pt idx="2">
                  <c:v>-6.2563326545722751</c:v>
                </c:pt>
                <c:pt idx="3">
                  <c:v>-5.5735592017284787</c:v>
                </c:pt>
                <c:pt idx="4">
                  <c:v>-5.1777286961737525</c:v>
                </c:pt>
                <c:pt idx="5">
                  <c:v>-4.7897970888323398</c:v>
                </c:pt>
                <c:pt idx="6">
                  <c:v>-4.639918668427816</c:v>
                </c:pt>
              </c:numCache>
            </c:numRef>
          </c:val>
          <c:extLst>
            <c:ext xmlns:c16="http://schemas.microsoft.com/office/drawing/2014/chart" uri="{C3380CC4-5D6E-409C-BE32-E72D297353CC}">
              <c16:uniqueId val="{00000002-C3FD-4791-8C6E-C4C948CD837A}"/>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strRef>
              <c:f>'Struktura CA i FA'!$J$8:$P$8</c:f>
              <c:strCache>
                <c:ptCount val="7"/>
                <c:pt idx="0">
                  <c:v>2022</c:v>
                </c:pt>
                <c:pt idx="1">
                  <c:v>2023</c:v>
                </c:pt>
                <c:pt idx="2">
                  <c:v>2024*</c:v>
                </c:pt>
                <c:pt idx="3">
                  <c:v>2025*</c:v>
                </c:pt>
                <c:pt idx="4">
                  <c:v>2026</c:v>
                </c:pt>
                <c:pt idx="5">
                  <c:v>2027</c:v>
                </c:pt>
                <c:pt idx="6">
                  <c:v>2028</c:v>
                </c:pt>
              </c:strCache>
            </c:strRef>
          </c:cat>
          <c:val>
            <c:numRef>
              <c:f>'Struktura CA i FA'!$J$13:$P$13</c:f>
              <c:numCache>
                <c:formatCode>0.0</c:formatCode>
                <c:ptCount val="7"/>
                <c:pt idx="0">
                  <c:v>9.2734544229393272</c:v>
                </c:pt>
                <c:pt idx="1">
                  <c:v>7.4976945424666708</c:v>
                </c:pt>
                <c:pt idx="2">
                  <c:v>6.4107499740251619</c:v>
                </c:pt>
                <c:pt idx="3">
                  <c:v>5.9481568670177651</c:v>
                </c:pt>
                <c:pt idx="4">
                  <c:v>5.6532343927611368</c:v>
                </c:pt>
                <c:pt idx="5">
                  <c:v>5.51315420020702</c:v>
                </c:pt>
                <c:pt idx="6">
                  <c:v>5.1452563451872813</c:v>
                </c:pt>
              </c:numCache>
            </c:numRef>
          </c:val>
          <c:extLst>
            <c:ext xmlns:c16="http://schemas.microsoft.com/office/drawing/2014/chart" uri="{C3380CC4-5D6E-409C-BE32-E72D297353CC}">
              <c16:uniqueId val="{00000003-C3FD-4791-8C6E-C4C948CD837A}"/>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dLbl>
              <c:idx val="2"/>
              <c:tx>
                <c:rich>
                  <a:bodyPr/>
                  <a:lstStyle/>
                  <a:p>
                    <a:r>
                      <a:rPr lang="en-US"/>
                      <a:t>-4.7</a:t>
                    </a:r>
                  </a:p>
                </c:rich>
              </c:tx>
              <c:dLblPos val="b"/>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10C-478B-A614-9CBB1220AAFF}"/>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'Struktura CA i FA'!$J$8:$P$8</c:f>
              <c:strCache>
                <c:ptCount val="7"/>
                <c:pt idx="0">
                  <c:v>2022</c:v>
                </c:pt>
                <c:pt idx="1">
                  <c:v>2023</c:v>
                </c:pt>
                <c:pt idx="2">
                  <c:v>2024*</c:v>
                </c:pt>
                <c:pt idx="3">
                  <c:v>2025*</c:v>
                </c:pt>
                <c:pt idx="4">
                  <c:v>2026</c:v>
                </c:pt>
                <c:pt idx="5">
                  <c:v>2027</c:v>
                </c:pt>
                <c:pt idx="6">
                  <c:v>2028</c:v>
                </c:pt>
              </c:strCache>
            </c:strRef>
          </c:cat>
          <c:val>
            <c:numRef>
              <c:f>'Struktura CA i FA'!$J$9:$P$9</c:f>
              <c:numCache>
                <c:formatCode>0.0</c:formatCode>
                <c:ptCount val="7"/>
                <c:pt idx="0">
                  <c:v>-6.5545775517978644</c:v>
                </c:pt>
                <c:pt idx="1">
                  <c:v>-2.3984511296778761</c:v>
                </c:pt>
                <c:pt idx="2">
                  <c:v>-4.9408153487437234</c:v>
                </c:pt>
                <c:pt idx="3">
                  <c:v>-4.9592325145562919</c:v>
                </c:pt>
                <c:pt idx="4">
                  <c:v>-5.3758337635261979</c:v>
                </c:pt>
                <c:pt idx="5">
                  <c:v>-4.0607348947138142</c:v>
                </c:pt>
                <c:pt idx="6">
                  <c:v>-4.3290959989188167</c:v>
                </c:pt>
              </c:numCache>
            </c:numRef>
          </c:val>
          <c:smooth val="0"/>
          <c:extLst>
            <c:ext xmlns:c16="http://schemas.microsoft.com/office/drawing/2014/chart" uri="{C3380CC4-5D6E-409C-BE32-E72D297353CC}">
              <c16:uniqueId val="{00000004-C3FD-4791-8C6E-C4C948CD837A}"/>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en-U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763590384"/>
        <c:crosses val="autoZero"/>
        <c:crossBetween val="between"/>
        <c:majorUnit val="5"/>
      </c:valAx>
      <c:spPr>
        <a:noFill/>
        <a:ln>
          <a:noFill/>
        </a:ln>
        <a:effectLst/>
      </c:spPr>
    </c:plotArea>
    <c:legend>
      <c:legendPos val="b"/>
      <c:layout>
        <c:manualLayout>
          <c:xMode val="edge"/>
          <c:yMode val="edge"/>
          <c:x val="1.14209682123068E-3"/>
          <c:y val="0.79523849937919422"/>
          <c:w val="0.99885790317876932"/>
          <c:h val="0.2047615006208056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180871497047013E-2"/>
          <c:y val="5.0925760976710491E-2"/>
          <c:w val="0.92150699912510936"/>
          <c:h val="0.5814997293852679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strRef>
              <c:f>'Def. tek. racuna i SDI'!$I$7:$P$7</c:f>
              <c:strCache>
                <c:ptCount val="8"/>
                <c:pt idx="0">
                  <c:v>2021</c:v>
                </c:pt>
                <c:pt idx="1">
                  <c:v>2022</c:v>
                </c:pt>
                <c:pt idx="2">
                  <c:v>2023</c:v>
                </c:pt>
                <c:pt idx="3">
                  <c:v>2024*</c:v>
                </c:pt>
                <c:pt idx="4">
                  <c:v>2025*</c:v>
                </c:pt>
                <c:pt idx="5">
                  <c:v>2026</c:v>
                </c:pt>
                <c:pt idx="6">
                  <c:v>2027</c:v>
                </c:pt>
                <c:pt idx="7">
                  <c:v>2028</c:v>
                </c:pt>
              </c:strCache>
            </c:strRef>
          </c:cat>
          <c:val>
            <c:numRef>
              <c:f>'Def. tek. racuna i SDI'!$I$8:$P$8</c:f>
              <c:numCache>
                <c:formatCode>0.0</c:formatCode>
                <c:ptCount val="8"/>
                <c:pt idx="0">
                  <c:v>4.0507175713207104</c:v>
                </c:pt>
                <c:pt idx="1">
                  <c:v>6.5545775517978644</c:v>
                </c:pt>
                <c:pt idx="2">
                  <c:v>2.3984519657621184</c:v>
                </c:pt>
                <c:pt idx="3">
                  <c:v>4.9408153487437234</c:v>
                </c:pt>
                <c:pt idx="4">
                  <c:v>4.9592325145562919</c:v>
                </c:pt>
                <c:pt idx="5">
                  <c:v>5.3758337635261979</c:v>
                </c:pt>
                <c:pt idx="6">
                  <c:v>4.0607348947138142</c:v>
                </c:pt>
                <c:pt idx="7">
                  <c:v>4.3290959989188167</c:v>
                </c:pt>
              </c:numCache>
            </c:numRef>
          </c:val>
          <c:extLst>
            <c:ext xmlns:c16="http://schemas.microsoft.com/office/drawing/2014/chart" uri="{C3380CC4-5D6E-409C-BE32-E72D297353CC}">
              <c16:uniqueId val="{00000000-DA82-446F-862A-E10A3C53EFA5}"/>
            </c:ext>
          </c:extLst>
        </c:ser>
        <c:ser>
          <c:idx val="1"/>
          <c:order val="1"/>
          <c:tx>
            <c:strRef>
              <c:f>'Def. tek. racuna i SDI'!$B$10</c:f>
              <c:strCache>
                <c:ptCount val="1"/>
                <c:pt idx="0">
                  <c:v>Стране директне инвестиције, прилив, % БДП</c:v>
                </c:pt>
              </c:strCache>
            </c:strRef>
          </c:tx>
          <c:spPr>
            <a:solidFill>
              <a:srgbClr val="51BBE7"/>
            </a:solidFill>
            <a:ln>
              <a:noFill/>
            </a:ln>
            <a:effectLst/>
          </c:spPr>
          <c:invertIfNegative val="0"/>
          <c:cat>
            <c:strRef>
              <c:f>'Def. tek. racuna i SDI'!$I$7:$P$7</c:f>
              <c:strCache>
                <c:ptCount val="8"/>
                <c:pt idx="0">
                  <c:v>2021</c:v>
                </c:pt>
                <c:pt idx="1">
                  <c:v>2022</c:v>
                </c:pt>
                <c:pt idx="2">
                  <c:v>2023</c:v>
                </c:pt>
                <c:pt idx="3">
                  <c:v>2024*</c:v>
                </c:pt>
                <c:pt idx="4">
                  <c:v>2025*</c:v>
                </c:pt>
                <c:pt idx="5">
                  <c:v>2026</c:v>
                </c:pt>
                <c:pt idx="6">
                  <c:v>2027</c:v>
                </c:pt>
                <c:pt idx="7">
                  <c:v>2028</c:v>
                </c:pt>
              </c:strCache>
            </c:strRef>
          </c:cat>
          <c:val>
            <c:numRef>
              <c:f>'Def. tek. racuna i SDI'!$I$10:$P$10</c:f>
              <c:numCache>
                <c:formatCode>0.0</c:formatCode>
                <c:ptCount val="8"/>
                <c:pt idx="0">
                  <c:v>6.9477982376843865</c:v>
                </c:pt>
                <c:pt idx="1">
                  <c:v>6.9801313948536654</c:v>
                </c:pt>
                <c:pt idx="2">
                  <c:v>6.0694230404548435</c:v>
                </c:pt>
                <c:pt idx="3">
                  <c:v>6.3302883929168035</c:v>
                </c:pt>
                <c:pt idx="4">
                  <c:v>4.3135488730281502</c:v>
                </c:pt>
                <c:pt idx="5">
                  <c:v>4.5437211007239044</c:v>
                </c:pt>
                <c:pt idx="6">
                  <c:v>4.3987932448460265</c:v>
                </c:pt>
                <c:pt idx="7">
                  <c:v>4.3183401468536111</c:v>
                </c:pt>
              </c:numCache>
            </c:numRef>
          </c:val>
          <c:extLst>
            <c:ext xmlns:c16="http://schemas.microsoft.com/office/drawing/2014/chart" uri="{C3380CC4-5D6E-409C-BE32-E72D297353CC}">
              <c16:uniqueId val="{00000001-DA82-446F-862A-E10A3C53EFA5}"/>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crossAx val="1839176496"/>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Entry>
      <c:layout>
        <c:manualLayout>
          <c:xMode val="edge"/>
          <c:yMode val="edge"/>
          <c:x val="0"/>
          <c:y val="0.77738848054192777"/>
          <c:w val="1"/>
          <c:h val="0.210011697540024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en-US"/>
    </a:p>
  </c:txPr>
  <c:externalData r:id="rId4">
    <c:autoUpdate val="0"/>
  </c:externalData>
  <c:userShapes r:id="rId5"/>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138435239489954"/>
          <c:y val="6.842061127661922E-2"/>
          <c:w val="0.87487511843012333"/>
          <c:h val="0.89994549266247381"/>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dLbl>
              <c:idx val="0"/>
              <c:layout>
                <c:manualLayout>
                  <c:x val="-1.0264905681718248E-17"/>
                  <c:y val="1.48148148148148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F72-44F0-8179-09789177C840}"/>
                </c:ext>
              </c:extLst>
            </c:dLbl>
            <c:dLbl>
              <c:idx val="3"/>
              <c:layout>
                <c:manualLayout>
                  <c:x val="-8.958566629339305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F72-44F0-8179-09789177C840}"/>
                </c:ext>
              </c:extLst>
            </c:dLbl>
            <c:dLbl>
              <c:idx val="4"/>
              <c:layout>
                <c:manualLayout>
                  <c:x val="0"/>
                  <c:y val="7.407407407407407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F72-44F0-8179-09789177C840}"/>
                </c:ext>
              </c:extLst>
            </c:dLbl>
            <c:dLbl>
              <c:idx val="5"/>
              <c:layout>
                <c:manualLayout>
                  <c:x val="0"/>
                  <c:y val="1.825233858088067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F72-44F0-8179-09789177C840}"/>
                </c:ext>
              </c:extLst>
            </c:dLbl>
            <c:dLbl>
              <c:idx val="6"/>
              <c:layout>
                <c:manualLayout>
                  <c:x val="0"/>
                  <c:y val="9.126169290440338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F72-44F0-8179-09789177C840}"/>
                </c:ext>
              </c:extLst>
            </c:dLbl>
            <c:dLbl>
              <c:idx val="7"/>
              <c:layout>
                <c:manualLayout>
                  <c:x val="8.9585666293392242E-3"/>
                  <c:y val="1.825233858088067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72-44F0-8179-09789177C840}"/>
                </c:ext>
              </c:extLst>
            </c:dLbl>
            <c:dLbl>
              <c:idx val="10"/>
              <c:layout>
                <c:manualLayout>
                  <c:x val="-1.6423849090749196E-16"/>
                  <c:y val="9.126169290440338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F72-44F0-8179-09789177C84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Yearly'!$CU$7:$DB$8,'Quaterly, Yearly'!$DC$7:$DC$8,'Quaterly, Yearly'!$DD$7:$DD$8,'Quaterly, Yearly'!$DE$7:$DE$8)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Yearly'!$CU$78:$DA$78,'Quaterly, Yearly'!$DB$78,'Quaterly, Yearly'!$DC$78,'Quaterly, Yearly'!$DD$78,'Quaterly, Yearly'!$DE$78)</c:f>
              <c:numCache>
                <c:formatCode>#,##0.00</c:formatCode>
                <c:ptCount val="11"/>
                <c:pt idx="0">
                  <c:v>-3.3187939284991961</c:v>
                </c:pt>
                <c:pt idx="1">
                  <c:v>-1.149397976075984</c:v>
                </c:pt>
                <c:pt idx="2">
                  <c:v>1.0557686096933128</c:v>
                </c:pt>
                <c:pt idx="3">
                  <c:v>0.60940162463875103</c:v>
                </c:pt>
                <c:pt idx="4">
                  <c:v>-0.196032233371843</c:v>
                </c:pt>
                <c:pt idx="5">
                  <c:v>-7.6817157912618725</c:v>
                </c:pt>
                <c:pt idx="6">
                  <c:v>-3.944488655583605</c:v>
                </c:pt>
                <c:pt idx="7">
                  <c:v>-3.0145095743510497</c:v>
                </c:pt>
                <c:pt idx="8">
                  <c:v>-2.0537459179069364</c:v>
                </c:pt>
                <c:pt idx="9">
                  <c:v>-1.9975423184672056</c:v>
                </c:pt>
                <c:pt idx="10">
                  <c:v>-3</c:v>
                </c:pt>
              </c:numCache>
            </c:numRef>
          </c:val>
          <c:extLst>
            <c:ext xmlns:c16="http://schemas.microsoft.com/office/drawing/2014/chart" uri="{C3380CC4-5D6E-409C-BE32-E72D297353CC}">
              <c16:uniqueId val="{00000007-AF72-44F0-8179-09789177C840}"/>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6.8416643888158995E-3"/>
                  <c:y val="6.693496646252551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72-44F0-8179-09789177C840}"/>
                </c:ext>
              </c:extLst>
            </c:dLbl>
            <c:dLbl>
              <c:idx val="1"/>
              <c:layout>
                <c:manualLayout>
                  <c:x val="-7.6867323275520011E-3"/>
                  <c:y val="8.07961504811898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72-44F0-8179-09789177C840}"/>
                </c:ext>
              </c:extLst>
            </c:dLbl>
            <c:dLbl>
              <c:idx val="2"/>
              <c:layout>
                <c:manualLayout>
                  <c:x val="-2.4177548915008244E-3"/>
                  <c:y val="8.16331291921841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F72-44F0-8179-09789177C840}"/>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F72-44F0-8179-09789177C840}"/>
                </c:ext>
              </c:extLst>
            </c:dLbl>
            <c:dLbl>
              <c:idx val="4"/>
              <c:layout>
                <c:manualLayout>
                  <c:x val="-3.9216654469143202E-3"/>
                  <c:y val="7.3541115368792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F72-44F0-8179-09789177C840}"/>
                </c:ext>
              </c:extLst>
            </c:dLbl>
            <c:dLbl>
              <c:idx val="5"/>
              <c:layout>
                <c:manualLayout>
                  <c:x val="1.9735299045066095E-2"/>
                  <c:y val="9.38091157496483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F72-44F0-8179-09789177C840}"/>
                </c:ext>
              </c:extLst>
            </c:dLbl>
            <c:dLbl>
              <c:idx val="6"/>
              <c:layout>
                <c:manualLayout>
                  <c:x val="1.3735175600250334E-2"/>
                  <c:y val="9.69709381809828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F72-44F0-8179-09789177C840}"/>
                </c:ext>
              </c:extLst>
            </c:dLbl>
            <c:dLbl>
              <c:idx val="7"/>
              <c:layout>
                <c:manualLayout>
                  <c:x val="6.3969103526113806E-3"/>
                  <c:y val="5.21952209772546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F72-44F0-8179-09789177C840}"/>
                </c:ext>
              </c:extLst>
            </c:dLbl>
            <c:dLbl>
              <c:idx val="8"/>
              <c:layout>
                <c:manualLayout>
                  <c:x val="5.4635722476333764E-3"/>
                  <c:y val="8.77652046118210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F72-44F0-8179-09789177C840}"/>
                </c:ext>
              </c:extLst>
            </c:dLbl>
            <c:dLbl>
              <c:idx val="9"/>
              <c:layout>
                <c:manualLayout>
                  <c:x val="4.366405527357735E-3"/>
                  <c:y val="6.303013988298956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F72-44F0-8179-09789177C840}"/>
                </c:ext>
              </c:extLst>
            </c:dLbl>
            <c:dLbl>
              <c:idx val="10"/>
              <c:layout>
                <c:manualLayout>
                  <c:x val="1.0589096295773778E-2"/>
                  <c:y val="3.21055701370668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F72-44F0-8179-09789177C840}"/>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F72-44F0-8179-09789177C84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Yearly'!$CU$7:$DB$8,'Quaterly, Yearly'!$DC$7:$DC$8,'Quaterly, Yearly'!$DD$7:$DD$8,'Quaterly, Yearly'!$DE$7:$DE$8)</c:f>
              <c:strCache>
                <c:ptCount val="11"/>
                <c:pt idx="0">
                  <c:v>2015</c:v>
                </c:pt>
                <c:pt idx="1">
                  <c:v>2016</c:v>
                </c:pt>
                <c:pt idx="2">
                  <c:v>2017</c:v>
                </c:pt>
                <c:pt idx="3">
                  <c:v>2018</c:v>
                </c:pt>
                <c:pt idx="4">
                  <c:v>2019</c:v>
                </c:pt>
                <c:pt idx="5">
                  <c:v>2020</c:v>
                </c:pt>
                <c:pt idx="6">
                  <c:v>2021</c:v>
                </c:pt>
                <c:pt idx="7">
                  <c:v>2022</c:v>
                </c:pt>
                <c:pt idx="8">
                  <c:v>2023</c:v>
                </c:pt>
                <c:pt idx="9">
                  <c:v>2024</c:v>
                </c:pt>
                <c:pt idx="10">
                  <c:v>2025</c:v>
                </c:pt>
              </c:strCache>
            </c:strRef>
          </c:cat>
          <c:val>
            <c:numRef>
              <c:f>('Quaterly, Yearly'!$CU$79:$DA$79,'Quaterly, Yearly'!$DB$79,'Quaterly, Yearly'!$DC$79,'Quaterly, Yearly'!$DD$79,'Quaterly, Yearly'!$DE$79)</c:f>
              <c:numCache>
                <c:formatCode>#,##0.00</c:formatCode>
                <c:ptCount val="11"/>
                <c:pt idx="0">
                  <c:v>-0.4519075558326654</c:v>
                </c:pt>
                <c:pt idx="1">
                  <c:v>1.6426873720543391</c:v>
                </c:pt>
                <c:pt idx="2">
                  <c:v>3.4929502757705762</c:v>
                </c:pt>
                <c:pt idx="3">
                  <c:v>2.6358109426223959</c:v>
                </c:pt>
                <c:pt idx="4">
                  <c:v>1.7134410602148162</c:v>
                </c:pt>
                <c:pt idx="5">
                  <c:v>-5.7757245286308958</c:v>
                </c:pt>
                <c:pt idx="6">
                  <c:v>-2.297416110879996</c:v>
                </c:pt>
                <c:pt idx="7">
                  <c:v>-1.59342127222432</c:v>
                </c:pt>
                <c:pt idx="8">
                  <c:v>-0.49873381784486676</c:v>
                </c:pt>
                <c:pt idx="9">
                  <c:v>-0.26385213736478941</c:v>
                </c:pt>
                <c:pt idx="10">
                  <c:v>-1</c:v>
                </c:pt>
              </c:numCache>
            </c:numRef>
          </c:val>
          <c:extLst>
            <c:ext xmlns:c16="http://schemas.microsoft.com/office/drawing/2014/chart" uri="{C3380CC4-5D6E-409C-BE32-E72D297353CC}">
              <c16:uniqueId val="{00000014-AF72-44F0-8179-09789177C840}"/>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sz="800">
                    <a:latin typeface="+mn-lt"/>
                  </a:rPr>
                  <a:t>% </a:t>
                </a:r>
                <a:r>
                  <a:rPr lang="sr-Cyrl-RS" sz="800">
                    <a:latin typeface="+mn-lt"/>
                  </a:rPr>
                  <a:t>БДП</a:t>
                </a:r>
                <a:endParaRPr lang="en-US" sz="800">
                  <a:latin typeface="+mn-lt"/>
                </a:endParaRPr>
              </a:p>
            </c:rich>
          </c:tx>
          <c:layout>
            <c:manualLayout>
              <c:xMode val="edge"/>
              <c:yMode val="edge"/>
              <c:x val="1.0288243644796359E-3"/>
              <c:y val="0.3948218139399241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22006368"/>
        <c:crosses val="autoZero"/>
        <c:crossBetween val="between"/>
      </c:valAx>
      <c:spPr>
        <a:noFill/>
        <a:ln>
          <a:noFill/>
        </a:ln>
        <a:effectLst/>
      </c:spPr>
    </c:plotArea>
    <c:legend>
      <c:legendPos val="b"/>
      <c:layout>
        <c:manualLayout>
          <c:xMode val="edge"/>
          <c:yMode val="edge"/>
          <c:x val="9.275467106365344E-2"/>
          <c:y val="0.84509682123067953"/>
          <c:w val="0.51810891150797223"/>
          <c:h val="0.1152205361251488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j-lt"/>
                <a:ea typeface="+mn-ea"/>
                <a:cs typeface="+mn-cs"/>
              </a:defRPr>
            </a:pPr>
            <a:r>
              <a:rPr lang="sr-Cyrl-RS" sz="800" b="1" i="0" u="none" strike="noStrike" baseline="0">
                <a:solidFill>
                  <a:schemeClr val="tx1">
                    <a:lumMod val="65000"/>
                    <a:lumOff val="35000"/>
                  </a:schemeClr>
                </a:solidFill>
                <a:effectLst/>
                <a:latin typeface="+mj-lt"/>
              </a:rPr>
              <a:t>Фискални подиндекс и подиндекс макро-финансијске конкурентности за земље ЕУ и Србију за  20</a:t>
            </a:r>
            <a:r>
              <a:rPr lang="sr-Latn-RS" sz="800" b="1" i="0" u="none" strike="noStrike" baseline="0">
                <a:solidFill>
                  <a:schemeClr val="tx1">
                    <a:lumMod val="65000"/>
                    <a:lumOff val="35000"/>
                  </a:schemeClr>
                </a:solidFill>
                <a:effectLst/>
                <a:latin typeface="+mj-lt"/>
              </a:rPr>
              <a:t>24.</a:t>
            </a:r>
            <a:r>
              <a:rPr lang="sr-Cyrl-RS" sz="800" b="1" i="0" u="none" strike="noStrike" baseline="0">
                <a:solidFill>
                  <a:schemeClr val="tx1">
                    <a:lumMod val="65000"/>
                    <a:lumOff val="35000"/>
                  </a:schemeClr>
                </a:solidFill>
                <a:effectLst/>
                <a:latin typeface="+mj-lt"/>
              </a:rPr>
              <a:t> годину</a:t>
            </a:r>
            <a:endParaRPr lang="en-US" sz="800" b="1">
              <a:solidFill>
                <a:schemeClr val="tx1">
                  <a:lumMod val="65000"/>
                  <a:lumOff val="35000"/>
                </a:schemeClr>
              </a:solidFill>
              <a:latin typeface="+mj-lt"/>
            </a:endParaRPr>
          </a:p>
        </c:rich>
      </c:tx>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j-lt"/>
              <a:ea typeface="+mn-ea"/>
              <a:cs typeface="+mn-cs"/>
            </a:defRPr>
          </a:pPr>
          <a:endParaRPr lang="en-US"/>
        </a:p>
      </c:txPr>
    </c:title>
    <c:autoTitleDeleted val="0"/>
    <c:plotArea>
      <c:layout>
        <c:manualLayout>
          <c:layoutTarget val="inner"/>
          <c:xMode val="edge"/>
          <c:yMode val="edge"/>
          <c:x val="0.1184447596224385"/>
          <c:y val="8.2473495136371477E-2"/>
          <c:w val="0.82637941996380893"/>
          <c:h val="0.81333285058353966"/>
        </c:manualLayout>
      </c:layout>
      <c:scatterChart>
        <c:scatterStyle val="smoothMarker"/>
        <c:varyColors val="0"/>
        <c:ser>
          <c:idx val="1"/>
          <c:order val="1"/>
          <c:tx>
            <c:v>Prag fiskalnog podindeksa</c:v>
          </c:tx>
          <c:spPr>
            <a:ln w="12700" cap="rnd">
              <a:solidFill>
                <a:srgbClr val="7030A0"/>
              </a:solidFill>
              <a:round/>
            </a:ln>
            <a:effectLst/>
          </c:spPr>
          <c:marker>
            <c:symbol val="none"/>
          </c:marker>
          <c:xVal>
            <c:numRef>
              <c:f>'2024'!$F$4:$F$31</c:f>
              <c:numCache>
                <c:formatCode>0.00</c:formatCode>
                <c:ptCount val="28"/>
                <c:pt idx="0">
                  <c:v>0.36</c:v>
                </c:pt>
                <c:pt idx="1">
                  <c:v>0.36</c:v>
                </c:pt>
                <c:pt idx="2">
                  <c:v>0.36</c:v>
                </c:pt>
                <c:pt idx="3">
                  <c:v>0.36</c:v>
                </c:pt>
                <c:pt idx="4">
                  <c:v>0.36</c:v>
                </c:pt>
                <c:pt idx="5">
                  <c:v>0.36</c:v>
                </c:pt>
                <c:pt idx="6">
                  <c:v>0.36</c:v>
                </c:pt>
                <c:pt idx="7">
                  <c:v>0.36</c:v>
                </c:pt>
                <c:pt idx="8">
                  <c:v>0.36</c:v>
                </c:pt>
                <c:pt idx="9">
                  <c:v>0.36</c:v>
                </c:pt>
                <c:pt idx="10">
                  <c:v>0.36</c:v>
                </c:pt>
                <c:pt idx="11">
                  <c:v>0.36</c:v>
                </c:pt>
                <c:pt idx="12">
                  <c:v>0.36</c:v>
                </c:pt>
                <c:pt idx="13">
                  <c:v>0.36</c:v>
                </c:pt>
                <c:pt idx="14">
                  <c:v>0.36</c:v>
                </c:pt>
                <c:pt idx="15">
                  <c:v>0.36</c:v>
                </c:pt>
                <c:pt idx="16">
                  <c:v>0.36</c:v>
                </c:pt>
                <c:pt idx="17">
                  <c:v>0.36</c:v>
                </c:pt>
                <c:pt idx="18">
                  <c:v>0.36</c:v>
                </c:pt>
                <c:pt idx="19">
                  <c:v>0.36</c:v>
                </c:pt>
                <c:pt idx="20">
                  <c:v>0.36</c:v>
                </c:pt>
                <c:pt idx="21">
                  <c:v>0.36</c:v>
                </c:pt>
                <c:pt idx="22">
                  <c:v>0.36</c:v>
                </c:pt>
                <c:pt idx="23">
                  <c:v>0.36</c:v>
                </c:pt>
                <c:pt idx="24">
                  <c:v>0.36</c:v>
                </c:pt>
                <c:pt idx="25">
                  <c:v>0.36</c:v>
                </c:pt>
                <c:pt idx="26">
                  <c:v>0.36</c:v>
                </c:pt>
                <c:pt idx="27">
                  <c:v>0.36</c:v>
                </c:pt>
              </c:numCache>
            </c:numRef>
          </c:xVal>
          <c:yVal>
            <c:numRef>
              <c:f>'2024'!$G$4:$G$31</c:f>
              <c:numCache>
                <c:formatCode>0.00</c:formatCode>
                <c:ptCount val="28"/>
                <c:pt idx="0">
                  <c:v>0</c:v>
                </c:pt>
                <c:pt idx="1">
                  <c:v>2.2222222222222223E-2</c:v>
                </c:pt>
                <c:pt idx="2">
                  <c:v>4.4444444444444446E-2</c:v>
                </c:pt>
                <c:pt idx="3">
                  <c:v>6.6666666666666666E-2</c:v>
                </c:pt>
                <c:pt idx="4">
                  <c:v>8.8888888888888892E-2</c:v>
                </c:pt>
                <c:pt idx="5">
                  <c:v>0.11111111111111112</c:v>
                </c:pt>
                <c:pt idx="6">
                  <c:v>0.13333333333333333</c:v>
                </c:pt>
                <c:pt idx="7">
                  <c:v>0.15555555555555556</c:v>
                </c:pt>
                <c:pt idx="8">
                  <c:v>0.17777777777777778</c:v>
                </c:pt>
                <c:pt idx="9">
                  <c:v>0.2</c:v>
                </c:pt>
                <c:pt idx="10">
                  <c:v>0.22222222222222224</c:v>
                </c:pt>
                <c:pt idx="11">
                  <c:v>0.24444444444444446</c:v>
                </c:pt>
                <c:pt idx="12">
                  <c:v>0.26666666666666666</c:v>
                </c:pt>
                <c:pt idx="13">
                  <c:v>0.28888888888888886</c:v>
                </c:pt>
                <c:pt idx="14">
                  <c:v>0.31111111111111106</c:v>
                </c:pt>
                <c:pt idx="15">
                  <c:v>0.33333333333333326</c:v>
                </c:pt>
                <c:pt idx="16">
                  <c:v>0.35555555555555546</c:v>
                </c:pt>
                <c:pt idx="17">
                  <c:v>0.37777777777777766</c:v>
                </c:pt>
                <c:pt idx="18">
                  <c:v>0.39999999999999986</c:v>
                </c:pt>
                <c:pt idx="19">
                  <c:v>0.42222222222222205</c:v>
                </c:pt>
                <c:pt idx="20">
                  <c:v>0.44444444444444425</c:v>
                </c:pt>
                <c:pt idx="21">
                  <c:v>0.46666666666666645</c:v>
                </c:pt>
                <c:pt idx="22">
                  <c:v>0.48888888888888865</c:v>
                </c:pt>
                <c:pt idx="23">
                  <c:v>0.51111111111111085</c:v>
                </c:pt>
                <c:pt idx="24">
                  <c:v>0.5333333333333331</c:v>
                </c:pt>
                <c:pt idx="25">
                  <c:v>0.55555555555555536</c:v>
                </c:pt>
                <c:pt idx="26">
                  <c:v>0.57777777777777761</c:v>
                </c:pt>
                <c:pt idx="27">
                  <c:v>0.59999999999999987</c:v>
                </c:pt>
              </c:numCache>
            </c:numRef>
          </c:yVal>
          <c:smooth val="1"/>
          <c:extLst>
            <c:ext xmlns:c16="http://schemas.microsoft.com/office/drawing/2014/chart" uri="{C3380CC4-5D6E-409C-BE32-E72D297353CC}">
              <c16:uniqueId val="{00000000-8F8C-4330-9944-7D295277BCC6}"/>
            </c:ext>
          </c:extLst>
        </c:ser>
        <c:ser>
          <c:idx val="2"/>
          <c:order val="2"/>
          <c:tx>
            <c:v>Prag finansijskog podindeksa</c:v>
          </c:tx>
          <c:spPr>
            <a:ln w="12700" cap="rnd">
              <a:solidFill>
                <a:srgbClr val="7030A0"/>
              </a:solidFill>
              <a:round/>
            </a:ln>
            <a:effectLst/>
          </c:spPr>
          <c:marker>
            <c:symbol val="none"/>
          </c:marker>
          <c:xVal>
            <c:numRef>
              <c:f>'2024'!$H$4:$H$31</c:f>
              <c:numCache>
                <c:formatCode>0.00</c:formatCode>
                <c:ptCount val="28"/>
                <c:pt idx="0">
                  <c:v>0</c:v>
                </c:pt>
                <c:pt idx="1">
                  <c:v>2.9629629629629631E-2</c:v>
                </c:pt>
                <c:pt idx="2">
                  <c:v>5.9259259259259262E-2</c:v>
                </c:pt>
                <c:pt idx="3">
                  <c:v>8.8888888888888892E-2</c:v>
                </c:pt>
                <c:pt idx="4">
                  <c:v>0.11851851851851852</c:v>
                </c:pt>
                <c:pt idx="5">
                  <c:v>0.14814814814814814</c:v>
                </c:pt>
                <c:pt idx="6">
                  <c:v>0.17777777777777776</c:v>
                </c:pt>
                <c:pt idx="7">
                  <c:v>0.20740740740740737</c:v>
                </c:pt>
                <c:pt idx="8">
                  <c:v>0.23703703703703699</c:v>
                </c:pt>
                <c:pt idx="9">
                  <c:v>0.26666666666666661</c:v>
                </c:pt>
                <c:pt idx="10">
                  <c:v>0.29629629629629622</c:v>
                </c:pt>
                <c:pt idx="11">
                  <c:v>0.32592592592592584</c:v>
                </c:pt>
                <c:pt idx="12">
                  <c:v>0.35555555555555546</c:v>
                </c:pt>
                <c:pt idx="13">
                  <c:v>0.38518518518518507</c:v>
                </c:pt>
                <c:pt idx="14">
                  <c:v>0.41481481481481469</c:v>
                </c:pt>
                <c:pt idx="15">
                  <c:v>0.44444444444444431</c:v>
                </c:pt>
                <c:pt idx="16">
                  <c:v>0.47407407407407393</c:v>
                </c:pt>
                <c:pt idx="17">
                  <c:v>0.50370370370370354</c:v>
                </c:pt>
                <c:pt idx="18">
                  <c:v>0.53333333333333321</c:v>
                </c:pt>
                <c:pt idx="19">
                  <c:v>0.56296296296296289</c:v>
                </c:pt>
                <c:pt idx="20">
                  <c:v>0.59259259259259256</c:v>
                </c:pt>
                <c:pt idx="21">
                  <c:v>0.62222222222222223</c:v>
                </c:pt>
                <c:pt idx="22">
                  <c:v>0.6518518518518519</c:v>
                </c:pt>
                <c:pt idx="23">
                  <c:v>0.68148148148148158</c:v>
                </c:pt>
                <c:pt idx="24">
                  <c:v>0.71111111111111125</c:v>
                </c:pt>
                <c:pt idx="25">
                  <c:v>0.74074074074074092</c:v>
                </c:pt>
                <c:pt idx="26">
                  <c:v>0.77037037037037059</c:v>
                </c:pt>
                <c:pt idx="27">
                  <c:v>0.80000000000000027</c:v>
                </c:pt>
              </c:numCache>
            </c:numRef>
          </c:xVal>
          <c:yVal>
            <c:numRef>
              <c:f>'2024'!$I$4:$I$31</c:f>
              <c:numCache>
                <c:formatCode>0.00</c:formatCode>
                <c:ptCount val="28"/>
                <c:pt idx="0">
                  <c:v>0.49</c:v>
                </c:pt>
                <c:pt idx="1">
                  <c:v>0.49</c:v>
                </c:pt>
                <c:pt idx="2">
                  <c:v>0.49</c:v>
                </c:pt>
                <c:pt idx="3">
                  <c:v>0.49</c:v>
                </c:pt>
                <c:pt idx="4">
                  <c:v>0.49</c:v>
                </c:pt>
                <c:pt idx="5">
                  <c:v>0.49</c:v>
                </c:pt>
                <c:pt idx="6">
                  <c:v>0.49</c:v>
                </c:pt>
                <c:pt idx="7">
                  <c:v>0.49</c:v>
                </c:pt>
                <c:pt idx="8">
                  <c:v>0.49</c:v>
                </c:pt>
                <c:pt idx="9">
                  <c:v>0.49</c:v>
                </c:pt>
                <c:pt idx="10">
                  <c:v>0.49</c:v>
                </c:pt>
                <c:pt idx="11">
                  <c:v>0.49</c:v>
                </c:pt>
                <c:pt idx="12">
                  <c:v>0.49</c:v>
                </c:pt>
                <c:pt idx="13">
                  <c:v>0.49</c:v>
                </c:pt>
                <c:pt idx="14">
                  <c:v>0.49</c:v>
                </c:pt>
                <c:pt idx="15">
                  <c:v>0.49</c:v>
                </c:pt>
                <c:pt idx="16">
                  <c:v>0.49</c:v>
                </c:pt>
                <c:pt idx="17">
                  <c:v>0.49</c:v>
                </c:pt>
                <c:pt idx="18">
                  <c:v>0.49</c:v>
                </c:pt>
                <c:pt idx="19">
                  <c:v>0.49</c:v>
                </c:pt>
                <c:pt idx="20">
                  <c:v>0.49</c:v>
                </c:pt>
                <c:pt idx="21">
                  <c:v>0.49</c:v>
                </c:pt>
                <c:pt idx="22">
                  <c:v>0.49</c:v>
                </c:pt>
                <c:pt idx="23">
                  <c:v>0.49</c:v>
                </c:pt>
                <c:pt idx="24">
                  <c:v>0.49</c:v>
                </c:pt>
                <c:pt idx="25">
                  <c:v>0.49</c:v>
                </c:pt>
                <c:pt idx="26">
                  <c:v>0.49</c:v>
                </c:pt>
                <c:pt idx="27">
                  <c:v>0.49</c:v>
                </c:pt>
              </c:numCache>
            </c:numRef>
          </c:yVal>
          <c:smooth val="1"/>
          <c:extLst>
            <c:ext xmlns:c16="http://schemas.microsoft.com/office/drawing/2014/chart" uri="{C3380CC4-5D6E-409C-BE32-E72D297353CC}">
              <c16:uniqueId val="{00000001-8F8C-4330-9944-7D295277BCC6}"/>
            </c:ext>
          </c:extLst>
        </c:ser>
        <c:dLbls>
          <c:showLegendKey val="0"/>
          <c:showVal val="0"/>
          <c:showCatName val="0"/>
          <c:showSerName val="0"/>
          <c:showPercent val="0"/>
          <c:showBubbleSize val="0"/>
        </c:dLbls>
        <c:axId val="-262788736"/>
        <c:axId val="-262793088"/>
      </c:scatterChart>
      <c:scatterChart>
        <c:scatterStyle val="lineMarker"/>
        <c:varyColors val="0"/>
        <c:ser>
          <c:idx val="0"/>
          <c:order val="0"/>
          <c:spPr>
            <a:ln w="25400" cap="rnd">
              <a:noFill/>
              <a:round/>
            </a:ln>
            <a:effectLst/>
          </c:spPr>
          <c:marker>
            <c:symbol val="circle"/>
            <c:size val="5"/>
            <c:spPr>
              <a:solidFill>
                <a:srgbClr val="5297AC"/>
              </a:solidFill>
              <a:ln w="9525">
                <a:noFill/>
              </a:ln>
              <a:effectLst/>
            </c:spPr>
          </c:marker>
          <c:dLbls>
            <c:dLbl>
              <c:idx val="0"/>
              <c:layout>
                <c:manualLayout>
                  <c:x val="-3.5948417288263687E-2"/>
                  <c:y val="3.2900160952131545E-2"/>
                </c:manualLayout>
              </c:layout>
              <c:tx>
                <c:rich>
                  <a:bodyPr/>
                  <a:lstStyle/>
                  <a:p>
                    <a:fld id="{0829ADA8-0845-4F30-BE79-6D17A8A760C7}"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8F8C-4330-9944-7D295277BCC6}"/>
                </c:ext>
              </c:extLst>
            </c:dLbl>
            <c:dLbl>
              <c:idx val="1"/>
              <c:layout>
                <c:manualLayout>
                  <c:x val="3.5938394891456365E-3"/>
                  <c:y val="3.0580750586474564E-2"/>
                </c:manualLayout>
              </c:layout>
              <c:tx>
                <c:rich>
                  <a:bodyPr/>
                  <a:lstStyle/>
                  <a:p>
                    <a:fld id="{1884F11C-5597-4BBC-B326-BD0282A38F91}"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8F8C-4330-9944-7D295277BCC6}"/>
                </c:ext>
              </c:extLst>
            </c:dLbl>
            <c:dLbl>
              <c:idx val="2"/>
              <c:layout>
                <c:manualLayout>
                  <c:x val="-5.5443178298364877E-2"/>
                  <c:y val="3.1048912237992679E-2"/>
                </c:manualLayout>
              </c:layout>
              <c:tx>
                <c:rich>
                  <a:bodyPr/>
                  <a:lstStyle/>
                  <a:p>
                    <a:fld id="{DB611478-E70E-4D8C-859E-ADAE351B2F06}"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8F8C-4330-9944-7D295277BCC6}"/>
                </c:ext>
              </c:extLst>
            </c:dLbl>
            <c:dLbl>
              <c:idx val="3"/>
              <c:layout>
                <c:manualLayout>
                  <c:x val="6.3333549712019637E-3"/>
                  <c:y val="1.2874617493600062E-2"/>
                </c:manualLayout>
              </c:layout>
              <c:tx>
                <c:rich>
                  <a:bodyPr/>
                  <a:lstStyle/>
                  <a:p>
                    <a:fld id="{BD228FD7-06ED-43FE-93BC-243AC85449B3}"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8F8C-4330-9944-7D295277BCC6}"/>
                </c:ext>
              </c:extLst>
            </c:dLbl>
            <c:dLbl>
              <c:idx val="4"/>
              <c:layout>
                <c:manualLayout>
                  <c:x val="-0.10213005982947787"/>
                  <c:y val="-1.5757281441141444E-2"/>
                </c:manualLayout>
              </c:layout>
              <c:tx>
                <c:rich>
                  <a:bodyPr/>
                  <a:lstStyle/>
                  <a:p>
                    <a:fld id="{D04F2B39-C3B3-4C3E-AD6E-43E42362C909}"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8F8C-4330-9944-7D295277BCC6}"/>
                </c:ext>
              </c:extLst>
            </c:dLbl>
            <c:dLbl>
              <c:idx val="5"/>
              <c:layout>
                <c:manualLayout>
                  <c:x val="5.4451824356610617E-3"/>
                  <c:y val="-4.5827264302856024E-2"/>
                </c:manualLayout>
              </c:layout>
              <c:tx>
                <c:rich>
                  <a:bodyPr/>
                  <a:lstStyle/>
                  <a:p>
                    <a:fld id="{447F1A16-7BF7-431A-A901-8C9311AF4FDB}"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8F8C-4330-9944-7D295277BCC6}"/>
                </c:ext>
              </c:extLst>
            </c:dLbl>
            <c:dLbl>
              <c:idx val="6"/>
              <c:layout>
                <c:manualLayout>
                  <c:x val="-6.256464321120353E-2"/>
                  <c:y val="3.5897483649366055E-2"/>
                </c:manualLayout>
              </c:layout>
              <c:tx>
                <c:rich>
                  <a:bodyPr/>
                  <a:lstStyle/>
                  <a:p>
                    <a:fld id="{5EDAA3BD-F77B-46B1-874E-1245F4202C0F}"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8F8C-4330-9944-7D295277BCC6}"/>
                </c:ext>
              </c:extLst>
            </c:dLbl>
            <c:dLbl>
              <c:idx val="7"/>
              <c:layout>
                <c:manualLayout>
                  <c:x val="-7.9589466800439032E-2"/>
                  <c:y val="2.3287019631624301E-2"/>
                </c:manualLayout>
              </c:layout>
              <c:tx>
                <c:rich>
                  <a:bodyPr/>
                  <a:lstStyle/>
                  <a:p>
                    <a:fld id="{46FA9162-0627-48EF-8BBF-DD3385C3A44B}"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8F8C-4330-9944-7D295277BCC6}"/>
                </c:ext>
              </c:extLst>
            </c:dLbl>
            <c:dLbl>
              <c:idx val="8"/>
              <c:layout>
                <c:manualLayout>
                  <c:x val="1.2825027306369313E-2"/>
                  <c:y val="4.5339446706126095E-3"/>
                </c:manualLayout>
              </c:layout>
              <c:tx>
                <c:rich>
                  <a:bodyPr/>
                  <a:lstStyle/>
                  <a:p>
                    <a:fld id="{671E2E54-EE55-486B-9837-F1D41A6E7D04}"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8F8C-4330-9944-7D295277BCC6}"/>
                </c:ext>
              </c:extLst>
            </c:dLbl>
            <c:dLbl>
              <c:idx val="9"/>
              <c:layout>
                <c:manualLayout>
                  <c:x val="1.995639888890369E-2"/>
                  <c:y val="1.2672324895787668E-2"/>
                </c:manualLayout>
              </c:layout>
              <c:tx>
                <c:rich>
                  <a:bodyPr/>
                  <a:lstStyle/>
                  <a:p>
                    <a:fld id="{46D78CAD-6B7D-4E61-BAD1-F27EF59D0057}"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8F8C-4330-9944-7D295277BCC6}"/>
                </c:ext>
              </c:extLst>
            </c:dLbl>
            <c:dLbl>
              <c:idx val="10"/>
              <c:layout>
                <c:manualLayout>
                  <c:x val="-5.4975684173499408E-4"/>
                  <c:y val="7.6139518196170208E-2"/>
                </c:manualLayout>
              </c:layout>
              <c:tx>
                <c:rich>
                  <a:bodyPr/>
                  <a:lstStyle/>
                  <a:p>
                    <a:fld id="{F08242D6-83A1-4814-9B5F-74F0D0EA14C8}"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8F8C-4330-9944-7D295277BCC6}"/>
                </c:ext>
              </c:extLst>
            </c:dLbl>
            <c:dLbl>
              <c:idx val="11"/>
              <c:layout>
                <c:manualLayout>
                  <c:x val="2.4016558870739307E-3"/>
                  <c:y val="3.6893194836719295E-2"/>
                </c:manualLayout>
              </c:layout>
              <c:tx>
                <c:rich>
                  <a:bodyPr/>
                  <a:lstStyle/>
                  <a:p>
                    <a:fld id="{E75C2FF2-3B7F-4617-A327-8D35B053C2D0}"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8F8C-4330-9944-7D295277BCC6}"/>
                </c:ext>
              </c:extLst>
            </c:dLbl>
            <c:dLbl>
              <c:idx val="12"/>
              <c:layout>
                <c:manualLayout>
                  <c:x val="-5.2233905544415642E-2"/>
                  <c:y val="1.7694093804954372E-2"/>
                </c:manualLayout>
              </c:layout>
              <c:tx>
                <c:rich>
                  <a:bodyPr/>
                  <a:lstStyle/>
                  <a:p>
                    <a:fld id="{9D3B9787-1EED-4F68-846A-EDDF4648C5C7}"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8F8C-4330-9944-7D295277BCC6}"/>
                </c:ext>
              </c:extLst>
            </c:dLbl>
            <c:dLbl>
              <c:idx val="13"/>
              <c:layout>
                <c:manualLayout>
                  <c:x val="-5.5722925938605519E-2"/>
                  <c:y val="5.4271319809493179E-2"/>
                </c:manualLayout>
              </c:layout>
              <c:tx>
                <c:rich>
                  <a:bodyPr/>
                  <a:lstStyle/>
                  <a:p>
                    <a:fld id="{8AEDF687-CA40-4789-A370-5141DA87A9CF}"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8F8C-4330-9944-7D295277BCC6}"/>
                </c:ext>
              </c:extLst>
            </c:dLbl>
            <c:dLbl>
              <c:idx val="14"/>
              <c:layout>
                <c:manualLayout>
                  <c:x val="-4.7869125055020299E-2"/>
                  <c:y val="-3.5534294696943421E-2"/>
                </c:manualLayout>
              </c:layout>
              <c:tx>
                <c:rich>
                  <a:bodyPr/>
                  <a:lstStyle/>
                  <a:p>
                    <a:fld id="{4E082FE6-44DF-403E-B888-FCA4B4CD8C88}"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0-8F8C-4330-9944-7D295277BCC6}"/>
                </c:ext>
              </c:extLst>
            </c:dLbl>
            <c:dLbl>
              <c:idx val="15"/>
              <c:layout>
                <c:manualLayout>
                  <c:x val="-4.3539196066473641E-2"/>
                  <c:y val="2.5331503598749604E-2"/>
                </c:manualLayout>
              </c:layout>
              <c:tx>
                <c:rich>
                  <a:bodyPr/>
                  <a:lstStyle/>
                  <a:p>
                    <a:fld id="{C99ED8AC-87B5-452C-A6C9-E70C0F881FD8}"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8F8C-4330-9944-7D295277BCC6}"/>
                </c:ext>
              </c:extLst>
            </c:dLbl>
            <c:dLbl>
              <c:idx val="16"/>
              <c:layout>
                <c:manualLayout>
                  <c:x val="-2.6519293783929181E-2"/>
                  <c:y val="-1.0229808578693381E-2"/>
                </c:manualLayout>
              </c:layout>
              <c:tx>
                <c:rich>
                  <a:bodyPr/>
                  <a:lstStyle/>
                  <a:p>
                    <a:fld id="{9C08B7FC-896C-447E-8FD2-38462EC50DD2}"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8F8C-4330-9944-7D295277BCC6}"/>
                </c:ext>
              </c:extLst>
            </c:dLbl>
            <c:dLbl>
              <c:idx val="17"/>
              <c:layout>
                <c:manualLayout>
                  <c:x val="-1.4894442542508273E-2"/>
                  <c:y val="3.1851975651621893E-2"/>
                </c:manualLayout>
              </c:layout>
              <c:tx>
                <c:rich>
                  <a:bodyPr/>
                  <a:lstStyle/>
                  <a:p>
                    <a:fld id="{881D3C24-6443-4AF3-AE5B-D76CED27D3BC}"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8F8C-4330-9944-7D295277BCC6}"/>
                </c:ext>
              </c:extLst>
            </c:dLbl>
            <c:dLbl>
              <c:idx val="18"/>
              <c:layout>
                <c:manualLayout>
                  <c:x val="-3.4070660879404011E-2"/>
                  <c:y val="-3.139376035675949E-2"/>
                </c:manualLayout>
              </c:layout>
              <c:tx>
                <c:rich>
                  <a:bodyPr/>
                  <a:lstStyle/>
                  <a:p>
                    <a:fld id="{668D2095-123F-48F0-9495-F5A352442D50}"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8F8C-4330-9944-7D295277BCC6}"/>
                </c:ext>
              </c:extLst>
            </c:dLbl>
            <c:dLbl>
              <c:idx val="19"/>
              <c:layout>
                <c:manualLayout>
                  <c:x val="2.6365399977176764E-2"/>
                  <c:y val="3.8523918991503715E-3"/>
                </c:manualLayout>
              </c:layout>
              <c:tx>
                <c:rich>
                  <a:bodyPr/>
                  <a:lstStyle/>
                  <a:p>
                    <a:fld id="{D20850FD-F433-4C07-A495-1AA6C2EF06EA}"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8F8C-4330-9944-7D295277BCC6}"/>
                </c:ext>
              </c:extLst>
            </c:dLbl>
            <c:dLbl>
              <c:idx val="20"/>
              <c:layout>
                <c:manualLayout>
                  <c:x val="1.758140756302521E-2"/>
                  <c:y val="6.2059072984831237E-3"/>
                </c:manualLayout>
              </c:layout>
              <c:tx>
                <c:rich>
                  <a:bodyPr/>
                  <a:lstStyle/>
                  <a:p>
                    <a:fld id="{D759B8B7-EA64-47E8-A0E1-1F7AD856D1F8}"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8F8C-4330-9944-7D295277BCC6}"/>
                </c:ext>
              </c:extLst>
            </c:dLbl>
            <c:dLbl>
              <c:idx val="21"/>
              <c:layout>
                <c:manualLayout>
                  <c:x val="-4.5538664904163979E-2"/>
                  <c:y val="-3.5392385611100745E-2"/>
                </c:manualLayout>
              </c:layout>
              <c:tx>
                <c:rich>
                  <a:bodyPr/>
                  <a:lstStyle/>
                  <a:p>
                    <a:fld id="{AB11C73B-DD17-4AE3-9FCF-641EB7445275}" type="CELLRANGE">
                      <a:rPr lang="sr-Cyrl-CS"/>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8F8C-4330-9944-7D295277BCC6}"/>
                </c:ext>
              </c:extLst>
            </c:dLbl>
            <c:dLbl>
              <c:idx val="22"/>
              <c:layout>
                <c:manualLayout>
                  <c:x val="-0.11300824402794826"/>
                  <c:y val="-2.3395618242742926E-2"/>
                </c:manualLayout>
              </c:layout>
              <c:tx>
                <c:rich>
                  <a:bodyPr/>
                  <a:lstStyle/>
                  <a:p>
                    <a:fld id="{01AA4F0E-F632-4A99-9AFE-F3573492C6BB}" type="CELLRANGE">
                      <a:rPr lang="sr-Cyrl-CS">
                        <a:solidFill>
                          <a:schemeClr val="tx1">
                            <a:lumMod val="50000"/>
                            <a:lumOff val="50000"/>
                          </a:schemeClr>
                        </a:solidFill>
                      </a:rPr>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8F8C-4330-9944-7D295277BCC6}"/>
                </c:ext>
              </c:extLst>
            </c:dLbl>
            <c:dLbl>
              <c:idx val="23"/>
              <c:layout>
                <c:manualLayout>
                  <c:x val="-1.0724311634958711E-2"/>
                  <c:y val="-4.1862518486751078E-2"/>
                </c:manualLayout>
              </c:layout>
              <c:tx>
                <c:rich>
                  <a:bodyPr/>
                  <a:lstStyle/>
                  <a:p>
                    <a:fld id="{9E754691-3CF2-4FE7-BA9A-1C76531E36EE}" type="CELLRANGE">
                      <a:rPr lang="sr-Cyrl-CS">
                        <a:solidFill>
                          <a:schemeClr val="tx1">
                            <a:lumMod val="50000"/>
                            <a:lumOff val="50000"/>
                          </a:schemeClr>
                        </a:solidFill>
                      </a:rPr>
                      <a:pPr/>
                      <a:t>[CELLRANGE]</a:t>
                    </a:fld>
                    <a:endParaRPr lang="sr-Cyrl-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8F8C-4330-9944-7D295277BCC6}"/>
                </c:ext>
              </c:extLst>
            </c:dLbl>
            <c:dLbl>
              <c:idx val="24"/>
              <c:layout>
                <c:manualLayout>
                  <c:x val="-2.3251088821911785E-2"/>
                  <c:y val="-3.2920403308564204E-3"/>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50000"/>
                            <a:lumOff val="50000"/>
                          </a:schemeClr>
                        </a:solidFill>
                        <a:latin typeface="+mn-lt"/>
                        <a:ea typeface="+mn-ea"/>
                        <a:cs typeface="+mn-cs"/>
                      </a:defRPr>
                    </a:pPr>
                    <a:r>
                      <a:rPr lang="sr-Cyrl-CS" sz="800">
                        <a:solidFill>
                          <a:schemeClr val="tx1">
                            <a:lumMod val="50000"/>
                            <a:lumOff val="50000"/>
                          </a:schemeClr>
                        </a:solidFill>
                      </a:rPr>
                      <a:t>Кипар</a:t>
                    </a: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50000"/>
                          <a:lumOff val="50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layout>
                    <c:manualLayout>
                      <c:w val="0.13100275293998009"/>
                      <c:h val="3.706857368218909E-2"/>
                    </c:manualLayout>
                  </c15:layout>
                  <c15:showDataLabelsRange val="0"/>
                </c:ext>
                <c:ext xmlns:c16="http://schemas.microsoft.com/office/drawing/2014/chart" uri="{C3380CC4-5D6E-409C-BE32-E72D297353CC}">
                  <c16:uniqueId val="{0000001A-8F8C-4330-9944-7D295277BCC6}"/>
                </c:ext>
              </c:extLst>
            </c:dLbl>
            <c:dLbl>
              <c:idx val="25"/>
              <c:layout>
                <c:manualLayout>
                  <c:x val="-5.4336818997261824E-2"/>
                  <c:y val="2.7688775146707936E-2"/>
                </c:manualLayout>
              </c:layout>
              <c:tx>
                <c:rich>
                  <a:bodyPr/>
                  <a:lstStyle/>
                  <a:p>
                    <a:r>
                      <a:rPr lang="sr-Cyrl-CS"/>
                      <a:t>Грчка</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8F8C-4330-9944-7D295277BCC6}"/>
                </c:ext>
              </c:extLst>
            </c:dLbl>
            <c:dLbl>
              <c:idx val="26"/>
              <c:layout>
                <c:manualLayout>
                  <c:x val="-7.1712231623221004E-2"/>
                  <c:y val="2.6158634455835144E-2"/>
                </c:manualLayout>
              </c:layout>
              <c:tx>
                <c:rich>
                  <a:bodyPr/>
                  <a:lstStyle/>
                  <a:p>
                    <a:r>
                      <a:rPr lang="sr-Cyrl-CS" baseline="0"/>
                      <a:t>Португал </a:t>
                    </a:r>
                    <a:endParaRPr lang="sr-Cyrl-C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8F8C-4330-9944-7D295277BCC6}"/>
                </c:ext>
              </c:extLst>
            </c:dLbl>
            <c:dLbl>
              <c:idx val="27"/>
              <c:layout>
                <c:manualLayout>
                  <c:x val="-4.1407867494824393E-3"/>
                  <c:y val="-2.6677682510351983E-3"/>
                </c:manualLayout>
              </c:layout>
              <c:tx>
                <c:rich>
                  <a:bodyPr rot="0" spcFirstLastPara="1" vertOverflow="ellipsis" vert="horz" wrap="square" lIns="38100" tIns="19050" rIns="38100" bIns="19050" anchor="ctr" anchorCtr="1">
                    <a:spAutoFit/>
                  </a:bodyPr>
                  <a:lstStyle/>
                  <a:p>
                    <a:pPr>
                      <a:defRPr sz="800" b="0" i="0" u="none" strike="noStrike" kern="1200" baseline="0">
                        <a:solidFill>
                          <a:srgbClr val="FF0000"/>
                        </a:solidFill>
                        <a:latin typeface="+mn-lt"/>
                        <a:ea typeface="+mn-ea"/>
                        <a:cs typeface="+mn-cs"/>
                      </a:defRPr>
                    </a:pPr>
                    <a:r>
                      <a:rPr lang="sr-Cyrl-CS">
                        <a:solidFill>
                          <a:srgbClr val="FF0000"/>
                        </a:solidFill>
                      </a:rPr>
                      <a:t>Србија</a:t>
                    </a:r>
                  </a:p>
                </c:rich>
              </c:tx>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8F8C-4330-9944-7D295277BCC6}"/>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8F8C-4330-9944-7D295277BCC6}"/>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F-8F8C-4330-9944-7D295277BCC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'2024'!$D$4:$D$31</c:f>
              <c:numCache>
                <c:formatCode>0.00</c:formatCode>
                <c:ptCount val="28"/>
                <c:pt idx="0">
                  <c:v>0.56999999999999995</c:v>
                </c:pt>
                <c:pt idx="1">
                  <c:v>0.56999999999999995</c:v>
                </c:pt>
                <c:pt idx="2">
                  <c:v>0.26</c:v>
                </c:pt>
                <c:pt idx="3">
                  <c:v>0.12</c:v>
                </c:pt>
                <c:pt idx="4">
                  <c:v>0.26</c:v>
                </c:pt>
                <c:pt idx="5">
                  <c:v>0.04</c:v>
                </c:pt>
                <c:pt idx="6">
                  <c:v>0.12</c:v>
                </c:pt>
                <c:pt idx="7">
                  <c:v>0.31</c:v>
                </c:pt>
                <c:pt idx="8">
                  <c:v>0.56999999999999995</c:v>
                </c:pt>
                <c:pt idx="9">
                  <c:v>0.41</c:v>
                </c:pt>
                <c:pt idx="10">
                  <c:v>0</c:v>
                </c:pt>
                <c:pt idx="11">
                  <c:v>0.69</c:v>
                </c:pt>
                <c:pt idx="12">
                  <c:v>0.32</c:v>
                </c:pt>
                <c:pt idx="13">
                  <c:v>0.08</c:v>
                </c:pt>
                <c:pt idx="14">
                  <c:v>0.18</c:v>
                </c:pt>
                <c:pt idx="15">
                  <c:v>0.08</c:v>
                </c:pt>
                <c:pt idx="16">
                  <c:v>0.26</c:v>
                </c:pt>
                <c:pt idx="17">
                  <c:v>0</c:v>
                </c:pt>
                <c:pt idx="18">
                  <c:v>0.32</c:v>
                </c:pt>
                <c:pt idx="19">
                  <c:v>0.32</c:v>
                </c:pt>
                <c:pt idx="20">
                  <c:v>0.22</c:v>
                </c:pt>
                <c:pt idx="21">
                  <c:v>0.26</c:v>
                </c:pt>
                <c:pt idx="22">
                  <c:v>0.41</c:v>
                </c:pt>
                <c:pt idx="23">
                  <c:v>0.08</c:v>
                </c:pt>
                <c:pt idx="24">
                  <c:v>0</c:v>
                </c:pt>
                <c:pt idx="25">
                  <c:v>0.08</c:v>
                </c:pt>
                <c:pt idx="26">
                  <c:v>0.31</c:v>
                </c:pt>
                <c:pt idx="27">
                  <c:v>0.11976047904191615</c:v>
                </c:pt>
              </c:numCache>
            </c:numRef>
          </c:xVal>
          <c:yVal>
            <c:numRef>
              <c:f>'2024'!$E$4:$E$31</c:f>
              <c:numCache>
                <c:formatCode>0.00</c:formatCode>
                <c:ptCount val="28"/>
                <c:pt idx="0">
                  <c:v>0.18</c:v>
                </c:pt>
                <c:pt idx="1">
                  <c:v>0.24</c:v>
                </c:pt>
                <c:pt idx="2">
                  <c:v>0.17</c:v>
                </c:pt>
                <c:pt idx="3">
                  <c:v>0.25</c:v>
                </c:pt>
                <c:pt idx="4">
                  <c:v>0.45</c:v>
                </c:pt>
                <c:pt idx="5">
                  <c:v>0.41</c:v>
                </c:pt>
                <c:pt idx="6">
                  <c:v>0.59</c:v>
                </c:pt>
                <c:pt idx="7">
                  <c:v>0.35</c:v>
                </c:pt>
                <c:pt idx="8">
                  <c:v>0.33</c:v>
                </c:pt>
                <c:pt idx="9">
                  <c:v>0.45</c:v>
                </c:pt>
                <c:pt idx="10">
                  <c:v>0.33</c:v>
                </c:pt>
                <c:pt idx="11">
                  <c:v>0.3</c:v>
                </c:pt>
                <c:pt idx="12">
                  <c:v>0.56000000000000005</c:v>
                </c:pt>
                <c:pt idx="13">
                  <c:v>0.24</c:v>
                </c:pt>
                <c:pt idx="14">
                  <c:v>0.35</c:v>
                </c:pt>
                <c:pt idx="15">
                  <c:v>0.3</c:v>
                </c:pt>
                <c:pt idx="16">
                  <c:v>0.18</c:v>
                </c:pt>
                <c:pt idx="17">
                  <c:v>0.37</c:v>
                </c:pt>
                <c:pt idx="18">
                  <c:v>0.38</c:v>
                </c:pt>
                <c:pt idx="19">
                  <c:v>0.57999999999999996</c:v>
                </c:pt>
                <c:pt idx="20">
                  <c:v>0.63</c:v>
                </c:pt>
                <c:pt idx="21">
                  <c:v>0.25</c:v>
                </c:pt>
                <c:pt idx="22">
                  <c:v>0.34</c:v>
                </c:pt>
                <c:pt idx="23">
                  <c:v>0.37</c:v>
                </c:pt>
                <c:pt idx="24">
                  <c:v>0.38</c:v>
                </c:pt>
                <c:pt idx="25">
                  <c:v>0.53</c:v>
                </c:pt>
                <c:pt idx="26">
                  <c:v>0.45</c:v>
                </c:pt>
                <c:pt idx="27">
                  <c:v>0.30769230769230771</c:v>
                </c:pt>
              </c:numCache>
            </c:numRef>
          </c:yVal>
          <c:smooth val="0"/>
          <c:extLst>
            <c:ext xmlns:c15="http://schemas.microsoft.com/office/drawing/2012/chart" uri="{02D57815-91ED-43cb-92C2-25804820EDAC}">
              <c15:datalabelsRange>
                <c15:f>'2024'!$B$4:$B$34</c15:f>
                <c15:dlblRangeCache>
                  <c:ptCount val="31"/>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Грчка</c:v>
                  </c:pt>
                  <c:pt idx="26">
                    <c:v>Португал</c:v>
                  </c:pt>
                  <c:pt idx="27">
                    <c:v>Србија</c:v>
                  </c:pt>
                  <c:pt idx="29">
                    <c:v>Србија 2020</c:v>
                  </c:pt>
                  <c:pt idx="30">
                    <c:v>Србија 2019,2018,2017</c:v>
                  </c:pt>
                </c15:dlblRangeCache>
              </c15:datalabelsRange>
            </c:ext>
            <c:ext xmlns:c16="http://schemas.microsoft.com/office/drawing/2014/chart" uri="{C3380CC4-5D6E-409C-BE32-E72D297353CC}">
              <c16:uniqueId val="{00000020-8F8C-4330-9944-7D295277BCC6}"/>
            </c:ext>
          </c:extLst>
        </c:ser>
        <c:dLbls>
          <c:showLegendKey val="0"/>
          <c:showVal val="0"/>
          <c:showCatName val="0"/>
          <c:showSerName val="0"/>
          <c:showPercent val="0"/>
          <c:showBubbleSize val="0"/>
        </c:dLbls>
        <c:axId val="2099147520"/>
        <c:axId val="2099146272"/>
      </c:scatterChart>
      <c:valAx>
        <c:axId val="-262788736"/>
        <c:scaling>
          <c:orientation val="minMax"/>
          <c:max val="0.8"/>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r>
                  <a:rPr lang="sr-Cyrl-RS" sz="800">
                    <a:latin typeface="+mj-lt"/>
                  </a:rPr>
                  <a:t>Фискални подиндекс</a:t>
                </a:r>
                <a:endParaRPr lang="en-US" sz="800">
                  <a:latin typeface="+mj-lt"/>
                </a:endParaRPr>
              </a:p>
            </c:rich>
          </c:tx>
          <c:layout>
            <c:manualLayout>
              <c:xMode val="edge"/>
              <c:yMode val="edge"/>
              <c:x val="0.32836641954038248"/>
              <c:y val="0.9471674575118627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en-US"/>
            </a:p>
          </c:txPr>
        </c:title>
        <c:numFmt formatCode="0.00" sourceLinked="1"/>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262793088"/>
        <c:crosses val="autoZero"/>
        <c:crossBetween val="midCat"/>
      </c:valAx>
      <c:valAx>
        <c:axId val="-262793088"/>
        <c:scaling>
          <c:orientation val="minMax"/>
          <c:max val="0.65000000000000013"/>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r>
                  <a:rPr lang="sr-Cyrl-RS" sz="800">
                    <a:latin typeface="+mj-lt"/>
                  </a:rPr>
                  <a:t>Подиндекс макро-финансијске конкурентности</a:t>
                </a:r>
                <a:endParaRPr lang="en-US" sz="800">
                  <a:latin typeface="+mj-lt"/>
                </a:endParaRPr>
              </a:p>
            </c:rich>
          </c:tx>
          <c:layout>
            <c:manualLayout>
              <c:xMode val="edge"/>
              <c:yMode val="edge"/>
              <c:x val="7.5251868585250346E-3"/>
              <c:y val="0.1547682919548133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j-lt"/>
                  <a:ea typeface="+mn-ea"/>
                  <a:cs typeface="+mn-cs"/>
                </a:defRPr>
              </a:pPr>
              <a:endParaRPr lang="en-US"/>
            </a:p>
          </c:txPr>
        </c:title>
        <c:numFmt formatCode="0.0" sourceLinked="0"/>
        <c:majorTickMark val="none"/>
        <c:minorTickMark val="none"/>
        <c:tickLblPos val="nextTo"/>
        <c:spPr>
          <a:noFill/>
          <a:ln w="6350"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262788736"/>
        <c:crosses val="autoZero"/>
        <c:crossBetween val="midCat"/>
      </c:valAx>
      <c:valAx>
        <c:axId val="2099146272"/>
        <c:scaling>
          <c:orientation val="minMax"/>
        </c:scaling>
        <c:delete val="1"/>
        <c:axPos val="r"/>
        <c:numFmt formatCode="0.00" sourceLinked="1"/>
        <c:majorTickMark val="out"/>
        <c:minorTickMark val="none"/>
        <c:tickLblPos val="nextTo"/>
        <c:crossAx val="2099147520"/>
        <c:crosses val="max"/>
        <c:crossBetween val="midCat"/>
      </c:valAx>
      <c:valAx>
        <c:axId val="2099147520"/>
        <c:scaling>
          <c:orientation val="minMax"/>
        </c:scaling>
        <c:delete val="1"/>
        <c:axPos val="t"/>
        <c:numFmt formatCode="0.00" sourceLinked="1"/>
        <c:majorTickMark val="out"/>
        <c:minorTickMark val="none"/>
        <c:tickLblPos val="nextTo"/>
        <c:crossAx val="2099146272"/>
        <c:crosses val="max"/>
        <c:crossBetween val="midCat"/>
      </c:valAx>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1" i="0" u="none" strike="noStrike" kern="1200" spc="0" baseline="0">
                <a:solidFill>
                  <a:srgbClr val="002060"/>
                </a:solidFill>
                <a:latin typeface="+mn-lt"/>
                <a:ea typeface="+mn-ea"/>
                <a:cs typeface="+mn-cs"/>
              </a:defRPr>
            </a:pPr>
            <a:r>
              <a:rPr lang="en-US" b="1">
                <a:solidFill>
                  <a:srgbClr val="002060"/>
                </a:solidFill>
              </a:rPr>
              <a:t>S0 </a:t>
            </a:r>
            <a:r>
              <a:rPr lang="sr-Cyrl-RS" b="1">
                <a:solidFill>
                  <a:srgbClr val="002060"/>
                </a:solidFill>
              </a:rPr>
              <a:t>земље ЕУ и Србија</a:t>
            </a:r>
          </a:p>
        </c:rich>
      </c:tx>
      <c:overlay val="0"/>
      <c:spPr>
        <a:noFill/>
        <a:ln>
          <a:noFill/>
        </a:ln>
        <a:effectLst/>
      </c:spPr>
      <c:txPr>
        <a:bodyPr rot="0" spcFirstLastPara="1" vertOverflow="ellipsis" vert="horz" wrap="square" anchor="ctr" anchorCtr="1"/>
        <a:lstStyle/>
        <a:p>
          <a:pPr>
            <a:defRPr sz="1080" b="1" i="0" u="none" strike="noStrike" kern="1200" spc="0" baseline="0">
              <a:solidFill>
                <a:srgbClr val="002060"/>
              </a:solidFill>
              <a:latin typeface="+mn-lt"/>
              <a:ea typeface="+mn-ea"/>
              <a:cs typeface="+mn-cs"/>
            </a:defRPr>
          </a:pPr>
          <a:endParaRPr lang="en-U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Serbia'!$A$3:$A$32</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f>'S0 EU Serbia'!$F$3:$F$32</c:f>
            </c:numRef>
          </c:val>
          <c:extLst>
            <c:ext xmlns:c16="http://schemas.microsoft.com/office/drawing/2014/chart" uri="{C3380CC4-5D6E-409C-BE32-E72D297353CC}">
              <c16:uniqueId val="{00000000-84EF-40AE-8ABA-F4DC669B77BC}"/>
            </c:ext>
          </c:extLst>
        </c:ser>
        <c:dLbls>
          <c:showLegendKey val="0"/>
          <c:showVal val="0"/>
          <c:showCatName val="0"/>
          <c:showSerName val="0"/>
          <c:showPercent val="0"/>
          <c:showBubbleSize val="0"/>
        </c:dLbls>
        <c:gapWidth val="150"/>
        <c:axId val="-486950096"/>
        <c:axId val="-486949552"/>
      </c:barChart>
      <c:barChart>
        <c:barDir val="col"/>
        <c:grouping val="clustered"/>
        <c:varyColors val="0"/>
        <c:ser>
          <c:idx val="5"/>
          <c:order val="7"/>
          <c:tx>
            <c:strRef>
              <c:f>'S0 EU Serbia'!$AG$2</c:f>
              <c:strCache>
                <c:ptCount val="1"/>
                <c:pt idx="0">
                  <c:v>S0 2023</c:v>
                </c:pt>
              </c:strCache>
            </c:strRef>
          </c:tx>
          <c:spPr>
            <a:solidFill>
              <a:srgbClr val="7030A0"/>
            </a:solidFill>
            <a:ln>
              <a:noFill/>
            </a:ln>
            <a:effectLst/>
          </c:spPr>
          <c:invertIfNegative val="0"/>
          <c:val>
            <c:numRef>
              <c:f>'S0 EU Serbia'!$AG$3:$AG$30</c:f>
              <c:numCache>
                <c:formatCode>0.00</c:formatCode>
                <c:ptCount val="28"/>
                <c:pt idx="0">
                  <c:v>0.09</c:v>
                </c:pt>
                <c:pt idx="1">
                  <c:v>0.27</c:v>
                </c:pt>
                <c:pt idx="2">
                  <c:v>0.21</c:v>
                </c:pt>
                <c:pt idx="3">
                  <c:v>0.24</c:v>
                </c:pt>
                <c:pt idx="4">
                  <c:v>0.21</c:v>
                </c:pt>
                <c:pt idx="5">
                  <c:v>0.32</c:v>
                </c:pt>
                <c:pt idx="6">
                  <c:v>0.27</c:v>
                </c:pt>
                <c:pt idx="7">
                  <c:v>0.3</c:v>
                </c:pt>
                <c:pt idx="8">
                  <c:v>0.2</c:v>
                </c:pt>
                <c:pt idx="9">
                  <c:v>0.38</c:v>
                </c:pt>
                <c:pt idx="10">
                  <c:v>0.31</c:v>
                </c:pt>
                <c:pt idx="11">
                  <c:v>0.16</c:v>
                </c:pt>
                <c:pt idx="12">
                  <c:v>0.46</c:v>
                </c:pt>
                <c:pt idx="13">
                  <c:v>0.13</c:v>
                </c:pt>
                <c:pt idx="14">
                  <c:v>0.35</c:v>
                </c:pt>
                <c:pt idx="15">
                  <c:v>0.31</c:v>
                </c:pt>
                <c:pt idx="16">
                  <c:v>0.27</c:v>
                </c:pt>
                <c:pt idx="17">
                  <c:v>0.19</c:v>
                </c:pt>
                <c:pt idx="18">
                  <c:v>0.17</c:v>
                </c:pt>
                <c:pt idx="19">
                  <c:v>0.12</c:v>
                </c:pt>
                <c:pt idx="20">
                  <c:v>0.39</c:v>
                </c:pt>
                <c:pt idx="21">
                  <c:v>0.32</c:v>
                </c:pt>
                <c:pt idx="22">
                  <c:v>0.31</c:v>
                </c:pt>
                <c:pt idx="23">
                  <c:v>0.20459290187891443</c:v>
                </c:pt>
                <c:pt idx="24">
                  <c:v>0.38</c:v>
                </c:pt>
                <c:pt idx="25">
                  <c:v>0.2</c:v>
                </c:pt>
                <c:pt idx="26">
                  <c:v>0.41</c:v>
                </c:pt>
                <c:pt idx="27">
                  <c:v>0.12</c:v>
                </c:pt>
              </c:numCache>
            </c:numRef>
          </c:val>
          <c:extLst>
            <c:ext xmlns:c16="http://schemas.microsoft.com/office/drawing/2014/chart" uri="{C3380CC4-5D6E-409C-BE32-E72D297353CC}">
              <c16:uniqueId val="{00000001-84EF-40AE-8ABA-F4DC669B77BC}"/>
            </c:ext>
          </c:extLst>
        </c:ser>
        <c:ser>
          <c:idx val="7"/>
          <c:order val="8"/>
          <c:tx>
            <c:strRef>
              <c:f>'S0 EU Serbia'!$AJ$2</c:f>
              <c:strCache>
                <c:ptCount val="1"/>
                <c:pt idx="0">
                  <c:v>S0 2024</c:v>
                </c:pt>
              </c:strCache>
            </c:strRef>
          </c:tx>
          <c:spPr>
            <a:solidFill>
              <a:srgbClr val="00B0F0"/>
            </a:solidFill>
            <a:ln>
              <a:noFill/>
            </a:ln>
            <a:effectLst/>
          </c:spPr>
          <c:invertIfNegative val="0"/>
          <c:val>
            <c:numRef>
              <c:f>'S0 EU Serbia'!$AJ$3:$AJ$30</c:f>
              <c:numCache>
                <c:formatCode>0.00</c:formatCode>
                <c:ptCount val="28"/>
                <c:pt idx="0">
                  <c:v>0.31</c:v>
                </c:pt>
                <c:pt idx="1">
                  <c:v>0.35</c:v>
                </c:pt>
                <c:pt idx="2">
                  <c:v>0.2</c:v>
                </c:pt>
                <c:pt idx="3">
                  <c:v>0.2</c:v>
                </c:pt>
                <c:pt idx="4">
                  <c:v>0.41</c:v>
                </c:pt>
                <c:pt idx="5">
                  <c:v>0.25</c:v>
                </c:pt>
                <c:pt idx="6">
                  <c:v>0.28000000000000003</c:v>
                </c:pt>
                <c:pt idx="7">
                  <c:v>0.43</c:v>
                </c:pt>
                <c:pt idx="8">
                  <c:v>0.34</c:v>
                </c:pt>
                <c:pt idx="9">
                  <c:v>0.38</c:v>
                </c:pt>
                <c:pt idx="10">
                  <c:v>0.39</c:v>
                </c:pt>
                <c:pt idx="11">
                  <c:v>0.18</c:v>
                </c:pt>
                <c:pt idx="12">
                  <c:v>0.44</c:v>
                </c:pt>
                <c:pt idx="13">
                  <c:v>0.22</c:v>
                </c:pt>
                <c:pt idx="14">
                  <c:v>0.43</c:v>
                </c:pt>
                <c:pt idx="15">
                  <c:v>0.48</c:v>
                </c:pt>
                <c:pt idx="16">
                  <c:v>0.28999999999999998</c:v>
                </c:pt>
                <c:pt idx="17">
                  <c:v>0.22</c:v>
                </c:pt>
                <c:pt idx="18">
                  <c:v>0.21</c:v>
                </c:pt>
                <c:pt idx="19">
                  <c:v>0.24</c:v>
                </c:pt>
                <c:pt idx="20">
                  <c:v>0.36</c:v>
                </c:pt>
                <c:pt idx="21">
                  <c:v>0.4</c:v>
                </c:pt>
                <c:pt idx="22">
                  <c:v>0.49</c:v>
                </c:pt>
                <c:pt idx="23">
                  <c:v>0.24217118997912318</c:v>
                </c:pt>
                <c:pt idx="24">
                  <c:v>0.48</c:v>
                </c:pt>
                <c:pt idx="25">
                  <c:v>0.25</c:v>
                </c:pt>
                <c:pt idx="26">
                  <c:v>0.37</c:v>
                </c:pt>
                <c:pt idx="27">
                  <c:v>0.27</c:v>
                </c:pt>
              </c:numCache>
            </c:numRef>
          </c:val>
          <c:extLst>
            <c:ext xmlns:c16="http://schemas.microsoft.com/office/drawing/2014/chart" uri="{C3380CC4-5D6E-409C-BE32-E72D297353CC}">
              <c16:uniqueId val="{00000002-84EF-40AE-8ABA-F4DC669B77BC}"/>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Serbia'!$A$3:$A$32</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c:ext uri="{02D57815-91ED-43cb-92C2-25804820EDAC}">
                        <c15:formulaRef>
                          <c15:sqref>'S0 EU Serbia'!$I$3:$I$32</c15:sqref>
                        </c15:formulaRef>
                      </c:ext>
                    </c:extLst>
                    <c:numCache>
                      <c:formatCode>0.00</c:formatCode>
                      <c:ptCount val="30"/>
                      <c:pt idx="0">
                        <c:v>7.0000000000000007E-2</c:v>
                      </c:pt>
                      <c:pt idx="1">
                        <c:v>0.1</c:v>
                      </c:pt>
                      <c:pt idx="2">
                        <c:v>0.21</c:v>
                      </c:pt>
                      <c:pt idx="3">
                        <c:v>0.11</c:v>
                      </c:pt>
                      <c:pt idx="4">
                        <c:v>0.26</c:v>
                      </c:pt>
                      <c:pt idx="6">
                        <c:v>0.25</c:v>
                      </c:pt>
                      <c:pt idx="7">
                        <c:v>0.19</c:v>
                      </c:pt>
                      <c:pt idx="8">
                        <c:v>0.22</c:v>
                      </c:pt>
                      <c:pt idx="9">
                        <c:v>0.17</c:v>
                      </c:pt>
                      <c:pt idx="11">
                        <c:v>0.02</c:v>
                      </c:pt>
                      <c:pt idx="12">
                        <c:v>0.16</c:v>
                      </c:pt>
                      <c:pt idx="13">
                        <c:v>0.38</c:v>
                      </c:pt>
                      <c:pt idx="14">
                        <c:v>0.21</c:v>
                      </c:pt>
                      <c:pt idx="15">
                        <c:v>0.34</c:v>
                      </c:pt>
                      <c:pt idx="16">
                        <c:v>0.18</c:v>
                      </c:pt>
                      <c:pt idx="17">
                        <c:v>0.09</c:v>
                      </c:pt>
                      <c:pt idx="18">
                        <c:v>0.13</c:v>
                      </c:pt>
                      <c:pt idx="19">
                        <c:v>0.19</c:v>
                      </c:pt>
                      <c:pt idx="20">
                        <c:v>0.27</c:v>
                      </c:pt>
                      <c:pt idx="21">
                        <c:v>0.24</c:v>
                      </c:pt>
                      <c:pt idx="22">
                        <c:v>0.14000000000000001</c:v>
                      </c:pt>
                      <c:pt idx="23">
                        <c:v>0.36</c:v>
                      </c:pt>
                      <c:pt idx="24">
                        <c:v>0.21</c:v>
                      </c:pt>
                      <c:pt idx="25">
                        <c:v>0.08</c:v>
                      </c:pt>
                      <c:pt idx="26">
                        <c:v>0.21</c:v>
                      </c:pt>
                      <c:pt idx="27">
                        <c:v>0.15</c:v>
                      </c:pt>
                    </c:numCache>
                  </c:numRef>
                </c:val>
                <c:extLst>
                  <c:ext xmlns:c16="http://schemas.microsoft.com/office/drawing/2014/chart" uri="{C3380CC4-5D6E-409C-BE32-E72D297353CC}">
                    <c16:uniqueId val="{00000005-84EF-40AE-8ABA-F4DC669B77BC}"/>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84EF-40AE-8ABA-F4DC669B77BC}"/>
                    </c:ext>
                  </c:extLst>
                </c:dPt>
                <c:cat>
                  <c:strRef>
                    <c:extLst xmlns:c15="http://schemas.microsoft.com/office/drawing/2012/chart">
                      <c:ext xmlns:c15="http://schemas.microsoft.com/office/drawing/2012/chart" uri="{02D57815-91ED-43cb-92C2-25804820EDAC}">
                        <c15:formulaRef>
                          <c15:sqref>'S0 EU Serbia'!$A$3:$A$32</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Serbia'!$L$3:$L$32</c15:sqref>
                        </c15:formulaRef>
                      </c:ext>
                    </c:extLst>
                    <c:numCache>
                      <c:formatCode>0.00</c:formatCode>
                      <c:ptCount val="30"/>
                      <c:pt idx="0">
                        <c:v>0.15</c:v>
                      </c:pt>
                      <c:pt idx="1">
                        <c:v>0.42</c:v>
                      </c:pt>
                      <c:pt idx="2">
                        <c:v>0.28000000000000003</c:v>
                      </c:pt>
                      <c:pt idx="3">
                        <c:v>0.19</c:v>
                      </c:pt>
                      <c:pt idx="4">
                        <c:v>0.18</c:v>
                      </c:pt>
                      <c:pt idx="5">
                        <c:v>0.41</c:v>
                      </c:pt>
                      <c:pt idx="6">
                        <c:v>0.19</c:v>
                      </c:pt>
                      <c:pt idx="7">
                        <c:v>0.25</c:v>
                      </c:pt>
                      <c:pt idx="8">
                        <c:v>0.22</c:v>
                      </c:pt>
                      <c:pt idx="9">
                        <c:v>0.31</c:v>
                      </c:pt>
                      <c:pt idx="11">
                        <c:v>0.08</c:v>
                      </c:pt>
                      <c:pt idx="12">
                        <c:v>0.31</c:v>
                      </c:pt>
                      <c:pt idx="13">
                        <c:v>0.28000000000000003</c:v>
                      </c:pt>
                      <c:pt idx="14">
                        <c:v>0.42</c:v>
                      </c:pt>
                      <c:pt idx="15">
                        <c:v>0.28999999999999998</c:v>
                      </c:pt>
                      <c:pt idx="16">
                        <c:v>0.21</c:v>
                      </c:pt>
                      <c:pt idx="17">
                        <c:v>0.28999999999999998</c:v>
                      </c:pt>
                      <c:pt idx="18">
                        <c:v>0.15</c:v>
                      </c:pt>
                      <c:pt idx="19">
                        <c:v>0.2</c:v>
                      </c:pt>
                      <c:pt idx="20">
                        <c:v>0.28999999999999998</c:v>
                      </c:pt>
                      <c:pt idx="21">
                        <c:v>0.41</c:v>
                      </c:pt>
                      <c:pt idx="22">
                        <c:v>0.26</c:v>
                      </c:pt>
                      <c:pt idx="23">
                        <c:v>0.19161676646706588</c:v>
                      </c:pt>
                      <c:pt idx="24">
                        <c:v>0.34</c:v>
                      </c:pt>
                      <c:pt idx="25">
                        <c:v>0.14000000000000001</c:v>
                      </c:pt>
                      <c:pt idx="26">
                        <c:v>0.37</c:v>
                      </c:pt>
                      <c:pt idx="27">
                        <c:v>0.12</c:v>
                      </c:pt>
                    </c:numCache>
                  </c:numRef>
                </c:val>
                <c:extLst xmlns:c15="http://schemas.microsoft.com/office/drawing/2012/chart">
                  <c:ext xmlns:c16="http://schemas.microsoft.com/office/drawing/2014/chart" uri="{C3380CC4-5D6E-409C-BE32-E72D297353CC}">
                    <c16:uniqueId val="{00000008-84EF-40AE-8ABA-F4DC669B77BC}"/>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Serbia'!$O$3:$O$31</c15:sqref>
                        </c15:formulaRef>
                      </c:ext>
                    </c:extLst>
                    <c:numCache>
                      <c:formatCode>0.00</c:formatCode>
                      <c:ptCount val="29"/>
                      <c:pt idx="0">
                        <c:v>7.0000000000000007E-2</c:v>
                      </c:pt>
                      <c:pt idx="1">
                        <c:v>0.35</c:v>
                      </c:pt>
                      <c:pt idx="2">
                        <c:v>0.25</c:v>
                      </c:pt>
                      <c:pt idx="3">
                        <c:v>0.19</c:v>
                      </c:pt>
                      <c:pt idx="4">
                        <c:v>0.2</c:v>
                      </c:pt>
                      <c:pt idx="5">
                        <c:v>0.44</c:v>
                      </c:pt>
                      <c:pt idx="6">
                        <c:v>0.3</c:v>
                      </c:pt>
                      <c:pt idx="7">
                        <c:v>0.2</c:v>
                      </c:pt>
                      <c:pt idx="8">
                        <c:v>0.1</c:v>
                      </c:pt>
                      <c:pt idx="9">
                        <c:v>0.24</c:v>
                      </c:pt>
                      <c:pt idx="11">
                        <c:v>0.08</c:v>
                      </c:pt>
                      <c:pt idx="12">
                        <c:v>0.39</c:v>
                      </c:pt>
                      <c:pt idx="13">
                        <c:v>0.28000000000000003</c:v>
                      </c:pt>
                      <c:pt idx="14">
                        <c:v>0.36</c:v>
                      </c:pt>
                      <c:pt idx="15">
                        <c:v>0.24</c:v>
                      </c:pt>
                      <c:pt idx="16">
                        <c:v>0.21</c:v>
                      </c:pt>
                      <c:pt idx="17">
                        <c:v>0.12</c:v>
                      </c:pt>
                      <c:pt idx="18">
                        <c:v>0.05</c:v>
                      </c:pt>
                      <c:pt idx="19">
                        <c:v>0.2</c:v>
                      </c:pt>
                      <c:pt idx="20">
                        <c:v>0.25</c:v>
                      </c:pt>
                      <c:pt idx="21">
                        <c:v>0.36</c:v>
                      </c:pt>
                      <c:pt idx="22">
                        <c:v>0.2</c:v>
                      </c:pt>
                      <c:pt idx="23">
                        <c:v>0.17745302713987476</c:v>
                      </c:pt>
                      <c:pt idx="24">
                        <c:v>0.3</c:v>
                      </c:pt>
                      <c:pt idx="25">
                        <c:v>0.13</c:v>
                      </c:pt>
                      <c:pt idx="26">
                        <c:v>0.37</c:v>
                      </c:pt>
                      <c:pt idx="27">
                        <c:v>0.12</c:v>
                      </c:pt>
                    </c:numCache>
                  </c:numRef>
                </c:val>
                <c:extLst xmlns:c15="http://schemas.microsoft.com/office/drawing/2012/chart">
                  <c:ext xmlns:c16="http://schemas.microsoft.com/office/drawing/2014/chart" uri="{C3380CC4-5D6E-409C-BE32-E72D297353CC}">
                    <c16:uniqueId val="{00000009-84EF-40AE-8ABA-F4DC669B77BC}"/>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extLst xmlns:c15="http://schemas.microsoft.com/office/drawing/2012/chart">
                      <c:ext xmlns:c15="http://schemas.microsoft.com/office/drawing/2012/chart" uri="{02D57815-91ED-43cb-92C2-25804820EDAC}">
                        <c15:formulaRef>
                          <c15:sqref>'S0 EU Serbia'!$R$3:$R$31</c15:sqref>
                        </c15:formulaRef>
                      </c:ext>
                    </c:extLst>
                    <c:numCache>
                      <c:formatCode>0.00</c:formatCode>
                      <c:ptCount val="29"/>
                      <c:pt idx="0">
                        <c:v>0.03</c:v>
                      </c:pt>
                      <c:pt idx="1">
                        <c:v>0.22</c:v>
                      </c:pt>
                      <c:pt idx="2">
                        <c:v>0.19</c:v>
                      </c:pt>
                      <c:pt idx="3">
                        <c:v>0.18</c:v>
                      </c:pt>
                      <c:pt idx="4">
                        <c:v>0.24</c:v>
                      </c:pt>
                      <c:pt idx="5">
                        <c:v>0.46</c:v>
                      </c:pt>
                      <c:pt idx="6">
                        <c:v>0.12</c:v>
                      </c:pt>
                      <c:pt idx="7">
                        <c:v>0.17</c:v>
                      </c:pt>
                      <c:pt idx="8">
                        <c:v>0.14000000000000001</c:v>
                      </c:pt>
                      <c:pt idx="9">
                        <c:v>0.28999999999999998</c:v>
                      </c:pt>
                      <c:pt idx="11">
                        <c:v>0</c:v>
                      </c:pt>
                      <c:pt idx="12">
                        <c:v>0.34</c:v>
                      </c:pt>
                      <c:pt idx="13">
                        <c:v>0.21</c:v>
                      </c:pt>
                      <c:pt idx="14">
                        <c:v>0.36</c:v>
                      </c:pt>
                      <c:pt idx="15">
                        <c:v>0.24</c:v>
                      </c:pt>
                      <c:pt idx="16">
                        <c:v>0.21</c:v>
                      </c:pt>
                      <c:pt idx="17">
                        <c:v>0.12</c:v>
                      </c:pt>
                      <c:pt idx="18">
                        <c:v>0.06</c:v>
                      </c:pt>
                      <c:pt idx="19">
                        <c:v>0.08</c:v>
                      </c:pt>
                      <c:pt idx="20">
                        <c:v>0.18</c:v>
                      </c:pt>
                      <c:pt idx="21">
                        <c:v>0.33</c:v>
                      </c:pt>
                      <c:pt idx="22">
                        <c:v>0.3</c:v>
                      </c:pt>
                      <c:pt idx="23">
                        <c:v>0.17745302713987476</c:v>
                      </c:pt>
                      <c:pt idx="24">
                        <c:v>0.27</c:v>
                      </c:pt>
                      <c:pt idx="25">
                        <c:v>0.13</c:v>
                      </c:pt>
                      <c:pt idx="26">
                        <c:v>0.37</c:v>
                      </c:pt>
                      <c:pt idx="27">
                        <c:v>0.2</c:v>
                      </c:pt>
                    </c:numCache>
                  </c:numRef>
                </c:val>
                <c:extLst xmlns:c15="http://schemas.microsoft.com/office/drawing/2012/chart">
                  <c:ext xmlns:c16="http://schemas.microsoft.com/office/drawing/2014/chart" uri="{C3380CC4-5D6E-409C-BE32-E72D297353CC}">
                    <c16:uniqueId val="{0000000A-84EF-40AE-8ABA-F4DC669B77BC}"/>
                  </c:ext>
                </c:extLst>
              </c15:ser>
            </c15:filteredBarSeries>
            <c15:filteredBarSeries>
              <c15:ser>
                <c:idx val="4"/>
                <c:order val="6"/>
                <c:tx>
                  <c:strRef>
                    <c:extLst xmlns:c15="http://schemas.microsoft.com/office/drawing/2012/chart">
                      <c:ext xmlns:c15="http://schemas.microsoft.com/office/drawing/2012/chart" uri="{02D57815-91ED-43cb-92C2-25804820EDAC}">
                        <c15:formulaRef>
                          <c15:sqref>'S0 EU Serbia'!$U$2</c15:sqref>
                        </c15:formulaRef>
                      </c:ext>
                    </c:extLst>
                    <c:strCache>
                      <c:ptCount val="1"/>
                      <c:pt idx="0">
                        <c:v>S0 2019</c:v>
                      </c:pt>
                    </c:strCache>
                  </c:strRef>
                </c:tx>
                <c:spPr>
                  <a:solidFill>
                    <a:schemeClr val="accent5"/>
                  </a:solidFill>
                  <a:ln>
                    <a:noFill/>
                  </a:ln>
                  <a:effectLst/>
                </c:spPr>
                <c:invertIfNegative val="0"/>
                <c:val>
                  <c:numRef>
                    <c:extLst xmlns:c15="http://schemas.microsoft.com/office/drawing/2012/chart">
                      <c:ext xmlns:c15="http://schemas.microsoft.com/office/drawing/2012/chart" uri="{02D57815-91ED-43cb-92C2-25804820EDAC}">
                        <c15:formulaRef>
                          <c15:sqref>'S0 EU Serbia'!$U$3:$U$30</c15:sqref>
                        </c15:formulaRef>
                      </c:ext>
                    </c:extLst>
                    <c:numCache>
                      <c:formatCode>0.00</c:formatCode>
                      <c:ptCount val="28"/>
                      <c:pt idx="0">
                        <c:v>0.1</c:v>
                      </c:pt>
                      <c:pt idx="1">
                        <c:v>0.17</c:v>
                      </c:pt>
                      <c:pt idx="2">
                        <c:v>0.21</c:v>
                      </c:pt>
                      <c:pt idx="3">
                        <c:v>0.22</c:v>
                      </c:pt>
                      <c:pt idx="4">
                        <c:v>0.24</c:v>
                      </c:pt>
                      <c:pt idx="5">
                        <c:v>0.45</c:v>
                      </c:pt>
                      <c:pt idx="6">
                        <c:v>0.2</c:v>
                      </c:pt>
                      <c:pt idx="7">
                        <c:v>0.2</c:v>
                      </c:pt>
                      <c:pt idx="8">
                        <c:v>0.26</c:v>
                      </c:pt>
                      <c:pt idx="9">
                        <c:v>0.36</c:v>
                      </c:pt>
                      <c:pt idx="11">
                        <c:v>0.08</c:v>
                      </c:pt>
                      <c:pt idx="12">
                        <c:v>0.28999999999999998</c:v>
                      </c:pt>
                      <c:pt idx="13">
                        <c:v>0.14000000000000001</c:v>
                      </c:pt>
                      <c:pt idx="14">
                        <c:v>0.33</c:v>
                      </c:pt>
                      <c:pt idx="15">
                        <c:v>0.24</c:v>
                      </c:pt>
                      <c:pt idx="16">
                        <c:v>0.21</c:v>
                      </c:pt>
                      <c:pt idx="17">
                        <c:v>0.19</c:v>
                      </c:pt>
                      <c:pt idx="18">
                        <c:v>0.06</c:v>
                      </c:pt>
                      <c:pt idx="19">
                        <c:v>0.16</c:v>
                      </c:pt>
                      <c:pt idx="20">
                        <c:v>0.26</c:v>
                      </c:pt>
                      <c:pt idx="21">
                        <c:v>0.33</c:v>
                      </c:pt>
                      <c:pt idx="22">
                        <c:v>0.37</c:v>
                      </c:pt>
                      <c:pt idx="23">
                        <c:v>0.17745302713987476</c:v>
                      </c:pt>
                      <c:pt idx="24">
                        <c:v>0.27</c:v>
                      </c:pt>
                      <c:pt idx="25">
                        <c:v>0.05</c:v>
                      </c:pt>
                      <c:pt idx="26">
                        <c:v>0.37</c:v>
                      </c:pt>
                      <c:pt idx="27">
                        <c:v>0.24</c:v>
                      </c:pt>
                    </c:numCache>
                  </c:numRef>
                </c:val>
                <c:extLst xmlns:c15="http://schemas.microsoft.com/office/drawing/2012/chart">
                  <c:ext xmlns:c16="http://schemas.microsoft.com/office/drawing/2014/chart" uri="{C3380CC4-5D6E-409C-BE32-E72D297353CC}">
                    <c16:uniqueId val="{0000000B-84EF-40AE-8ABA-F4DC669B77BC}"/>
                  </c:ext>
                </c:extLst>
              </c15:ser>
            </c15:filteredBarSeries>
          </c:ext>
        </c:extLst>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4EF-40AE-8ABA-F4DC669B77BC}"/>
                </c:ext>
              </c:extLst>
            </c:dLbl>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Грчка</c:v>
                </c:pt>
                <c:pt idx="11">
                  <c:v>Немачка</c:v>
                </c:pt>
                <c:pt idx="12">
                  <c:v>Мађарска</c:v>
                </c:pt>
                <c:pt idx="13">
                  <c:v>Ирска</c:v>
                </c:pt>
                <c:pt idx="14">
                  <c:v>Италија</c:v>
                </c:pt>
                <c:pt idx="15">
                  <c:v>Летонија</c:v>
                </c:pt>
                <c:pt idx="16">
                  <c:v>Литванија</c:v>
                </c:pt>
                <c:pt idx="17">
                  <c:v>Луксембург</c:v>
                </c:pt>
                <c:pt idx="18">
                  <c:v>Малта</c:v>
                </c:pt>
                <c:pt idx="19">
                  <c:v>Холандија</c:v>
                </c:pt>
                <c:pt idx="20">
                  <c:v>Пољска</c:v>
                </c:pt>
                <c:pt idx="21">
                  <c:v>Португал</c:v>
                </c:pt>
                <c:pt idx="22">
                  <c:v>Румунија</c:v>
                </c:pt>
                <c:pt idx="23">
                  <c:v>Србија</c:v>
                </c:pt>
                <c:pt idx="24">
                  <c:v>Словачка</c:v>
                </c:pt>
                <c:pt idx="25">
                  <c:v>Словенија</c:v>
                </c:pt>
                <c:pt idx="26">
                  <c:v>Шпанија</c:v>
                </c:pt>
                <c:pt idx="27">
                  <c:v>Шведска</c:v>
                </c:pt>
              </c:strCache>
            </c:strRef>
          </c:cat>
          <c:val>
            <c:numRef>
              <c:f>'S0 EU Serbia'!$E$3:$E$30</c:f>
              <c:numCache>
                <c:formatCode>0.00</c:formatCode>
                <c:ptCount val="28"/>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pt idx="27">
                  <c:v>0.46</c:v>
                </c:pt>
              </c:numCache>
            </c:numRef>
          </c:val>
          <c:smooth val="0"/>
          <c:extLst>
            <c:ext xmlns:c16="http://schemas.microsoft.com/office/drawing/2014/chart" uri="{C3380CC4-5D6E-409C-BE32-E72D297353CC}">
              <c16:uniqueId val="{00000004-84EF-40AE-8ABA-F4DC669B77BC}"/>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9552"/>
        <c:crosses val="autoZero"/>
        <c:auto val="1"/>
        <c:lblAlgn val="ctr"/>
        <c:lblOffset val="100"/>
        <c:noMultiLvlLbl val="0"/>
      </c:catAx>
      <c:valAx>
        <c:axId val="-486949552"/>
        <c:scaling>
          <c:orientation val="minMax"/>
          <c:max val="0.9"/>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50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sz="900">
          <a:latin typeface="+mn-lt"/>
        </a:defRPr>
      </a:pPr>
      <a:endParaRPr lang="en-US"/>
    </a:p>
  </c:txPr>
  <c:externalData r:id="rId3">
    <c:autoUpdate val="0"/>
  </c:externalData>
  <c:userShapes r:id="rId4"/>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080" b="0" i="0" u="none" strike="noStrike" kern="1200" spc="0" baseline="0">
                <a:solidFill>
                  <a:schemeClr val="tx1">
                    <a:lumMod val="65000"/>
                    <a:lumOff val="35000"/>
                  </a:schemeClr>
                </a:solidFill>
                <a:latin typeface="+mn-lt"/>
                <a:ea typeface="+mn-ea"/>
                <a:cs typeface="+mn-cs"/>
              </a:defRPr>
            </a:pPr>
            <a:r>
              <a:rPr lang="en-US" b="1">
                <a:solidFill>
                  <a:srgbClr val="002060"/>
                </a:solidFill>
              </a:rPr>
              <a:t>S0 </a:t>
            </a:r>
            <a:r>
              <a:rPr lang="sr-Cyrl-RS" b="1">
                <a:solidFill>
                  <a:srgbClr val="002060"/>
                </a:solidFill>
              </a:rPr>
              <a:t>индикатор са фискалним подиндексом и подиндексом финансијске конкурентности за Србију за период 2015-20</a:t>
            </a:r>
            <a:r>
              <a:rPr lang="sr-Latn-RS" b="1">
                <a:solidFill>
                  <a:srgbClr val="002060"/>
                </a:solidFill>
              </a:rPr>
              <a:t>24</a:t>
            </a:r>
            <a:r>
              <a:rPr lang="sr-Cyrl-RS" b="1">
                <a:solidFill>
                  <a:srgbClr val="002060"/>
                </a:solidFill>
              </a:rPr>
              <a:t>. године </a:t>
            </a:r>
            <a:endParaRPr lang="en-US" b="1">
              <a:solidFill>
                <a:srgbClr val="002060"/>
              </a:solidFill>
            </a:endParaRPr>
          </a:p>
        </c:rich>
      </c:tx>
      <c:layout>
        <c:manualLayout>
          <c:xMode val="edge"/>
          <c:yMode val="edge"/>
          <c:x val="0.10814122740566154"/>
          <c:y val="1.282051282051282E-2"/>
        </c:manualLayout>
      </c:layout>
      <c:overlay val="0"/>
      <c:spPr>
        <a:noFill/>
        <a:ln>
          <a:noFill/>
        </a:ln>
        <a:effectLst/>
      </c:spPr>
      <c:txPr>
        <a:bodyPr rot="0" spcFirstLastPara="1" vertOverflow="ellipsis" vert="horz" wrap="square" anchor="ctr" anchorCtr="1"/>
        <a:lstStyle/>
        <a:p>
          <a:pPr algn="ctr" rtl="0">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3415222230767468E-2"/>
          <c:y val="3.6774925403545759E-2"/>
          <c:w val="0.89818784226795878"/>
          <c:h val="0.77017238980982072"/>
        </c:manualLayout>
      </c:layout>
      <c:barChart>
        <c:barDir val="col"/>
        <c:grouping val="clustered"/>
        <c:varyColors val="0"/>
        <c:ser>
          <c:idx val="0"/>
          <c:order val="0"/>
          <c:tx>
            <c:strRef>
              <c:f>'S0 EU Serbia'!$AM$39</c:f>
              <c:strCache>
                <c:ptCount val="1"/>
                <c:pt idx="0">
                  <c:v>Фискални подиндекс</c:v>
                </c:pt>
              </c:strCache>
            </c:strRef>
          </c:tx>
          <c:spPr>
            <a:solidFill>
              <a:srgbClr val="7030A0"/>
            </a:solidFill>
            <a:ln w="9525">
              <a:noFill/>
            </a:ln>
            <a:effectLst/>
          </c:spPr>
          <c:invertIfNegative val="0"/>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Serbia'!$AM$41:$AM$52</c:f>
              <c:numCache>
                <c:formatCode>0.00</c:formatCode>
                <c:ptCount val="10"/>
                <c:pt idx="0">
                  <c:v>0.40718562874251496</c:v>
                </c:pt>
                <c:pt idx="1">
                  <c:v>0.19161676646706588</c:v>
                </c:pt>
                <c:pt idx="2">
                  <c:v>0</c:v>
                </c:pt>
                <c:pt idx="3">
                  <c:v>0</c:v>
                </c:pt>
                <c:pt idx="4">
                  <c:v>0</c:v>
                </c:pt>
                <c:pt idx="5">
                  <c:v>0.47904191616766456</c:v>
                </c:pt>
                <c:pt idx="6">
                  <c:v>0.21560000000000001</c:v>
                </c:pt>
                <c:pt idx="7">
                  <c:v>0.21556886227544908</c:v>
                </c:pt>
                <c:pt idx="8">
                  <c:v>7.7844311377245498E-2</c:v>
                </c:pt>
                <c:pt idx="9">
                  <c:v>0.11976047904191615</c:v>
                </c:pt>
              </c:numCache>
            </c:numRef>
          </c:val>
          <c:extLst>
            <c:ext xmlns:c16="http://schemas.microsoft.com/office/drawing/2014/chart" uri="{C3380CC4-5D6E-409C-BE32-E72D297353CC}">
              <c16:uniqueId val="{00000000-5806-4777-BA33-1C23672F700F}"/>
            </c:ext>
          </c:extLst>
        </c:ser>
        <c:ser>
          <c:idx val="1"/>
          <c:order val="1"/>
          <c:tx>
            <c:strRef>
              <c:f>'S0 EU Serbia'!$AN$39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Serbia'!$AN$41:$AN$52</c:f>
              <c:numCache>
                <c:formatCode>0.00</c:formatCode>
                <c:ptCount val="10"/>
                <c:pt idx="0">
                  <c:v>0.27243589743589747</c:v>
                </c:pt>
                <c:pt idx="1">
                  <c:v>0.27243589743589747</c:v>
                </c:pt>
                <c:pt idx="2">
                  <c:v>0.27243589743589747</c:v>
                </c:pt>
                <c:pt idx="3">
                  <c:v>0.27243589743589747</c:v>
                </c:pt>
                <c:pt idx="4">
                  <c:v>0.27243589743589747</c:v>
                </c:pt>
                <c:pt idx="5">
                  <c:v>0.42307692307692302</c:v>
                </c:pt>
                <c:pt idx="6">
                  <c:v>0.27239999999999998</c:v>
                </c:pt>
                <c:pt idx="7">
                  <c:v>0.27243589743589747</c:v>
                </c:pt>
                <c:pt idx="8">
                  <c:v>0.27243589743589747</c:v>
                </c:pt>
                <c:pt idx="9">
                  <c:v>0.30769230769230771</c:v>
                </c:pt>
              </c:numCache>
            </c:numRef>
          </c:val>
          <c:extLst>
            <c:ext xmlns:c16="http://schemas.microsoft.com/office/drawing/2014/chart" uri="{C3380CC4-5D6E-409C-BE32-E72D297353CC}">
              <c16:uniqueId val="{00000001-5806-4777-BA33-1C23672F700F}"/>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Serbia'!$AO$39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5806-4777-BA33-1C23672F700F}"/>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5806-4777-BA33-1C23672F700F}"/>
              </c:ext>
            </c:extLst>
          </c:dPt>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Serbia'!$AO$41:$AO$52</c:f>
              <c:numCache>
                <c:formatCode>0.00</c:formatCode>
                <c:ptCount val="10"/>
                <c:pt idx="0">
                  <c:v>0.31941544885177453</c:v>
                </c:pt>
                <c:pt idx="1">
                  <c:v>0.24425887265135704</c:v>
                </c:pt>
                <c:pt idx="2">
                  <c:v>0.17745302713987476</c:v>
                </c:pt>
                <c:pt idx="3">
                  <c:v>0.17745302713987476</c:v>
                </c:pt>
                <c:pt idx="4">
                  <c:v>0.17745302713987476</c:v>
                </c:pt>
                <c:pt idx="5">
                  <c:v>0.4425887265135699</c:v>
                </c:pt>
                <c:pt idx="6">
                  <c:v>0.25259999999999999</c:v>
                </c:pt>
                <c:pt idx="7">
                  <c:v>0.25260960334029231</c:v>
                </c:pt>
                <c:pt idx="8">
                  <c:v>0.20459290187891443</c:v>
                </c:pt>
                <c:pt idx="9">
                  <c:v>0.24217118997912318</c:v>
                </c:pt>
              </c:numCache>
            </c:numRef>
          </c:val>
          <c:smooth val="0"/>
          <c:extLst>
            <c:ext xmlns:c16="http://schemas.microsoft.com/office/drawing/2014/chart" uri="{C3380CC4-5D6E-409C-BE32-E72D297353CC}">
              <c16:uniqueId val="{00000006-5806-4777-BA33-1C23672F700F}"/>
            </c:ext>
          </c:extLst>
        </c:ser>
        <c:ser>
          <c:idx val="3"/>
          <c:order val="3"/>
          <c:tx>
            <c:strRef>
              <c:f>'S0 EU Serbia'!$AP$39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Serbia'!$AP$41:$AP$52</c:f>
              <c:numCache>
                <c:formatCode>General</c:formatCode>
                <c:ptCount val="10"/>
                <c:pt idx="0">
                  <c:v>0.36</c:v>
                </c:pt>
                <c:pt idx="1">
                  <c:v>0.36</c:v>
                </c:pt>
                <c:pt idx="2">
                  <c:v>0.36</c:v>
                </c:pt>
                <c:pt idx="3">
                  <c:v>0.36</c:v>
                </c:pt>
                <c:pt idx="4">
                  <c:v>0.36</c:v>
                </c:pt>
                <c:pt idx="5">
                  <c:v>0.36</c:v>
                </c:pt>
                <c:pt idx="6">
                  <c:v>0.36</c:v>
                </c:pt>
                <c:pt idx="7">
                  <c:v>0.36</c:v>
                </c:pt>
                <c:pt idx="8">
                  <c:v>0.36</c:v>
                </c:pt>
                <c:pt idx="9">
                  <c:v>0.36</c:v>
                </c:pt>
              </c:numCache>
            </c:numRef>
          </c:val>
          <c:smooth val="0"/>
          <c:extLst>
            <c:ext xmlns:c16="http://schemas.microsoft.com/office/drawing/2014/chart" uri="{C3380CC4-5D6E-409C-BE32-E72D297353CC}">
              <c16:uniqueId val="{00000007-5806-4777-BA33-1C23672F700F}"/>
            </c:ext>
          </c:extLst>
        </c:ser>
        <c:ser>
          <c:idx val="4"/>
          <c:order val="4"/>
          <c:tx>
            <c:strRef>
              <c:f>'S0 EU Serbia'!$AQ$39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Serbia'!$AQ$41:$AQ$52</c:f>
              <c:numCache>
                <c:formatCode>General</c:formatCode>
                <c:ptCount val="10"/>
                <c:pt idx="0">
                  <c:v>0.49</c:v>
                </c:pt>
                <c:pt idx="1">
                  <c:v>0.49</c:v>
                </c:pt>
                <c:pt idx="2">
                  <c:v>0.49</c:v>
                </c:pt>
                <c:pt idx="3">
                  <c:v>0.49</c:v>
                </c:pt>
                <c:pt idx="4">
                  <c:v>0.49</c:v>
                </c:pt>
                <c:pt idx="5">
                  <c:v>0.49</c:v>
                </c:pt>
                <c:pt idx="6">
                  <c:v>0.49</c:v>
                </c:pt>
                <c:pt idx="7">
                  <c:v>0.49</c:v>
                </c:pt>
                <c:pt idx="8">
                  <c:v>0.49</c:v>
                </c:pt>
                <c:pt idx="9">
                  <c:v>0.49</c:v>
                </c:pt>
              </c:numCache>
            </c:numRef>
          </c:val>
          <c:smooth val="0"/>
          <c:extLst>
            <c:ext xmlns:c16="http://schemas.microsoft.com/office/drawing/2014/chart" uri="{C3380CC4-5D6E-409C-BE32-E72D297353CC}">
              <c16:uniqueId val="{00000008-5806-4777-BA33-1C23672F700F}"/>
            </c:ext>
          </c:extLst>
        </c:ser>
        <c:ser>
          <c:idx val="5"/>
          <c:order val="5"/>
          <c:tx>
            <c:strRef>
              <c:f>'S0 EU Serbia'!$AR$39</c:f>
              <c:strCache>
                <c:ptCount val="1"/>
                <c:pt idx="0">
                  <c:v>S0 праг</c:v>
                </c:pt>
              </c:strCache>
            </c:strRef>
          </c:tx>
          <c:spPr>
            <a:ln w="22225" cap="rnd">
              <a:solidFill>
                <a:schemeClr val="tx1"/>
              </a:solidFill>
              <a:prstDash val="dash"/>
              <a:round/>
            </a:ln>
            <a:effectLst/>
          </c:spPr>
          <c:marker>
            <c:symbol val="none"/>
          </c:marker>
          <c:cat>
            <c:numRef>
              <c:f>'S0 EU Serbia'!$AL$41:$AL$52</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'S0 EU Serbia'!$AR$41:$AR$52</c:f>
              <c:numCache>
                <c:formatCode>General</c:formatCode>
                <c:ptCount val="10"/>
                <c:pt idx="0">
                  <c:v>0.46</c:v>
                </c:pt>
                <c:pt idx="1">
                  <c:v>0.46</c:v>
                </c:pt>
                <c:pt idx="2">
                  <c:v>0.46</c:v>
                </c:pt>
                <c:pt idx="3">
                  <c:v>0.46</c:v>
                </c:pt>
                <c:pt idx="4">
                  <c:v>0.46</c:v>
                </c:pt>
                <c:pt idx="5">
                  <c:v>0.46</c:v>
                </c:pt>
                <c:pt idx="6">
                  <c:v>0.46</c:v>
                </c:pt>
                <c:pt idx="7">
                  <c:v>0.46</c:v>
                </c:pt>
                <c:pt idx="8">
                  <c:v>0.46</c:v>
                </c:pt>
                <c:pt idx="9">
                  <c:v>0.46</c:v>
                </c:pt>
              </c:numCache>
            </c:numRef>
          </c:val>
          <c:smooth val="0"/>
          <c:extLst>
            <c:ext xmlns:c16="http://schemas.microsoft.com/office/drawing/2014/chart" uri="{C3380CC4-5D6E-409C-BE32-E72D297353CC}">
              <c16:uniqueId val="{00000009-5806-4777-BA33-1C23672F700F}"/>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4656"/>
        <c:crosses val="autoZero"/>
        <c:auto val="1"/>
        <c:lblAlgn val="ctr"/>
        <c:lblOffset val="100"/>
        <c:noMultiLvlLbl val="0"/>
      </c:catAx>
      <c:valAx>
        <c:axId val="-486944656"/>
        <c:scaling>
          <c:orientation val="minMax"/>
          <c:max val="0.70000000000000007"/>
        </c:scaling>
        <c:delete val="0"/>
        <c:axPos val="l"/>
        <c:numFmt formatCode="#,##0.0" sourceLinked="0"/>
        <c:majorTickMark val="out"/>
        <c:minorTickMark val="none"/>
        <c:tickLblPos val="nextTo"/>
        <c:spPr>
          <a:noFill/>
          <a:ln w="6350">
            <a:noFill/>
          </a:ln>
          <a:effectLst/>
        </c:spPr>
        <c:txPr>
          <a:bodyPr rot="-6000000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crossAx val="-486944112"/>
        <c:crossesAt val="1"/>
        <c:crossBetween val="between"/>
      </c:valAx>
      <c:spPr>
        <a:noFill/>
        <a:ln>
          <a:noFill/>
        </a:ln>
        <a:effectLst/>
      </c:spPr>
    </c:plotArea>
    <c:legend>
      <c:legendPos val="b"/>
      <c:legendEntry>
        <c:idx val="3"/>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Entry>
      <c:layout>
        <c:manualLayout>
          <c:xMode val="edge"/>
          <c:yMode val="edge"/>
          <c:x val="2.930789712720251E-4"/>
          <c:y val="0.82705299433987767"/>
          <c:w val="0.99970692102872794"/>
          <c:h val="0.14497358021837217"/>
        </c:manualLayout>
      </c:layout>
      <c:overlay val="0"/>
      <c:spPr>
        <a:noFill/>
        <a:ln>
          <a:noFill/>
        </a:ln>
        <a:effectLst/>
      </c:spPr>
      <c:txPr>
        <a:bodyPr rot="0" spcFirstLastPara="1" vertOverflow="ellipsis" vert="horz" wrap="square" anchor="ctr" anchorCtr="1"/>
        <a:lstStyle/>
        <a:p>
          <a:pPr>
            <a:defRPr sz="900" b="0" i="0" u="none" strike="noStrike" kern="1200" baseline="0">
              <a:solidFill>
                <a:srgbClr val="44546A"/>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sz="900">
          <a:latin typeface="+mn-lt"/>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autoTitleDeleted val="1"/>
    <c:plotArea>
      <c:layout>
        <c:manualLayout>
          <c:layoutTarget val="inner"/>
          <c:xMode val="edge"/>
          <c:yMode val="edge"/>
          <c:x val="7.9033714179804967E-2"/>
          <c:y val="0.10598834128245893"/>
          <c:w val="0.86085801063022016"/>
          <c:h val="0.58196865506974782"/>
        </c:manualLayout>
      </c:layout>
      <c:barChart>
        <c:barDir val="col"/>
        <c:grouping val="clustered"/>
        <c:varyColors val="0"/>
        <c:ser>
          <c:idx val="0"/>
          <c:order val="0"/>
          <c:tx>
            <c:strRef>
              <c:f>'мемо 2011-2016'!$D$50</c:f>
              <c:strCache>
                <c:ptCount val="1"/>
                <c:pt idx="0">
                  <c:v>дуг</c:v>
                </c:pt>
              </c:strCache>
            </c:strRef>
          </c:tx>
          <c:spPr>
            <a:solidFill>
              <a:schemeClr val="tx2"/>
            </a:solidFill>
          </c:spPr>
          <c:invertIfNegative val="0"/>
          <c:dLbls>
            <c:numFmt formatCode="#,##0.0" sourceLinked="0"/>
            <c:spPr>
              <a:noFill/>
              <a:ln>
                <a:noFill/>
              </a:ln>
              <a:effectLst/>
            </c:spPr>
            <c:txPr>
              <a:bodyPr/>
              <a:lstStyle/>
              <a:p>
                <a:pPr>
                  <a:defRPr sz="700" baseline="0">
                    <a:solidFill>
                      <a:schemeClr val="bg1"/>
                    </a:solidFill>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2011-2016'!$J$48:$W$48</c:f>
              <c:numCache>
                <c:formatCode>General</c:formatCod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numCache>
            </c:numRef>
          </c:cat>
          <c:val>
            <c:numRef>
              <c:f>'мемо 2011-2016'!$J$50:$W$50</c:f>
              <c:numCache>
                <c:formatCode>#,##0.0</c:formatCode>
                <c:ptCount val="14"/>
                <c:pt idx="0">
                  <c:v>68.3698246708542</c:v>
                </c:pt>
                <c:pt idx="1">
                  <c:v>66.204612229090003</c:v>
                </c:pt>
                <c:pt idx="2">
                  <c:v>56.328463654534431</c:v>
                </c:pt>
                <c:pt idx="3" formatCode="0.0">
                  <c:v>52.142562046645665</c:v>
                </c:pt>
                <c:pt idx="4" formatCode="0.0">
                  <c:v>50.517490084354399</c:v>
                </c:pt>
                <c:pt idx="5" formatCode="0.0">
                  <c:v>55.189879391575488</c:v>
                </c:pt>
                <c:pt idx="6" formatCode="0.0">
                  <c:v>54.46703770748725</c:v>
                </c:pt>
                <c:pt idx="7" formatCode="0.0">
                  <c:v>52.901616882676905</c:v>
                </c:pt>
                <c:pt idx="8" formatCode="0.0">
                  <c:v>48.386002589196323</c:v>
                </c:pt>
                <c:pt idx="9" formatCode="General">
                  <c:v>47.4</c:v>
                </c:pt>
                <c:pt idx="10" formatCode="General">
                  <c:v>46.8</c:v>
                </c:pt>
                <c:pt idx="11" formatCode="General">
                  <c:v>46.5</c:v>
                </c:pt>
                <c:pt idx="12" formatCode="General">
                  <c:v>46.3</c:v>
                </c:pt>
                <c:pt idx="13" formatCode="General">
                  <c:v>46.2</c:v>
                </c:pt>
              </c:numCache>
            </c:numRef>
          </c:val>
          <c:extLst>
            <c:ext xmlns:c16="http://schemas.microsoft.com/office/drawing/2014/chart" uri="{C3380CC4-5D6E-409C-BE32-E72D297353CC}">
              <c16:uniqueId val="{00000000-FC2E-4431-84C3-336321542F41}"/>
            </c:ext>
          </c:extLst>
        </c:ser>
        <c:dLbls>
          <c:showLegendKey val="0"/>
          <c:showVal val="0"/>
          <c:showCatName val="0"/>
          <c:showSerName val="0"/>
          <c:showPercent val="0"/>
          <c:showBubbleSize val="0"/>
        </c:dLbls>
        <c:gapWidth val="9"/>
        <c:overlap val="50"/>
        <c:axId val="430644800"/>
        <c:axId val="430645584"/>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layout>
                <c:manualLayout>
                  <c:x val="-4.4133346613009029E-2"/>
                  <c:y val="-0.1828720628671416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2E-4431-84C3-336321542F41}"/>
                </c:ext>
              </c:extLst>
            </c:dLbl>
            <c:dLbl>
              <c:idx val="1"/>
              <c:layout>
                <c:manualLayout>
                  <c:x val="-1.6590194744175498E-2"/>
                  <c:y val="9.539498541569060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2E-4431-84C3-336321542F41}"/>
                </c:ext>
              </c:extLst>
            </c:dLbl>
            <c:dLbl>
              <c:idx val="2"/>
              <c:layout>
                <c:manualLayout>
                  <c:x val="-2.7120391267855901E-2"/>
                  <c:y val="-4.10593207099112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2E-4431-84C3-336321542F41}"/>
                </c:ext>
              </c:extLst>
            </c:dLbl>
            <c:dLbl>
              <c:idx val="3"/>
              <c:layout>
                <c:manualLayout>
                  <c:x val="-2.9741101802715976E-2"/>
                  <c:y val="-3.4801118610173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C2E-4431-84C3-336321542F41}"/>
                </c:ext>
              </c:extLst>
            </c:dLbl>
            <c:dLbl>
              <c:idx val="4"/>
              <c:layout>
                <c:manualLayout>
                  <c:x val="-7.6782994718252815E-3"/>
                  <c:y val="3.9840403826680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C2E-4431-84C3-336321542F41}"/>
                </c:ext>
              </c:extLst>
            </c:dLbl>
            <c:dLbl>
              <c:idx val="5"/>
              <c:layout>
                <c:manualLayout>
                  <c:x val="-4.7511098149768317E-2"/>
                  <c:y val="-0.2230948962473740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C2E-4431-84C3-336321542F41}"/>
                </c:ext>
              </c:extLst>
            </c:dLbl>
            <c:dLbl>
              <c:idx val="6"/>
              <c:layout>
                <c:manualLayout>
                  <c:x val="-4.8128609256022019E-2"/>
                  <c:y val="-0.1004409605049369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2E-4431-84C3-336321542F41}"/>
                </c:ext>
              </c:extLst>
            </c:dLbl>
            <c:dLbl>
              <c:idx val="7"/>
              <c:layout>
                <c:manualLayout>
                  <c:x val="-3.5962383293181688E-2"/>
                  <c:y val="4.472175353080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C2E-4431-84C3-336321542F41}"/>
                </c:ext>
              </c:extLst>
            </c:dLbl>
            <c:dLbl>
              <c:idx val="8"/>
              <c:layout>
                <c:manualLayout>
                  <c:x val="-8.8124169663977195E-2"/>
                  <c:y val="-5.45637553463206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C2E-4431-84C3-336321542F41}"/>
                </c:ext>
              </c:extLst>
            </c:dLbl>
            <c:dLbl>
              <c:idx val="9"/>
              <c:layout>
                <c:manualLayout>
                  <c:x val="-6.8753905761779782E-2"/>
                  <c:y val="-6.4484108392401041E-2"/>
                </c:manualLayout>
              </c:layout>
              <c:tx>
                <c:rich>
                  <a:bodyPr/>
                  <a:lstStyle/>
                  <a:p>
                    <a:r>
                      <a:rPr lang="en-US"/>
                      <a:t>-2,0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FC2E-4431-84C3-336321542F41}"/>
                </c:ext>
              </c:extLst>
            </c:dLbl>
            <c:dLbl>
              <c:idx val="10"/>
              <c:layout>
                <c:manualLayout>
                  <c:x val="-5.4676837747560297E-2"/>
                  <c:y val="-4.46428571428571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C2E-4431-84C3-336321542F41}"/>
                </c:ext>
              </c:extLst>
            </c:dLbl>
            <c:dLbl>
              <c:idx val="11"/>
              <c:layout>
                <c:manualLayout>
                  <c:x val="-5.0327273905576619E-2"/>
                  <c:y val="-8.57478803633231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C2E-4431-84C3-336321542F41}"/>
                </c:ext>
              </c:extLst>
            </c:dLbl>
            <c:dLbl>
              <c:idx val="12"/>
              <c:layout>
                <c:manualLayout>
                  <c:x val="-4.1781860600758239E-2"/>
                  <c:y val="-7.31101606541025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C2E-4431-84C3-336321542F41}"/>
                </c:ext>
              </c:extLst>
            </c:dLbl>
            <c:dLbl>
              <c:idx val="13"/>
              <c:layout>
                <c:manualLayout>
                  <c:x val="-4.5487062572051026E-2"/>
                  <c:y val="6.1619725428325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C2E-4431-84C3-336321542F41}"/>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'мемо 2011-2016'!$J$49:$W$49</c:f>
              <c:numCache>
                <c:formatCode>#,##0.0</c:formatCode>
                <c:ptCount val="14"/>
                <c:pt idx="0">
                  <c:v>-3.3187939284991876</c:v>
                </c:pt>
                <c:pt idx="1">
                  <c:v>-1.1493979760759792</c:v>
                </c:pt>
                <c:pt idx="2">
                  <c:v>1.055768609693301</c:v>
                </c:pt>
                <c:pt idx="3" formatCode="0.0">
                  <c:v>0.60940162463873881</c:v>
                </c:pt>
                <c:pt idx="4">
                  <c:v>-0.19603223337184297</c:v>
                </c:pt>
                <c:pt idx="5">
                  <c:v>-7.6817157912618654</c:v>
                </c:pt>
                <c:pt idx="6">
                  <c:v>-3.944488655583605</c:v>
                </c:pt>
                <c:pt idx="7">
                  <c:v>-3.0145096000432612</c:v>
                </c:pt>
                <c:pt idx="8" formatCode="0.0">
                  <c:v>-2.0537459179069328</c:v>
                </c:pt>
                <c:pt idx="9" formatCode="General">
                  <c:v>-2.1</c:v>
                </c:pt>
                <c:pt idx="10" formatCode="General">
                  <c:v>-3</c:v>
                </c:pt>
                <c:pt idx="11" formatCode="General">
                  <c:v>-3</c:v>
                </c:pt>
                <c:pt idx="12" formatCode="General">
                  <c:v>-3</c:v>
                </c:pt>
                <c:pt idx="13" formatCode="General">
                  <c:v>-2.5</c:v>
                </c:pt>
              </c:numCache>
            </c:numRef>
          </c:val>
          <c:smooth val="1"/>
          <c:extLst>
            <c:ext xmlns:c16="http://schemas.microsoft.com/office/drawing/2014/chart" uri="{C3380CC4-5D6E-409C-BE32-E72D297353CC}">
              <c16:uniqueId val="{0000000F-FC2E-4431-84C3-336321542F41}"/>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2011-2016'!$J$51:$W$51</c:f>
              <c:numCache>
                <c:formatCode>#,##0.0</c:formatCode>
                <c:ptCount val="14"/>
                <c:pt idx="0">
                  <c:v>0</c:v>
                </c:pt>
                <c:pt idx="1">
                  <c:v>0</c:v>
                </c:pt>
                <c:pt idx="2">
                  <c:v>0</c:v>
                </c:pt>
                <c:pt idx="3">
                  <c:v>0</c:v>
                </c:pt>
                <c:pt idx="4">
                  <c:v>0</c:v>
                </c:pt>
                <c:pt idx="5">
                  <c:v>0</c:v>
                </c:pt>
                <c:pt idx="6">
                  <c:v>0</c:v>
                </c:pt>
                <c:pt idx="7">
                  <c:v>0</c:v>
                </c:pt>
                <c:pt idx="8" formatCode="General">
                  <c:v>0</c:v>
                </c:pt>
                <c:pt idx="9" formatCode="General">
                  <c:v>0</c:v>
                </c:pt>
                <c:pt idx="10" formatCode="General">
                  <c:v>0</c:v>
                </c:pt>
                <c:pt idx="11" formatCode="General">
                  <c:v>0</c:v>
                </c:pt>
                <c:pt idx="12" formatCode="General">
                  <c:v>0</c:v>
                </c:pt>
                <c:pt idx="13" formatCode="General">
                  <c:v>0</c:v>
                </c:pt>
              </c:numCache>
            </c:numRef>
          </c:val>
          <c:smooth val="0"/>
          <c:extLst>
            <c:ext xmlns:c16="http://schemas.microsoft.com/office/drawing/2014/chart" uri="{C3380CC4-5D6E-409C-BE32-E72D297353CC}">
              <c16:uniqueId val="{00000010-FC2E-4431-84C3-336321542F41}"/>
            </c:ext>
          </c:extLst>
        </c:ser>
        <c:dLbls>
          <c:showLegendKey val="0"/>
          <c:showVal val="0"/>
          <c:showCatName val="0"/>
          <c:showSerName val="0"/>
          <c:showPercent val="0"/>
          <c:showBubbleSize val="0"/>
        </c:dLbls>
        <c:marker val="1"/>
        <c:smooth val="0"/>
        <c:axId val="426079336"/>
        <c:axId val="426078160"/>
      </c:lineChart>
      <c:catAx>
        <c:axId val="430644800"/>
        <c:scaling>
          <c:orientation val="minMax"/>
        </c:scaling>
        <c:delete val="0"/>
        <c:axPos val="b"/>
        <c:numFmt formatCode="General" sourceLinked="1"/>
        <c:majorTickMark val="out"/>
        <c:minorTickMark val="none"/>
        <c:tickLblPos val="nextTo"/>
        <c:spPr>
          <a:ln>
            <a:noFill/>
          </a:ln>
        </c:spPr>
        <c:crossAx val="430645584"/>
        <c:crossesAt val="0"/>
        <c:auto val="1"/>
        <c:lblAlgn val="ctr"/>
        <c:lblOffset val="100"/>
        <c:noMultiLvlLbl val="0"/>
      </c:catAx>
      <c:valAx>
        <c:axId val="430645584"/>
        <c:scaling>
          <c:orientation val="minMax"/>
          <c:max val="80"/>
          <c:min val="40"/>
        </c:scaling>
        <c:delete val="0"/>
        <c:axPos val="l"/>
        <c:majorGridlines>
          <c:spPr>
            <a:ln>
              <a:noFill/>
            </a:ln>
          </c:spPr>
        </c:majorGridlines>
        <c:numFmt formatCode="#,##0" sourceLinked="0"/>
        <c:majorTickMark val="out"/>
        <c:minorTickMark val="none"/>
        <c:tickLblPos val="nextTo"/>
        <c:spPr>
          <a:ln>
            <a:noFill/>
          </a:ln>
        </c:spPr>
        <c:crossAx val="430644800"/>
        <c:crosses val="autoZero"/>
        <c:crossBetween val="between"/>
        <c:majorUnit val="5"/>
      </c:valAx>
      <c:valAx>
        <c:axId val="426078160"/>
        <c:scaling>
          <c:orientation val="minMax"/>
        </c:scaling>
        <c:delete val="0"/>
        <c:axPos val="r"/>
        <c:numFmt formatCode="#,##0" sourceLinked="0"/>
        <c:majorTickMark val="out"/>
        <c:minorTickMark val="none"/>
        <c:tickLblPos val="nextTo"/>
        <c:spPr>
          <a:ln>
            <a:noFill/>
          </a:ln>
        </c:spPr>
        <c:crossAx val="426079336"/>
        <c:crosses val="max"/>
        <c:crossBetween val="between"/>
      </c:valAx>
      <c:catAx>
        <c:axId val="426079336"/>
        <c:scaling>
          <c:orientation val="minMax"/>
        </c:scaling>
        <c:delete val="1"/>
        <c:axPos val="b"/>
        <c:majorTickMark val="out"/>
        <c:minorTickMark val="none"/>
        <c:tickLblPos val="nextTo"/>
        <c:crossAx val="426078160"/>
        <c:crosses val="autoZero"/>
        <c:auto val="1"/>
        <c:lblAlgn val="ctr"/>
        <c:lblOffset val="100"/>
        <c:noMultiLvlLbl val="0"/>
      </c:catAx>
      <c:spPr>
        <a:noFill/>
        <a:ln>
          <a:noFill/>
        </a:ln>
      </c:spPr>
    </c:plotArea>
    <c:legend>
      <c:legendPos val="b"/>
      <c:layout>
        <c:manualLayout>
          <c:xMode val="edge"/>
          <c:yMode val="edge"/>
          <c:x val="4.5884773662551441E-2"/>
          <c:y val="0.87044055193676606"/>
          <c:w val="0.9"/>
          <c:h val="0.12955944806323394"/>
        </c:manualLayout>
      </c:layout>
      <c:overlay val="0"/>
    </c:legend>
    <c:plotVisOnly val="1"/>
    <c:dispBlanksAs val="gap"/>
    <c:showDLblsOverMax val="0"/>
  </c:chart>
  <c:spPr>
    <a:ln>
      <a:noFill/>
    </a:ln>
  </c:spPr>
  <c:txPr>
    <a:bodyPr/>
    <a:lstStyle/>
    <a:p>
      <a:pPr>
        <a:defRPr sz="900" baseline="0">
          <a:latin typeface="Calibri" panose="020F0502020204030204" pitchFamily="34" charset="0"/>
        </a:defRPr>
      </a:pPr>
      <a:endParaRPr lang="en-US"/>
    </a:p>
  </c:txPr>
  <c:externalData r:id="rId1">
    <c:autoUpdate val="0"/>
  </c:externalData>
  <c:userShapes r:id="rId2"/>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'[FS Q1 2025.xlsx]Гаранције'!$C$54</c:f>
              <c:strCache>
                <c:ptCount val="1"/>
                <c:pt idx="0">
                  <c:v>Укупна отплата по основу гаранција (главница + камата)</c:v>
                </c:pt>
              </c:strCache>
            </c:strRef>
          </c:tx>
          <c:spPr>
            <a:solidFill>
              <a:schemeClr val="accent5"/>
            </a:solidFill>
            <a:ln>
              <a:noFill/>
            </a:ln>
            <a:effectLst/>
          </c:spPr>
          <c:invertIfNegative val="0"/>
          <c:cat>
            <c:strRef>
              <c:f>'[FS Q1 2025.xlsx]Гаранције'!$B$55:$B$65</c:f>
              <c:strCache>
                <c:ptCount val="11"/>
                <c:pt idx="0">
                  <c:v>2015</c:v>
                </c:pt>
                <c:pt idx="1">
                  <c:v>2016</c:v>
                </c:pt>
                <c:pt idx="2">
                  <c:v>2017</c:v>
                </c:pt>
                <c:pt idx="3">
                  <c:v>2018</c:v>
                </c:pt>
                <c:pt idx="4">
                  <c:v>2019</c:v>
                </c:pt>
                <c:pt idx="5">
                  <c:v>2020</c:v>
                </c:pt>
                <c:pt idx="6">
                  <c:v>2021</c:v>
                </c:pt>
                <c:pt idx="7">
                  <c:v>2022</c:v>
                </c:pt>
                <c:pt idx="8">
                  <c:v>2023</c:v>
                </c:pt>
                <c:pt idx="9">
                  <c:v>2024</c:v>
                </c:pt>
                <c:pt idx="10">
                  <c:v>31.03.2025.</c:v>
                </c:pt>
              </c:strCache>
            </c:strRef>
          </c:cat>
          <c:val>
            <c:numRef>
              <c:f>'[FS Q1 2025.xlsx]Гаранције'!$C$55:$C$65</c:f>
              <c:numCache>
                <c:formatCode>#,##0.0</c:formatCode>
                <c:ptCount val="11"/>
                <c:pt idx="0">
                  <c:v>47.2</c:v>
                </c:pt>
                <c:pt idx="1">
                  <c:v>55.3</c:v>
                </c:pt>
                <c:pt idx="2">
                  <c:v>36.700000000000003</c:v>
                </c:pt>
                <c:pt idx="3">
                  <c:v>26</c:v>
                </c:pt>
                <c:pt idx="4">
                  <c:v>17.100000000000001</c:v>
                </c:pt>
                <c:pt idx="5">
                  <c:v>13.2</c:v>
                </c:pt>
                <c:pt idx="6">
                  <c:v>12.9</c:v>
                </c:pt>
                <c:pt idx="7">
                  <c:v>23.3</c:v>
                </c:pt>
                <c:pt idx="8" formatCode="0.0">
                  <c:v>33.74</c:v>
                </c:pt>
                <c:pt idx="9" formatCode="0.0">
                  <c:v>37.73414860466</c:v>
                </c:pt>
                <c:pt idx="10" formatCode="0.0">
                  <c:v>9.7721265911900019</c:v>
                </c:pt>
              </c:numCache>
            </c:numRef>
          </c:val>
          <c:extLst>
            <c:ext xmlns:c16="http://schemas.microsoft.com/office/drawing/2014/chart" uri="{C3380CC4-5D6E-409C-BE32-E72D297353CC}">
              <c16:uniqueId val="{00000000-0076-447D-98E6-2ABD44007A73}"/>
            </c:ext>
          </c:extLst>
        </c:ser>
        <c:ser>
          <c:idx val="1"/>
          <c:order val="1"/>
          <c:tx>
            <c:strRef>
              <c:f>'[FS Q1 2025.xlsx]Гаранције'!$D$54</c:f>
              <c:strCache>
                <c:ptCount val="1"/>
                <c:pt idx="0">
                  <c:v>Отплата гаранција (главница) укључена у расходе (утиче на дефицит) </c:v>
                </c:pt>
              </c:strCache>
            </c:strRef>
          </c:tx>
          <c:spPr>
            <a:solidFill>
              <a:srgbClr val="FF0000"/>
            </a:solidFill>
            <a:ln>
              <a:noFill/>
            </a:ln>
            <a:effectLst/>
          </c:spPr>
          <c:invertIfNegative val="0"/>
          <c:cat>
            <c:strRef>
              <c:f>'[FS Q1 2025.xlsx]Гаранције'!$B$55:$B$65</c:f>
              <c:strCache>
                <c:ptCount val="11"/>
                <c:pt idx="0">
                  <c:v>2015</c:v>
                </c:pt>
                <c:pt idx="1">
                  <c:v>2016</c:v>
                </c:pt>
                <c:pt idx="2">
                  <c:v>2017</c:v>
                </c:pt>
                <c:pt idx="3">
                  <c:v>2018</c:v>
                </c:pt>
                <c:pt idx="4">
                  <c:v>2019</c:v>
                </c:pt>
                <c:pt idx="5">
                  <c:v>2020</c:v>
                </c:pt>
                <c:pt idx="6">
                  <c:v>2021</c:v>
                </c:pt>
                <c:pt idx="7">
                  <c:v>2022</c:v>
                </c:pt>
                <c:pt idx="8">
                  <c:v>2023</c:v>
                </c:pt>
                <c:pt idx="9">
                  <c:v>2024</c:v>
                </c:pt>
                <c:pt idx="10">
                  <c:v>31.03.2025.</c:v>
                </c:pt>
              </c:strCache>
            </c:strRef>
          </c:cat>
          <c:val>
            <c:numRef>
              <c:f>'[FS Q1 2025.xlsx]Гаранције'!$D$55:$D$65</c:f>
              <c:numCache>
                <c:formatCode>#,##0.0</c:formatCode>
                <c:ptCount val="11"/>
                <c:pt idx="0">
                  <c:v>30.099999999999998</c:v>
                </c:pt>
                <c:pt idx="1">
                  <c:v>39.116</c:v>
                </c:pt>
                <c:pt idx="2">
                  <c:v>28.8</c:v>
                </c:pt>
                <c:pt idx="3">
                  <c:v>19.727</c:v>
                </c:pt>
                <c:pt idx="4">
                  <c:v>10.8</c:v>
                </c:pt>
                <c:pt idx="5">
                  <c:v>7.5</c:v>
                </c:pt>
                <c:pt idx="6">
                  <c:v>7.7</c:v>
                </c:pt>
                <c:pt idx="7">
                  <c:v>17.744700000000002</c:v>
                </c:pt>
                <c:pt idx="8" formatCode="General">
                  <c:v>23.8</c:v>
                </c:pt>
                <c:pt idx="9" formatCode="0.0">
                  <c:v>27.933131454620003</c:v>
                </c:pt>
                <c:pt idx="10" formatCode="0.0">
                  <c:v>7.1106113031700007</c:v>
                </c:pt>
              </c:numCache>
            </c:numRef>
          </c:val>
          <c:extLst>
            <c:ext xmlns:c16="http://schemas.microsoft.com/office/drawing/2014/chart" uri="{C3380CC4-5D6E-409C-BE32-E72D297353CC}">
              <c16:uniqueId val="{00000001-0076-447D-98E6-2ABD44007A73}"/>
            </c:ext>
          </c:extLst>
        </c:ser>
        <c:dLbls>
          <c:showLegendKey val="0"/>
          <c:showVal val="0"/>
          <c:showCatName val="0"/>
          <c:showSerName val="0"/>
          <c:showPercent val="0"/>
          <c:showBubbleSize val="0"/>
        </c:dLbls>
        <c:gapWidth val="100"/>
        <c:overlap val="-24"/>
        <c:axId val="499205263"/>
        <c:axId val="499199855"/>
        <c:extLst>
          <c:ext xmlns:c15="http://schemas.microsoft.com/office/drawing/2012/chart" uri="{02D57815-91ED-43cb-92C2-25804820EDAC}">
            <c15:filteredBarSeries>
              <c15:ser>
                <c:idx val="2"/>
                <c:order val="2"/>
                <c:tx>
                  <c:strRef>
                    <c:extLst>
                      <c:ext uri="{02D57815-91ED-43cb-92C2-25804820EDAC}">
                        <c15:formulaRef>
                          <c15:sqref>'[FS Q1 2025.xlsx]Гаранције'!$E$54</c15:sqref>
                        </c15:formulaRef>
                      </c:ext>
                    </c:extLst>
                    <c:strCache>
                      <c:ptCount val="1"/>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cat>
                  <c:strRef>
                    <c:extLst>
                      <c:ext uri="{02D57815-91ED-43cb-92C2-25804820EDAC}">
                        <c15:formulaRef>
                          <c15:sqref>'[FS Q1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31.03.2025.</c:v>
                      </c:pt>
                    </c:strCache>
                  </c:strRef>
                </c:cat>
                <c:val>
                  <c:numRef>
                    <c:extLst>
                      <c:ext uri="{02D57815-91ED-43cb-92C2-25804820EDAC}">
                        <c15:formulaRef>
                          <c15:sqref>'[FS Q1 2025.xlsx]Гаранције'!$E$55:$E$63</c15:sqref>
                        </c15:formulaRef>
                      </c:ext>
                    </c:extLst>
                    <c:numCache>
                      <c:formatCode>General</c:formatCode>
                      <c:ptCount val="9"/>
                    </c:numCache>
                  </c:numRef>
                </c:val>
                <c:extLst>
                  <c:ext xmlns:c16="http://schemas.microsoft.com/office/drawing/2014/chart" uri="{C3380CC4-5D6E-409C-BE32-E72D297353CC}">
                    <c16:uniqueId val="{00000002-0076-447D-98E6-2ABD44007A73}"/>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'[FS Q1 2025.xlsx]Гаранције'!$F$54</c15:sqref>
                        </c15:formulaRef>
                      </c:ext>
                    </c:extLst>
                    <c:strCache>
                      <c:ptCount val="1"/>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strRef>
                    <c:extLst xmlns:c15="http://schemas.microsoft.com/office/drawing/2012/chart">
                      <c:ext xmlns:c15="http://schemas.microsoft.com/office/drawing/2012/chart" uri="{02D57815-91ED-43cb-92C2-25804820EDAC}">
                        <c15:formulaRef>
                          <c15:sqref>'[FS Q1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31.03.2025.</c:v>
                      </c:pt>
                    </c:strCache>
                  </c:strRef>
                </c:cat>
                <c:val>
                  <c:numRef>
                    <c:extLst xmlns:c15="http://schemas.microsoft.com/office/drawing/2012/chart">
                      <c:ext xmlns:c15="http://schemas.microsoft.com/office/drawing/2012/chart" uri="{02D57815-91ED-43cb-92C2-25804820EDAC}">
                        <c15:formulaRef>
                          <c15:sqref>'[FS Q1 2025.xlsx]Гаранције'!$F$55:$F$63</c15:sqref>
                        </c15:formulaRef>
                      </c:ext>
                    </c:extLst>
                    <c:numCache>
                      <c:formatCode>General</c:formatCode>
                      <c:ptCount val="9"/>
                    </c:numCache>
                  </c:numRef>
                </c:val>
                <c:extLst xmlns:c15="http://schemas.microsoft.com/office/drawing/2012/chart">
                  <c:ext xmlns:c16="http://schemas.microsoft.com/office/drawing/2014/chart" uri="{C3380CC4-5D6E-409C-BE32-E72D297353CC}">
                    <c16:uniqueId val="{00000003-0076-447D-98E6-2ABD44007A73}"/>
                  </c:ext>
                </c:extLst>
              </c15:ser>
            </c15:filteredBarSeries>
            <c15:filteredBarSeries>
              <c15:ser>
                <c:idx val="4"/>
                <c:order val="4"/>
                <c:tx>
                  <c:strRef>
                    <c:extLst xmlns:c15="http://schemas.microsoft.com/office/drawing/2012/chart">
                      <c:ext xmlns:c15="http://schemas.microsoft.com/office/drawing/2012/chart" uri="{02D57815-91ED-43cb-92C2-25804820EDAC}">
                        <c15:formulaRef>
                          <c15:sqref>'[FS Q1 2025.xlsx]Гаранције'!$G$54</c15:sqref>
                        </c15:formulaRef>
                      </c:ext>
                    </c:extLst>
                    <c:strCache>
                      <c:ptCount val="1"/>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cat>
                  <c:strRef>
                    <c:extLst xmlns:c15="http://schemas.microsoft.com/office/drawing/2012/chart">
                      <c:ext xmlns:c15="http://schemas.microsoft.com/office/drawing/2012/chart" uri="{02D57815-91ED-43cb-92C2-25804820EDAC}">
                        <c15:formulaRef>
                          <c15:sqref>'[FS Q1 2025.xlsx]Гаранције'!$B$55:$B$65</c15:sqref>
                        </c15:formulaRef>
                      </c:ext>
                    </c:extLst>
                    <c:strCache>
                      <c:ptCount val="11"/>
                      <c:pt idx="0">
                        <c:v>2015</c:v>
                      </c:pt>
                      <c:pt idx="1">
                        <c:v>2016</c:v>
                      </c:pt>
                      <c:pt idx="2">
                        <c:v>2017</c:v>
                      </c:pt>
                      <c:pt idx="3">
                        <c:v>2018</c:v>
                      </c:pt>
                      <c:pt idx="4">
                        <c:v>2019</c:v>
                      </c:pt>
                      <c:pt idx="5">
                        <c:v>2020</c:v>
                      </c:pt>
                      <c:pt idx="6">
                        <c:v>2021</c:v>
                      </c:pt>
                      <c:pt idx="7">
                        <c:v>2022</c:v>
                      </c:pt>
                      <c:pt idx="8">
                        <c:v>2023</c:v>
                      </c:pt>
                      <c:pt idx="9">
                        <c:v>2024</c:v>
                      </c:pt>
                      <c:pt idx="10">
                        <c:v>31.03.2025.</c:v>
                      </c:pt>
                    </c:strCache>
                  </c:strRef>
                </c:cat>
                <c:val>
                  <c:numRef>
                    <c:extLst xmlns:c15="http://schemas.microsoft.com/office/drawing/2012/chart">
                      <c:ext xmlns:c15="http://schemas.microsoft.com/office/drawing/2012/chart" uri="{02D57815-91ED-43cb-92C2-25804820EDAC}">
                        <c15:formulaRef>
                          <c15:sqref>'[FS Q1 2025.xlsx]Гаранције'!$G$55:$G$63</c15:sqref>
                        </c15:formulaRef>
                      </c:ext>
                    </c:extLst>
                    <c:numCache>
                      <c:formatCode>General</c:formatCode>
                      <c:ptCount val="9"/>
                    </c:numCache>
                  </c:numRef>
                </c:val>
                <c:extLst xmlns:c15="http://schemas.microsoft.com/office/drawing/2012/chart">
                  <c:ext xmlns:c16="http://schemas.microsoft.com/office/drawing/2014/chart" uri="{C3380CC4-5D6E-409C-BE32-E72D297353CC}">
                    <c16:uniqueId val="{00000004-0076-447D-98E6-2ABD44007A73}"/>
                  </c:ext>
                </c:extLst>
              </c15:ser>
            </c15:filteredBarSeries>
          </c:ext>
        </c:extLst>
      </c:barChart>
      <c:catAx>
        <c:axId val="49920526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499199855"/>
        <c:crosses val="autoZero"/>
        <c:auto val="1"/>
        <c:lblAlgn val="ctr"/>
        <c:lblOffset val="100"/>
        <c:noMultiLvlLbl val="0"/>
      </c:catAx>
      <c:valAx>
        <c:axId val="499199855"/>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sr-Cyrl-RS"/>
                  <a:t>млрд</a:t>
                </a:r>
                <a:r>
                  <a:rPr lang="sr-Cyrl-RS" baseline="0"/>
                  <a:t>  динара</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4992052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8.5694913857576771E-2"/>
          <c:y val="0.12195169524878018"/>
          <c:w val="0.89742630688838176"/>
          <c:h val="0.72252618511373012"/>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Karakter'!$G$30,'Grafikoni, CAB, Karakter'!$G$31,'Grafikoni, CAB, Karakter'!$G$32,'Grafikoni, CAB, Karakter'!$G$33,'Grafikoni, CAB, Karakter'!$G$34)</c:f>
              <c:numCache>
                <c:formatCode>#,##0.0</c:formatCode>
                <c:ptCount val="24"/>
                <c:pt idx="0">
                  <c:v>3.4939700056136114E-2</c:v>
                </c:pt>
                <c:pt idx="1">
                  <c:v>-3.5165462368124332</c:v>
                </c:pt>
                <c:pt idx="2">
                  <c:v>1.196084321888274</c:v>
                </c:pt>
                <c:pt idx="3">
                  <c:v>4.0975511216387579</c:v>
                </c:pt>
                <c:pt idx="4">
                  <c:v>-0.54130619573543659</c:v>
                </c:pt>
                <c:pt idx="5">
                  <c:v>0.40177108789096799</c:v>
                </c:pt>
                <c:pt idx="6">
                  <c:v>0.29960792533757369</c:v>
                </c:pt>
                <c:pt idx="7">
                  <c:v>-6.2890540897553332E-2</c:v>
                </c:pt>
                <c:pt idx="8">
                  <c:v>0.40789187786094738</c:v>
                </c:pt>
                <c:pt idx="9">
                  <c:v>-1.747527952324841</c:v>
                </c:pt>
                <c:pt idx="10">
                  <c:v>-1.491600237107803</c:v>
                </c:pt>
                <c:pt idx="11">
                  <c:v>-0.40746312947763941</c:v>
                </c:pt>
                <c:pt idx="12">
                  <c:v>-0.63246448771553998</c:v>
                </c:pt>
                <c:pt idx="13">
                  <c:v>0.82017684822833592</c:v>
                </c:pt>
                <c:pt idx="14">
                  <c:v>2.0836606205018757</c:v>
                </c:pt>
                <c:pt idx="15">
                  <c:v>-2.43199437589917</c:v>
                </c:pt>
                <c:pt idx="16">
                  <c:v>1.4523244397010528</c:v>
                </c:pt>
                <c:pt idx="17">
                  <c:v>0.25110441831993507</c:v>
                </c:pt>
                <c:pt idx="18">
                  <c:v>0.26241114058285447</c:v>
                </c:pt>
                <c:pt idx="19">
                  <c:v>0.2117571474337728</c:v>
                </c:pt>
                <c:pt idx="20">
                  <c:v>-0.64127377592474377</c:v>
                </c:pt>
                <c:pt idx="21">
                  <c:v>-0.35099602590392454</c:v>
                </c:pt>
                <c:pt idx="22">
                  <c:v>0.58668818391246813</c:v>
                </c:pt>
                <c:pt idx="23">
                  <c:v>-3.405593504157952E-2</c:v>
                </c:pt>
              </c:numCache>
            </c:numRef>
          </c:val>
          <c:extLst>
            <c:ext xmlns:c16="http://schemas.microsoft.com/office/drawing/2014/chart" uri="{C3380CC4-5D6E-409C-BE32-E72D297353CC}">
              <c16:uniqueId val="{00000000-F43D-4CB0-AB96-934F932415E9}"/>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19050" cap="rnd" cmpd="sng" algn="ctr">
              <a:solidFill>
                <a:schemeClr val="accent3">
                  <a:shade val="53000"/>
                  <a:shade val="95000"/>
                  <a:satMod val="105000"/>
                </a:schemeClr>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Karakter'!$H$11:$H$29,'Grafikoni, CAB, Karakter'!$H$30,'Grafikoni, CAB, Karakter'!$H$31,'Grafikoni, CAB, Karakter'!$H$32,'Grafikoni, CAB, Karakter'!$H$33,'Grafikoni, CAB, Karakter'!$H$34)</c:f>
              <c:numCache>
                <c:formatCode>#,##0.0</c:formatCode>
                <c:ptCount val="24"/>
                <c:pt idx="0">
                  <c:v>1.097149537133171</c:v>
                </c:pt>
                <c:pt idx="1">
                  <c:v>-1.3625763034532159</c:v>
                </c:pt>
                <c:pt idx="2">
                  <c:v>-1.7163418836484468</c:v>
                </c:pt>
                <c:pt idx="3">
                  <c:v>-2.3843270097170652</c:v>
                </c:pt>
                <c:pt idx="4">
                  <c:v>-4.0064360419983007</c:v>
                </c:pt>
                <c:pt idx="5">
                  <c:v>-4.1670689119148951</c:v>
                </c:pt>
                <c:pt idx="6">
                  <c:v>-4.3498075491803787</c:v>
                </c:pt>
                <c:pt idx="7">
                  <c:v>-6.1793158693056833</c:v>
                </c:pt>
                <c:pt idx="8">
                  <c:v>-4.9362245543274472</c:v>
                </c:pt>
                <c:pt idx="9">
                  <c:v>-5.9449190577246052</c:v>
                </c:pt>
                <c:pt idx="10">
                  <c:v>-3.3187939284991961</c:v>
                </c:pt>
                <c:pt idx="11">
                  <c:v>-1.149397976075984</c:v>
                </c:pt>
                <c:pt idx="12">
                  <c:v>1.0557686096933128</c:v>
                </c:pt>
                <c:pt idx="13">
                  <c:v>0.60940162463875103</c:v>
                </c:pt>
                <c:pt idx="14">
                  <c:v>-0.196032233371843</c:v>
                </c:pt>
                <c:pt idx="15">
                  <c:v>-7.6817157912618725</c:v>
                </c:pt>
                <c:pt idx="16">
                  <c:v>-3.944488655583605</c:v>
                </c:pt>
                <c:pt idx="17">
                  <c:v>-3.0145095743510497</c:v>
                </c:pt>
                <c:pt idx="18">
                  <c:v>-2.0537459179069364</c:v>
                </c:pt>
                <c:pt idx="19">
                  <c:v>-2</c:v>
                </c:pt>
                <c:pt idx="20">
                  <c:v>-3</c:v>
                </c:pt>
                <c:pt idx="21">
                  <c:v>-3</c:v>
                </c:pt>
                <c:pt idx="22">
                  <c:v>-3</c:v>
                </c:pt>
                <c:pt idx="23">
                  <c:v>-2.5</c:v>
                </c:pt>
              </c:numCache>
            </c:numRef>
          </c:val>
          <c:smooth val="0"/>
          <c:extLst>
            <c:ext xmlns:c16="http://schemas.microsoft.com/office/drawing/2014/chart" uri="{C3380CC4-5D6E-409C-BE32-E72D297353CC}">
              <c16:uniqueId val="{00000001-F43D-4CB0-AB96-934F932415E9}"/>
            </c:ext>
          </c:extLst>
        </c:ser>
        <c:ser>
          <c:idx val="1"/>
          <c:order val="1"/>
          <c:tx>
            <c:strRef>
              <c:f>'Grafikoni, CAB, Karakter'!$K$10</c:f>
              <c:strCache>
                <c:ptCount val="1"/>
                <c:pt idx="0">
                  <c:v>Циклично 
прилагођени  фискални биланс</c:v>
                </c:pt>
              </c:strCache>
            </c:strRef>
          </c:tx>
          <c:spPr>
            <a:ln w="19050" cap="rnd" cmpd="sng" algn="ctr">
              <a:solidFill>
                <a:schemeClr val="tx1"/>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Karakter'!$K$11:$K$29,'Grafikoni, CAB, Karakter'!$K$30,'Grafikoni, CAB, Karakter'!$K$31,'Grafikoni, CAB, Karakter'!$K$32,'Grafikoni, CAB, Karakter'!$K$33,'Grafikoni, CAB, Karakter'!$K$34)</c:f>
              <c:numCache>
                <c:formatCode>#,##0.0</c:formatCode>
                <c:ptCount val="24"/>
                <c:pt idx="0">
                  <c:v>1.0847517432934535</c:v>
                </c:pt>
                <c:pt idx="1">
                  <c:v>-0.114786104859947</c:v>
                </c:pt>
                <c:pt idx="2">
                  <c:v>-2.140753278533476</c:v>
                </c:pt>
                <c:pt idx="3">
                  <c:v>-3.8382775007676999</c:v>
                </c:pt>
                <c:pt idx="4">
                  <c:v>-3.8143621945380337</c:v>
                </c:pt>
                <c:pt idx="5">
                  <c:v>-4.3096309576802678</c:v>
                </c:pt>
                <c:pt idx="6">
                  <c:v>-4.4561186304178495</c:v>
                </c:pt>
                <c:pt idx="7">
                  <c:v>-6.1570001665588512</c:v>
                </c:pt>
                <c:pt idx="8">
                  <c:v>-5.0809584645353336</c:v>
                </c:pt>
                <c:pt idx="9">
                  <c:v>-5.3248367087846251</c:v>
                </c:pt>
                <c:pt idx="10">
                  <c:v>-2.7895234367312285</c:v>
                </c:pt>
                <c:pt idx="11">
                  <c:v>-1.0048162003757439</c:v>
                </c:pt>
                <c:pt idx="12">
                  <c:v>1.2801885193388396</c:v>
                </c:pt>
                <c:pt idx="13">
                  <c:v>0.31837498559756966</c:v>
                </c:pt>
                <c:pt idx="14">
                  <c:v>-0.93538588447405302</c:v>
                </c:pt>
                <c:pt idx="15">
                  <c:v>-6.8187614773064666</c:v>
                </c:pt>
                <c:pt idx="16">
                  <c:v>-4.4598227587060757</c:v>
                </c:pt>
                <c:pt idx="17">
                  <c:v>-3.1036099617490818</c:v>
                </c:pt>
                <c:pt idx="18">
                  <c:v>-2.1468583148927265</c:v>
                </c:pt>
                <c:pt idx="19">
                  <c:v>-2.0751386375313072</c:v>
                </c:pt>
                <c:pt idx="20">
                  <c:v>-2.7724542553038889</c:v>
                </c:pt>
                <c:pt idx="21">
                  <c:v>-2.8754546730302337</c:v>
                </c:pt>
                <c:pt idx="22">
                  <c:v>-3.2081769202557227</c:v>
                </c:pt>
                <c:pt idx="23">
                  <c:v>-2.4879157960432985</c:v>
                </c:pt>
              </c:numCache>
            </c:numRef>
          </c:val>
          <c:smooth val="1"/>
          <c:extLst>
            <c:ext xmlns:c16="http://schemas.microsoft.com/office/drawing/2014/chart" uri="{C3380CC4-5D6E-409C-BE32-E72D297353CC}">
              <c16:uniqueId val="{00000002-F43D-4CB0-AB96-934F932415E9}"/>
            </c:ext>
          </c:extLst>
        </c:ser>
        <c:ser>
          <c:idx val="4"/>
          <c:order val="3"/>
          <c:tx>
            <c:strRef>
              <c:f>'Grafikoni, CAB, Karakter'!$N$10</c:f>
              <c:strCache>
                <c:ptCount val="1"/>
                <c:pt idx="0">
                  <c:v>Структурни примарни фискални биланс</c:v>
                </c:pt>
              </c:strCache>
            </c:strRef>
          </c:tx>
          <c:spPr>
            <a:ln w="19050" cap="rnd" cmpd="sng" algn="ctr">
              <a:solidFill>
                <a:srgbClr val="FF0000"/>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Karakter'!$N$11:$N$29,'Grafikoni, CAB, Karakter'!$N$30,'Grafikoni, CAB, Karakter'!$N$31,'Grafikoni, CAB, Karakter'!$N$32,'Grafikoni, CAB, Karakter'!$N$33,'Grafikoni, CAB, Karakter'!$N$34)</c:f>
              <c:numCache>
                <c:formatCode>#,##0.0</c:formatCode>
                <c:ptCount val="24"/>
                <c:pt idx="0">
                  <c:v>2.1796124198770381</c:v>
                </c:pt>
                <c:pt idx="1">
                  <c:v>1.7598002640307304</c:v>
                </c:pt>
                <c:pt idx="2">
                  <c:v>-1.2922191630941815</c:v>
                </c:pt>
                <c:pt idx="3">
                  <c:v>-3.3753380174526213</c:v>
                </c:pt>
                <c:pt idx="4">
                  <c:v>-3.2993293866035529</c:v>
                </c:pt>
                <c:pt idx="5">
                  <c:v>-3.5031256384719787</c:v>
                </c:pt>
                <c:pt idx="6">
                  <c:v>-3.549296673104656</c:v>
                </c:pt>
                <c:pt idx="7">
                  <c:v>-4.4721179414475243</c:v>
                </c:pt>
                <c:pt idx="8">
                  <c:v>-2.7185285753860606</c:v>
                </c:pt>
                <c:pt idx="9">
                  <c:v>-1.9381600187163519</c:v>
                </c:pt>
                <c:pt idx="10">
                  <c:v>0.87849696750383777</c:v>
                </c:pt>
                <c:pt idx="11">
                  <c:v>1.8617568462038272</c:v>
                </c:pt>
                <c:pt idx="12">
                  <c:v>3.5780882279333408</c:v>
                </c:pt>
                <c:pt idx="13">
                  <c:v>2.2029535767846511</c:v>
                </c:pt>
                <c:pt idx="14">
                  <c:v>0.79946067855083103</c:v>
                </c:pt>
                <c:pt idx="15">
                  <c:v>1.8167591027577172</c:v>
                </c:pt>
                <c:pt idx="16">
                  <c:v>1.075617592734925</c:v>
                </c:pt>
                <c:pt idx="17">
                  <c:v>1.5338298181729439</c:v>
                </c:pt>
                <c:pt idx="18">
                  <c:v>5.4576212513017253E-2</c:v>
                </c:pt>
                <c:pt idx="19">
                  <c:v>-6.5961898412149556E-2</c:v>
                </c:pt>
                <c:pt idx="20">
                  <c:v>-7.3464982175282856E-2</c:v>
                </c:pt>
                <c:pt idx="21">
                  <c:v>0.46399586836870643</c:v>
                </c:pt>
                <c:pt idx="22">
                  <c:v>0.32999199871952567</c:v>
                </c:pt>
                <c:pt idx="23">
                  <c:v>0.17404508660464513</c:v>
                </c:pt>
              </c:numCache>
            </c:numRef>
          </c:val>
          <c:smooth val="0"/>
          <c:extLst>
            <c:ext xmlns:c16="http://schemas.microsoft.com/office/drawing/2014/chart" uri="{C3380CC4-5D6E-409C-BE32-E72D297353CC}">
              <c16:uniqueId val="{00000003-F43D-4CB0-AB96-934F932415E9}"/>
            </c:ext>
          </c:extLst>
        </c:ser>
        <c:ser>
          <c:idx val="3"/>
          <c:order val="4"/>
          <c:tx>
            <c:strRef>
              <c:f>'Grafikoni, CAB, Karakter'!$M$10</c:f>
              <c:strCache>
                <c:ptCount val="1"/>
                <c:pt idx="0">
                  <c:v>Структурни  фискални биланс</c:v>
                </c:pt>
              </c:strCache>
            </c:strRef>
          </c:tx>
          <c:spPr>
            <a:ln w="22225" cap="rnd" cmpd="sng" algn="ctr">
              <a:solidFill>
                <a:schemeClr val="accent6"/>
              </a:solidFill>
              <a:prstDash val="solid"/>
              <a:round/>
            </a:ln>
            <a:effectLst/>
          </c:spPr>
          <c:marker>
            <c:symbol val="none"/>
          </c:marker>
          <c:cat>
            <c:numRef>
              <c:f>('Grafikoni, CAB, Karakter'!$F$11:$F$29,'Grafikoni, CAB, Karakter'!$F$30,'Grafikoni, CAB, Karakter'!$F$31,'Grafikoni, CAB, Karakter'!$F$32,'Grafikoni, CAB, Karakter'!$F$33,'Grafikoni, CAB, Karakter'!$F$34)</c:f>
              <c:numCache>
                <c:formatCode>General</c:formatCode>
                <c:ptCount val="2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pt idx="20">
                  <c:v>2025</c:v>
                </c:pt>
                <c:pt idx="21">
                  <c:v>2026</c:v>
                </c:pt>
                <c:pt idx="22">
                  <c:v>2027</c:v>
                </c:pt>
                <c:pt idx="23">
                  <c:v>2028</c:v>
                </c:pt>
              </c:numCache>
            </c:numRef>
          </c:cat>
          <c:val>
            <c:numRef>
              <c:f>('Grafikoni, CAB, Karakter'!$M$11:$M$29,'Grafikoni, CAB, Karakter'!$M$30,'Grafikoni, CAB, Karakter'!$M$31,'Grafikoni, CAB, Karakter'!$M$32,'Grafikoni, CAB, Karakter'!$M$33,'Grafikoni, CAB, Karakter'!$M$34)</c:f>
              <c:numCache>
                <c:formatCode>#,##0.0</c:formatCode>
                <c:ptCount val="24"/>
                <c:pt idx="0">
                  <c:v>1.2963599412259406</c:v>
                </c:pt>
                <c:pt idx="1">
                  <c:v>0.54268941492806533</c:v>
                </c:pt>
                <c:pt idx="2">
                  <c:v>-1.8168033685292786</c:v>
                </c:pt>
                <c:pt idx="3">
                  <c:v>-3.8945434799958991</c:v>
                </c:pt>
                <c:pt idx="4">
                  <c:v>-3.8836903571442694</c:v>
                </c:pt>
                <c:pt idx="5">
                  <c:v>-4.4219223001837609</c:v>
                </c:pt>
                <c:pt idx="6">
                  <c:v>-4.6583314058020013</c:v>
                </c:pt>
                <c:pt idx="7">
                  <c:v>-6.1116359311536961</c:v>
                </c:pt>
                <c:pt idx="8">
                  <c:v>-4.8226229188216845</c:v>
                </c:pt>
                <c:pt idx="9">
                  <c:v>-4.4911131344716662</c:v>
                </c:pt>
                <c:pt idx="10">
                  <c:v>-1.9883894051626929</c:v>
                </c:pt>
                <c:pt idx="11">
                  <c:v>-0.93032850192649585</c:v>
                </c:pt>
                <c:pt idx="12">
                  <c:v>1.140906561856077</c:v>
                </c:pt>
                <c:pt idx="13">
                  <c:v>0.17654425880100597</c:v>
                </c:pt>
                <c:pt idx="14">
                  <c:v>-1.1100126150358283</c:v>
                </c:pt>
                <c:pt idx="15">
                  <c:v>-8.9232159873259498E-2</c:v>
                </c:pt>
                <c:pt idx="16">
                  <c:v>-0.57145495196868401</c:v>
                </c:pt>
                <c:pt idx="17">
                  <c:v>0.11274151604621396</c:v>
                </c:pt>
                <c:pt idx="18">
                  <c:v>-1.5004358875490522</c:v>
                </c:pt>
                <c:pt idx="19">
                  <c:v>-1.7659618984121497</c:v>
                </c:pt>
                <c:pt idx="20">
                  <c:v>-2.0734649821752829</c:v>
                </c:pt>
                <c:pt idx="21">
                  <c:v>-1.558811437386241</c:v>
                </c:pt>
                <c:pt idx="22">
                  <c:v>-1.5700080012804745</c:v>
                </c:pt>
                <c:pt idx="23">
                  <c:v>-1.6259549133953546</c:v>
                </c:pt>
              </c:numCache>
            </c:numRef>
          </c:val>
          <c:smooth val="0"/>
          <c:extLst>
            <c:ext xmlns:c16="http://schemas.microsoft.com/office/drawing/2014/chart" uri="{C3380CC4-5D6E-409C-BE32-E72D297353CC}">
              <c16:uniqueId val="{00000004-F43D-4CB0-AB96-934F932415E9}"/>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title>
          <c:tx>
            <c:rich>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r>
                  <a:rPr lang="sr-Cyrl-CS" sz="800" b="0">
                    <a:solidFill>
                      <a:srgbClr val="44546A"/>
                    </a:solidFill>
                    <a:latin typeface="+mn-lt"/>
                  </a:rPr>
                  <a:t>% БДП</a:t>
                </a:r>
              </a:p>
            </c:rich>
          </c:tx>
          <c:layout>
            <c:manualLayout>
              <c:xMode val="edge"/>
              <c:yMode val="edge"/>
              <c:x val="9.9734752819724382E-2"/>
              <c:y val="0.5757186148832844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en-US"/>
          </a:p>
        </c:txPr>
        <c:crossAx val="342946768"/>
        <c:crosses val="autoZero"/>
        <c:crossBetween val="between"/>
      </c:valAx>
      <c:spPr>
        <a:noFill/>
        <a:ln>
          <a:noFill/>
        </a:ln>
        <a:effectLst/>
      </c:spPr>
    </c:plotArea>
    <c:legend>
      <c:legendPos val="r"/>
      <c:layout>
        <c:manualLayout>
          <c:xMode val="edge"/>
          <c:yMode val="edge"/>
          <c:x val="3.5365082012687619E-3"/>
          <c:y val="0.6912922116619481"/>
          <c:w val="0.98849556078112844"/>
          <c:h val="0.30870778833805196"/>
        </c:manualLayout>
      </c:layout>
      <c:overlay val="0"/>
      <c:spPr>
        <a:noFill/>
        <a:ln>
          <a:noFill/>
        </a:ln>
        <a:effectLst/>
      </c:spPr>
      <c:txPr>
        <a:bodyPr rot="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a:pPr>
      <a:endParaRPr lang="en-US"/>
    </a:p>
  </c:txPr>
  <c:externalData r:id="rId3">
    <c:autoUpdate val="0"/>
  </c:externalData>
  <c:userShapes r:id="rId4"/>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7.3618440989179343E-2"/>
          <c:y val="5.7086964129483823E-2"/>
          <c:w val="0.91635877205946437"/>
          <c:h val="0.82967423338395085"/>
        </c:manualLayout>
      </c:layout>
      <c:barChart>
        <c:barDir val="col"/>
        <c:grouping val="clustered"/>
        <c:varyColors val="0"/>
        <c:ser>
          <c:idx val="0"/>
          <c:order val="0"/>
          <c:tx>
            <c:strRef>
              <c:f>'Grafikoni, CAB, Karakter'!$O$10</c:f>
              <c:strCache>
                <c:ptCount val="1"/>
                <c:pt idx="0">
                  <c:v>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Karakter'!$F$12:$F$34</c:f>
              <c:numCache>
                <c:formatCode>General</c:formatCode>
                <c:ptCount val="2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pt idx="20">
                  <c:v>2026</c:v>
                </c:pt>
                <c:pt idx="21">
                  <c:v>2027</c:v>
                </c:pt>
                <c:pt idx="22">
                  <c:v>2028</c:v>
                </c:pt>
              </c:numCache>
            </c:numRef>
          </c:cat>
          <c:val>
            <c:numRef>
              <c:f>'Grafikoni, CAB, Karakter'!$O$12:$O$34</c:f>
              <c:numCache>
                <c:formatCode>#,##0.0</c:formatCode>
                <c:ptCount val="23"/>
                <c:pt idx="0">
                  <c:v>0.86567947770183284</c:v>
                </c:pt>
                <c:pt idx="1">
                  <c:v>2.7184938173410966</c:v>
                </c:pt>
                <c:pt idx="2">
                  <c:v>1.7029029651260432</c:v>
                </c:pt>
                <c:pt idx="3">
                  <c:v>-8.9070814227104833E-2</c:v>
                </c:pt>
                <c:pt idx="4">
                  <c:v>0.16083307197116881</c:v>
                </c:pt>
                <c:pt idx="5">
                  <c:v>-4.3750398247981437E-2</c:v>
                </c:pt>
                <c:pt idx="6">
                  <c:v>1.1703982791321748</c:v>
                </c:pt>
                <c:pt idx="7">
                  <c:v>-1.5406180557529692</c:v>
                </c:pt>
                <c:pt idx="8">
                  <c:v>-0.20498052807039935</c:v>
                </c:pt>
                <c:pt idx="9">
                  <c:v>-2.8492465289646134</c:v>
                </c:pt>
                <c:pt idx="10">
                  <c:v>-1.7099062118192769</c:v>
                </c:pt>
                <c:pt idx="11">
                  <c:v>-1.930101037661524</c:v>
                </c:pt>
                <c:pt idx="12">
                  <c:v>1.3725858818348886</c:v>
                </c:pt>
                <c:pt idx="13">
                  <c:v>1.3706968944686084</c:v>
                </c:pt>
                <c:pt idx="14">
                  <c:v>5.8868576237880959</c:v>
                </c:pt>
                <c:pt idx="15">
                  <c:v>-2.1000200006730232</c:v>
                </c:pt>
                <c:pt idx="16">
                  <c:v>-1.1302285543801149</c:v>
                </c:pt>
                <c:pt idx="17">
                  <c:v>-1.0906754447916946</c:v>
                </c:pt>
                <c:pt idx="18">
                  <c:v>-0.21670757729934992</c:v>
                </c:pt>
                <c:pt idx="19">
                  <c:v>0.39731561777258201</c:v>
                </c:pt>
                <c:pt idx="20">
                  <c:v>8.0193111971397224E-2</c:v>
                </c:pt>
                <c:pt idx="21">
                  <c:v>0.45552955298043618</c:v>
                </c:pt>
                <c:pt idx="22">
                  <c:v>-0.62026112421242385</c:v>
                </c:pt>
              </c:numCache>
            </c:numRef>
          </c:val>
          <c:extLst>
            <c:ext xmlns:c16="http://schemas.microsoft.com/office/drawing/2014/chart" uri="{C3380CC4-5D6E-409C-BE32-E72D297353CC}">
              <c16:uniqueId val="{00000000-0923-4931-89C2-2760FB4BFBC0}"/>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19050" cap="rnd" cmpd="sng" algn="ctr">
              <a:solidFill>
                <a:srgbClr val="FF0000"/>
              </a:solidFill>
              <a:prstDash val="solid"/>
              <a:round/>
            </a:ln>
            <a:effectLst/>
          </c:spPr>
          <c:marker>
            <c:symbol val="none"/>
          </c:marker>
          <c:cat>
            <c:numRef>
              <c:f>'Grafikoni, CAB, Karakter'!$F$12:$F$34</c:f>
              <c:numCache>
                <c:formatCode>General</c:formatCode>
                <c:ptCount val="2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pt idx="19">
                  <c:v>2025</c:v>
                </c:pt>
                <c:pt idx="20">
                  <c:v>2026</c:v>
                </c:pt>
                <c:pt idx="21">
                  <c:v>2027</c:v>
                </c:pt>
                <c:pt idx="22">
                  <c:v>2028</c:v>
                </c:pt>
              </c:numCache>
            </c:numRef>
          </c:cat>
          <c:val>
            <c:numRef>
              <c:f>'Grafikoni, CAB, Karakter'!$G$12:$G$34</c:f>
              <c:numCache>
                <c:formatCode>#,##0.0</c:formatCode>
                <c:ptCount val="23"/>
                <c:pt idx="0">
                  <c:v>-3.5165462368124332</c:v>
                </c:pt>
                <c:pt idx="1">
                  <c:v>1.196084321888274</c:v>
                </c:pt>
                <c:pt idx="2">
                  <c:v>4.0975511216387579</c:v>
                </c:pt>
                <c:pt idx="3">
                  <c:v>-0.54130619573543659</c:v>
                </c:pt>
                <c:pt idx="4">
                  <c:v>0.40177108789096799</c:v>
                </c:pt>
                <c:pt idx="5">
                  <c:v>0.29960792533757369</c:v>
                </c:pt>
                <c:pt idx="6">
                  <c:v>-6.2890540897553332E-2</c:v>
                </c:pt>
                <c:pt idx="7">
                  <c:v>0.40789187786094738</c:v>
                </c:pt>
                <c:pt idx="8">
                  <c:v>-1.747527952324841</c:v>
                </c:pt>
                <c:pt idx="9">
                  <c:v>-1.491600237107803</c:v>
                </c:pt>
                <c:pt idx="10">
                  <c:v>-0.40746312947763941</c:v>
                </c:pt>
                <c:pt idx="11">
                  <c:v>-0.63246448771553998</c:v>
                </c:pt>
                <c:pt idx="12">
                  <c:v>0.82017684822833592</c:v>
                </c:pt>
                <c:pt idx="13">
                  <c:v>2.0836606205018757</c:v>
                </c:pt>
                <c:pt idx="14">
                  <c:v>-2.43199437589917</c:v>
                </c:pt>
                <c:pt idx="15">
                  <c:v>1.4523244397010528</c:v>
                </c:pt>
                <c:pt idx="16">
                  <c:v>0.25110441831993507</c:v>
                </c:pt>
                <c:pt idx="17">
                  <c:v>0.26241114058285447</c:v>
                </c:pt>
                <c:pt idx="18">
                  <c:v>0.2117571474337728</c:v>
                </c:pt>
                <c:pt idx="19">
                  <c:v>-0.64127377592474377</c:v>
                </c:pt>
                <c:pt idx="20">
                  <c:v>-0.35099602590392454</c:v>
                </c:pt>
                <c:pt idx="21">
                  <c:v>0.58668818391246813</c:v>
                </c:pt>
                <c:pt idx="22">
                  <c:v>-3.405593504157952E-2</c:v>
                </c:pt>
              </c:numCache>
            </c:numRef>
          </c:val>
          <c:smooth val="1"/>
          <c:extLst>
            <c:ext xmlns:c16="http://schemas.microsoft.com/office/drawing/2014/chart" uri="{C3380CC4-5D6E-409C-BE32-E72D297353CC}">
              <c16:uniqueId val="{00000001-0923-4931-89C2-2760FB4BFBC0}"/>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r>
                  <a:rPr lang="sr-Cyrl-CS" sz="750">
                    <a:solidFill>
                      <a:srgbClr val="44546A"/>
                    </a:solidFill>
                    <a:latin typeface="+mn-lt"/>
                  </a:rPr>
                  <a:t>% </a:t>
                </a:r>
                <a:r>
                  <a:rPr lang="sr-Cyrl-CS" sz="750" b="0">
                    <a:solidFill>
                      <a:srgbClr val="44546A"/>
                    </a:solidFill>
                    <a:latin typeface="+mn-lt"/>
                  </a:rPr>
                  <a:t>БДП</a:t>
                </a:r>
                <a:endParaRPr lang="en-US" sz="750" b="0">
                  <a:solidFill>
                    <a:srgbClr val="44546A"/>
                  </a:solidFill>
                  <a:latin typeface="+mn-lt"/>
                </a:endParaRPr>
              </a:p>
            </c:rich>
          </c:tx>
          <c:layout>
            <c:manualLayout>
              <c:xMode val="edge"/>
              <c:yMode val="edge"/>
              <c:x val="4.8883441722674371E-2"/>
              <c:y val="0.61717445681131966"/>
            </c:manualLayout>
          </c:layout>
          <c:overlay val="0"/>
          <c:spPr>
            <a:noFill/>
            <a:ln>
              <a:noFill/>
            </a:ln>
            <a:effectLst/>
          </c:spPr>
          <c:txPr>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endParaRPr lang="en-U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Cambria" pitchFamily="18" charset="0"/>
                <a:ea typeface="+mn-ea"/>
                <a:cs typeface="+mn-cs"/>
              </a:defRPr>
            </a:pPr>
            <a:endParaRPr lang="en-US"/>
          </a:p>
        </c:txPr>
        <c:crossAx val="467546320"/>
        <c:crosses val="autoZero"/>
        <c:crossBetween val="between"/>
      </c:valAx>
      <c:spPr>
        <a:noFill/>
        <a:ln>
          <a:noFill/>
        </a:ln>
        <a:effectLst/>
      </c:spPr>
    </c:plotArea>
    <c:legend>
      <c:legendPos val="r"/>
      <c:layout>
        <c:manualLayout>
          <c:xMode val="edge"/>
          <c:yMode val="edge"/>
          <c:x val="0.10575935617028157"/>
          <c:y val="0.82970027594333029"/>
          <c:w val="0.795961068391148"/>
          <c:h val="4.9573656234147202E-2"/>
        </c:manualLayout>
      </c:layout>
      <c:overlay val="0"/>
      <c:spPr>
        <a:noFill/>
        <a:ln>
          <a:noFill/>
        </a:ln>
        <a:effectLst/>
      </c:spPr>
      <c:txPr>
        <a:bodyPr rot="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en-U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en-US"/>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t>Стопа</a:t>
            </a:r>
            <a:r>
              <a:rPr lang="sr-Cyrl-RS" sz="900" b="1" baseline="0"/>
              <a:t> раста</a:t>
            </a:r>
            <a:r>
              <a:rPr lang="sr-Cyrl-RS" sz="900" b="1"/>
              <a:t> БДП Кине, %</a:t>
            </a:r>
          </a:p>
        </c:rich>
      </c:tx>
      <c:layout>
        <c:manualLayout>
          <c:xMode val="edge"/>
          <c:yMode val="edge"/>
          <c:x val="0.3266378600823045"/>
          <c:y val="2.1166666666666667E-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'SAD,Kina,Rusija, realni rast'!$A$20</c:f>
              <c:strCache>
                <c:ptCount val="1"/>
                <c:pt idx="0">
                  <c:v>апр. 2024.</c:v>
                </c:pt>
              </c:strCache>
            </c:strRef>
          </c:tx>
          <c:spPr>
            <a:ln w="25400" cap="rnd">
              <a:solidFill>
                <a:schemeClr val="accent4"/>
              </a:solidFill>
              <a:prstDash val="sysDot"/>
              <a:round/>
            </a:ln>
            <a:effectLst/>
          </c:spPr>
          <c:marker>
            <c:symbol val="none"/>
          </c:marker>
          <c:dLbls>
            <c:dLbl>
              <c:idx val="0"/>
              <c:layout>
                <c:manualLayout>
                  <c:x val="-8.7959172692993956E-2"/>
                  <c:y val="4.90933986443050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43-4987-B7D5-467DA8D1ACBA}"/>
                </c:ext>
              </c:extLst>
            </c:dLbl>
            <c:dLbl>
              <c:idx val="1"/>
              <c:layout>
                <c:manualLayout>
                  <c:x val="-8.7496382749459409E-2"/>
                  <c:y val="-7.9103798197814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43-4987-B7D5-467DA8D1ACBA}"/>
                </c:ext>
              </c:extLst>
            </c:dLbl>
            <c:dLbl>
              <c:idx val="2"/>
              <c:layout>
                <c:manualLayout>
                  <c:x val="-5.0475368523303817E-2"/>
                  <c:y val="7.4781748601992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43-4987-B7D5-467DA8D1ACB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rast'!$E$20:$I$20</c:f>
              <c:numCache>
                <c:formatCode>0.0</c:formatCode>
                <c:ptCount val="3"/>
                <c:pt idx="0">
                  <c:v>4.5999999999999996</c:v>
                </c:pt>
                <c:pt idx="1">
                  <c:v>4.0999999999999996</c:v>
                </c:pt>
                <c:pt idx="2">
                  <c:v>3.8</c:v>
                </c:pt>
              </c:numCache>
            </c:numRef>
          </c:val>
          <c:smooth val="0"/>
          <c:extLst>
            <c:ext xmlns:c16="http://schemas.microsoft.com/office/drawing/2014/chart" uri="{C3380CC4-5D6E-409C-BE32-E72D297353CC}">
              <c16:uniqueId val="{00000003-DE43-4987-B7D5-467DA8D1ACBA}"/>
            </c:ext>
          </c:extLst>
        </c:ser>
        <c:ser>
          <c:idx val="1"/>
          <c:order val="1"/>
          <c:tx>
            <c:strRef>
              <c:f>'SAD,Kina,Rusija, realni rast'!$A$21</c:f>
              <c:strCache>
                <c:ptCount val="1"/>
                <c:pt idx="0">
                  <c:v>окт. 2024.</c:v>
                </c:pt>
              </c:strCache>
            </c:strRef>
          </c:tx>
          <c:spPr>
            <a:ln w="22225" cap="rnd">
              <a:solidFill>
                <a:srgbClr val="002060"/>
              </a:solidFill>
              <a:prstDash val="sysDash"/>
              <a:round/>
            </a:ln>
            <a:effectLst/>
          </c:spPr>
          <c:marker>
            <c:symbol val="none"/>
          </c:marker>
          <c:dLbls>
            <c:dLbl>
              <c:idx val="0"/>
              <c:layout>
                <c:manualLayout>
                  <c:x val="-0.13372775300031847"/>
                  <c:y val="9.54725017161075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E43-4987-B7D5-467DA8D1ACBA}"/>
                </c:ext>
              </c:extLst>
            </c:dLbl>
            <c:dLbl>
              <c:idx val="1"/>
              <c:layout>
                <c:manualLayout>
                  <c:x val="-3.1908512281201784E-2"/>
                  <c:y val="-7.30831952174160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E43-4987-B7D5-467DA8D1ACBA}"/>
                </c:ext>
              </c:extLst>
            </c:dLbl>
            <c:dLbl>
              <c:idx val="2"/>
              <c:layout>
                <c:manualLayout>
                  <c:x val="-3.2007395914070126E-2"/>
                  <c:y val="-8.2469427855064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E43-4987-B7D5-467DA8D1ACBA}"/>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rast'!$E$21:$I$21</c:f>
              <c:numCache>
                <c:formatCode>0.0</c:formatCode>
                <c:ptCount val="3"/>
                <c:pt idx="0">
                  <c:v>4.8</c:v>
                </c:pt>
                <c:pt idx="1">
                  <c:v>4.5</c:v>
                </c:pt>
                <c:pt idx="2">
                  <c:v>4.0999999999999996</c:v>
                </c:pt>
              </c:numCache>
            </c:numRef>
          </c:val>
          <c:smooth val="0"/>
          <c:extLst>
            <c:ext xmlns:c16="http://schemas.microsoft.com/office/drawing/2014/chart" uri="{C3380CC4-5D6E-409C-BE32-E72D297353CC}">
              <c16:uniqueId val="{00000007-DE43-4987-B7D5-467DA8D1ACBA}"/>
            </c:ext>
          </c:extLst>
        </c:ser>
        <c:ser>
          <c:idx val="2"/>
          <c:order val="2"/>
          <c:tx>
            <c:strRef>
              <c:f>'SAD,Kina,Rusija, realni rast'!$A$22</c:f>
              <c:strCache>
                <c:ptCount val="1"/>
                <c:pt idx="0">
                  <c:v>апр. 2025.</c:v>
                </c:pt>
              </c:strCache>
            </c:strRef>
          </c:tx>
          <c:spPr>
            <a:ln w="28575" cap="rnd">
              <a:solidFill>
                <a:srgbClr val="FF0000"/>
              </a:solidFill>
              <a:round/>
            </a:ln>
            <a:effectLst/>
          </c:spPr>
          <c:marker>
            <c:symbol val="none"/>
          </c:marker>
          <c:dLbls>
            <c:dLbl>
              <c:idx val="0"/>
              <c:layout>
                <c:manualLayout>
                  <c:x val="-8.290554710600008E-2"/>
                  <c:y val="-1.5375055841607185E-2"/>
                </c:manualLayout>
              </c:layout>
              <c:tx>
                <c:rich>
                  <a:bodyPr/>
                  <a:lstStyle/>
                  <a:p>
                    <a:fld id="{9CEB5E0B-8836-412F-8C36-DD0943CEE504}" type="VALUE">
                      <a:rPr lang="en-US" sz="700">
                        <a:solidFill>
                          <a:schemeClr val="bg1"/>
                        </a:solidFill>
                      </a:rPr>
                      <a:pPr/>
                      <a:t>[VALUE]</a:t>
                    </a:fld>
                    <a:endParaRPr lang="sr-Cyrl-RS"/>
                  </a:p>
                </c:rich>
              </c:tx>
              <c:dLblPos val="r"/>
              <c:showLegendKey val="0"/>
              <c:showVal val="1"/>
              <c:showCatName val="0"/>
              <c:showSerName val="0"/>
              <c:showPercent val="0"/>
              <c:showBubbleSize val="0"/>
              <c:extLst>
                <c:ext xmlns:c15="http://schemas.microsoft.com/office/drawing/2012/chart" uri="{CE6537A1-D6FC-4f65-9D91-7224C49458BB}">
                  <c15:layout>
                    <c:manualLayout>
                      <c:w val="0.10227948586327593"/>
                      <c:h val="0.11361239810798343"/>
                    </c:manualLayout>
                  </c15:layout>
                  <c15:dlblFieldTable/>
                  <c15:showDataLabelsRange val="0"/>
                </c:ext>
                <c:ext xmlns:c16="http://schemas.microsoft.com/office/drawing/2014/chart" uri="{C3380CC4-5D6E-409C-BE32-E72D297353CC}">
                  <c16:uniqueId val="{00000008-DE43-4987-B7D5-467DA8D1ACBA}"/>
                </c:ext>
              </c:extLst>
            </c:dLbl>
            <c:dLbl>
              <c:idx val="1"/>
              <c:tx>
                <c:rich>
                  <a:bodyPr/>
                  <a:lstStyle/>
                  <a:p>
                    <a:fld id="{C6CF2CDC-FE80-4EAD-A08D-EAA0E190F4C6}"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DE43-4987-B7D5-467DA8D1ACBA}"/>
                </c:ext>
              </c:extLst>
            </c:dLbl>
            <c:dLbl>
              <c:idx val="2"/>
              <c:tx>
                <c:rich>
                  <a:bodyPr/>
                  <a:lstStyle/>
                  <a:p>
                    <a:fld id="{59AEC806-C090-4EBD-AF96-B4F75B005E31}"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DE43-4987-B7D5-467DA8D1ACBA}"/>
                </c:ext>
              </c:extLst>
            </c:dLbl>
            <c:spPr>
              <a:solidFill>
                <a:srgbClr val="ED1C24"/>
              </a:solidFill>
              <a:ln>
                <a:solidFill>
                  <a:srgbClr val="ED1C24"/>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ellipse">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rast'!$E$19:$I$19</c:f>
              <c:numCache>
                <c:formatCode>General</c:formatCode>
                <c:ptCount val="3"/>
                <c:pt idx="0">
                  <c:v>2024</c:v>
                </c:pt>
                <c:pt idx="1">
                  <c:v>2025</c:v>
                </c:pt>
                <c:pt idx="2">
                  <c:v>2026</c:v>
                </c:pt>
              </c:numCache>
            </c:numRef>
          </c:cat>
          <c:val>
            <c:numRef>
              <c:f>'SAD,Kina,Rusija, realni rast'!$E$22:$I$22</c:f>
              <c:numCache>
                <c:formatCode>0.0</c:formatCode>
                <c:ptCount val="3"/>
                <c:pt idx="0">
                  <c:v>5</c:v>
                </c:pt>
                <c:pt idx="1">
                  <c:v>4</c:v>
                </c:pt>
                <c:pt idx="2">
                  <c:v>4</c:v>
                </c:pt>
              </c:numCache>
            </c:numRef>
          </c:val>
          <c:smooth val="0"/>
          <c:extLst>
            <c:ext xmlns:c16="http://schemas.microsoft.com/office/drawing/2014/chart" uri="{C3380CC4-5D6E-409C-BE32-E72D297353CC}">
              <c16:uniqueId val="{0000000B-DE43-4987-B7D5-467DA8D1ACBA}"/>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800-4BEA-A82F-EAF3567FA55C}"/>
                </c:ext>
              </c:extLst>
            </c:dLbl>
            <c:dLbl>
              <c:idx val="1"/>
              <c:layout>
                <c:manualLayout>
                  <c:x val="-2.4016646498707127E-2"/>
                  <c:y val="-3.3977185642662298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800-4BEA-A82F-EAF3567FA55C}"/>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800-4BEA-A82F-EAF3567FA55C}"/>
                </c:ext>
              </c:extLst>
            </c:dLbl>
            <c:dLbl>
              <c:idx val="3"/>
              <c:layout>
                <c:manualLayout>
                  <c:x val="-0.13454854074369876"/>
                  <c:y val="-3.2646747537246598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800-4BEA-A82F-EAF3567FA55C}"/>
                </c:ext>
              </c:extLst>
            </c:dLbl>
            <c:dLbl>
              <c:idx val="4"/>
              <c:layout>
                <c:manualLayout>
                  <c:x val="-0.15266646933546832"/>
                  <c:y val="4.863580883951224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800-4BEA-A82F-EAF3567FA55C}"/>
                </c:ext>
              </c:extLst>
            </c:dLbl>
            <c:dLbl>
              <c:idx val="5"/>
              <c:layout>
                <c:manualLayout>
                  <c:x val="8.0055488329023438E-3"/>
                  <c:y val="-3.0523469547407887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800-4BEA-A82F-EAF3567FA55C}"/>
                </c:ext>
              </c:extLst>
            </c:dLbl>
            <c:dLbl>
              <c:idx val="6"/>
              <c:layout>
                <c:manualLayout>
                  <c:x val="-0.11474523872131777"/>
                  <c:y val="-3.1313914333008237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800-4BEA-A82F-EAF3567FA55C}"/>
                </c:ext>
              </c:extLst>
            </c:dLbl>
            <c:dLbl>
              <c:idx val="7"/>
              <c:layout>
                <c:manualLayout>
                  <c:x val="1.3486231330586023E-2"/>
                  <c:y val="-1.6118747633412688E-3"/>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B800-4BEA-A82F-EAF3567FA55C}"/>
                </c:ext>
              </c:extLst>
            </c:dLbl>
            <c:dLbl>
              <c:idx val="8"/>
              <c:layout>
                <c:manualLayout>
                  <c:x val="-0.15205969965244098"/>
                  <c:y val="2.1390420245629222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800-4BEA-A82F-EAF3567FA55C}"/>
                </c:ext>
              </c:extLst>
            </c:dLbl>
            <c:dLbl>
              <c:idx val="9"/>
              <c:layout>
                <c:manualLayout>
                  <c:x val="-5.4327355684405977E-2"/>
                  <c:y val="3.8165916006571952E-2"/>
                </c:manualLayout>
              </c:layout>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800-4BEA-A82F-EAF3567FA55C}"/>
                </c:ext>
              </c:extLst>
            </c:dLbl>
            <c:dLbl>
              <c:idx val="10"/>
              <c:layout>
                <c:manualLayout>
                  <c:x val="2.4702979362210165E-2"/>
                  <c:y val="7.9280355743809913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B800-4BEA-A82F-EAF3567FA55C}"/>
                </c:ext>
              </c:extLst>
            </c:dLbl>
            <c:dLbl>
              <c:idx val="11"/>
              <c:layout>
                <c:manualLayout>
                  <c:x val="-7.4453958854958965E-2"/>
                  <c:y val="8.1029381777073417E-2"/>
                </c:manualLayout>
              </c:layout>
              <c:tx>
                <c:rich>
                  <a:bodyPr rot="0" spcFirstLastPara="1" vertOverflow="ellipsis" vert="horz" wrap="square" lIns="38100" tIns="19050" rIns="38100" bIns="19050" anchor="ctr" anchorCtr="1">
                    <a:noAutofit/>
                  </a:bodyPr>
                  <a:lstStyle/>
                  <a:p>
                    <a:pPr>
                      <a:defRPr sz="600" b="0" i="0" u="none" strike="noStrike" kern="1200" baseline="0">
                        <a:solidFill>
                          <a:srgbClr val="44546A"/>
                        </a:solidFill>
                        <a:latin typeface="+mn-lt"/>
                        <a:ea typeface="+mn-ea"/>
                        <a:cs typeface="+mn-cs"/>
                      </a:defRPr>
                    </a:pPr>
                    <a:r>
                      <a:rPr lang="en-US"/>
                      <a:t>2017</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4892931153580471"/>
                      <c:h val="7.2217352885409994E-2"/>
                    </c:manualLayout>
                  </c15:layout>
                  <c15:showDataLabelsRange val="0"/>
                </c:ext>
                <c:ext xmlns:c16="http://schemas.microsoft.com/office/drawing/2014/chart" uri="{C3380CC4-5D6E-409C-BE32-E72D297353CC}">
                  <c16:uniqueId val="{0000000B-B800-4BEA-A82F-EAF3567FA55C}"/>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800-4BEA-A82F-EAF3567FA55C}"/>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B800-4BEA-A82F-EAF3567FA55C}"/>
                </c:ext>
              </c:extLst>
            </c:dLbl>
            <c:dLbl>
              <c:idx val="14"/>
              <c:layout>
                <c:manualLayout>
                  <c:x val="-0.1103629516952794"/>
                  <c:y val="5.4316219900045433E-2"/>
                </c:manualLayout>
              </c:layout>
              <c:tx>
                <c:rich>
                  <a:bodyPr rot="0" spcFirstLastPara="1" vertOverflow="ellipsis" vert="horz" wrap="square" lIns="38100" tIns="19050" rIns="38100" bIns="19050" anchor="ctr" anchorCtr="1">
                    <a:noAutofit/>
                  </a:bodyPr>
                  <a:lstStyle/>
                  <a:p>
                    <a:pPr>
                      <a:defRPr sz="600" b="0" i="0" u="none" strike="noStrike" kern="1200" baseline="0">
                        <a:solidFill>
                          <a:srgbClr val="44546A"/>
                        </a:solidFill>
                        <a:latin typeface="+mn-lt"/>
                        <a:ea typeface="+mn-ea"/>
                        <a:cs typeface="+mn-cs"/>
                      </a:defRPr>
                    </a:pPr>
                    <a:r>
                      <a:rPr lang="en-US" sz="600"/>
                      <a:t>2020</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9.3107743295845785E-2"/>
                      <c:h val="4.6855581035105724E-2"/>
                    </c:manualLayout>
                  </c15:layout>
                  <c15:showDataLabelsRange val="0"/>
                </c:ext>
                <c:ext xmlns:c16="http://schemas.microsoft.com/office/drawing/2014/chart" uri="{C3380CC4-5D6E-409C-BE32-E72D297353CC}">
                  <c16:uniqueId val="{0000000E-B800-4BEA-A82F-EAF3567FA55C}"/>
                </c:ext>
              </c:extLst>
            </c:dLbl>
            <c:dLbl>
              <c:idx val="15"/>
              <c:layout>
                <c:manualLayout>
                  <c:x val="1.0674062867708761E-2"/>
                  <c:y val="-3.2622739847777804E-2"/>
                </c:manualLayout>
              </c:layout>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B800-4BEA-A82F-EAF3567FA55C}"/>
                </c:ext>
              </c:extLst>
            </c:dLbl>
            <c:dLbl>
              <c:idx val="16"/>
              <c:layout>
                <c:manualLayout>
                  <c:x val="-0.18037751037509903"/>
                  <c:y val="1.3053121880891565E-2"/>
                </c:manualLayout>
              </c:layout>
              <c:tx>
                <c:rich>
                  <a:bodyPr rot="0" spcFirstLastPara="1" vertOverflow="ellipsis" vert="horz" wrap="square" lIns="38100" tIns="19050" rIns="38100" bIns="19050" anchor="ctr" anchorCtr="1">
                    <a:noAutofit/>
                  </a:bodyPr>
                  <a:lstStyle/>
                  <a:p>
                    <a:pPr>
                      <a:defRPr sz="600" b="0" i="0" u="none" strike="noStrike" kern="1200" baseline="0">
                        <a:solidFill>
                          <a:srgbClr val="44546A"/>
                        </a:solidFill>
                        <a:latin typeface="+mn-lt"/>
                        <a:ea typeface="+mn-ea"/>
                        <a:cs typeface="+mn-cs"/>
                      </a:defRPr>
                    </a:pPr>
                    <a:r>
                      <a:rPr lang="en-US" sz="600" b="0"/>
                      <a:t>2022</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DataLabelsRange val="0"/>
                </c:ext>
                <c:ext xmlns:c16="http://schemas.microsoft.com/office/drawing/2014/chart" uri="{C3380CC4-5D6E-409C-BE32-E72D297353CC}">
                  <c16:uniqueId val="{00000010-B800-4BEA-A82F-EAF3567FA55C}"/>
                </c:ext>
              </c:extLst>
            </c:dLbl>
            <c:dLbl>
              <c:idx val="17"/>
              <c:layout>
                <c:manualLayout>
                  <c:x val="-8.1269841269841311E-2"/>
                  <c:y val="6.939257455740251E-3"/>
                </c:manualLayout>
              </c:layout>
              <c:tx>
                <c:rich>
                  <a:bodyPr/>
                  <a:lstStyle/>
                  <a:p>
                    <a:r>
                      <a:rPr lang="en-US"/>
                      <a:t>2023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B800-4BEA-A82F-EAF3567FA55C}"/>
                </c:ext>
              </c:extLst>
            </c:dLbl>
            <c:dLbl>
              <c:idx val="18"/>
              <c:layout>
                <c:manualLayout>
                  <c:x val="-5.9977669858269885E-3"/>
                  <c:y val="1.4377796284852282E-2"/>
                </c:manualLayout>
              </c:layout>
              <c:tx>
                <c:rich>
                  <a:bodyPr/>
                  <a:lstStyle/>
                  <a:p>
                    <a:r>
                      <a:rPr lang="en-US"/>
                      <a:t>2024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B800-4BEA-A82F-EAF3567FA55C}"/>
                </c:ext>
              </c:extLst>
            </c:dLbl>
            <c:dLbl>
              <c:idx val="19"/>
              <c:layout>
                <c:manualLayout>
                  <c:x val="-5.0560313776511115E-2"/>
                  <c:y val="-2.8422689026967769E-2"/>
                </c:manualLayout>
              </c:layout>
              <c:tx>
                <c:rich>
                  <a:bodyPr/>
                  <a:lstStyle/>
                  <a:p>
                    <a:r>
                      <a:rPr lang="en-US"/>
                      <a:t>2025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B800-4BEA-A82F-EAF3567FA55C}"/>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rgbClr val="44546A"/>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Karakter'!$Z$12:$Z$31</c:f>
              <c:numCache>
                <c:formatCode>#,##0.0</c:formatCode>
                <c:ptCount val="20"/>
                <c:pt idx="0">
                  <c:v>-3.5165462368124332</c:v>
                </c:pt>
                <c:pt idx="1">
                  <c:v>1.196084321888274</c:v>
                </c:pt>
                <c:pt idx="2">
                  <c:v>4.0975511216387579</c:v>
                </c:pt>
                <c:pt idx="3">
                  <c:v>-0.54130619573543659</c:v>
                </c:pt>
                <c:pt idx="4">
                  <c:v>0.40177108789096799</c:v>
                </c:pt>
                <c:pt idx="5">
                  <c:v>0.29960792533757369</c:v>
                </c:pt>
                <c:pt idx="6">
                  <c:v>-6.2890540897553332E-2</c:v>
                </c:pt>
                <c:pt idx="7">
                  <c:v>0.40789187786094738</c:v>
                </c:pt>
                <c:pt idx="8">
                  <c:v>-1.747527952324841</c:v>
                </c:pt>
                <c:pt idx="9">
                  <c:v>-1.491600237107803</c:v>
                </c:pt>
                <c:pt idx="10">
                  <c:v>-0.40746312947763941</c:v>
                </c:pt>
                <c:pt idx="11">
                  <c:v>-0.63246448771553998</c:v>
                </c:pt>
                <c:pt idx="12">
                  <c:v>0.82017684822833592</c:v>
                </c:pt>
                <c:pt idx="13">
                  <c:v>2.0836606205018757</c:v>
                </c:pt>
                <c:pt idx="14">
                  <c:v>-2.43199437589917</c:v>
                </c:pt>
                <c:pt idx="15">
                  <c:v>1.4523244397010528</c:v>
                </c:pt>
                <c:pt idx="16">
                  <c:v>0.25110441831993507</c:v>
                </c:pt>
                <c:pt idx="17">
                  <c:v>0.26241114058285447</c:v>
                </c:pt>
                <c:pt idx="18">
                  <c:v>0.2117571474337728</c:v>
                </c:pt>
                <c:pt idx="19">
                  <c:v>-0.64127377592474377</c:v>
                </c:pt>
              </c:numCache>
            </c:numRef>
          </c:xVal>
          <c:yVal>
            <c:numRef>
              <c:f>'Grafikoni, CAB, Karakter'!$AA$12:$AA$31</c:f>
              <c:numCache>
                <c:formatCode>#,##0.0</c:formatCode>
                <c:ptCount val="20"/>
                <c:pt idx="0">
                  <c:v>0.86567947770183284</c:v>
                </c:pt>
                <c:pt idx="1">
                  <c:v>2.7184938173410966</c:v>
                </c:pt>
                <c:pt idx="2">
                  <c:v>1.7029029651260432</c:v>
                </c:pt>
                <c:pt idx="3">
                  <c:v>-8.9070814227104833E-2</c:v>
                </c:pt>
                <c:pt idx="4">
                  <c:v>0.16083307197116881</c:v>
                </c:pt>
                <c:pt idx="5">
                  <c:v>-4.3750398247981437E-2</c:v>
                </c:pt>
                <c:pt idx="6">
                  <c:v>1.1703982791321748</c:v>
                </c:pt>
                <c:pt idx="7">
                  <c:v>-1.5406180557529692</c:v>
                </c:pt>
                <c:pt idx="8">
                  <c:v>-0.20498052807039935</c:v>
                </c:pt>
                <c:pt idx="9">
                  <c:v>-2.8492465289646134</c:v>
                </c:pt>
                <c:pt idx="10">
                  <c:v>-1.7099062118192769</c:v>
                </c:pt>
                <c:pt idx="11">
                  <c:v>-1.930101037661524</c:v>
                </c:pt>
                <c:pt idx="12">
                  <c:v>1.3725858818348886</c:v>
                </c:pt>
                <c:pt idx="13">
                  <c:v>1.3706968944686084</c:v>
                </c:pt>
                <c:pt idx="14">
                  <c:v>5.8868576237880959</c:v>
                </c:pt>
                <c:pt idx="15">
                  <c:v>-2.1000200006730232</c:v>
                </c:pt>
                <c:pt idx="16">
                  <c:v>-1.1302285543801149</c:v>
                </c:pt>
                <c:pt idx="17">
                  <c:v>-1.0906754447916946</c:v>
                </c:pt>
                <c:pt idx="18">
                  <c:v>-0.21670757729934992</c:v>
                </c:pt>
                <c:pt idx="19">
                  <c:v>0.39731561777258201</c:v>
                </c:pt>
              </c:numCache>
            </c:numRef>
          </c:yVal>
          <c:smooth val="1"/>
          <c:extLst>
            <c:ext xmlns:c16="http://schemas.microsoft.com/office/drawing/2014/chart" uri="{C3380CC4-5D6E-409C-BE32-E72D297353CC}">
              <c16:uniqueId val="{00000014-B800-4BEA-A82F-EAF3567FA55C}"/>
            </c:ext>
          </c:extLst>
        </c:ser>
        <c:dLbls>
          <c:showLegendKey val="0"/>
          <c:showVal val="0"/>
          <c:showCatName val="0"/>
          <c:showSerName val="0"/>
          <c:showPercent val="0"/>
          <c:showBubbleSize val="0"/>
        </c:dLbls>
        <c:axId val="220401872"/>
        <c:axId val="343751600"/>
      </c:scatterChart>
      <c:valAx>
        <c:axId val="220401872"/>
        <c:scaling>
          <c:orientation val="minMax"/>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0">
                    <a:solidFill>
                      <a:srgbClr val="44546A"/>
                    </a:solidFill>
                    <a:latin typeface="+mn-lt"/>
                  </a:rPr>
                  <a:t>Производни јаз</a:t>
                </a:r>
              </a:p>
            </c:rich>
          </c:tx>
          <c:layout>
            <c:manualLayout>
              <c:xMode val="edge"/>
              <c:yMode val="edge"/>
              <c:x val="0.82932193475815519"/>
              <c:y val="0.56597321446622073"/>
            </c:manualLayout>
          </c:layout>
          <c:overlay val="0"/>
          <c:spPr>
            <a:noFill/>
            <a:ln>
              <a:noFill/>
            </a:ln>
            <a:effectLst/>
          </c:spPr>
        </c:title>
        <c:numFmt formatCode="#,##0" sourceLinked="0"/>
        <c:majorTickMark val="none"/>
        <c:minorTickMark val="none"/>
        <c:tickLblPos val="nextTo"/>
        <c:spPr>
          <a:noFill/>
          <a:ln w="9525" cap="flat" cmpd="sng" algn="ctr">
            <a:solidFill>
              <a:srgbClr val="D9D9D9"/>
            </a:solidFill>
            <a:round/>
          </a:ln>
          <a:effectLst/>
        </c:spPr>
        <c:txPr>
          <a:bodyPr rot="-600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en-US"/>
          </a:p>
        </c:txPr>
        <c:crossAx val="343751600"/>
        <c:crosses val="autoZero"/>
        <c:crossBetween val="midCat"/>
      </c:valAx>
      <c:valAx>
        <c:axId val="343751600"/>
        <c:scaling>
          <c:orientation val="minMax"/>
          <c:max val="6.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0">
                    <a:solidFill>
                      <a:srgbClr val="44546A"/>
                    </a:solidFill>
                    <a:latin typeface="+mn-lt"/>
                  </a:rPr>
                  <a:t>Фискални импулс</a:t>
                </a:r>
                <a:endParaRPr lang="en-GB" sz="700" b="0">
                  <a:solidFill>
                    <a:srgbClr val="44546A"/>
                  </a:solidFill>
                  <a:latin typeface="+mn-lt"/>
                </a:endParaRPr>
              </a:p>
            </c:rich>
          </c:tx>
          <c:layout>
            <c:manualLayout>
              <c:xMode val="edge"/>
              <c:yMode val="edge"/>
              <c:x val="2.416097987751531E-3"/>
              <c:y val="0.49974210003786534"/>
            </c:manualLayout>
          </c:layout>
          <c:overlay val="0"/>
          <c:spPr>
            <a:noFill/>
            <a:ln>
              <a:noFill/>
            </a:ln>
            <a:effectLst/>
          </c:spPr>
        </c:title>
        <c:numFmt formatCode="#,##0" sourceLinked="0"/>
        <c:majorTickMark val="none"/>
        <c:minorTickMark val="none"/>
        <c:tickLblPos val="nextTo"/>
        <c:spPr>
          <a:noFill/>
          <a:ln w="9525">
            <a:solidFill>
              <a:srgbClr val="D9D9D9"/>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en-US"/>
    </a:p>
  </c:txPr>
  <c:externalData r:id="rId2">
    <c:autoUpdate val="0"/>
  </c:externalData>
  <c:userShapes r:id="rId3"/>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9214420450111"/>
          <c:y val="4.2508416483893662E-2"/>
          <c:w val="0.86835241316508394"/>
          <c:h val="0.81374254200939145"/>
        </c:manualLayout>
      </c:layout>
      <c:barChart>
        <c:barDir val="col"/>
        <c:grouping val="clustered"/>
        <c:varyColors val="0"/>
        <c:ser>
          <c:idx val="0"/>
          <c:order val="0"/>
          <c:spPr>
            <a:solidFill>
              <a:schemeClr val="accent1"/>
            </a:solidFill>
            <a:ln w="25400">
              <a:solidFill>
                <a:schemeClr val="accent1"/>
              </a:solidFill>
            </a:ln>
            <a:effectLst/>
          </c:spPr>
          <c:invertIfNegative val="0"/>
          <c:dLbls>
            <c:dLbl>
              <c:idx val="12"/>
              <c:layout>
                <c:manualLayout>
                  <c:x val="0"/>
                  <c:y val="-4.37876299945265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FB-4AA7-B74E-B06F71AFD122}"/>
                </c:ext>
              </c:extLst>
            </c:dLbl>
            <c:dLbl>
              <c:idx val="15"/>
              <c:layout>
                <c:manualLayout>
                  <c:x val="0"/>
                  <c:y val="-2.3446658851113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FB-4AA7-B74E-B06F71AFD122}"/>
                </c:ext>
              </c:extLst>
            </c:dLbl>
            <c:dLbl>
              <c:idx val="16"/>
              <c:layout>
                <c:manualLayout>
                  <c:x val="0"/>
                  <c:y val="-2.3446658851113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FB-4AA7-B74E-B06F71AFD12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1'!$C$79:$C$96</c:f>
              <c:strCache>
                <c:ptCount val="18"/>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2025**</c:v>
                </c:pt>
              </c:strCache>
            </c:strRef>
          </c:cat>
          <c:val>
            <c:numRef>
              <c:f>'Сценарио 1'!$D$79:$D$96</c:f>
              <c:numCache>
                <c:formatCode>0.0</c:formatCode>
                <c:ptCount val="18"/>
                <c:pt idx="0">
                  <c:v>27.627377723026413</c:v>
                </c:pt>
                <c:pt idx="1">
                  <c:v>31.547478959485375</c:v>
                </c:pt>
                <c:pt idx="2">
                  <c:v>39.767112280129552</c:v>
                </c:pt>
                <c:pt idx="3">
                  <c:v>42.949713400904372</c:v>
                </c:pt>
                <c:pt idx="4">
                  <c:v>52.452431252049713</c:v>
                </c:pt>
                <c:pt idx="5">
                  <c:v>55.135306002228617</c:v>
                </c:pt>
                <c:pt idx="6">
                  <c:v>64.675004036690524</c:v>
                </c:pt>
                <c:pt idx="7">
                  <c:v>68.369824670854172</c:v>
                </c:pt>
                <c:pt idx="8">
                  <c:v>66.20461222909006</c:v>
                </c:pt>
                <c:pt idx="9">
                  <c:v>56.328463654534445</c:v>
                </c:pt>
                <c:pt idx="10">
                  <c:v>52.14256204665228</c:v>
                </c:pt>
                <c:pt idx="11">
                  <c:v>50.517490084333687</c:v>
                </c:pt>
                <c:pt idx="12">
                  <c:v>55.189879391575417</c:v>
                </c:pt>
                <c:pt idx="13">
                  <c:v>54.467037707518955</c:v>
                </c:pt>
                <c:pt idx="14">
                  <c:v>52.901616882538086</c:v>
                </c:pt>
                <c:pt idx="15">
                  <c:v>48.386002589188038</c:v>
                </c:pt>
                <c:pt idx="16">
                  <c:v>47.5</c:v>
                </c:pt>
                <c:pt idx="17">
                  <c:v>46.8</c:v>
                </c:pt>
              </c:numCache>
            </c:numRef>
          </c:val>
          <c:extLst>
            <c:ext xmlns:c16="http://schemas.microsoft.com/office/drawing/2014/chart" uri="{C3380CC4-5D6E-409C-BE32-E72D297353CC}">
              <c16:uniqueId val="{00000003-0EFB-4AA7-B74E-B06F71AFD122}"/>
            </c:ext>
          </c:extLst>
        </c:ser>
        <c:dLbls>
          <c:showLegendKey val="0"/>
          <c:showVal val="0"/>
          <c:showCatName val="0"/>
          <c:showSerName val="0"/>
          <c:showPercent val="0"/>
          <c:showBubbleSize val="0"/>
        </c:dLbls>
        <c:gapWidth val="57"/>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582077584"/>
        <c:crosses val="autoZero"/>
        <c:auto val="1"/>
        <c:lblAlgn val="ctr"/>
        <c:lblOffset val="100"/>
        <c:noMultiLvlLbl val="0"/>
      </c:catAx>
      <c:valAx>
        <c:axId val="58207758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sr-Cyrl-RS" sz="700"/>
                  <a:t>% БДП</a:t>
                </a:r>
              </a:p>
            </c:rich>
          </c:tx>
          <c:layout>
            <c:manualLayout>
              <c:xMode val="edge"/>
              <c:yMode val="edge"/>
              <c:x val="5.9401589307438357E-2"/>
              <c:y val="0.4002245408979050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247473029496585E-2"/>
          <c:y val="5.0621986652026364E-2"/>
          <c:w val="0.90182166347717574"/>
          <c:h val="0.90664979271278157"/>
        </c:manualLayout>
      </c:layout>
      <c:lineChart>
        <c:grouping val="standard"/>
        <c:varyColors val="0"/>
        <c:ser>
          <c:idx val="0"/>
          <c:order val="0"/>
          <c:tx>
            <c:strRef>
              <c:f>'Quaterly, Yearly'!$DB$5</c:f>
              <c:strCache>
                <c:ptCount val="1"/>
                <c:pt idx="0">
                  <c:v>Примарни резултат који стабилизује учешће дуга у БДП</c:v>
                </c:pt>
              </c:strCache>
            </c:strRef>
          </c:tx>
          <c:spPr>
            <a:ln w="19050" cap="rnd">
              <a:solidFill>
                <a:schemeClr val="accent1"/>
              </a:solidFill>
              <a:round/>
            </a:ln>
            <a:effectLst/>
          </c:spPr>
          <c:marker>
            <c:symbol val="none"/>
          </c:marker>
          <c:cat>
            <c:strRef>
              <c:f>'Quaterly, Yearly'!$DQ$7:$ED$8</c:f>
              <c:strCach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strCache>
            </c:strRef>
          </c:cat>
          <c:val>
            <c:numRef>
              <c:f>'Quaterly, Yearly'!$DQ$5:$ED$5</c:f>
              <c:numCache>
                <c:formatCode>#,##0.00</c:formatCode>
                <c:ptCount val="14"/>
                <c:pt idx="0">
                  <c:v>0.4587574586282453</c:v>
                </c:pt>
                <c:pt idx="1">
                  <c:v>-0.2186815333287046</c:v>
                </c:pt>
                <c:pt idx="2">
                  <c:v>-0.68291556261695596</c:v>
                </c:pt>
                <c:pt idx="3">
                  <c:v>-1.478901408472483</c:v>
                </c:pt>
                <c:pt idx="4">
                  <c:v>-1.656478168925108</c:v>
                </c:pt>
                <c:pt idx="5">
                  <c:v>0.89009568408279172</c:v>
                </c:pt>
                <c:pt idx="6">
                  <c:v>-5.3449525773131006</c:v>
                </c:pt>
                <c:pt idx="7" formatCode="#,##0.0">
                  <c:v>-5.1412166811068465</c:v>
                </c:pt>
                <c:pt idx="8" formatCode="#,##0.0">
                  <c:v>-6.587581278930096</c:v>
                </c:pt>
                <c:pt idx="9">
                  <c:v>-2.3754639864529912</c:v>
                </c:pt>
                <c:pt idx="10">
                  <c:v>-1.134537768611847</c:v>
                </c:pt>
                <c:pt idx="11">
                  <c:v>-1.2746393148318209</c:v>
                </c:pt>
                <c:pt idx="12">
                  <c:v>-1.6467356250449112</c:v>
                </c:pt>
                <c:pt idx="13">
                  <c:v>-0.97593550356646208</c:v>
                </c:pt>
              </c:numCache>
            </c:numRef>
          </c:val>
          <c:smooth val="0"/>
          <c:extLst>
            <c:ext xmlns:c16="http://schemas.microsoft.com/office/drawing/2014/chart" uri="{C3380CC4-5D6E-409C-BE32-E72D297353CC}">
              <c16:uniqueId val="{00000000-1CDF-4EE4-A844-699C1DC4E7C6}"/>
            </c:ext>
          </c:extLst>
        </c:ser>
        <c:ser>
          <c:idx val="1"/>
          <c:order val="1"/>
          <c:tx>
            <c:v>Остварени (пројектовани) примарни фискални резултат</c:v>
          </c:tx>
          <c:spPr>
            <a:ln w="19050" cap="rnd">
              <a:solidFill>
                <a:schemeClr val="accent2"/>
              </a:solidFill>
              <a:round/>
            </a:ln>
            <a:effectLst/>
          </c:spPr>
          <c:marker>
            <c:symbol val="none"/>
          </c:marker>
          <c:cat>
            <c:strRef>
              <c:f>'Quaterly, Yearly'!$DQ$7:$ED$8</c:f>
              <c:strCache>
                <c:ptCount val="14"/>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strCache>
            </c:strRef>
          </c:cat>
          <c:val>
            <c:numRef>
              <c:f>'Quaterly, Yearly'!$DQ$61:$ED$61</c:f>
              <c:numCache>
                <c:formatCode>#,##0.0</c:formatCode>
                <c:ptCount val="14"/>
                <c:pt idx="0">
                  <c:v>-0.4519075558326654</c:v>
                </c:pt>
                <c:pt idx="1">
                  <c:v>1.6426873720543391</c:v>
                </c:pt>
                <c:pt idx="2">
                  <c:v>3.4929502757705762</c:v>
                </c:pt>
                <c:pt idx="3">
                  <c:v>2.6358109426223959</c:v>
                </c:pt>
                <c:pt idx="4">
                  <c:v>1.7134410602148162</c:v>
                </c:pt>
                <c:pt idx="5">
                  <c:v>-5.7757245286308958</c:v>
                </c:pt>
                <c:pt idx="6">
                  <c:v>-2.297416110879996</c:v>
                </c:pt>
                <c:pt idx="7">
                  <c:v>-1.59342127222432</c:v>
                </c:pt>
                <c:pt idx="8">
                  <c:v>-0.49873381784486676</c:v>
                </c:pt>
                <c:pt idx="9">
                  <c:v>-0.26385213736478941</c:v>
                </c:pt>
                <c:pt idx="10">
                  <c:v>-0.99095831054152717</c:v>
                </c:pt>
                <c:pt idx="11" formatCode="0.0">
                  <c:v>-1.029481839452367</c:v>
                </c:pt>
                <c:pt idx="12" formatCode="0.0">
                  <c:v>-1.1029520521424734</c:v>
                </c:pt>
                <c:pt idx="13" formatCode="0.0">
                  <c:v>-0.68956688523686949</c:v>
                </c:pt>
              </c:numCache>
            </c:numRef>
          </c:val>
          <c:smooth val="0"/>
          <c:extLst>
            <c:ext xmlns:c16="http://schemas.microsoft.com/office/drawing/2014/chart" uri="{C3380CC4-5D6E-409C-BE32-E72D297353CC}">
              <c16:uniqueId val="{00000001-1CDF-4EE4-A844-699C1DC4E7C6}"/>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r-Cyrl-RS" sz="900">
                    <a:latin typeface="+mn-lt"/>
                  </a:rPr>
                  <a:t>% БДП</a:t>
                </a:r>
                <a:endParaRPr lang="en-US" sz="900">
                  <a:latin typeface="+mn-lt"/>
                </a:endParaRPr>
              </a:p>
            </c:rich>
          </c:tx>
          <c:layout>
            <c:manualLayout>
              <c:xMode val="edge"/>
              <c:yMode val="edge"/>
              <c:x val="4.6947844390738284E-2"/>
              <c:y val="0.43957905937433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9226144"/>
        <c:crosses val="autoZero"/>
        <c:crossBetween val="between"/>
      </c:valAx>
      <c:spPr>
        <a:noFill/>
        <a:ln>
          <a:noFill/>
        </a:ln>
        <a:effectLst/>
      </c:spPr>
    </c:plotArea>
    <c:legend>
      <c:legendPos val="r"/>
      <c:layout>
        <c:manualLayout>
          <c:xMode val="edge"/>
          <c:yMode val="edge"/>
          <c:x val="0.50348565649947374"/>
          <c:y val="4.4762640649801927E-2"/>
          <c:w val="0.49291803102994453"/>
          <c:h val="0.22263360322624778"/>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587713337863218E-2"/>
          <c:y val="2.9912556166267597E-2"/>
          <c:w val="0.89047263553869926"/>
          <c:h val="0.7375856294094284"/>
        </c:manualLayout>
      </c:layout>
      <c:barChart>
        <c:barDir val="col"/>
        <c:grouping val="clustered"/>
        <c:varyColors val="0"/>
        <c:dLbls>
          <c:showLegendKey val="0"/>
          <c:showVal val="0"/>
          <c:showCatName val="0"/>
          <c:showSerName val="0"/>
          <c:showPercent val="0"/>
          <c:showBubbleSize val="0"/>
        </c:dLbls>
        <c:gapWidth val="200"/>
        <c:axId val="1433716128"/>
        <c:axId val="1433710720"/>
        <c:extLst>
          <c:ext xmlns:c15="http://schemas.microsoft.com/office/drawing/2012/chart" uri="{02D57815-91ED-43cb-92C2-25804820EDAC}">
            <c15:filteredBarSeries>
              <c15:ser>
                <c:idx val="4"/>
                <c:order val="4"/>
                <c:tx>
                  <c:strRef>
                    <c:extLst>
                      <c:ext uri="{02D57815-91ED-43cb-92C2-25804820EDAC}">
                        <c15:formulaRef>
                          <c15:sqref>'Сценарио 1'!$B$48</c15:sqref>
                        </c15:formulaRef>
                      </c:ext>
                    </c:extLst>
                    <c:strCache>
                      <c:ptCount val="1"/>
                      <c:pt idx="0">
                        <c:v>Основни сценарио (дефицит)</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c:ex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c:ext uri="{02D57815-91ED-43cb-92C2-25804820EDAC}">
                        <c15:formulaRef>
                          <c15:sqref>'Сценарио 1'!$C$48:$J$48</c15:sqref>
                        </c15:formulaRef>
                      </c:ext>
                    </c:extLst>
                    <c:numCache>
                      <c:formatCode>General</c:formatCode>
                      <c:ptCount val="8"/>
                      <c:pt idx="0">
                        <c:v>2</c:v>
                      </c:pt>
                      <c:pt idx="1">
                        <c:v>3</c:v>
                      </c:pt>
                      <c:pt idx="2">
                        <c:v>3</c:v>
                      </c:pt>
                      <c:pt idx="3">
                        <c:v>3</c:v>
                      </c:pt>
                      <c:pt idx="4">
                        <c:v>2.5</c:v>
                      </c:pt>
                      <c:pt idx="5">
                        <c:v>2</c:v>
                      </c:pt>
                      <c:pt idx="6">
                        <c:v>2</c:v>
                      </c:pt>
                      <c:pt idx="7">
                        <c:v>2</c:v>
                      </c:pt>
                    </c:numCache>
                  </c:numRef>
                </c:val>
                <c:extLst>
                  <c:ext xmlns:c16="http://schemas.microsoft.com/office/drawing/2014/chart" uri="{C3380CC4-5D6E-409C-BE32-E72D297353CC}">
                    <c16:uniqueId val="{0000002B-50B1-4770-95EB-F9055ECF645E}"/>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'Сценарио 1'!$B$49</c15:sqref>
                        </c15:formulaRef>
                      </c:ext>
                    </c:extLst>
                    <c:strCache>
                      <c:ptCount val="1"/>
                      <c:pt idx="0">
                        <c:v>Успорен раст након 2027. (дефицит)</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xmlns:c15="http://schemas.microsoft.com/office/drawing/2012/chart">
                      <c:ext xmlns:c15="http://schemas.microsoft.com/office/drawing/2012/char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xmlns:c15="http://schemas.microsoft.com/office/drawing/2012/chart">
                      <c:ext xmlns:c15="http://schemas.microsoft.com/office/drawing/2012/chart" uri="{02D57815-91ED-43cb-92C2-25804820EDAC}">
                        <c15:formulaRef>
                          <c15:sqref>'Сценарио 1'!$C$49:$J$49</c15:sqref>
                        </c15:formulaRef>
                      </c:ext>
                    </c:extLst>
                    <c:numCache>
                      <c:formatCode>General</c:formatCode>
                      <c:ptCount val="8"/>
                      <c:pt idx="0">
                        <c:v>2</c:v>
                      </c:pt>
                      <c:pt idx="1">
                        <c:v>3</c:v>
                      </c:pt>
                      <c:pt idx="2">
                        <c:v>3</c:v>
                      </c:pt>
                      <c:pt idx="3">
                        <c:v>3</c:v>
                      </c:pt>
                      <c:pt idx="4">
                        <c:v>2.5</c:v>
                      </c:pt>
                      <c:pt idx="5">
                        <c:v>2</c:v>
                      </c:pt>
                      <c:pt idx="6">
                        <c:v>2</c:v>
                      </c:pt>
                      <c:pt idx="7">
                        <c:v>2</c:v>
                      </c:pt>
                    </c:numCache>
                  </c:numRef>
                </c:val>
                <c:extLst xmlns:c15="http://schemas.microsoft.com/office/drawing/2012/chart">
                  <c:ext xmlns:c16="http://schemas.microsoft.com/office/drawing/2014/chart" uri="{C3380CC4-5D6E-409C-BE32-E72D297353CC}">
                    <c16:uniqueId val="{0000002C-50B1-4770-95EB-F9055ECF645E}"/>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'Сценарио 1'!$B$50</c15:sqref>
                        </c15:formulaRef>
                      </c:ext>
                    </c:extLst>
                    <c:strCache>
                      <c:ptCount val="1"/>
                      <c:pt idx="0">
                        <c:v>Фискални шок након 2027. године (дефицит)</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c:spPr>
                <c:invertIfNegative val="0"/>
                <c:cat>
                  <c:numRef>
                    <c:extLst xmlns:c15="http://schemas.microsoft.com/office/drawing/2012/chart">
                      <c:ext xmlns:c15="http://schemas.microsoft.com/office/drawing/2012/chart" uri="{02D57815-91ED-43cb-92C2-25804820EDAC}">
                        <c15:formulaRef>
                          <c15:sqref>'Сценарио 1'!$C$33:$J$33</c15:sqref>
                        </c15:formulaRef>
                      </c:ext>
                    </c:extLst>
                    <c:numCache>
                      <c:formatCode>General</c:formatCode>
                      <c:ptCount val="8"/>
                      <c:pt idx="0">
                        <c:v>2024</c:v>
                      </c:pt>
                      <c:pt idx="1">
                        <c:v>2025</c:v>
                      </c:pt>
                      <c:pt idx="2">
                        <c:v>2026</c:v>
                      </c:pt>
                      <c:pt idx="3">
                        <c:v>2027</c:v>
                      </c:pt>
                      <c:pt idx="4">
                        <c:v>2028</c:v>
                      </c:pt>
                      <c:pt idx="5">
                        <c:v>2029</c:v>
                      </c:pt>
                      <c:pt idx="6">
                        <c:v>2030</c:v>
                      </c:pt>
                      <c:pt idx="7">
                        <c:v>2031</c:v>
                      </c:pt>
                    </c:numCache>
                  </c:numRef>
                </c:cat>
                <c:val>
                  <c:numRef>
                    <c:extLst xmlns:c15="http://schemas.microsoft.com/office/drawing/2012/chart">
                      <c:ext xmlns:c15="http://schemas.microsoft.com/office/drawing/2012/chart" uri="{02D57815-91ED-43cb-92C2-25804820EDAC}">
                        <c15:formulaRef>
                          <c15:sqref>'Сценарио 1'!$C$50:$J$50</c15:sqref>
                        </c15:formulaRef>
                      </c:ext>
                    </c:extLst>
                    <c:numCache>
                      <c:formatCode>General</c:formatCode>
                      <c:ptCount val="8"/>
                      <c:pt idx="0">
                        <c:v>2</c:v>
                      </c:pt>
                      <c:pt idx="1">
                        <c:v>3</c:v>
                      </c:pt>
                      <c:pt idx="2">
                        <c:v>3</c:v>
                      </c:pt>
                      <c:pt idx="3">
                        <c:v>3</c:v>
                      </c:pt>
                      <c:pt idx="4">
                        <c:v>2.5</c:v>
                      </c:pt>
                      <c:pt idx="5">
                        <c:v>9</c:v>
                      </c:pt>
                      <c:pt idx="6">
                        <c:v>3</c:v>
                      </c:pt>
                      <c:pt idx="7">
                        <c:v>0.5</c:v>
                      </c:pt>
                    </c:numCache>
                  </c:numRef>
                </c:val>
                <c:extLst xmlns:c15="http://schemas.microsoft.com/office/drawing/2012/chart">
                  <c:ext xmlns:c16="http://schemas.microsoft.com/office/drawing/2014/chart" uri="{C3380CC4-5D6E-409C-BE32-E72D297353CC}">
                    <c16:uniqueId val="{0000002D-50B1-4770-95EB-F9055ECF645E}"/>
                  </c:ext>
                </c:extLst>
              </c15:ser>
            </c15:filteredBarSeries>
          </c:ext>
        </c:extLst>
      </c:barChart>
      <c:lineChart>
        <c:grouping val="standard"/>
        <c:varyColors val="0"/>
        <c:ser>
          <c:idx val="2"/>
          <c:order val="1"/>
          <c:tx>
            <c:strRef>
              <c:f>'manji rast'!$B$33</c:f>
              <c:strCache>
                <c:ptCount val="1"/>
                <c:pt idx="0">
                  <c:v>Успорен раст након 2028</c:v>
                </c:pt>
              </c:strCache>
            </c:strRef>
          </c:tx>
          <c:spPr>
            <a:ln w="19050" cap="rnd">
              <a:solidFill>
                <a:schemeClr val="accent3"/>
              </a:solidFill>
              <a:round/>
            </a:ln>
            <a:effectLst/>
          </c:spPr>
          <c:marker>
            <c:symbol val="none"/>
          </c:marker>
          <c:dLbls>
            <c:dLbl>
              <c:idx val="11"/>
              <c:layout>
                <c:manualLayout>
                  <c:x val="-1.9235176078347446E-2"/>
                  <c:y val="2.045928211624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B1-4770-95EB-F9055ECF645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j-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'manji rast'!$C$39:$N$39</c:f>
              <c:numCache>
                <c:formatCode>#,##0.0</c:formatCode>
                <c:ptCount val="12"/>
                <c:pt idx="0">
                  <c:v>47.5</c:v>
                </c:pt>
                <c:pt idx="1">
                  <c:v>46.8</c:v>
                </c:pt>
                <c:pt idx="2">
                  <c:v>46.5</c:v>
                </c:pt>
                <c:pt idx="3">
                  <c:v>46.3</c:v>
                </c:pt>
                <c:pt idx="4">
                  <c:v>46.2</c:v>
                </c:pt>
                <c:pt idx="5">
                  <c:v>46.783312506007888</c:v>
                </c:pt>
                <c:pt idx="6">
                  <c:v>47.348738182311216</c:v>
                </c:pt>
                <c:pt idx="7">
                  <c:v>47.89682551479634</c:v>
                </c:pt>
                <c:pt idx="8">
                  <c:v>48.428106170451429</c:v>
                </c:pt>
                <c:pt idx="9">
                  <c:v>48.943095513105078</c:v>
                </c:pt>
                <c:pt idx="10">
                  <c:v>49.442293103350146</c:v>
                </c:pt>
                <c:pt idx="11">
                  <c:v>49.92618318313783</c:v>
                </c:pt>
              </c:numCache>
            </c:numRef>
          </c:val>
          <c:smooth val="0"/>
          <c:extLst>
            <c:ext xmlns:c16="http://schemas.microsoft.com/office/drawing/2014/chart" uri="{C3380CC4-5D6E-409C-BE32-E72D297353CC}">
              <c16:uniqueId val="{00000001-50B1-4770-95EB-F9055ECF645E}"/>
            </c:ext>
          </c:extLst>
        </c:ser>
        <c:ser>
          <c:idx val="1"/>
          <c:order val="2"/>
          <c:tx>
            <c:strRef>
              <c:f>'ekstremni sok'!$B$33</c:f>
              <c:strCache>
                <c:ptCount val="1"/>
                <c:pt idx="0">
                  <c:v>Фискални шок након 2028. године</c:v>
                </c:pt>
              </c:strCache>
            </c:strRef>
          </c:tx>
          <c:spPr>
            <a:ln w="19050" cap="rnd">
              <a:solidFill>
                <a:schemeClr val="accent2"/>
              </a:solidFill>
              <a:round/>
            </a:ln>
            <a:effectLst/>
          </c:spPr>
          <c:marker>
            <c:symbol val="none"/>
          </c:marker>
          <c:dLbls>
            <c:dLbl>
              <c:idx val="5"/>
              <c:layout>
                <c:manualLayout>
                  <c:x val="-0.11574074074074074"/>
                  <c:y val="-2.08008320332813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B1-4770-95EB-F9055ECF645E}"/>
                </c:ext>
              </c:extLst>
            </c:dLbl>
            <c:dLbl>
              <c:idx val="6"/>
              <c:layout>
                <c:manualLayout>
                  <c:x val="-6.4814814814814811E-2"/>
                  <c:y val="-3.64014560582423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0B1-4770-95EB-F9055ECF645E}"/>
                </c:ext>
              </c:extLst>
            </c:dLbl>
            <c:dLbl>
              <c:idx val="11"/>
              <c:layout>
                <c:manualLayout>
                  <c:x val="-1.7311658470512702E-2"/>
                  <c:y val="-2.63047912923085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0B1-4770-95EB-F9055ECF645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j-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'ekstremni sok'!$C$39:$N$39</c:f>
              <c:numCache>
                <c:formatCode>#,##0.0</c:formatCode>
                <c:ptCount val="12"/>
                <c:pt idx="0">
                  <c:v>47.5</c:v>
                </c:pt>
                <c:pt idx="1">
                  <c:v>46.8</c:v>
                </c:pt>
                <c:pt idx="2">
                  <c:v>46.5</c:v>
                </c:pt>
                <c:pt idx="3">
                  <c:v>46.3</c:v>
                </c:pt>
                <c:pt idx="4">
                  <c:v>46.2</c:v>
                </c:pt>
                <c:pt idx="5">
                  <c:v>55.871653503697374</c:v>
                </c:pt>
                <c:pt idx="6">
                  <c:v>57.699976109833429</c:v>
                </c:pt>
                <c:pt idx="7">
                  <c:v>56.708912630204345</c:v>
                </c:pt>
                <c:pt idx="8">
                  <c:v>54.402599204729995</c:v>
                </c:pt>
                <c:pt idx="9">
                  <c:v>53.210416663257355</c:v>
                </c:pt>
                <c:pt idx="10">
                  <c:v>52.077230807077683</c:v>
                </c:pt>
                <c:pt idx="11">
                  <c:v>51.000122109394979</c:v>
                </c:pt>
              </c:numCache>
            </c:numRef>
          </c:val>
          <c:smooth val="0"/>
          <c:extLst>
            <c:ext xmlns:c16="http://schemas.microsoft.com/office/drawing/2014/chart" uri="{C3380CC4-5D6E-409C-BE32-E72D297353CC}">
              <c16:uniqueId val="{00000005-50B1-4770-95EB-F9055ECF645E}"/>
            </c:ext>
          </c:extLst>
        </c:ser>
        <c:ser>
          <c:idx val="0"/>
          <c:order val="3"/>
          <c:tx>
            <c:strRef>
              <c:f>'Сценарио 1'!$B$33</c:f>
              <c:strCache>
                <c:ptCount val="1"/>
                <c:pt idx="0">
                  <c:v>Основни сценарио</c:v>
                </c:pt>
              </c:strCache>
            </c:strRef>
          </c:tx>
          <c:spPr>
            <a:ln w="22225" cap="rnd">
              <a:solidFill>
                <a:schemeClr val="accent1"/>
              </a:solidFill>
              <a:round/>
            </a:ln>
            <a:effectLst/>
          </c:spPr>
          <c:marker>
            <c:symbol val="none"/>
          </c:marker>
          <c:dLbls>
            <c:dLbl>
              <c:idx val="0"/>
              <c:layout>
                <c:manualLayout>
                  <c:x val="-3.694648067468724E-2"/>
                  <c:y val="2.65842512505517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0B1-4770-95EB-F9055ECF645E}"/>
                </c:ext>
              </c:extLst>
            </c:dLbl>
            <c:dLbl>
              <c:idx val="1"/>
              <c:layout>
                <c:manualLayout>
                  <c:x val="-6.3818350831146106E-2"/>
                  <c:y val="8.5918361376591285E-2"/>
                </c:manualLayout>
              </c:layout>
              <c:showLegendKey val="0"/>
              <c:showVal val="1"/>
              <c:showCatName val="0"/>
              <c:showSerName val="0"/>
              <c:showPercent val="0"/>
              <c:showBubbleSize val="0"/>
              <c:extLst>
                <c:ext xmlns:c15="http://schemas.microsoft.com/office/drawing/2012/chart" uri="{CE6537A1-D6FC-4f65-9D91-7224C49458BB}">
                  <c15:layout>
                    <c:manualLayout>
                      <c:w val="9.2996864975211424E-2"/>
                      <c:h val="6.5082261973612263E-2"/>
                    </c:manualLayout>
                  </c15:layout>
                </c:ext>
                <c:ext xmlns:c16="http://schemas.microsoft.com/office/drawing/2014/chart" uri="{C3380CC4-5D6E-409C-BE32-E72D297353CC}">
                  <c16:uniqueId val="{00000007-50B1-4770-95EB-F9055ECF645E}"/>
                </c:ext>
              </c:extLst>
            </c:dLbl>
            <c:dLbl>
              <c:idx val="2"/>
              <c:layout>
                <c:manualLayout>
                  <c:x val="-2.0818973214184293E-2"/>
                  <c:y val="6.55339113176422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0B1-4770-95EB-F9055ECF645E}"/>
                </c:ext>
              </c:extLst>
            </c:dLbl>
            <c:dLbl>
              <c:idx val="3"/>
              <c:layout>
                <c:manualLayout>
                  <c:x val="-1.1708710893877721E-2"/>
                  <c:y val="8.4066530670641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0B1-4770-95EB-F9055ECF645E}"/>
                </c:ext>
              </c:extLst>
            </c:dLbl>
            <c:dLbl>
              <c:idx val="4"/>
              <c:layout>
                <c:manualLayout>
                  <c:x val="-2.1608647542540962E-2"/>
                  <c:y val="6.0165450250752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0B1-4770-95EB-F9055ECF645E}"/>
                </c:ext>
              </c:extLst>
            </c:dLbl>
            <c:dLbl>
              <c:idx val="5"/>
              <c:layout>
                <c:manualLayout>
                  <c:x val="-1.4213197969543147E-2"/>
                  <c:y val="5.74162463111757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0B1-4770-95EB-F9055ECF645E}"/>
                </c:ext>
              </c:extLst>
            </c:dLbl>
            <c:dLbl>
              <c:idx val="6"/>
              <c:layout>
                <c:manualLayout>
                  <c:x val="-2.0304568527918707E-2"/>
                  <c:y val="4.3062184733381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0B1-4770-95EB-F9055ECF645E}"/>
                </c:ext>
              </c:extLst>
            </c:dLbl>
            <c:dLbl>
              <c:idx val="7"/>
              <c:layout>
                <c:manualLayout>
                  <c:x val="-3.8578680203045689E-2"/>
                  <c:y val="4.30621847333817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0B1-4770-95EB-F9055ECF645E}"/>
                </c:ext>
              </c:extLst>
            </c:dLbl>
            <c:dLbl>
              <c:idx val="8"/>
              <c:layout>
                <c:manualLayout>
                  <c:x val="-1.8871417722530877E-2"/>
                  <c:y val="5.2858662224065718E-2"/>
                </c:manualLayout>
              </c:layout>
              <c:numFmt formatCode="#,##0.0" sourceLinked="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0B1-4770-95EB-F9055ECF645E}"/>
                </c:ext>
              </c:extLst>
            </c:dLbl>
            <c:dLbl>
              <c:idx val="9"/>
              <c:layout>
                <c:manualLayout>
                  <c:x val="-1.2182741116751269E-2"/>
                  <c:y val="4.5932997048940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0B1-4770-95EB-F9055ECF645E}"/>
                </c:ext>
              </c:extLst>
            </c:dLbl>
            <c:dLbl>
              <c:idx val="10"/>
              <c:layout>
                <c:manualLayout>
                  <c:x val="-1.9235176078347588E-2"/>
                  <c:y val="4.38413188205143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0B1-4770-95EB-F9055ECF645E}"/>
                </c:ext>
              </c:extLst>
            </c:dLbl>
            <c:dLbl>
              <c:idx val="11"/>
              <c:layout>
                <c:manualLayout>
                  <c:x val="-2.9983231262758823E-3"/>
                  <c:y val="-3.07246389857169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0B1-4770-95EB-F9055ECF645E}"/>
                </c:ext>
              </c:extLst>
            </c:dLbl>
            <c:dLbl>
              <c:idx val="12"/>
              <c:delete val="1"/>
              <c:extLst>
                <c:ext xmlns:c15="http://schemas.microsoft.com/office/drawing/2012/chart" uri="{CE6537A1-D6FC-4f65-9D91-7224C49458BB}"/>
                <c:ext xmlns:c16="http://schemas.microsoft.com/office/drawing/2014/chart" uri="{C3380CC4-5D6E-409C-BE32-E72D297353CC}">
                  <c16:uniqueId val="{00000012-50B1-4770-95EB-F9055ECF645E}"/>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0B1-4770-95EB-F9055ECF645E}"/>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0B1-4770-95EB-F9055ECF645E}"/>
                </c:ext>
              </c:extLst>
            </c:dLbl>
            <c:dLbl>
              <c:idx val="15"/>
              <c:delete val="1"/>
              <c:extLst>
                <c:ext xmlns:c15="http://schemas.microsoft.com/office/drawing/2012/chart" uri="{CE6537A1-D6FC-4f65-9D91-7224C49458BB}"/>
                <c:ext xmlns:c16="http://schemas.microsoft.com/office/drawing/2014/chart" uri="{C3380CC4-5D6E-409C-BE32-E72D297353CC}">
                  <c16:uniqueId val="{00000015-50B1-4770-95EB-F9055ECF645E}"/>
                </c:ext>
              </c:extLst>
            </c:dLbl>
            <c:dLbl>
              <c:idx val="16"/>
              <c:delete val="1"/>
              <c:extLst>
                <c:ext xmlns:c15="http://schemas.microsoft.com/office/drawing/2012/chart" uri="{CE6537A1-D6FC-4f65-9D91-7224C49458BB}"/>
                <c:ext xmlns:c16="http://schemas.microsoft.com/office/drawing/2014/chart" uri="{C3380CC4-5D6E-409C-BE32-E72D297353CC}">
                  <c16:uniqueId val="{00000016-50B1-4770-95EB-F9055ECF645E}"/>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0B1-4770-95EB-F9055ECF645E}"/>
                </c:ext>
              </c:extLst>
            </c:dLbl>
            <c:numFmt formatCode="#,##0.0" sourceLinked="0"/>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1'!$C$33:$N$33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'Сценарио 1'!$C$39:$N$39</c:f>
              <c:numCache>
                <c:formatCode>#,##0.0</c:formatCode>
                <c:ptCount val="12"/>
                <c:pt idx="0">
                  <c:v>47.5</c:v>
                </c:pt>
                <c:pt idx="1">
                  <c:v>46.8</c:v>
                </c:pt>
                <c:pt idx="2">
                  <c:v>46.5</c:v>
                </c:pt>
                <c:pt idx="3">
                  <c:v>46.3</c:v>
                </c:pt>
                <c:pt idx="4">
                  <c:v>46.2</c:v>
                </c:pt>
                <c:pt idx="5">
                  <c:v>45.465608663181477</c:v>
                </c:pt>
                <c:pt idx="6">
                  <c:v>44.774682982406922</c:v>
                </c:pt>
                <c:pt idx="7">
                  <c:v>44.246515349233412</c:v>
                </c:pt>
                <c:pt idx="8">
                  <c:v>43.748170290473297</c:v>
                </c:pt>
                <c:pt idx="9">
                  <c:v>43.357728079113542</c:v>
                </c:pt>
                <c:pt idx="10">
                  <c:v>42.988620006688834</c:v>
                </c:pt>
                <c:pt idx="11">
                  <c:v>42.63968035527509</c:v>
                </c:pt>
              </c:numCache>
            </c:numRef>
          </c:val>
          <c:smooth val="0"/>
          <c:extLst>
            <c:ext xmlns:c16="http://schemas.microsoft.com/office/drawing/2014/chart" uri="{C3380CC4-5D6E-409C-BE32-E72D297353CC}">
              <c16:uniqueId val="{00000018-50B1-4770-95EB-F9055ECF645E}"/>
            </c:ext>
          </c:extLst>
        </c:ser>
        <c:dLbls>
          <c:showLegendKey val="0"/>
          <c:showVal val="0"/>
          <c:showCatName val="0"/>
          <c:showSerName val="0"/>
          <c:showPercent val="0"/>
          <c:showBubbleSize val="0"/>
        </c:dLbls>
        <c:marker val="1"/>
        <c:smooth val="0"/>
        <c:axId val="248069424"/>
        <c:axId val="248068304"/>
        <c:extLst>
          <c:ext xmlns:c15="http://schemas.microsoft.com/office/drawing/2012/chart" uri="{02D57815-91ED-43cb-92C2-25804820EDAC}">
            <c15:filteredLineSeries>
              <c15:ser>
                <c:idx val="3"/>
                <c:order val="0"/>
                <c:tx>
                  <c:strRef>
                    <c:extLst>
                      <c:ext uri="{02D57815-91ED-43cb-92C2-25804820EDAC}">
                        <c15:formulaRef>
                          <c15:sqref>'manje prilg + manji rast'!$B$33</c15:sqref>
                        </c15:formulaRef>
                      </c:ext>
                    </c:extLst>
                    <c:strCache>
                      <c:ptCount val="1"/>
                      <c:pt idx="0">
                        <c:v>Успорен раст након 2027, фискална експанзија</c:v>
                      </c:pt>
                    </c:strCache>
                  </c:strRef>
                </c:tx>
                <c:spPr>
                  <a:ln w="34925" cap="rnd">
                    <a:solidFill>
                      <a:srgbClr val="FF0000"/>
                    </a:solidFill>
                    <a:round/>
                  </a:ln>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delete val="1"/>
                    <c:extLst>
                      <c:ext uri="{CE6537A1-D6FC-4f65-9D91-7224C49458BB}"/>
                      <c:ext xmlns:c16="http://schemas.microsoft.com/office/drawing/2014/chart" uri="{C3380CC4-5D6E-409C-BE32-E72D297353CC}">
                        <c16:uniqueId val="{00000019-50B1-4770-95EB-F9055ECF645E}"/>
                      </c:ext>
                    </c:extLst>
                  </c:dLbl>
                  <c:dLbl>
                    <c:idx val="1"/>
                    <c:delete val="1"/>
                    <c:extLst>
                      <c:ext uri="{CE6537A1-D6FC-4f65-9D91-7224C49458BB}"/>
                      <c:ext xmlns:c16="http://schemas.microsoft.com/office/drawing/2014/chart" uri="{C3380CC4-5D6E-409C-BE32-E72D297353CC}">
                        <c16:uniqueId val="{0000001A-50B1-4770-95EB-F9055ECF645E}"/>
                      </c:ext>
                    </c:extLst>
                  </c:dLbl>
                  <c:dLbl>
                    <c:idx val="2"/>
                    <c:delete val="1"/>
                    <c:extLst>
                      <c:ext uri="{CE6537A1-D6FC-4f65-9D91-7224C49458BB}"/>
                      <c:ext xmlns:c16="http://schemas.microsoft.com/office/drawing/2014/chart" uri="{C3380CC4-5D6E-409C-BE32-E72D297353CC}">
                        <c16:uniqueId val="{0000001B-50B1-4770-95EB-F9055ECF645E}"/>
                      </c:ext>
                    </c:extLst>
                  </c:dLbl>
                  <c:dLbl>
                    <c:idx val="3"/>
                    <c:delete val="1"/>
                    <c:extLst>
                      <c:ext uri="{CE6537A1-D6FC-4f65-9D91-7224C49458BB}"/>
                      <c:ext xmlns:c16="http://schemas.microsoft.com/office/drawing/2014/chart" uri="{C3380CC4-5D6E-409C-BE32-E72D297353CC}">
                        <c16:uniqueId val="{0000001C-50B1-4770-95EB-F9055ECF645E}"/>
                      </c:ext>
                    </c:extLst>
                  </c:dLbl>
                  <c:dLbl>
                    <c:idx val="4"/>
                    <c:delete val="1"/>
                    <c:extLst>
                      <c:ext uri="{CE6537A1-D6FC-4f65-9D91-7224C49458BB}"/>
                      <c:ext xmlns:c16="http://schemas.microsoft.com/office/drawing/2014/chart" uri="{C3380CC4-5D6E-409C-BE32-E72D297353CC}">
                        <c16:uniqueId val="{0000001D-50B1-4770-95EB-F9055ECF645E}"/>
                      </c:ext>
                    </c:extLst>
                  </c:dLbl>
                  <c:dLbl>
                    <c:idx val="5"/>
                    <c:delete val="1"/>
                    <c:extLst>
                      <c:ext uri="{CE6537A1-D6FC-4f65-9D91-7224C49458BB}"/>
                      <c:ext xmlns:c16="http://schemas.microsoft.com/office/drawing/2014/chart" uri="{C3380CC4-5D6E-409C-BE32-E72D297353CC}">
                        <c16:uniqueId val="{0000001E-50B1-4770-95EB-F9055ECF645E}"/>
                      </c:ext>
                    </c:extLst>
                  </c:dLbl>
                  <c:dLbl>
                    <c:idx val="6"/>
                    <c:delete val="1"/>
                    <c:extLst>
                      <c:ext uri="{CE6537A1-D6FC-4f65-9D91-7224C49458BB}"/>
                      <c:ext xmlns:c16="http://schemas.microsoft.com/office/drawing/2014/chart" uri="{C3380CC4-5D6E-409C-BE32-E72D297353CC}">
                        <c16:uniqueId val="{0000001F-50B1-4770-95EB-F9055ECF645E}"/>
                      </c:ext>
                    </c:extLst>
                  </c:dLbl>
                  <c:dLbl>
                    <c:idx val="7"/>
                    <c:delete val="1"/>
                    <c:extLst>
                      <c:ext uri="{CE6537A1-D6FC-4f65-9D91-7224C49458BB}"/>
                      <c:ext xmlns:c16="http://schemas.microsoft.com/office/drawing/2014/chart" uri="{C3380CC4-5D6E-409C-BE32-E72D297353CC}">
                        <c16:uniqueId val="{00000020-50B1-4770-95EB-F9055ECF645E}"/>
                      </c:ext>
                    </c:extLst>
                  </c:dLbl>
                  <c:dLbl>
                    <c:idx val="8"/>
                    <c:delete val="1"/>
                    <c:extLst>
                      <c:ext uri="{CE6537A1-D6FC-4f65-9D91-7224C49458BB}"/>
                      <c:ext xmlns:c16="http://schemas.microsoft.com/office/drawing/2014/chart" uri="{C3380CC4-5D6E-409C-BE32-E72D297353CC}">
                        <c16:uniqueId val="{00000021-50B1-4770-95EB-F9055ECF645E}"/>
                      </c:ext>
                    </c:extLst>
                  </c:dLbl>
                  <c:dLbl>
                    <c:idx val="9"/>
                    <c:layout>
                      <c:manualLayout>
                        <c:x val="-1.015228426395939E-2"/>
                        <c:y val="-4.3062184733381789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2-50B1-4770-95EB-F9055ECF645E}"/>
                      </c:ext>
                    </c:extLst>
                  </c:dLbl>
                  <c:dLbl>
                    <c:idx val="11"/>
                    <c:delete val="1"/>
                    <c:extLst>
                      <c:ext uri="{CE6537A1-D6FC-4f65-9D91-7224C49458BB}"/>
                      <c:ext xmlns:c16="http://schemas.microsoft.com/office/drawing/2014/chart" uri="{C3380CC4-5D6E-409C-BE32-E72D297353CC}">
                        <c16:uniqueId val="{00000023-50B1-4770-95EB-F9055ECF645E}"/>
                      </c:ext>
                    </c:extLst>
                  </c:dLbl>
                  <c:dLbl>
                    <c:idx val="12"/>
                    <c:delete val="1"/>
                    <c:extLst>
                      <c:ext uri="{CE6537A1-D6FC-4f65-9D91-7224C49458BB}"/>
                      <c:ext xmlns:c16="http://schemas.microsoft.com/office/drawing/2014/chart" uri="{C3380CC4-5D6E-409C-BE32-E72D297353CC}">
                        <c16:uniqueId val="{00000024-50B1-4770-95EB-F9055ECF645E}"/>
                      </c:ext>
                    </c:extLst>
                  </c:dLbl>
                  <c:dLbl>
                    <c:idx val="13"/>
                    <c:layout>
                      <c:manualLayout>
                        <c:x val="-7.4257428637148227E-3"/>
                        <c:y val="-5.7416246311176233E-3"/>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5-50B1-4770-95EB-F9055ECF645E}"/>
                      </c:ext>
                    </c:extLst>
                  </c:dLbl>
                  <c:dLbl>
                    <c:idx val="14"/>
                    <c:layout>
                      <c:manualLayout>
                        <c:x val="-1.6042785477262247E-2"/>
                        <c:y val="-3.6099270150451522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6-50B1-4770-95EB-F9055ECF645E}"/>
                      </c:ext>
                    </c:extLst>
                  </c:dLbl>
                  <c:dLbl>
                    <c:idx val="15"/>
                    <c:delete val="1"/>
                    <c:extLst>
                      <c:ext uri="{CE6537A1-D6FC-4f65-9D91-7224C49458BB}"/>
                      <c:ext xmlns:c16="http://schemas.microsoft.com/office/drawing/2014/chart" uri="{C3380CC4-5D6E-409C-BE32-E72D297353CC}">
                        <c16:uniqueId val="{00000027-50B1-4770-95EB-F9055ECF645E}"/>
                      </c:ext>
                    </c:extLst>
                  </c:dLbl>
                  <c:dLbl>
                    <c:idx val="16"/>
                    <c:delete val="1"/>
                    <c:extLst>
                      <c:ext uri="{CE6537A1-D6FC-4f65-9D91-7224C49458BB}"/>
                      <c:ext xmlns:c16="http://schemas.microsoft.com/office/drawing/2014/chart" uri="{C3380CC4-5D6E-409C-BE32-E72D297353CC}">
                        <c16:uniqueId val="{00000028-50B1-4770-95EB-F9055ECF645E}"/>
                      </c:ext>
                    </c:extLst>
                  </c:dLbl>
                  <c:dLbl>
                    <c:idx val="17"/>
                    <c:layout>
                      <c:manualLayout>
                        <c:x val="-2.4170619721703136E-2"/>
                        <c:y val="-3.9107542662989152E-2"/>
                      </c:manualLayout>
                    </c:layout>
                    <c:showLegendKey val="0"/>
                    <c:showVal val="1"/>
                    <c:showCatName val="0"/>
                    <c:showSerName val="0"/>
                    <c:showPercent val="0"/>
                    <c:showBubbleSize val="0"/>
                    <c:extLst>
                      <c:ext uri="{CE6537A1-D6FC-4f65-9D91-7224C49458BB}"/>
                      <c:ext xmlns:c16="http://schemas.microsoft.com/office/drawing/2014/chart" uri="{C3380CC4-5D6E-409C-BE32-E72D297353CC}">
                        <c16:uniqueId val="{00000029-50B1-4770-95EB-F9055ECF64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'Сценарио 1'!$C$33:$N$33</c15:sqref>
                        </c15:formulaRef>
                      </c:ext>
                    </c:extLst>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extLst>
                      <c:ext uri="{02D57815-91ED-43cb-92C2-25804820EDAC}">
                        <c15:formulaRef>
                          <c15:sqref>'manje prilg + manji rast'!$C$39:$J$39</c15:sqref>
                        </c15:formulaRef>
                      </c:ext>
                    </c:extLst>
                    <c:numCache>
                      <c:formatCode>#,##0.0</c:formatCode>
                      <c:ptCount val="8"/>
                      <c:pt idx="0">
                        <c:v>47.5</c:v>
                      </c:pt>
                      <c:pt idx="1">
                        <c:v>46.8</c:v>
                      </c:pt>
                      <c:pt idx="2">
                        <c:v>46.5</c:v>
                      </c:pt>
                      <c:pt idx="3">
                        <c:v>46.3</c:v>
                      </c:pt>
                      <c:pt idx="4">
                        <c:v>46.2</c:v>
                      </c:pt>
                      <c:pt idx="5">
                        <c:v>54.156358742670385</c:v>
                      </c:pt>
                      <c:pt idx="6">
                        <c:v>55.932986224692158</c:v>
                      </c:pt>
                      <c:pt idx="7">
                        <c:v>55.169480335736793</c:v>
                      </c:pt>
                    </c:numCache>
                  </c:numRef>
                </c:val>
                <c:smooth val="1"/>
                <c:extLst>
                  <c:ext xmlns:c16="http://schemas.microsoft.com/office/drawing/2014/chart" uri="{C3380CC4-5D6E-409C-BE32-E72D297353CC}">
                    <c16:uniqueId val="{0000002A-50B1-4770-95EB-F9055ECF645E}"/>
                  </c:ext>
                </c:extLst>
              </c15:ser>
            </c15:filteredLineSeries>
          </c:ext>
        </c:extLst>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248068304"/>
        <c:crosses val="autoZero"/>
        <c:auto val="1"/>
        <c:lblAlgn val="ctr"/>
        <c:lblOffset val="100"/>
        <c:noMultiLvlLbl val="0"/>
      </c:catAx>
      <c:valAx>
        <c:axId val="248068304"/>
        <c:scaling>
          <c:orientation val="minMax"/>
          <c:max val="65"/>
          <c:min val="4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sr-Cyrl-RS" sz="700">
                    <a:latin typeface="+mn-lt"/>
                  </a:rPr>
                  <a:t>% </a:t>
                </a:r>
                <a:r>
                  <a:rPr lang="en-US" sz="700">
                    <a:latin typeface="+mn-lt"/>
                  </a:rPr>
                  <a:t> </a:t>
                </a:r>
                <a:r>
                  <a:rPr lang="sr-Cyrl-RS" sz="700">
                    <a:latin typeface="+mn-lt"/>
                  </a:rPr>
                  <a:t>БДП </a:t>
                </a:r>
                <a:endParaRPr lang="en-US" sz="700">
                  <a:latin typeface="+mn-lt"/>
                </a:endParaRPr>
              </a:p>
            </c:rich>
          </c:tx>
          <c:layout>
            <c:manualLayout>
              <c:xMode val="edge"/>
              <c:yMode val="edge"/>
              <c:x val="5.7038859725867599E-2"/>
              <c:y val="0.4197554756927176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248069424"/>
        <c:crosses val="autoZero"/>
        <c:crossBetween val="between"/>
        <c:majorUnit val="5"/>
      </c:valAx>
      <c:valAx>
        <c:axId val="1433710720"/>
        <c:scaling>
          <c:orientation val="minMax"/>
          <c:min val="0"/>
        </c:scaling>
        <c:delete val="1"/>
        <c:axPos val="r"/>
        <c:numFmt formatCode="#,##0.0" sourceLinked="1"/>
        <c:majorTickMark val="out"/>
        <c:minorTickMark val="none"/>
        <c:tickLblPos val="nextTo"/>
        <c:crossAx val="1433716128"/>
        <c:crosses val="max"/>
        <c:crossBetween val="between"/>
      </c:valAx>
      <c:catAx>
        <c:axId val="1433716128"/>
        <c:scaling>
          <c:orientation val="minMax"/>
        </c:scaling>
        <c:delete val="1"/>
        <c:axPos val="b"/>
        <c:numFmt formatCode="General" sourceLinked="1"/>
        <c:majorTickMark val="out"/>
        <c:minorTickMark val="none"/>
        <c:tickLblPos val="nextTo"/>
        <c:crossAx val="1433710720"/>
        <c:crosses val="autoZero"/>
        <c:auto val="1"/>
        <c:lblAlgn val="ctr"/>
        <c:lblOffset val="100"/>
        <c:noMultiLvlLbl val="0"/>
      </c:catAx>
      <c:spPr>
        <a:noFill/>
        <a:ln>
          <a:noFill/>
        </a:ln>
        <a:effectLst/>
      </c:spPr>
    </c:plotArea>
    <c:legend>
      <c:legendPos val="b"/>
      <c:layout>
        <c:manualLayout>
          <c:xMode val="edge"/>
          <c:yMode val="edge"/>
          <c:x val="7.3221055701370663E-2"/>
          <c:y val="0.82958235536362446"/>
          <c:w val="0.9"/>
          <c:h val="0.1571639140991914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mj-lt"/>
        </a:defRPr>
      </a:pPr>
      <a:endParaRPr lang="en-US"/>
    </a:p>
  </c:txPr>
  <c:externalData r:id="rId3">
    <c:autoUpdate val="0"/>
  </c:externalData>
  <c:userShapes r:id="rId4"/>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0"/>
          <c:w val="0.90916365972175073"/>
          <c:h val="0.66222099966761805"/>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2025/IV</c:v>
                </c:pt>
              </c:strCache>
            </c:strRef>
          </c:cat>
          <c:val>
            <c:numRef>
              <c:f>ucesce!$B$5:$E$5</c:f>
              <c:numCache>
                <c:formatCode>0.0%</c:formatCode>
                <c:ptCount val="4"/>
                <c:pt idx="0">
                  <c:v>0.49988437039083106</c:v>
                </c:pt>
                <c:pt idx="1">
                  <c:v>0.45627787291838562</c:v>
                </c:pt>
                <c:pt idx="2">
                  <c:v>0.44970953863461899</c:v>
                </c:pt>
                <c:pt idx="3">
                  <c:v>0.41891859929922637</c:v>
                </c:pt>
              </c:numCache>
            </c:numRef>
          </c:val>
          <c:extLst>
            <c:ext xmlns:c16="http://schemas.microsoft.com/office/drawing/2014/chart" uri="{C3380CC4-5D6E-409C-BE32-E72D297353CC}">
              <c16:uniqueId val="{00000000-2C03-4818-97D0-42BF29287FEC}"/>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2025/IV</c:v>
                </c:pt>
              </c:strCache>
            </c:strRef>
          </c:cat>
          <c:val>
            <c:numRef>
              <c:f>ucesce!$B$6:$E$6</c:f>
              <c:numCache>
                <c:formatCode>0.0%</c:formatCode>
                <c:ptCount val="4"/>
                <c:pt idx="0">
                  <c:v>2.431687002690424E-2</c:v>
                </c:pt>
                <c:pt idx="1">
                  <c:v>2.4132748215509627E-2</c:v>
                </c:pt>
                <c:pt idx="2">
                  <c:v>2.2241652377355901E-2</c:v>
                </c:pt>
                <c:pt idx="3">
                  <c:v>2.0209550210974765E-2</c:v>
                </c:pt>
              </c:numCache>
            </c:numRef>
          </c:val>
          <c:extLst>
            <c:ext xmlns:c16="http://schemas.microsoft.com/office/drawing/2014/chart" uri="{C3380CC4-5D6E-409C-BE32-E72D297353CC}">
              <c16:uniqueId val="{00000001-2C03-4818-97D0-42BF29287FEC}"/>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C03-4818-97D0-42BF29287FEC}"/>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C03-4818-97D0-42BF29287FEC}"/>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C03-4818-97D0-42BF29287FEC}"/>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C03-4818-97D0-42BF29287FE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2022</c:v>
                </c:pt>
                <c:pt idx="1">
                  <c:v>2023</c:v>
                </c:pt>
                <c:pt idx="2">
                  <c:v>2024</c:v>
                </c:pt>
                <c:pt idx="3">
                  <c:v>2025/IV</c:v>
                </c:pt>
              </c:strCache>
            </c:strRef>
          </c:cat>
          <c:val>
            <c:numRef>
              <c:f>ucesce!$B$7:$E$7</c:f>
              <c:numCache>
                <c:formatCode>0.0%</c:formatCode>
                <c:ptCount val="4"/>
                <c:pt idx="0">
                  <c:v>4.8149284076456217E-3</c:v>
                </c:pt>
                <c:pt idx="1">
                  <c:v>3.4494047579849882E-3</c:v>
                </c:pt>
                <c:pt idx="2">
                  <c:v>2.8661339417625502E-3</c:v>
                </c:pt>
                <c:pt idx="3">
                  <c:v>2.5310836478819507E-3</c:v>
                </c:pt>
              </c:numCache>
            </c:numRef>
          </c:val>
          <c:extLst>
            <c:ext xmlns:c16="http://schemas.microsoft.com/office/drawing/2014/chart" uri="{C3380CC4-5D6E-409C-BE32-E72D297353CC}">
              <c16:uniqueId val="{00000006-2C03-4818-97D0-42BF29287FEC}"/>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en-U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2.8396989919068577E-3"/>
          <c:y val="0.77101422802679909"/>
          <c:w val="0.98266107645635203"/>
          <c:h val="0.2032420183811428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7117888878348037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2025/IV</c:v>
                </c:pt>
              </c:strCache>
            </c:strRef>
          </c:cat>
          <c:val>
            <c:numRef>
              <c:f>valutna!$B$5:$E$5</c:f>
              <c:numCache>
                <c:formatCode>0.0%</c:formatCode>
                <c:ptCount val="4"/>
                <c:pt idx="0">
                  <c:v>0.56122306338579264</c:v>
                </c:pt>
                <c:pt idx="1">
                  <c:v>0.57957374469545864</c:v>
                </c:pt>
                <c:pt idx="2">
                  <c:v>0.57734200837124594</c:v>
                </c:pt>
                <c:pt idx="3">
                  <c:v>0.58069999999999999</c:v>
                </c:pt>
              </c:numCache>
            </c:numRef>
          </c:val>
          <c:extLst>
            <c:ext xmlns:c16="http://schemas.microsoft.com/office/drawing/2014/chart" uri="{C3380CC4-5D6E-409C-BE32-E72D297353CC}">
              <c16:uniqueId val="{00000000-1191-40C9-8027-8738D921FAFB}"/>
            </c:ext>
          </c:extLst>
        </c:ser>
        <c:ser>
          <c:idx val="1"/>
          <c:order val="1"/>
          <c:tx>
            <c:strRef>
              <c:f>valutna!$A$6</c:f>
              <c:strCache>
                <c:ptCount val="1"/>
                <c:pt idx="0">
                  <c:v>USD</c:v>
                </c:pt>
              </c:strCache>
            </c:strRef>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2025/IV</c:v>
                </c:pt>
              </c:strCache>
            </c:strRef>
          </c:cat>
          <c:val>
            <c:numRef>
              <c:f>valutna!$B$6:$E$6</c:f>
              <c:numCache>
                <c:formatCode>0.0%</c:formatCode>
                <c:ptCount val="4"/>
                <c:pt idx="0">
                  <c:v>0.14174924728991847</c:v>
                </c:pt>
                <c:pt idx="1">
                  <c:v>0.13312620372269271</c:v>
                </c:pt>
                <c:pt idx="2">
                  <c:v>0.13775908509356896</c:v>
                </c:pt>
                <c:pt idx="3">
                  <c:v>0.1273</c:v>
                </c:pt>
              </c:numCache>
            </c:numRef>
          </c:val>
          <c:extLst>
            <c:ext xmlns:c16="http://schemas.microsoft.com/office/drawing/2014/chart" uri="{C3380CC4-5D6E-409C-BE32-E72D297353CC}">
              <c16:uniqueId val="{00000001-1191-40C9-8027-8738D921FAFB}"/>
            </c:ext>
          </c:extLst>
        </c:ser>
        <c:ser>
          <c:idx val="2"/>
          <c:order val="2"/>
          <c:tx>
            <c:strRef>
              <c:f>valutna!$A$7</c:f>
              <c:strCache>
                <c:ptCount val="1"/>
                <c:pt idx="0">
                  <c:v>RSD</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2022</c:v>
                </c:pt>
                <c:pt idx="1">
                  <c:v>2023</c:v>
                </c:pt>
                <c:pt idx="2">
                  <c:v>2024</c:v>
                </c:pt>
                <c:pt idx="3">
                  <c:v>2025/IV</c:v>
                </c:pt>
              </c:strCache>
            </c:strRef>
          </c:cat>
          <c:val>
            <c:numRef>
              <c:f>valutna!$B$7:$E$7</c:f>
              <c:numCache>
                <c:formatCode>0.0%</c:formatCode>
                <c:ptCount val="4"/>
                <c:pt idx="0">
                  <c:v>0.24970540543766942</c:v>
                </c:pt>
                <c:pt idx="1">
                  <c:v>0.21547101425767157</c:v>
                </c:pt>
                <c:pt idx="2">
                  <c:v>0.21779451263943464</c:v>
                </c:pt>
                <c:pt idx="3">
                  <c:v>0.22789999999999999</c:v>
                </c:pt>
              </c:numCache>
            </c:numRef>
          </c:val>
          <c:extLst>
            <c:ext xmlns:c16="http://schemas.microsoft.com/office/drawing/2014/chart" uri="{C3380CC4-5D6E-409C-BE32-E72D297353CC}">
              <c16:uniqueId val="{00000002-1191-40C9-8027-8738D921FAFB}"/>
            </c:ext>
          </c:extLst>
        </c:ser>
        <c:ser>
          <c:idx val="3"/>
          <c:order val="3"/>
          <c:tx>
            <c:strRef>
              <c:f>valutna!$A$8</c:f>
              <c:strCache>
                <c:ptCount val="1"/>
                <c:pt idx="0">
                  <c:v>SDR</c:v>
                </c:pt>
              </c:strCache>
            </c:strRef>
          </c:tx>
          <c:spPr>
            <a:solidFill>
              <a:srgbClr val="51BBE7"/>
            </a:solidFill>
            <a:ln>
              <a:noFill/>
            </a:ln>
            <a:effectLst/>
          </c:spPr>
          <c:invertIfNegative val="0"/>
          <c:dLbls>
            <c:dLbl>
              <c:idx val="1"/>
              <c:layout>
                <c:manualLayout>
                  <c:x val="0"/>
                  <c:y val="2.409638554216867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91-40C9-8027-8738D921FAFB}"/>
                </c:ext>
              </c:extLst>
            </c:dLbl>
            <c:dLbl>
              <c:idx val="2"/>
              <c:layout>
                <c:manualLayout>
                  <c:x val="4.5392646391283781E-3"/>
                  <c:y val="4.016064257028112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191-40C9-8027-8738D921FAFB}"/>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2022</c:v>
                </c:pt>
                <c:pt idx="1">
                  <c:v>2023</c:v>
                </c:pt>
                <c:pt idx="2">
                  <c:v>2024</c:v>
                </c:pt>
                <c:pt idx="3">
                  <c:v>2025/IV</c:v>
                </c:pt>
              </c:strCache>
            </c:strRef>
          </c:cat>
          <c:val>
            <c:numRef>
              <c:f>valutna!$B$8:$E$8</c:f>
              <c:numCache>
                <c:formatCode>0.0%</c:formatCode>
                <c:ptCount val="4"/>
                <c:pt idx="0">
                  <c:v>3.9562422778152417E-2</c:v>
                </c:pt>
                <c:pt idx="1">
                  <c:v>6.6201702735121284E-2</c:v>
                </c:pt>
                <c:pt idx="2">
                  <c:v>6.3218324161884221E-2</c:v>
                </c:pt>
                <c:pt idx="3">
                  <c:v>6.0299999999999999E-2</c:v>
                </c:pt>
              </c:numCache>
            </c:numRef>
          </c:val>
          <c:extLst>
            <c:ext xmlns:c16="http://schemas.microsoft.com/office/drawing/2014/chart" uri="{C3380CC4-5D6E-409C-BE32-E72D297353CC}">
              <c16:uniqueId val="{00000005-1191-40C9-8027-8738D921FAFB}"/>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numFmt formatCode="0.0%" sourceLinked="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1191-40C9-8027-8738D921FAFB}"/>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191-40C9-8027-8738D921FAFB}"/>
                </c:ext>
              </c:extLst>
            </c:dLbl>
            <c:dLbl>
              <c:idx val="2"/>
              <c:layout>
                <c:manualLayout>
                  <c:x val="-8.3218890365632274E-17"/>
                  <c:y val="-8.65003320368086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191-40C9-8027-8738D921FAFB}"/>
                </c:ext>
              </c:extLst>
            </c:dLbl>
            <c:dLbl>
              <c:idx val="3"/>
              <c:layout>
                <c:manualLayout>
                  <c:x val="-1.6643778073126455E-16"/>
                  <c:y val="-2.273598330329190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191-40C9-8027-8738D921FAFB}"/>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2022</c:v>
                </c:pt>
                <c:pt idx="1">
                  <c:v>2023</c:v>
                </c:pt>
                <c:pt idx="2">
                  <c:v>2024</c:v>
                </c:pt>
                <c:pt idx="3">
                  <c:v>2025/IV</c:v>
                </c:pt>
              </c:strCache>
            </c:strRef>
          </c:cat>
          <c:val>
            <c:numRef>
              <c:f>valutna!$B$9:$E$9</c:f>
              <c:numCache>
                <c:formatCode>0.0%</c:formatCode>
                <c:ptCount val="4"/>
                <c:pt idx="0">
                  <c:v>7.7598611084669349E-3</c:v>
                </c:pt>
                <c:pt idx="1">
                  <c:v>5.6273345890558444E-3</c:v>
                </c:pt>
                <c:pt idx="2">
                  <c:v>3.8860697338660927E-3</c:v>
                </c:pt>
                <c:pt idx="3">
                  <c:v>3.7000000000000002E-3</c:v>
                </c:pt>
              </c:numCache>
            </c:numRef>
          </c:val>
          <c:extLst>
            <c:ext xmlns:c16="http://schemas.microsoft.com/office/drawing/2014/chart" uri="{C3380CC4-5D6E-409C-BE32-E72D297353CC}">
              <c16:uniqueId val="{0000000A-1191-40C9-8027-8738D921FAFB}"/>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en-U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007148448250597"/>
          <c:y val="0.91044274071004283"/>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2022</c:v>
                </c:pt>
                <c:pt idx="1">
                  <c:v>2023</c:v>
                </c:pt>
                <c:pt idx="2">
                  <c:v>2024</c:v>
                </c:pt>
                <c:pt idx="3">
                  <c:v>2025/IV</c:v>
                </c:pt>
              </c:strCache>
            </c:strRef>
          </c:cat>
          <c:val>
            <c:numRef>
              <c:f>kamatna!$B$5:$E$5</c:f>
              <c:numCache>
                <c:formatCode>0.0%</c:formatCode>
                <c:ptCount val="4"/>
                <c:pt idx="0">
                  <c:v>0.81661435297172802</c:v>
                </c:pt>
                <c:pt idx="1">
                  <c:v>0.72240891395082141</c:v>
                </c:pt>
                <c:pt idx="2">
                  <c:v>0.71408664636102981</c:v>
                </c:pt>
                <c:pt idx="3">
                  <c:v>0.71272771014364733</c:v>
                </c:pt>
              </c:numCache>
            </c:numRef>
          </c:val>
          <c:extLst>
            <c:ext xmlns:c16="http://schemas.microsoft.com/office/drawing/2014/chart" uri="{C3380CC4-5D6E-409C-BE32-E72D297353CC}">
              <c16:uniqueId val="{00000000-330F-4A78-BCBD-AB17B413912A}"/>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2022</c:v>
                </c:pt>
                <c:pt idx="1">
                  <c:v>2023</c:v>
                </c:pt>
                <c:pt idx="2">
                  <c:v>2024</c:v>
                </c:pt>
                <c:pt idx="3">
                  <c:v>2025/IV</c:v>
                </c:pt>
              </c:strCache>
            </c:strRef>
          </c:cat>
          <c:val>
            <c:numRef>
              <c:f>kamatna!$B$6:$E$6</c:f>
              <c:numCache>
                <c:formatCode>0.0%</c:formatCode>
                <c:ptCount val="4"/>
                <c:pt idx="0">
                  <c:v>0.18338564702827198</c:v>
                </c:pt>
                <c:pt idx="1">
                  <c:v>0.27759108604917854</c:v>
                </c:pt>
                <c:pt idx="2">
                  <c:v>0.2859133536389703</c:v>
                </c:pt>
                <c:pt idx="3">
                  <c:v>0.28727228985635272</c:v>
                </c:pt>
              </c:numCache>
            </c:numRef>
          </c:val>
          <c:extLst>
            <c:ext xmlns:c16="http://schemas.microsoft.com/office/drawing/2014/chart" uri="{C3380CC4-5D6E-409C-BE32-E72D297353CC}">
              <c16:uniqueId val="{00000001-330F-4A78-BCBD-AB17B413912A}"/>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en-U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a:pPr>
      <a:endParaRPr lang="en-US"/>
    </a:p>
  </c:txPr>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dLbl>
              <c:idx val="0"/>
              <c:layout>
                <c:manualLayout>
                  <c:x val="-4.2278996717422966E-3"/>
                  <c:y val="1.2394070391751676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3A6B-4071-BF95-DED30E16EE06}"/>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0.00</c:formatCode>
                <c:ptCount val="1"/>
                <c:pt idx="0">
                  <c:v>4.9937967770381917</c:v>
                </c:pt>
              </c:numCache>
            </c:numRef>
          </c:xVal>
          <c:yVal>
            <c:numRef>
              <c:f>'3Y_OUTPUT'!$C$124</c:f>
              <c:numCache>
                <c:formatCode>0.0</c:formatCode>
                <c:ptCount val="1"/>
                <c:pt idx="0">
                  <c:v>45.684320974504224</c:v>
                </c:pt>
              </c:numCache>
            </c:numRef>
          </c:yVal>
          <c:smooth val="0"/>
          <c:extLst>
            <c:ext xmlns:c16="http://schemas.microsoft.com/office/drawing/2014/chart" uri="{C3380CC4-5D6E-409C-BE32-E72D297353CC}">
              <c16:uniqueId val="{00000001-3A6B-4071-BF95-DED30E16EE06}"/>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0.00</c:formatCode>
                <c:ptCount val="1"/>
                <c:pt idx="0">
                  <c:v>5.4080925946884975</c:v>
                </c:pt>
              </c:numCache>
            </c:numRef>
          </c:xVal>
          <c:yVal>
            <c:numRef>
              <c:f>'3Y_OUTPUT'!$D$124</c:f>
              <c:numCache>
                <c:formatCode>0.0</c:formatCode>
                <c:ptCount val="1"/>
                <c:pt idx="0">
                  <c:v>45.775265262435951</c:v>
                </c:pt>
              </c:numCache>
            </c:numRef>
          </c:yVal>
          <c:smooth val="0"/>
          <c:extLst>
            <c:ext xmlns:c16="http://schemas.microsoft.com/office/drawing/2014/chart" uri="{C3380CC4-5D6E-409C-BE32-E72D297353CC}">
              <c16:uniqueId val="{00000002-3A6B-4071-BF95-DED30E16EE06}"/>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dLbl>
              <c:idx val="0"/>
              <c:layout>
                <c:manualLayout>
                  <c:x val="1.8112480988097867E-4"/>
                  <c:y val="2.0671791853244248E-2"/>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3-3A6B-4071-BF95-DED30E16EE06}"/>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0.00</c:formatCode>
                <c:ptCount val="1"/>
                <c:pt idx="0">
                  <c:v>5.3900775489185762</c:v>
                </c:pt>
              </c:numCache>
            </c:numRef>
          </c:xVal>
          <c:yVal>
            <c:numRef>
              <c:f>'3Y_OUTPUT'!$E$124</c:f>
              <c:numCache>
                <c:formatCode>0.0</c:formatCode>
                <c:ptCount val="1"/>
                <c:pt idx="0">
                  <c:v>45.640090862245344</c:v>
                </c:pt>
              </c:numCache>
            </c:numRef>
          </c:yVal>
          <c:smooth val="0"/>
          <c:extLst>
            <c:ext xmlns:c16="http://schemas.microsoft.com/office/drawing/2014/chart" uri="{C3380CC4-5D6E-409C-BE32-E72D297353CC}">
              <c16:uniqueId val="{00000004-3A6B-4071-BF95-DED30E16EE06}"/>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0.00</c:formatCode>
                <c:ptCount val="1"/>
                <c:pt idx="0">
                  <c:v>4.1355457154663497</c:v>
                </c:pt>
              </c:numCache>
            </c:numRef>
          </c:xVal>
          <c:yVal>
            <c:numRef>
              <c:f>'3Y_OUTPUT'!$F$124</c:f>
              <c:numCache>
                <c:formatCode>0.0</c:formatCode>
                <c:ptCount val="1"/>
                <c:pt idx="0">
                  <c:v>45.814745328484449</c:v>
                </c:pt>
              </c:numCache>
            </c:numRef>
          </c:yVal>
          <c:smooth val="0"/>
          <c:extLst>
            <c:ext xmlns:c16="http://schemas.microsoft.com/office/drawing/2014/chart" uri="{C3380CC4-5D6E-409C-BE32-E72D297353CC}">
              <c16:uniqueId val="{00000005-3A6B-4071-BF95-DED30E16EE06}"/>
            </c:ext>
          </c:extLst>
        </c:ser>
        <c:dLbls>
          <c:showLegendKey val="0"/>
          <c:showVal val="0"/>
          <c:showCatName val="0"/>
          <c:showSerName val="0"/>
          <c:showPercent val="0"/>
          <c:showBubbleSize val="0"/>
        </c:dLbls>
        <c:axId val="253667200"/>
        <c:axId val="253681664"/>
      </c:scatterChart>
      <c:valAx>
        <c:axId val="253667200"/>
        <c:scaling>
          <c:orientation val="minMax"/>
          <c:max val="5.5"/>
          <c:min val="4"/>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81664"/>
        <c:crosses val="autoZero"/>
        <c:crossBetween val="midCat"/>
        <c:majorUnit val="0.5"/>
        <c:minorUnit val="0.1"/>
      </c:valAx>
      <c:valAx>
        <c:axId val="253681664"/>
        <c:scaling>
          <c:orientation val="minMax"/>
          <c:max val="46"/>
          <c:min val="45.4"/>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chemeClr val="accent1">
                        <a:lumMod val="75000"/>
                      </a:schemeClr>
                    </a:solidFill>
                    <a:latin typeface="Calibri" panose="020F0502020204030204" pitchFamily="34" charset="0"/>
                    <a:cs typeface="Calibri" panose="020F0502020204030204" pitchFamily="34" charset="0"/>
                  </a:defRPr>
                </a:pPr>
                <a:r>
                  <a:rPr lang="sr-Cyrl-BA">
                    <a:solidFill>
                      <a:schemeClr val="accent1">
                        <a:lumMod val="75000"/>
                      </a:schemeClr>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 sourceLinked="0"/>
        <c:majorTickMark val="none"/>
        <c:minorTickMark val="none"/>
        <c:tickLblPos val="nextTo"/>
        <c:spPr>
          <a:noFill/>
          <a:ln>
            <a:noFill/>
          </a:ln>
          <a:effectLst/>
        </c:spPr>
        <c:txPr>
          <a:bodyPr rot="0"/>
          <a:lstStyle/>
          <a:p>
            <a:pPr>
              <a:defRPr sz="800">
                <a:solidFill>
                  <a:schemeClr val="accent1">
                    <a:lumMod val="75000"/>
                  </a:schemeClr>
                </a:solidFill>
                <a:latin typeface="Calibri" panose="020F0502020204030204" pitchFamily="34" charset="0"/>
                <a:cs typeface="Calibri" panose="020F0502020204030204" pitchFamily="34" charset="0"/>
              </a:defRPr>
            </a:pPr>
            <a:endParaRPr lang="en-US"/>
          </a:p>
        </c:txPr>
        <c:crossAx val="253667200"/>
        <c:crosses val="autoZero"/>
        <c:crossBetween val="midCat"/>
        <c:majorUnit val="0.2"/>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en-US"/>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dLbl>
              <c:idx val="0"/>
              <c:layout>
                <c:manualLayout>
                  <c:x val="-2.2716849319675124E-2"/>
                  <c:y val="0"/>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9E06-4D79-835C-442E0A79949F}"/>
                </c:ext>
              </c:extLst>
            </c:dLbl>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0.00</c:formatCode>
                <c:ptCount val="1"/>
                <c:pt idx="0">
                  <c:v>0.71097740747520155</c:v>
                </c:pt>
              </c:numCache>
            </c:numRef>
          </c:xVal>
          <c:yVal>
            <c:numRef>
              <c:f>'3Y_OUTPUT'!$C$134</c:f>
              <c:numCache>
                <c:formatCode>0.0</c:formatCode>
                <c:ptCount val="1"/>
                <c:pt idx="0">
                  <c:v>1.8993112426276315</c:v>
                </c:pt>
              </c:numCache>
            </c:numRef>
          </c:yVal>
          <c:smooth val="0"/>
          <c:extLst>
            <c:ext xmlns:c16="http://schemas.microsoft.com/office/drawing/2014/chart" uri="{C3380CC4-5D6E-409C-BE32-E72D297353CC}">
              <c16:uniqueId val="{00000001-9E06-4D79-835C-442E0A79949F}"/>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0.00</c:formatCode>
                <c:ptCount val="1"/>
                <c:pt idx="0">
                  <c:v>0.75038458979887679</c:v>
                </c:pt>
              </c:numCache>
            </c:numRef>
          </c:xVal>
          <c:yVal>
            <c:numRef>
              <c:f>'3Y_OUTPUT'!$D$134</c:f>
              <c:numCache>
                <c:formatCode>0.0</c:formatCode>
                <c:ptCount val="1"/>
                <c:pt idx="0">
                  <c:v>1.9717774858431971</c:v>
                </c:pt>
              </c:numCache>
            </c:numRef>
          </c:yVal>
          <c:smooth val="0"/>
          <c:extLst>
            <c:ext xmlns:c16="http://schemas.microsoft.com/office/drawing/2014/chart" uri="{C3380CC4-5D6E-409C-BE32-E72D297353CC}">
              <c16:uniqueId val="{00000002-9E06-4D79-835C-442E0A79949F}"/>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0.00</c:formatCode>
                <c:ptCount val="1"/>
                <c:pt idx="0">
                  <c:v>0.74530182107287213</c:v>
                </c:pt>
              </c:numCache>
            </c:numRef>
          </c:xVal>
          <c:yVal>
            <c:numRef>
              <c:f>'3Y_OUTPUT'!$E$134</c:f>
              <c:numCache>
                <c:formatCode>0.0</c:formatCode>
                <c:ptCount val="1"/>
                <c:pt idx="0">
                  <c:v>1.8750733083551487</c:v>
                </c:pt>
              </c:numCache>
            </c:numRef>
          </c:yVal>
          <c:smooth val="0"/>
          <c:extLst>
            <c:ext xmlns:c16="http://schemas.microsoft.com/office/drawing/2014/chart" uri="{C3380CC4-5D6E-409C-BE32-E72D297353CC}">
              <c16:uniqueId val="{00000003-9E06-4D79-835C-442E0A79949F}"/>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0.00</c:formatCode>
                <c:ptCount val="1"/>
                <c:pt idx="0">
                  <c:v>0.91578670660308692</c:v>
                </c:pt>
              </c:numCache>
            </c:numRef>
          </c:xVal>
          <c:yVal>
            <c:numRef>
              <c:f>'3Y_OUTPUT'!$F$134</c:f>
              <c:numCache>
                <c:formatCode>0.0</c:formatCode>
                <c:ptCount val="1"/>
                <c:pt idx="0">
                  <c:v>1.9920224405404166</c:v>
                </c:pt>
              </c:numCache>
            </c:numRef>
          </c:yVal>
          <c:smooth val="0"/>
          <c:extLst>
            <c:ext xmlns:c16="http://schemas.microsoft.com/office/drawing/2014/chart" uri="{C3380CC4-5D6E-409C-BE32-E72D297353CC}">
              <c16:uniqueId val="{00000004-9E06-4D79-835C-442E0A79949F}"/>
            </c:ext>
          </c:extLst>
        </c:ser>
        <c:dLbls>
          <c:showLegendKey val="0"/>
          <c:showVal val="0"/>
          <c:showCatName val="0"/>
          <c:showSerName val="0"/>
          <c:showPercent val="0"/>
          <c:showBubbleSize val="0"/>
        </c:dLbls>
        <c:axId val="253612416"/>
        <c:axId val="253614336"/>
      </c:scatterChart>
      <c:valAx>
        <c:axId val="253612416"/>
        <c:scaling>
          <c:orientation val="minMax"/>
          <c:max val="1"/>
          <c:min val="0.70000000000000007"/>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chemeClr val="accent1">
                        <a:lumMod val="75000"/>
                      </a:schemeClr>
                    </a:solidFill>
                  </a:defRPr>
                </a:pPr>
                <a:r>
                  <a:rPr lang="sr-Cyrl-RS">
                    <a:solidFill>
                      <a:schemeClr val="accent1">
                        <a:lumMod val="75000"/>
                      </a:schemeClr>
                    </a:solidFill>
                  </a:rPr>
                  <a:t>Ризик</a:t>
                </a:r>
              </a:p>
            </c:rich>
          </c:tx>
          <c:layout>
            <c:manualLayout>
              <c:xMode val="edge"/>
              <c:yMode val="edge"/>
              <c:x val="0.47124973398595482"/>
              <c:y val="0.929701686121919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4336"/>
        <c:crosses val="autoZero"/>
        <c:crossBetween val="midCat"/>
      </c:valAx>
      <c:valAx>
        <c:axId val="253614336"/>
        <c:scaling>
          <c:orientation val="minMax"/>
          <c:max val="2"/>
          <c:min val="1.8"/>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chemeClr val="accent5">
                        <a:lumMod val="50000"/>
                      </a:schemeClr>
                    </a:solidFill>
                  </a:defRPr>
                </a:pPr>
                <a:r>
                  <a:rPr lang="sr-Cyrl-CS">
                    <a:solidFill>
                      <a:schemeClr val="accent5">
                        <a:lumMod val="50000"/>
                      </a:schemeClr>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chemeClr val="accent1">
                    <a:lumMod val="75000"/>
                  </a:schemeClr>
                </a:solidFill>
              </a:defRPr>
            </a:pPr>
            <a:endParaRPr lang="en-US"/>
          </a:p>
        </c:txPr>
        <c:crossAx val="253612416"/>
        <c:crosses val="autoZero"/>
        <c:crossBetween val="midCat"/>
        <c:majorUnit val="0.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en-US"/>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kursa'!$H$50:$Q$50</c:f>
              <c:numCache>
                <c:formatCode>General</c:formatCode>
                <c:ptCount val="10"/>
                <c:pt idx="0">
                  <c:v>2018</c:v>
                </c:pt>
                <c:pt idx="1">
                  <c:v>2019</c:v>
                </c:pt>
                <c:pt idx="2">
                  <c:v>2020</c:v>
                </c:pt>
                <c:pt idx="3">
                  <c:v>2021</c:v>
                </c:pt>
                <c:pt idx="4">
                  <c:v>2022</c:v>
                </c:pt>
                <c:pt idx="5">
                  <c:v>2023</c:v>
                </c:pt>
                <c:pt idx="6">
                  <c:v>2024</c:v>
                </c:pt>
                <c:pt idx="7">
                  <c:v>2025</c:v>
                </c:pt>
                <c:pt idx="8">
                  <c:v>2026</c:v>
                </c:pt>
                <c:pt idx="9">
                  <c:v>2027</c:v>
                </c:pt>
              </c:numCache>
            </c:numRef>
          </c:val>
          <c:smooth val="0"/>
          <c:extLst>
            <c:ext xmlns:c16="http://schemas.microsoft.com/office/drawing/2014/chart" uri="{C3380CC4-5D6E-409C-BE32-E72D297353CC}">
              <c16:uniqueId val="{00000000-21E5-4DF6-AF78-FEC3773A2646}"/>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kursa'!$H$51:$R$51</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46.275709793902628</c:v>
                </c:pt>
                <c:pt idx="8">
                  <c:v>46.041154032224775</c:v>
                </c:pt>
                <c:pt idx="9">
                  <c:v>45.82630087312144</c:v>
                </c:pt>
                <c:pt idx="10">
                  <c:v>45.683226366848906</c:v>
                </c:pt>
              </c:numCache>
            </c:numRef>
          </c:val>
          <c:smooth val="0"/>
          <c:extLst>
            <c:ext xmlns:c16="http://schemas.microsoft.com/office/drawing/2014/chart" uri="{C3380CC4-5D6E-409C-BE32-E72D297353CC}">
              <c16:uniqueId val="{00000001-21E5-4DF6-AF78-FEC3773A2646}"/>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kursa'!$H$52:$R$52</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47.006866008646291</c:v>
                </c:pt>
                <c:pt idx="8">
                  <c:v>46.777812496740374</c:v>
                </c:pt>
                <c:pt idx="9">
                  <c:v>46.55952168709139</c:v>
                </c:pt>
                <c:pt idx="10">
                  <c:v>46.405021343445121</c:v>
                </c:pt>
              </c:numCache>
            </c:numRef>
          </c:val>
          <c:smooth val="0"/>
          <c:extLst>
            <c:ext xmlns:c16="http://schemas.microsoft.com/office/drawing/2014/chart" uri="{C3380CC4-5D6E-409C-BE32-E72D297353CC}">
              <c16:uniqueId val="{00000002-21E5-4DF6-AF78-FEC3773A2646}"/>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kursa'!$H$53:$R$53</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47.738022223389947</c:v>
                </c:pt>
                <c:pt idx="8">
                  <c:v>47.514470961255974</c:v>
                </c:pt>
                <c:pt idx="9">
                  <c:v>47.292742501061333</c:v>
                </c:pt>
                <c:pt idx="10">
                  <c:v>47.126816320041328</c:v>
                </c:pt>
              </c:numCache>
            </c:numRef>
          </c:val>
          <c:smooth val="0"/>
          <c:extLst>
            <c:ext xmlns:c16="http://schemas.microsoft.com/office/drawing/2014/chart" uri="{C3380CC4-5D6E-409C-BE32-E72D297353CC}">
              <c16:uniqueId val="{00000003-21E5-4DF6-AF78-FEC3773A2646}"/>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kursa'!$H$54:$R$54</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48.469178438133618</c:v>
                </c:pt>
                <c:pt idx="8">
                  <c:v>48.251129425771573</c:v>
                </c:pt>
                <c:pt idx="9">
                  <c:v>48.025963315031269</c:v>
                </c:pt>
                <c:pt idx="10">
                  <c:v>47.84861129663755</c:v>
                </c:pt>
              </c:numCache>
            </c:numRef>
          </c:val>
          <c:smooth val="0"/>
          <c:extLst>
            <c:ext xmlns:c16="http://schemas.microsoft.com/office/drawing/2014/chart" uri="{C3380CC4-5D6E-409C-BE32-E72D297353CC}">
              <c16:uniqueId val="{00000004-21E5-4DF6-AF78-FEC3773A2646}"/>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kursa'!$H$55:$R$55</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49.200334652877281</c:v>
                </c:pt>
                <c:pt idx="8">
                  <c:v>48.987787890287166</c:v>
                </c:pt>
                <c:pt idx="9">
                  <c:v>48.75918412900122</c:v>
                </c:pt>
                <c:pt idx="10">
                  <c:v>48.570406273233758</c:v>
                </c:pt>
              </c:numCache>
            </c:numRef>
          </c:val>
          <c:smooth val="0"/>
          <c:extLst>
            <c:ext xmlns:c16="http://schemas.microsoft.com/office/drawing/2014/chart" uri="{C3380CC4-5D6E-409C-BE32-E72D297353CC}">
              <c16:uniqueId val="{00000005-21E5-4DF6-AF78-FEC3773A2646}"/>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21E5-4DF6-AF78-FEC3773A2646}"/>
                </c:ext>
              </c:extLst>
            </c:dLbl>
            <c:dLbl>
              <c:idx val="1"/>
              <c:delete val="1"/>
              <c:extLst>
                <c:ext xmlns:c15="http://schemas.microsoft.com/office/drawing/2012/chart" uri="{CE6537A1-D6FC-4f65-9D91-7224C49458BB}"/>
                <c:ext xmlns:c16="http://schemas.microsoft.com/office/drawing/2014/chart" uri="{C3380CC4-5D6E-409C-BE32-E72D297353CC}">
                  <c16:uniqueId val="{00000007-21E5-4DF6-AF78-FEC3773A2646}"/>
                </c:ext>
              </c:extLst>
            </c:dLbl>
            <c:dLbl>
              <c:idx val="2"/>
              <c:delete val="1"/>
              <c:extLst>
                <c:ext xmlns:c15="http://schemas.microsoft.com/office/drawing/2012/chart" uri="{CE6537A1-D6FC-4f65-9D91-7224C49458BB}"/>
                <c:ext xmlns:c16="http://schemas.microsoft.com/office/drawing/2014/chart" uri="{C3380CC4-5D6E-409C-BE32-E72D297353CC}">
                  <c16:uniqueId val="{00000008-21E5-4DF6-AF78-FEC3773A2646}"/>
                </c:ext>
              </c:extLst>
            </c:dLbl>
            <c:dLbl>
              <c:idx val="3"/>
              <c:delete val="1"/>
              <c:extLst>
                <c:ext xmlns:c15="http://schemas.microsoft.com/office/drawing/2012/chart" uri="{CE6537A1-D6FC-4f65-9D91-7224C49458BB}"/>
                <c:ext xmlns:c16="http://schemas.microsoft.com/office/drawing/2014/chart" uri="{C3380CC4-5D6E-409C-BE32-E72D297353CC}">
                  <c16:uniqueId val="{00000009-21E5-4DF6-AF78-FEC3773A2646}"/>
                </c:ext>
              </c:extLst>
            </c:dLbl>
            <c:dLbl>
              <c:idx val="4"/>
              <c:delete val="1"/>
              <c:extLst>
                <c:ext xmlns:c15="http://schemas.microsoft.com/office/drawing/2012/chart" uri="{CE6537A1-D6FC-4f65-9D91-7224C49458BB}"/>
                <c:ext xmlns:c16="http://schemas.microsoft.com/office/drawing/2014/chart" uri="{C3380CC4-5D6E-409C-BE32-E72D297353CC}">
                  <c16:uniqueId val="{0000000A-21E5-4DF6-AF78-FEC3773A2646}"/>
                </c:ext>
              </c:extLst>
            </c:dLbl>
            <c:dLbl>
              <c:idx val="5"/>
              <c:delete val="1"/>
              <c:extLst>
                <c:ext xmlns:c15="http://schemas.microsoft.com/office/drawing/2012/chart" uri="{CE6537A1-D6FC-4f65-9D91-7224C49458BB}"/>
                <c:ext xmlns:c16="http://schemas.microsoft.com/office/drawing/2014/chart" uri="{C3380CC4-5D6E-409C-BE32-E72D297353CC}">
                  <c16:uniqueId val="{0000000B-21E5-4DF6-AF78-FEC3773A2646}"/>
                </c:ext>
              </c:extLst>
            </c:dLbl>
            <c:dLbl>
              <c:idx val="6"/>
              <c:delete val="1"/>
              <c:extLst>
                <c:ext xmlns:c15="http://schemas.microsoft.com/office/drawing/2012/chart" uri="{CE6537A1-D6FC-4f65-9D91-7224C49458BB}"/>
                <c:ext xmlns:c16="http://schemas.microsoft.com/office/drawing/2014/chart" uri="{C3380CC4-5D6E-409C-BE32-E72D297353CC}">
                  <c16:uniqueId val="{0000000C-21E5-4DF6-AF78-FEC3773A264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kursa'!$H$56:$R$56</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49.931490867620937</c:v>
                </c:pt>
                <c:pt idx="8">
                  <c:v>49.724446354802765</c:v>
                </c:pt>
                <c:pt idx="9">
                  <c:v>49.492404942971163</c:v>
                </c:pt>
                <c:pt idx="10">
                  <c:v>49.292201249829972</c:v>
                </c:pt>
              </c:numCache>
            </c:numRef>
          </c:val>
          <c:smooth val="0"/>
          <c:extLst>
            <c:ext xmlns:c16="http://schemas.microsoft.com/office/drawing/2014/chart" uri="{C3380CC4-5D6E-409C-BE32-E72D297353CC}">
              <c16:uniqueId val="{0000000D-21E5-4DF6-AF78-FEC3773A2646}"/>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kursa'!$H$57:$R$57</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45.544553579158972</c:v>
                </c:pt>
                <c:pt idx="8">
                  <c:v>45.304495567709182</c:v>
                </c:pt>
                <c:pt idx="9">
                  <c:v>45.093080059151497</c:v>
                </c:pt>
                <c:pt idx="10">
                  <c:v>44.961431390252685</c:v>
                </c:pt>
              </c:numCache>
            </c:numRef>
          </c:val>
          <c:smooth val="0"/>
          <c:extLst>
            <c:ext xmlns:c16="http://schemas.microsoft.com/office/drawing/2014/chart" uri="{C3380CC4-5D6E-409C-BE32-E72D297353CC}">
              <c16:uniqueId val="{0000000E-21E5-4DF6-AF78-FEC3773A2646}"/>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kursa'!$H$58:$R$58</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44.813397364415302</c:v>
                </c:pt>
                <c:pt idx="8">
                  <c:v>44.567837103193582</c:v>
                </c:pt>
                <c:pt idx="9">
                  <c:v>44.359859245181553</c:v>
                </c:pt>
                <c:pt idx="10">
                  <c:v>44.239636413656477</c:v>
                </c:pt>
              </c:numCache>
            </c:numRef>
          </c:val>
          <c:smooth val="0"/>
          <c:extLst>
            <c:ext xmlns:c16="http://schemas.microsoft.com/office/drawing/2014/chart" uri="{C3380CC4-5D6E-409C-BE32-E72D297353CC}">
              <c16:uniqueId val="{0000000F-21E5-4DF6-AF78-FEC3773A2646}"/>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kursa'!$H$59:$R$59</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44.082241149671638</c:v>
                </c:pt>
                <c:pt idx="8">
                  <c:v>43.831178638677983</c:v>
                </c:pt>
                <c:pt idx="9">
                  <c:v>43.626638431211603</c:v>
                </c:pt>
                <c:pt idx="10">
                  <c:v>43.51784143706027</c:v>
                </c:pt>
              </c:numCache>
            </c:numRef>
          </c:val>
          <c:smooth val="0"/>
          <c:extLst>
            <c:ext xmlns:c16="http://schemas.microsoft.com/office/drawing/2014/chart" uri="{C3380CC4-5D6E-409C-BE32-E72D297353CC}">
              <c16:uniqueId val="{00000010-21E5-4DF6-AF78-FEC3773A2646}"/>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kursa'!$H$60:$R$60</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43.351084934927982</c:v>
                </c:pt>
                <c:pt idx="8">
                  <c:v>43.09452017416239</c:v>
                </c:pt>
                <c:pt idx="9">
                  <c:v>42.893417617241674</c:v>
                </c:pt>
                <c:pt idx="10">
                  <c:v>42.796046460464055</c:v>
                </c:pt>
              </c:numCache>
            </c:numRef>
          </c:val>
          <c:smooth val="0"/>
          <c:extLst>
            <c:ext xmlns:c16="http://schemas.microsoft.com/office/drawing/2014/chart" uri="{C3380CC4-5D6E-409C-BE32-E72D297353CC}">
              <c16:uniqueId val="{00000011-21E5-4DF6-AF78-FEC3773A2646}"/>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2-21E5-4DF6-AF78-FEC3773A2646}"/>
                </c:ext>
              </c:extLst>
            </c:dLbl>
            <c:dLbl>
              <c:idx val="1"/>
              <c:delete val="1"/>
              <c:extLst>
                <c:ext xmlns:c15="http://schemas.microsoft.com/office/drawing/2012/chart" uri="{CE6537A1-D6FC-4f65-9D91-7224C49458BB}"/>
                <c:ext xmlns:c16="http://schemas.microsoft.com/office/drawing/2014/chart" uri="{C3380CC4-5D6E-409C-BE32-E72D297353CC}">
                  <c16:uniqueId val="{00000013-21E5-4DF6-AF78-FEC3773A2646}"/>
                </c:ext>
              </c:extLst>
            </c:dLbl>
            <c:dLbl>
              <c:idx val="2"/>
              <c:delete val="1"/>
              <c:extLst>
                <c:ext xmlns:c15="http://schemas.microsoft.com/office/drawing/2012/chart" uri="{CE6537A1-D6FC-4f65-9D91-7224C49458BB}"/>
                <c:ext xmlns:c16="http://schemas.microsoft.com/office/drawing/2014/chart" uri="{C3380CC4-5D6E-409C-BE32-E72D297353CC}">
                  <c16:uniqueId val="{00000014-21E5-4DF6-AF78-FEC3773A2646}"/>
                </c:ext>
              </c:extLst>
            </c:dLbl>
            <c:dLbl>
              <c:idx val="3"/>
              <c:delete val="1"/>
              <c:extLst>
                <c:ext xmlns:c15="http://schemas.microsoft.com/office/drawing/2012/chart" uri="{CE6537A1-D6FC-4f65-9D91-7224C49458BB}"/>
                <c:ext xmlns:c16="http://schemas.microsoft.com/office/drawing/2014/chart" uri="{C3380CC4-5D6E-409C-BE32-E72D297353CC}">
                  <c16:uniqueId val="{00000015-21E5-4DF6-AF78-FEC3773A2646}"/>
                </c:ext>
              </c:extLst>
            </c:dLbl>
            <c:dLbl>
              <c:idx val="4"/>
              <c:delete val="1"/>
              <c:extLst>
                <c:ext xmlns:c15="http://schemas.microsoft.com/office/drawing/2012/chart" uri="{CE6537A1-D6FC-4f65-9D91-7224C49458BB}"/>
                <c:ext xmlns:c16="http://schemas.microsoft.com/office/drawing/2014/chart" uri="{C3380CC4-5D6E-409C-BE32-E72D297353CC}">
                  <c16:uniqueId val="{00000016-21E5-4DF6-AF78-FEC3773A2646}"/>
                </c:ext>
              </c:extLst>
            </c:dLbl>
            <c:dLbl>
              <c:idx val="5"/>
              <c:delete val="1"/>
              <c:extLst>
                <c:ext xmlns:c15="http://schemas.microsoft.com/office/drawing/2012/chart" uri="{CE6537A1-D6FC-4f65-9D91-7224C49458BB}"/>
                <c:ext xmlns:c16="http://schemas.microsoft.com/office/drawing/2014/chart" uri="{C3380CC4-5D6E-409C-BE32-E72D297353CC}">
                  <c16:uniqueId val="{00000017-21E5-4DF6-AF78-FEC3773A2646}"/>
                </c:ext>
              </c:extLst>
            </c:dLbl>
            <c:dLbl>
              <c:idx val="6"/>
              <c:delete val="1"/>
              <c:extLst>
                <c:ext xmlns:c15="http://schemas.microsoft.com/office/drawing/2012/chart" uri="{CE6537A1-D6FC-4f65-9D91-7224C49458BB}"/>
                <c:ext xmlns:c16="http://schemas.microsoft.com/office/drawing/2014/chart" uri="{C3380CC4-5D6E-409C-BE32-E72D297353CC}">
                  <c16:uniqueId val="{00000018-21E5-4DF6-AF78-FEC3773A264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kursa'!$H$50:$R$50</c:f>
              <c:numCache>
                <c:formatCode>General</c:formatCode>
                <c:ptCount val="11"/>
                <c:pt idx="0">
                  <c:v>2018</c:v>
                </c:pt>
                <c:pt idx="1">
                  <c:v>2019</c:v>
                </c:pt>
                <c:pt idx="2">
                  <c:v>2020</c:v>
                </c:pt>
                <c:pt idx="3">
                  <c:v>2021</c:v>
                </c:pt>
                <c:pt idx="4">
                  <c:v>2022</c:v>
                </c:pt>
                <c:pt idx="5">
                  <c:v>2023</c:v>
                </c:pt>
                <c:pt idx="6">
                  <c:v>2024</c:v>
                </c:pt>
                <c:pt idx="7">
                  <c:v>2025</c:v>
                </c:pt>
                <c:pt idx="8">
                  <c:v>2026</c:v>
                </c:pt>
                <c:pt idx="9">
                  <c:v>2027</c:v>
                </c:pt>
                <c:pt idx="10">
                  <c:v>2028</c:v>
                </c:pt>
              </c:numCache>
            </c:numRef>
          </c:cat>
          <c:val>
            <c:numRef>
              <c:f>'uticaj promene kursa'!$H$61:$R$61</c:f>
              <c:numCache>
                <c:formatCode>#,##0.0</c:formatCode>
                <c:ptCount val="11"/>
                <c:pt idx="0">
                  <c:v>51.441092072373031</c:v>
                </c:pt>
                <c:pt idx="1">
                  <c:v>49.665304025125785</c:v>
                </c:pt>
                <c:pt idx="2">
                  <c:v>54.401541878488878</c:v>
                </c:pt>
                <c:pt idx="3">
                  <c:v>53.8811979632533</c:v>
                </c:pt>
                <c:pt idx="4">
                  <c:v>52.420124041773533</c:v>
                </c:pt>
                <c:pt idx="5">
                  <c:v>48.041062113389529</c:v>
                </c:pt>
                <c:pt idx="6">
                  <c:v>47.195119101197513</c:v>
                </c:pt>
                <c:pt idx="7">
                  <c:v>42.619928720184326</c:v>
                </c:pt>
                <c:pt idx="8">
                  <c:v>42.357861709646791</c:v>
                </c:pt>
                <c:pt idx="9">
                  <c:v>42.160196803271724</c:v>
                </c:pt>
                <c:pt idx="10">
                  <c:v>42.074251483867847</c:v>
                </c:pt>
              </c:numCache>
            </c:numRef>
          </c:val>
          <c:smooth val="0"/>
          <c:extLst>
            <c:ext xmlns:c16="http://schemas.microsoft.com/office/drawing/2014/chart" uri="{C3380CC4-5D6E-409C-BE32-E72D297353CC}">
              <c16:uniqueId val="{00000019-21E5-4DF6-AF78-FEC3773A2646}"/>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5400000" spcFirstLastPara="1" vertOverflow="ellipsis" wrap="square" anchor="ctr" anchorCtr="1"/>
          <a:lstStyle/>
          <a:p>
            <a:pPr>
              <a:defRPr sz="700" b="1" i="0" u="none" strike="noStrike" kern="1200" baseline="0">
                <a:solidFill>
                  <a:schemeClr val="tx1"/>
                </a:solidFill>
                <a:latin typeface="+mn-lt"/>
                <a:ea typeface="+mn-ea"/>
                <a:cs typeface="+mn-cs"/>
              </a:defRPr>
            </a:pPr>
            <a:endParaRPr lang="en-US"/>
          </a:p>
        </c:txPr>
        <c:crossAx val="75070848"/>
        <c:crosses val="autoZero"/>
        <c:auto val="0"/>
        <c:lblAlgn val="ctr"/>
        <c:lblOffset val="100"/>
        <c:noMultiLvlLbl val="0"/>
      </c:catAx>
      <c:valAx>
        <c:axId val="75070848"/>
        <c:scaling>
          <c:orientation val="minMax"/>
          <c:max val="55"/>
          <c:min val="40"/>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700" b="1" i="0" u="none" strike="noStrike" kern="1200" baseline="0">
                <a:solidFill>
                  <a:schemeClr val="tx1"/>
                </a:solidFill>
                <a:latin typeface="+mn-lt"/>
                <a:ea typeface="+mn-ea"/>
                <a:cs typeface="+mn-cs"/>
              </a:defRPr>
            </a:pPr>
            <a:endParaRPr lang="en-US"/>
          </a:p>
        </c:txPr>
        <c:crossAx val="75069312"/>
        <c:crosses val="autoZero"/>
        <c:crossBetween val="between"/>
        <c:majorUnit val="5"/>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rot="5400000" vert="horz"/>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r>
              <a:rPr lang="sr-Cyrl-RS" sz="900" b="1"/>
              <a:t>Стопа</a:t>
            </a:r>
            <a:r>
              <a:rPr lang="sr-Cyrl-RS" sz="900" b="1" baseline="0"/>
              <a:t> раста</a:t>
            </a:r>
            <a:r>
              <a:rPr lang="sr-Cyrl-RS" sz="900" b="1"/>
              <a:t> БДП Русије, %</a:t>
            </a:r>
          </a:p>
        </c:rich>
      </c:tx>
      <c:layout>
        <c:manualLayout>
          <c:xMode val="edge"/>
          <c:yMode val="edge"/>
          <c:x val="0.3266378600823045"/>
          <c:y val="2.1166666666666667E-2"/>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2"/>
              </a:solidFill>
              <a:latin typeface="+mn-lt"/>
              <a:ea typeface="+mn-ea"/>
              <a:cs typeface="Times New Roman" panose="02020603050405020304" pitchFamily="18" charset="0"/>
            </a:defRPr>
          </a:pPr>
          <a:endParaRPr lang="en-US"/>
        </a:p>
      </c:txPr>
    </c:title>
    <c:autoTitleDeleted val="0"/>
    <c:plotArea>
      <c:layout>
        <c:manualLayout>
          <c:layoutTarget val="inner"/>
          <c:xMode val="edge"/>
          <c:yMode val="edge"/>
          <c:x val="7.8862457404076075E-2"/>
          <c:y val="0.1857688888888889"/>
          <c:w val="0.88876071125802292"/>
          <c:h val="0.69037833333333332"/>
        </c:manualLayout>
      </c:layout>
      <c:lineChart>
        <c:grouping val="standard"/>
        <c:varyColors val="0"/>
        <c:ser>
          <c:idx val="0"/>
          <c:order val="0"/>
          <c:tx>
            <c:strRef>
              <c:f>'SAD,Kina,Rusija, realni rast'!$A$34</c:f>
              <c:strCache>
                <c:ptCount val="1"/>
                <c:pt idx="0">
                  <c:v>апр. 2024.</c:v>
                </c:pt>
              </c:strCache>
            </c:strRef>
          </c:tx>
          <c:spPr>
            <a:ln w="25400" cap="rnd">
              <a:solidFill>
                <a:schemeClr val="accent4"/>
              </a:solidFill>
              <a:prstDash val="sysDot"/>
              <a:round/>
            </a:ln>
            <a:effectLst/>
          </c:spPr>
          <c:marker>
            <c:symbol val="none"/>
          </c:marker>
          <c:dLbls>
            <c:dLbl>
              <c:idx val="0"/>
              <c:layout>
                <c:manualLayout>
                  <c:x val="-9.6876513246771392E-2"/>
                  <c:y val="5.74868528037574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F1-4245-BC3E-CEA4997D1CC1}"/>
                </c:ext>
              </c:extLst>
            </c:dLbl>
            <c:dLbl>
              <c:idx val="1"/>
              <c:layout>
                <c:manualLayout>
                  <c:x val="-5.0347646541339539E-2"/>
                  <c:y val="-5.68220478970963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F1-4245-BC3E-CEA4997D1CC1}"/>
                </c:ext>
              </c:extLst>
            </c:dLbl>
            <c:dLbl>
              <c:idx val="2"/>
              <c:layout>
                <c:manualLayout>
                  <c:x val="-3.2007395914070126E-2"/>
                  <c:y val="-6.6411239630635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F1-4245-BC3E-CEA4997D1CC1}"/>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accent4">
                        <a:lumMod val="75000"/>
                      </a:schemeClr>
                    </a:solidFill>
                    <a:latin typeface="+mn-lt"/>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rast'!$E$34:$I$34</c:f>
              <c:numCache>
                <c:formatCode>0.0</c:formatCode>
                <c:ptCount val="3"/>
                <c:pt idx="0">
                  <c:v>3.2</c:v>
                </c:pt>
                <c:pt idx="1">
                  <c:v>1.8</c:v>
                </c:pt>
                <c:pt idx="2">
                  <c:v>1.3</c:v>
                </c:pt>
              </c:numCache>
            </c:numRef>
          </c:val>
          <c:smooth val="0"/>
          <c:extLst>
            <c:ext xmlns:c16="http://schemas.microsoft.com/office/drawing/2014/chart" uri="{C3380CC4-5D6E-409C-BE32-E72D297353CC}">
              <c16:uniqueId val="{00000003-94F1-4245-BC3E-CEA4997D1CC1}"/>
            </c:ext>
          </c:extLst>
        </c:ser>
        <c:ser>
          <c:idx val="1"/>
          <c:order val="1"/>
          <c:tx>
            <c:strRef>
              <c:f>'SAD,Kina,Rusija, realni rast'!$A$35</c:f>
              <c:strCache>
                <c:ptCount val="1"/>
                <c:pt idx="0">
                  <c:v>окт. 2024.</c:v>
                </c:pt>
              </c:strCache>
            </c:strRef>
          </c:tx>
          <c:spPr>
            <a:ln w="22225" cap="rnd">
              <a:solidFill>
                <a:srgbClr val="002060"/>
              </a:solidFill>
              <a:prstDash val="sysDash"/>
              <a:round/>
            </a:ln>
            <a:effectLst/>
          </c:spPr>
          <c:marker>
            <c:symbol val="none"/>
          </c:marker>
          <c:dLbls>
            <c:dLbl>
              <c:idx val="0"/>
              <c:layout>
                <c:manualLayout>
                  <c:x val="-0.11061862058909305"/>
                  <c:y val="1.61262372323941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F1-4245-BC3E-CEA4997D1CC1}"/>
                </c:ext>
              </c:extLst>
            </c:dLbl>
            <c:dLbl>
              <c:idx val="1"/>
              <c:layout>
                <c:manualLayout>
                  <c:x val="-5.5334117616264611E-2"/>
                  <c:y val="8.6615375202088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F1-4245-BC3E-CEA4997D1CC1}"/>
                </c:ext>
              </c:extLst>
            </c:dLbl>
            <c:dLbl>
              <c:idx val="2"/>
              <c:layout>
                <c:manualLayout>
                  <c:x val="-4.3054370002195801E-3"/>
                  <c:y val="-2.0168180662693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4F1-4245-BC3E-CEA4997D1CC1}"/>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2060"/>
                    </a:solidFill>
                    <a:latin typeface="+mn-lt"/>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rast'!$E$35:$I$35</c:f>
              <c:numCache>
                <c:formatCode>0.0</c:formatCode>
                <c:ptCount val="3"/>
                <c:pt idx="0">
                  <c:v>3.6</c:v>
                </c:pt>
                <c:pt idx="1">
                  <c:v>1.3</c:v>
                </c:pt>
                <c:pt idx="2">
                  <c:v>1.2</c:v>
                </c:pt>
              </c:numCache>
            </c:numRef>
          </c:val>
          <c:smooth val="0"/>
          <c:extLst>
            <c:ext xmlns:c16="http://schemas.microsoft.com/office/drawing/2014/chart" uri="{C3380CC4-5D6E-409C-BE32-E72D297353CC}">
              <c16:uniqueId val="{00000007-94F1-4245-BC3E-CEA4997D1CC1}"/>
            </c:ext>
          </c:extLst>
        </c:ser>
        <c:ser>
          <c:idx val="2"/>
          <c:order val="2"/>
          <c:tx>
            <c:strRef>
              <c:f>'SAD,Kina,Rusija, realni rast'!$A$36</c:f>
              <c:strCache>
                <c:ptCount val="1"/>
                <c:pt idx="0">
                  <c:v>апр. 2025.</c:v>
                </c:pt>
              </c:strCache>
            </c:strRef>
          </c:tx>
          <c:spPr>
            <a:ln w="28575" cap="rnd">
              <a:solidFill>
                <a:srgbClr val="FF0000"/>
              </a:solidFill>
              <a:round/>
            </a:ln>
            <a:effectLst/>
          </c:spPr>
          <c:marker>
            <c:symbol val="none"/>
          </c:marker>
          <c:dLbls>
            <c:dLbl>
              <c:idx val="0"/>
              <c:tx>
                <c:rich>
                  <a:bodyPr/>
                  <a:lstStyle/>
                  <a:p>
                    <a:fld id="{7A763104-C9FC-4036-BE7D-A3D8C791F5BE}"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94F1-4245-BC3E-CEA4997D1CC1}"/>
                </c:ext>
              </c:extLst>
            </c:dLbl>
            <c:dLbl>
              <c:idx val="1"/>
              <c:tx>
                <c:rich>
                  <a:bodyPr/>
                  <a:lstStyle/>
                  <a:p>
                    <a:fld id="{5B471D56-7C8D-4C39-BA6A-1902CF213971}"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94F1-4245-BC3E-CEA4997D1CC1}"/>
                </c:ext>
              </c:extLst>
            </c:dLbl>
            <c:dLbl>
              <c:idx val="2"/>
              <c:tx>
                <c:rich>
                  <a:bodyPr/>
                  <a:lstStyle/>
                  <a:p>
                    <a:fld id="{478181A0-A492-41A8-9E8B-1B7E3A15ACCF}" type="VALUE">
                      <a:rPr lang="en-US" sz="700">
                        <a:solidFill>
                          <a:schemeClr val="bg1"/>
                        </a:solidFill>
                      </a:rPr>
                      <a:pPr/>
                      <a:t>[VALUE]</a:t>
                    </a:fld>
                    <a:endParaRPr lang="sr-Cyrl-R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94F1-4245-BC3E-CEA4997D1CC1}"/>
                </c:ext>
              </c:extLst>
            </c:dLbl>
            <c:spPr>
              <a:solidFill>
                <a:srgbClr val="FF0000"/>
              </a:solidFill>
              <a:ln>
                <a:solidFill>
                  <a:srgbClr val="FF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flowChartConnector">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numRef>
              <c:f>'SAD,Kina,Rusija, realni rast'!$E$33:$I$33</c:f>
              <c:numCache>
                <c:formatCode>General</c:formatCode>
                <c:ptCount val="3"/>
                <c:pt idx="0">
                  <c:v>2024</c:v>
                </c:pt>
                <c:pt idx="1">
                  <c:v>2025</c:v>
                </c:pt>
                <c:pt idx="2">
                  <c:v>2026</c:v>
                </c:pt>
              </c:numCache>
            </c:numRef>
          </c:cat>
          <c:val>
            <c:numRef>
              <c:f>'SAD,Kina,Rusija, realni rast'!$E$36:$I$36</c:f>
              <c:numCache>
                <c:formatCode>0.0</c:formatCode>
                <c:ptCount val="3"/>
                <c:pt idx="0">
                  <c:v>4.0999999999999996</c:v>
                </c:pt>
                <c:pt idx="1">
                  <c:v>1.5</c:v>
                </c:pt>
                <c:pt idx="2">
                  <c:v>0.9</c:v>
                </c:pt>
              </c:numCache>
            </c:numRef>
          </c:val>
          <c:smooth val="0"/>
          <c:extLst>
            <c:ext xmlns:c16="http://schemas.microsoft.com/office/drawing/2014/chart" uri="{C3380CC4-5D6E-409C-BE32-E72D297353CC}">
              <c16:uniqueId val="{0000000B-94F1-4245-BC3E-CEA4997D1CC1}"/>
            </c:ext>
          </c:extLst>
        </c:ser>
        <c:dLbls>
          <c:showLegendKey val="0"/>
          <c:showVal val="0"/>
          <c:showCatName val="0"/>
          <c:showSerName val="0"/>
          <c:showPercent val="0"/>
          <c:showBubbleSize val="0"/>
        </c:dLbls>
        <c:smooth val="0"/>
        <c:axId val="852001664"/>
        <c:axId val="852012064"/>
      </c:lineChart>
      <c:catAx>
        <c:axId val="852001664"/>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12064"/>
        <c:crosses val="autoZero"/>
        <c:auto val="1"/>
        <c:lblAlgn val="ctr"/>
        <c:lblOffset val="100"/>
        <c:noMultiLvlLbl val="0"/>
      </c:catAx>
      <c:valAx>
        <c:axId val="8520120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2"/>
                </a:solidFill>
                <a:latin typeface="+mn-lt"/>
                <a:ea typeface="+mn-ea"/>
                <a:cs typeface="Times New Roman" panose="02020603050405020304" pitchFamily="18" charset="0"/>
              </a:defRPr>
            </a:pPr>
            <a:endParaRPr lang="en-US"/>
          </a:p>
        </c:txPr>
        <c:crossAx val="852001664"/>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652245513160466E-2"/>
          <c:y val="3.6405005688282137E-2"/>
          <c:w val="0.87942183148817821"/>
          <c:h val="0.72146846846846846"/>
        </c:manualLayout>
      </c:layout>
      <c:lineChart>
        <c:grouping val="standard"/>
        <c:varyColors val="0"/>
        <c:ser>
          <c:idx val="0"/>
          <c:order val="0"/>
          <c:tx>
            <c:strRef>
              <c:f>Commodities!$P$6</c:f>
              <c:strCache>
                <c:ptCount val="1"/>
                <c:pt idx="0">
                  <c:v>Сви производи</c:v>
                </c:pt>
              </c:strCache>
            </c:strRef>
          </c:tx>
          <c:spPr>
            <a:ln w="22225" cap="rnd">
              <a:solidFill>
                <a:srgbClr val="003891"/>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Commodities!$P$20:$P$139</c:f>
              <c:numCache>
                <c:formatCode>0.0</c:formatCode>
                <c:ptCount val="120"/>
                <c:pt idx="0">
                  <c:v>117.101</c:v>
                </c:pt>
                <c:pt idx="1">
                  <c:v>119.893</c:v>
                </c:pt>
                <c:pt idx="2">
                  <c:v>115.166</c:v>
                </c:pt>
                <c:pt idx="3">
                  <c:v>116.28400000000001</c:v>
                </c:pt>
                <c:pt idx="4">
                  <c:v>119.268</c:v>
                </c:pt>
                <c:pt idx="5">
                  <c:v>116.46</c:v>
                </c:pt>
                <c:pt idx="6">
                  <c:v>109.998</c:v>
                </c:pt>
                <c:pt idx="7">
                  <c:v>103.128</c:v>
                </c:pt>
                <c:pt idx="8">
                  <c:v>102.812</c:v>
                </c:pt>
                <c:pt idx="9">
                  <c:v>103.01900000000001</c:v>
                </c:pt>
                <c:pt idx="10">
                  <c:v>97.135000000000005</c:v>
                </c:pt>
                <c:pt idx="11">
                  <c:v>91.948999999999998</c:v>
                </c:pt>
                <c:pt idx="12">
                  <c:v>86.426000000000002</c:v>
                </c:pt>
                <c:pt idx="13">
                  <c:v>88.117999999999995</c:v>
                </c:pt>
                <c:pt idx="14">
                  <c:v>94.376999999999995</c:v>
                </c:pt>
                <c:pt idx="15">
                  <c:v>97.275000000000006</c:v>
                </c:pt>
                <c:pt idx="16">
                  <c:v>100.786</c:v>
                </c:pt>
                <c:pt idx="17">
                  <c:v>103.128</c:v>
                </c:pt>
                <c:pt idx="18">
                  <c:v>102.57599999999999</c:v>
                </c:pt>
                <c:pt idx="19">
                  <c:v>102.843</c:v>
                </c:pt>
                <c:pt idx="20">
                  <c:v>102.619</c:v>
                </c:pt>
                <c:pt idx="21">
                  <c:v>106.009</c:v>
                </c:pt>
                <c:pt idx="22">
                  <c:v>104.985</c:v>
                </c:pt>
                <c:pt idx="23">
                  <c:v>110.857</c:v>
                </c:pt>
                <c:pt idx="24">
                  <c:v>114.408</c:v>
                </c:pt>
                <c:pt idx="25">
                  <c:v>114.667</c:v>
                </c:pt>
                <c:pt idx="26">
                  <c:v>109.16800000000001</c:v>
                </c:pt>
                <c:pt idx="27">
                  <c:v>109.111</c:v>
                </c:pt>
                <c:pt idx="28">
                  <c:v>106.873</c:v>
                </c:pt>
                <c:pt idx="29">
                  <c:v>103.58799999999999</c:v>
                </c:pt>
                <c:pt idx="30">
                  <c:v>106.164</c:v>
                </c:pt>
                <c:pt idx="31">
                  <c:v>108.601</c:v>
                </c:pt>
                <c:pt idx="32">
                  <c:v>110.996</c:v>
                </c:pt>
                <c:pt idx="33">
                  <c:v>112.496</c:v>
                </c:pt>
                <c:pt idx="34">
                  <c:v>117.3</c:v>
                </c:pt>
                <c:pt idx="35">
                  <c:v>118.822</c:v>
                </c:pt>
                <c:pt idx="36">
                  <c:v>124.44499999999999</c:v>
                </c:pt>
                <c:pt idx="37">
                  <c:v>121.846</c:v>
                </c:pt>
                <c:pt idx="38">
                  <c:v>121.348</c:v>
                </c:pt>
                <c:pt idx="39">
                  <c:v>122.752</c:v>
                </c:pt>
                <c:pt idx="40">
                  <c:v>126.78</c:v>
                </c:pt>
                <c:pt idx="41">
                  <c:v>125.444</c:v>
                </c:pt>
                <c:pt idx="42">
                  <c:v>123.71599999999999</c:v>
                </c:pt>
                <c:pt idx="43">
                  <c:v>121.419</c:v>
                </c:pt>
                <c:pt idx="44">
                  <c:v>125.291</c:v>
                </c:pt>
                <c:pt idx="45">
                  <c:v>126.11199999999999</c:v>
                </c:pt>
                <c:pt idx="46">
                  <c:v>115.71</c:v>
                </c:pt>
                <c:pt idx="47">
                  <c:v>110.77200000000001</c:v>
                </c:pt>
                <c:pt idx="48">
                  <c:v>111.629</c:v>
                </c:pt>
                <c:pt idx="49">
                  <c:v>112.798</c:v>
                </c:pt>
                <c:pt idx="50">
                  <c:v>112.751</c:v>
                </c:pt>
                <c:pt idx="51">
                  <c:v>115.366</c:v>
                </c:pt>
                <c:pt idx="52">
                  <c:v>112.17700000000001</c:v>
                </c:pt>
                <c:pt idx="53">
                  <c:v>107.68</c:v>
                </c:pt>
                <c:pt idx="54">
                  <c:v>109.848</c:v>
                </c:pt>
                <c:pt idx="55">
                  <c:v>104.86</c:v>
                </c:pt>
                <c:pt idx="56">
                  <c:v>106.679</c:v>
                </c:pt>
                <c:pt idx="57">
                  <c:v>105.111</c:v>
                </c:pt>
                <c:pt idx="58">
                  <c:v>108.691</c:v>
                </c:pt>
                <c:pt idx="59">
                  <c:v>111.473</c:v>
                </c:pt>
                <c:pt idx="60">
                  <c:v>110.589</c:v>
                </c:pt>
                <c:pt idx="61">
                  <c:v>102.235</c:v>
                </c:pt>
                <c:pt idx="62">
                  <c:v>86.674000000000007</c:v>
                </c:pt>
                <c:pt idx="63">
                  <c:v>79.652000000000001</c:v>
                </c:pt>
                <c:pt idx="64">
                  <c:v>85.894999999999996</c:v>
                </c:pt>
                <c:pt idx="65">
                  <c:v>93.042000000000002</c:v>
                </c:pt>
                <c:pt idx="66">
                  <c:v>95.349000000000004</c:v>
                </c:pt>
                <c:pt idx="67">
                  <c:v>100.401</c:v>
                </c:pt>
                <c:pt idx="68">
                  <c:v>99.936999999999998</c:v>
                </c:pt>
                <c:pt idx="69">
                  <c:v>102.586</c:v>
                </c:pt>
                <c:pt idx="70">
                  <c:v>106.32599999999999</c:v>
                </c:pt>
                <c:pt idx="71">
                  <c:v>115.464</c:v>
                </c:pt>
                <c:pt idx="72">
                  <c:v>125.72</c:v>
                </c:pt>
                <c:pt idx="73">
                  <c:v>125.967</c:v>
                </c:pt>
                <c:pt idx="74">
                  <c:v>127.824</c:v>
                </c:pt>
                <c:pt idx="75">
                  <c:v>130.59200000000001</c:v>
                </c:pt>
                <c:pt idx="76">
                  <c:v>138.43100000000001</c:v>
                </c:pt>
                <c:pt idx="77">
                  <c:v>142.078</c:v>
                </c:pt>
                <c:pt idx="78">
                  <c:v>144.97200000000001</c:v>
                </c:pt>
                <c:pt idx="79">
                  <c:v>143.227</c:v>
                </c:pt>
                <c:pt idx="80">
                  <c:v>150.185</c:v>
                </c:pt>
                <c:pt idx="81">
                  <c:v>166.25</c:v>
                </c:pt>
                <c:pt idx="82">
                  <c:v>158.16900000000001</c:v>
                </c:pt>
                <c:pt idx="83">
                  <c:v>160.78800000000001</c:v>
                </c:pt>
                <c:pt idx="84">
                  <c:v>164.19300000000001</c:v>
                </c:pt>
                <c:pt idx="85">
                  <c:v>172.233</c:v>
                </c:pt>
                <c:pt idx="86">
                  <c:v>200.328</c:v>
                </c:pt>
                <c:pt idx="87">
                  <c:v>189.584</c:v>
                </c:pt>
                <c:pt idx="88">
                  <c:v>185.93299999999999</c:v>
                </c:pt>
                <c:pt idx="89">
                  <c:v>187.68100000000001</c:v>
                </c:pt>
                <c:pt idx="90">
                  <c:v>185.95500000000001</c:v>
                </c:pt>
                <c:pt idx="91">
                  <c:v>196.13300000000001</c:v>
                </c:pt>
                <c:pt idx="92">
                  <c:v>177.995</c:v>
                </c:pt>
                <c:pt idx="93">
                  <c:v>154.19</c:v>
                </c:pt>
                <c:pt idx="94">
                  <c:v>154.923</c:v>
                </c:pt>
                <c:pt idx="95">
                  <c:v>157.23400000000001</c:v>
                </c:pt>
                <c:pt idx="96">
                  <c:v>146.58600000000001</c:v>
                </c:pt>
                <c:pt idx="97">
                  <c:v>139.327</c:v>
                </c:pt>
                <c:pt idx="98">
                  <c:v>133.887</c:v>
                </c:pt>
                <c:pt idx="99">
                  <c:v>135.16300000000001</c:v>
                </c:pt>
                <c:pt idx="100">
                  <c:v>124.062</c:v>
                </c:pt>
                <c:pt idx="101">
                  <c:v>121.251</c:v>
                </c:pt>
                <c:pt idx="102">
                  <c:v>124.036</c:v>
                </c:pt>
                <c:pt idx="103">
                  <c:v>126.127</c:v>
                </c:pt>
                <c:pt idx="104">
                  <c:v>131.53700000000001</c:v>
                </c:pt>
                <c:pt idx="105">
                  <c:v>131.04300000000001</c:v>
                </c:pt>
                <c:pt idx="106">
                  <c:v>129.13999999999999</c:v>
                </c:pt>
                <c:pt idx="107">
                  <c:v>124.88500000000001</c:v>
                </c:pt>
                <c:pt idx="108">
                  <c:v>124.03400000000001</c:v>
                </c:pt>
                <c:pt idx="109">
                  <c:v>122.745</c:v>
                </c:pt>
                <c:pt idx="110">
                  <c:v>125.371</c:v>
                </c:pt>
                <c:pt idx="111">
                  <c:v>130.49199999999999</c:v>
                </c:pt>
                <c:pt idx="112">
                  <c:v>128.971</c:v>
                </c:pt>
                <c:pt idx="113">
                  <c:v>127.434</c:v>
                </c:pt>
                <c:pt idx="114">
                  <c:v>126.828</c:v>
                </c:pt>
                <c:pt idx="115">
                  <c:v>125.22799999999999</c:v>
                </c:pt>
                <c:pt idx="116">
                  <c:v>122.956</c:v>
                </c:pt>
                <c:pt idx="117">
                  <c:v>126.66200000000001</c:v>
                </c:pt>
                <c:pt idx="118">
                  <c:v>126.498</c:v>
                </c:pt>
                <c:pt idx="119">
                  <c:v>126.77800000000001</c:v>
                </c:pt>
              </c:numCache>
            </c:numRef>
          </c:val>
          <c:smooth val="0"/>
          <c:extLst>
            <c:ext xmlns:c16="http://schemas.microsoft.com/office/drawing/2014/chart" uri="{C3380CC4-5D6E-409C-BE32-E72D297353CC}">
              <c16:uniqueId val="{00000000-70AD-412F-9C08-61E11CCF2A36}"/>
            </c:ext>
          </c:extLst>
        </c:ser>
        <c:ser>
          <c:idx val="1"/>
          <c:order val="1"/>
          <c:tx>
            <c:strRef>
              <c:f>Commodities!$Q$6</c:f>
              <c:strCache>
                <c:ptCount val="1"/>
                <c:pt idx="0">
                  <c:v>Основни метали</c:v>
                </c:pt>
              </c:strCache>
            </c:strRef>
          </c:tx>
          <c:spPr>
            <a:ln w="22225" cap="rnd">
              <a:solidFill>
                <a:srgbClr val="EC008C"/>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Commodities!$Q$20:$Q$139</c:f>
              <c:numCache>
                <c:formatCode>0.0</c:formatCode>
                <c:ptCount val="120"/>
                <c:pt idx="0">
                  <c:v>123.56</c:v>
                </c:pt>
                <c:pt idx="1">
                  <c:v>118.464</c:v>
                </c:pt>
                <c:pt idx="2">
                  <c:v>115.14100000000001</c:v>
                </c:pt>
                <c:pt idx="3">
                  <c:v>112.718</c:v>
                </c:pt>
                <c:pt idx="4">
                  <c:v>118.148</c:v>
                </c:pt>
                <c:pt idx="5">
                  <c:v>112.65300000000001</c:v>
                </c:pt>
                <c:pt idx="6">
                  <c:v>102.738</c:v>
                </c:pt>
                <c:pt idx="7">
                  <c:v>101.44799999999999</c:v>
                </c:pt>
                <c:pt idx="8">
                  <c:v>101.696</c:v>
                </c:pt>
                <c:pt idx="9">
                  <c:v>99.009</c:v>
                </c:pt>
                <c:pt idx="10">
                  <c:v>91.266000000000005</c:v>
                </c:pt>
                <c:pt idx="11">
                  <c:v>87.314999999999998</c:v>
                </c:pt>
                <c:pt idx="12">
                  <c:v>86.406000000000006</c:v>
                </c:pt>
                <c:pt idx="13">
                  <c:v>90.448999999999998</c:v>
                </c:pt>
                <c:pt idx="14">
                  <c:v>97.722999999999999</c:v>
                </c:pt>
                <c:pt idx="15">
                  <c:v>99.415999999999997</c:v>
                </c:pt>
                <c:pt idx="16">
                  <c:v>95.78</c:v>
                </c:pt>
                <c:pt idx="17">
                  <c:v>94.653999999999996</c:v>
                </c:pt>
                <c:pt idx="18">
                  <c:v>100.22199999999999</c:v>
                </c:pt>
                <c:pt idx="19">
                  <c:v>101.925</c:v>
                </c:pt>
                <c:pt idx="20">
                  <c:v>99.459000000000003</c:v>
                </c:pt>
                <c:pt idx="21">
                  <c:v>100.45</c:v>
                </c:pt>
                <c:pt idx="22">
                  <c:v>114.64</c:v>
                </c:pt>
                <c:pt idx="23">
                  <c:v>118.876</c:v>
                </c:pt>
                <c:pt idx="24">
                  <c:v>120.002</c:v>
                </c:pt>
                <c:pt idx="25">
                  <c:v>126.874</c:v>
                </c:pt>
                <c:pt idx="26">
                  <c:v>125.285</c:v>
                </c:pt>
                <c:pt idx="27">
                  <c:v>114.779</c:v>
                </c:pt>
                <c:pt idx="28">
                  <c:v>109.553</c:v>
                </c:pt>
                <c:pt idx="29">
                  <c:v>107.684</c:v>
                </c:pt>
                <c:pt idx="30">
                  <c:v>114.946</c:v>
                </c:pt>
                <c:pt idx="31">
                  <c:v>124.214</c:v>
                </c:pt>
                <c:pt idx="32">
                  <c:v>122.672</c:v>
                </c:pt>
                <c:pt idx="33">
                  <c:v>120.93</c:v>
                </c:pt>
                <c:pt idx="34">
                  <c:v>122.426</c:v>
                </c:pt>
                <c:pt idx="35">
                  <c:v>126.83799999999999</c:v>
                </c:pt>
                <c:pt idx="36">
                  <c:v>132.333</c:v>
                </c:pt>
                <c:pt idx="37">
                  <c:v>132.70699999999999</c:v>
                </c:pt>
                <c:pt idx="38">
                  <c:v>127.45</c:v>
                </c:pt>
                <c:pt idx="39">
                  <c:v>128.31200000000001</c:v>
                </c:pt>
                <c:pt idx="40">
                  <c:v>128.21700000000001</c:v>
                </c:pt>
                <c:pt idx="41">
                  <c:v>128.93299999999999</c:v>
                </c:pt>
                <c:pt idx="42">
                  <c:v>120.91500000000001</c:v>
                </c:pt>
                <c:pt idx="43">
                  <c:v>119.125</c:v>
                </c:pt>
                <c:pt idx="44">
                  <c:v>118.44</c:v>
                </c:pt>
                <c:pt idx="45">
                  <c:v>121.232</c:v>
                </c:pt>
                <c:pt idx="46">
                  <c:v>119.928</c:v>
                </c:pt>
                <c:pt idx="47">
                  <c:v>117.637</c:v>
                </c:pt>
                <c:pt idx="48">
                  <c:v>119.158</c:v>
                </c:pt>
                <c:pt idx="49">
                  <c:v>127.883</c:v>
                </c:pt>
                <c:pt idx="50">
                  <c:v>128.72300000000001</c:v>
                </c:pt>
                <c:pt idx="51">
                  <c:v>131.40600000000001</c:v>
                </c:pt>
                <c:pt idx="52">
                  <c:v>130.309</c:v>
                </c:pt>
                <c:pt idx="53">
                  <c:v>132.56700000000001</c:v>
                </c:pt>
                <c:pt idx="54">
                  <c:v>138.316</c:v>
                </c:pt>
                <c:pt idx="55">
                  <c:v>124.70699999999999</c:v>
                </c:pt>
                <c:pt idx="56">
                  <c:v>126.023</c:v>
                </c:pt>
                <c:pt idx="57">
                  <c:v>123.657</c:v>
                </c:pt>
                <c:pt idx="58">
                  <c:v>119.767</c:v>
                </c:pt>
                <c:pt idx="59">
                  <c:v>122.48399999999999</c:v>
                </c:pt>
                <c:pt idx="60">
                  <c:v>123.807</c:v>
                </c:pt>
                <c:pt idx="61">
                  <c:v>116.724</c:v>
                </c:pt>
                <c:pt idx="62">
                  <c:v>113.041</c:v>
                </c:pt>
                <c:pt idx="63">
                  <c:v>108.678</c:v>
                </c:pt>
                <c:pt idx="64">
                  <c:v>113.512</c:v>
                </c:pt>
                <c:pt idx="65">
                  <c:v>123.206</c:v>
                </c:pt>
                <c:pt idx="66">
                  <c:v>129.70500000000001</c:v>
                </c:pt>
                <c:pt idx="67">
                  <c:v>137.708</c:v>
                </c:pt>
                <c:pt idx="68">
                  <c:v>140.232</c:v>
                </c:pt>
                <c:pt idx="69">
                  <c:v>139.232</c:v>
                </c:pt>
                <c:pt idx="70">
                  <c:v>145.92699999999999</c:v>
                </c:pt>
                <c:pt idx="71">
                  <c:v>165.99100000000001</c:v>
                </c:pt>
                <c:pt idx="72">
                  <c:v>173.97800000000001</c:v>
                </c:pt>
                <c:pt idx="73">
                  <c:v>175.874</c:v>
                </c:pt>
                <c:pt idx="74">
                  <c:v>180.03399999999999</c:v>
                </c:pt>
                <c:pt idx="75">
                  <c:v>187.12100000000001</c:v>
                </c:pt>
                <c:pt idx="76">
                  <c:v>204.316</c:v>
                </c:pt>
                <c:pt idx="77">
                  <c:v>209.785</c:v>
                </c:pt>
                <c:pt idx="78">
                  <c:v>210.006</c:v>
                </c:pt>
                <c:pt idx="79">
                  <c:v>186.27500000000001</c:v>
                </c:pt>
                <c:pt idx="80">
                  <c:v>167.559</c:v>
                </c:pt>
                <c:pt idx="81">
                  <c:v>170.55799999999999</c:v>
                </c:pt>
                <c:pt idx="82">
                  <c:v>155.542</c:v>
                </c:pt>
                <c:pt idx="83">
                  <c:v>164.131</c:v>
                </c:pt>
                <c:pt idx="84">
                  <c:v>178.398</c:v>
                </c:pt>
                <c:pt idx="85">
                  <c:v>183.34299999999999</c:v>
                </c:pt>
                <c:pt idx="86">
                  <c:v>194.94399999999999</c:v>
                </c:pt>
                <c:pt idx="87">
                  <c:v>192.20699999999999</c:v>
                </c:pt>
                <c:pt idx="88">
                  <c:v>170.93100000000001</c:v>
                </c:pt>
                <c:pt idx="89">
                  <c:v>162.27500000000001</c:v>
                </c:pt>
                <c:pt idx="90">
                  <c:v>139.768</c:v>
                </c:pt>
                <c:pt idx="91">
                  <c:v>141.65899999999999</c:v>
                </c:pt>
                <c:pt idx="92">
                  <c:v>134.17699999999999</c:v>
                </c:pt>
                <c:pt idx="93">
                  <c:v>130.209</c:v>
                </c:pt>
                <c:pt idx="94">
                  <c:v>136.303</c:v>
                </c:pt>
                <c:pt idx="95">
                  <c:v>149.09899999999999</c:v>
                </c:pt>
                <c:pt idx="96">
                  <c:v>159.566</c:v>
                </c:pt>
                <c:pt idx="97">
                  <c:v>166.88900000000001</c:v>
                </c:pt>
                <c:pt idx="98">
                  <c:v>161.94499999999999</c:v>
                </c:pt>
                <c:pt idx="99">
                  <c:v>154.75700000000001</c:v>
                </c:pt>
                <c:pt idx="100">
                  <c:v>140.67400000000001</c:v>
                </c:pt>
                <c:pt idx="101">
                  <c:v>140.84399999999999</c:v>
                </c:pt>
                <c:pt idx="102">
                  <c:v>141.28899999999999</c:v>
                </c:pt>
                <c:pt idx="103">
                  <c:v>137.80699999999999</c:v>
                </c:pt>
                <c:pt idx="104">
                  <c:v>142.54599999999999</c:v>
                </c:pt>
                <c:pt idx="105">
                  <c:v>140.614</c:v>
                </c:pt>
                <c:pt idx="106">
                  <c:v>147.262</c:v>
                </c:pt>
                <c:pt idx="107">
                  <c:v>149.535</c:v>
                </c:pt>
                <c:pt idx="108">
                  <c:v>147.78800000000001</c:v>
                </c:pt>
                <c:pt idx="109">
                  <c:v>142.80500000000001</c:v>
                </c:pt>
                <c:pt idx="110">
                  <c:v>137.827</c:v>
                </c:pt>
                <c:pt idx="111">
                  <c:v>144.84700000000001</c:v>
                </c:pt>
                <c:pt idx="112">
                  <c:v>152.583</c:v>
                </c:pt>
                <c:pt idx="113">
                  <c:v>143.535</c:v>
                </c:pt>
                <c:pt idx="114">
                  <c:v>140.02500000000001</c:v>
                </c:pt>
                <c:pt idx="115">
                  <c:v>134.88499999999999</c:v>
                </c:pt>
                <c:pt idx="116">
                  <c:v>134.97300000000001</c:v>
                </c:pt>
                <c:pt idx="117">
                  <c:v>142.21100000000001</c:v>
                </c:pt>
                <c:pt idx="118">
                  <c:v>138.94900000000001</c:v>
                </c:pt>
                <c:pt idx="119">
                  <c:v>138.52199999999999</c:v>
                </c:pt>
              </c:numCache>
            </c:numRef>
          </c:val>
          <c:smooth val="0"/>
          <c:extLst>
            <c:ext xmlns:c16="http://schemas.microsoft.com/office/drawing/2014/chart" uri="{C3380CC4-5D6E-409C-BE32-E72D297353CC}">
              <c16:uniqueId val="{00000001-70AD-412F-9C08-61E11CCF2A36}"/>
            </c:ext>
          </c:extLst>
        </c:ser>
        <c:ser>
          <c:idx val="2"/>
          <c:order val="2"/>
          <c:tx>
            <c:strRef>
              <c:f>Commodities!$R$6</c:f>
              <c:strCache>
                <c:ptCount val="1"/>
                <c:pt idx="0">
                  <c:v>Храна</c:v>
                </c:pt>
              </c:strCache>
            </c:strRef>
          </c:tx>
          <c:spPr>
            <a:ln w="22225" cap="rnd">
              <a:solidFill>
                <a:srgbClr val="7F3F98"/>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Commodities!$R$20:$R$139</c:f>
              <c:numCache>
                <c:formatCode>0.0</c:formatCode>
                <c:ptCount val="120"/>
                <c:pt idx="0">
                  <c:v>107.374</c:v>
                </c:pt>
                <c:pt idx="1">
                  <c:v>103.83499999999999</c:v>
                </c:pt>
                <c:pt idx="2">
                  <c:v>100.601</c:v>
                </c:pt>
                <c:pt idx="3">
                  <c:v>102.355</c:v>
                </c:pt>
                <c:pt idx="4">
                  <c:v>101.717</c:v>
                </c:pt>
                <c:pt idx="5">
                  <c:v>100.895</c:v>
                </c:pt>
                <c:pt idx="6">
                  <c:v>100.741</c:v>
                </c:pt>
                <c:pt idx="7">
                  <c:v>97.793000000000006</c:v>
                </c:pt>
                <c:pt idx="8">
                  <c:v>97.141999999999996</c:v>
                </c:pt>
                <c:pt idx="9">
                  <c:v>97.724000000000004</c:v>
                </c:pt>
                <c:pt idx="10">
                  <c:v>93.831999999999994</c:v>
                </c:pt>
                <c:pt idx="11">
                  <c:v>93.728999999999999</c:v>
                </c:pt>
                <c:pt idx="12">
                  <c:v>93.54</c:v>
                </c:pt>
                <c:pt idx="13">
                  <c:v>94.789000000000001</c:v>
                </c:pt>
                <c:pt idx="14">
                  <c:v>97.864999999999995</c:v>
                </c:pt>
                <c:pt idx="15">
                  <c:v>100.399</c:v>
                </c:pt>
                <c:pt idx="16">
                  <c:v>101.36499999999999</c:v>
                </c:pt>
                <c:pt idx="17">
                  <c:v>103.16200000000001</c:v>
                </c:pt>
                <c:pt idx="18">
                  <c:v>103.633</c:v>
                </c:pt>
                <c:pt idx="19">
                  <c:v>101.786</c:v>
                </c:pt>
                <c:pt idx="20">
                  <c:v>101.126</c:v>
                </c:pt>
                <c:pt idx="21">
                  <c:v>99.944000000000003</c:v>
                </c:pt>
                <c:pt idx="22">
                  <c:v>100.649</c:v>
                </c:pt>
                <c:pt idx="23">
                  <c:v>101.741</c:v>
                </c:pt>
                <c:pt idx="24">
                  <c:v>105.313</c:v>
                </c:pt>
                <c:pt idx="25">
                  <c:v>105.462</c:v>
                </c:pt>
                <c:pt idx="26">
                  <c:v>101.84399999999999</c:v>
                </c:pt>
                <c:pt idx="27">
                  <c:v>100.92400000000001</c:v>
                </c:pt>
                <c:pt idx="28">
                  <c:v>103.205</c:v>
                </c:pt>
                <c:pt idx="29">
                  <c:v>102.42400000000001</c:v>
                </c:pt>
                <c:pt idx="30">
                  <c:v>104.79600000000001</c:v>
                </c:pt>
                <c:pt idx="31">
                  <c:v>99.807000000000002</c:v>
                </c:pt>
                <c:pt idx="32">
                  <c:v>98.082999999999998</c:v>
                </c:pt>
                <c:pt idx="33">
                  <c:v>98.927000000000007</c:v>
                </c:pt>
                <c:pt idx="34">
                  <c:v>99.546000000000006</c:v>
                </c:pt>
                <c:pt idx="35">
                  <c:v>99.596000000000004</c:v>
                </c:pt>
                <c:pt idx="36">
                  <c:v>102.48</c:v>
                </c:pt>
                <c:pt idx="37">
                  <c:v>102.09099999999999</c:v>
                </c:pt>
                <c:pt idx="38">
                  <c:v>102.834</c:v>
                </c:pt>
                <c:pt idx="39">
                  <c:v>102.248</c:v>
                </c:pt>
                <c:pt idx="40">
                  <c:v>103.393</c:v>
                </c:pt>
                <c:pt idx="41">
                  <c:v>99.149000000000001</c:v>
                </c:pt>
                <c:pt idx="42">
                  <c:v>96.522999999999996</c:v>
                </c:pt>
                <c:pt idx="43">
                  <c:v>92.691000000000003</c:v>
                </c:pt>
                <c:pt idx="44">
                  <c:v>93.786000000000001</c:v>
                </c:pt>
                <c:pt idx="45">
                  <c:v>95.323999999999998</c:v>
                </c:pt>
                <c:pt idx="46">
                  <c:v>91.296000000000006</c:v>
                </c:pt>
                <c:pt idx="47">
                  <c:v>94.296999999999997</c:v>
                </c:pt>
                <c:pt idx="48">
                  <c:v>95.811999999999998</c:v>
                </c:pt>
                <c:pt idx="49">
                  <c:v>93.799000000000007</c:v>
                </c:pt>
                <c:pt idx="50">
                  <c:v>92.603999999999999</c:v>
                </c:pt>
                <c:pt idx="51">
                  <c:v>95.409000000000006</c:v>
                </c:pt>
                <c:pt idx="52">
                  <c:v>91.948999999999998</c:v>
                </c:pt>
                <c:pt idx="53">
                  <c:v>93.915999999999997</c:v>
                </c:pt>
                <c:pt idx="54">
                  <c:v>93.814999999999998</c:v>
                </c:pt>
                <c:pt idx="55">
                  <c:v>91.938000000000002</c:v>
                </c:pt>
                <c:pt idx="56">
                  <c:v>89.796000000000006</c:v>
                </c:pt>
                <c:pt idx="57">
                  <c:v>89.903999999999996</c:v>
                </c:pt>
                <c:pt idx="58">
                  <c:v>93.587999999999994</c:v>
                </c:pt>
                <c:pt idx="59">
                  <c:v>97.168000000000006</c:v>
                </c:pt>
                <c:pt idx="60">
                  <c:v>98.08</c:v>
                </c:pt>
                <c:pt idx="61">
                  <c:v>93.83</c:v>
                </c:pt>
                <c:pt idx="62">
                  <c:v>90.397000000000006</c:v>
                </c:pt>
                <c:pt idx="63">
                  <c:v>87.010999999999996</c:v>
                </c:pt>
                <c:pt idx="64">
                  <c:v>90.364000000000004</c:v>
                </c:pt>
                <c:pt idx="65">
                  <c:v>92.935000000000002</c:v>
                </c:pt>
                <c:pt idx="66">
                  <c:v>90.456999999999994</c:v>
                </c:pt>
                <c:pt idx="67">
                  <c:v>91.084999999999994</c:v>
                </c:pt>
                <c:pt idx="68">
                  <c:v>92.207999999999998</c:v>
                </c:pt>
                <c:pt idx="69">
                  <c:v>97.042000000000002</c:v>
                </c:pt>
                <c:pt idx="70">
                  <c:v>100.33</c:v>
                </c:pt>
                <c:pt idx="71">
                  <c:v>101.292</c:v>
                </c:pt>
                <c:pt idx="72">
                  <c:v>107.30200000000001</c:v>
                </c:pt>
                <c:pt idx="73">
                  <c:v>109.3</c:v>
                </c:pt>
                <c:pt idx="74">
                  <c:v>110.992</c:v>
                </c:pt>
                <c:pt idx="75">
                  <c:v>116.929</c:v>
                </c:pt>
                <c:pt idx="76">
                  <c:v>121.59699999999999</c:v>
                </c:pt>
                <c:pt idx="77">
                  <c:v>113.89400000000001</c:v>
                </c:pt>
                <c:pt idx="78">
                  <c:v>113.82299999999999</c:v>
                </c:pt>
                <c:pt idx="79">
                  <c:v>115.735</c:v>
                </c:pt>
                <c:pt idx="80">
                  <c:v>111.999</c:v>
                </c:pt>
                <c:pt idx="81">
                  <c:v>112.386</c:v>
                </c:pt>
                <c:pt idx="82">
                  <c:v>113.636</c:v>
                </c:pt>
                <c:pt idx="83">
                  <c:v>116.535</c:v>
                </c:pt>
                <c:pt idx="84">
                  <c:v>121.11199999999999</c:v>
                </c:pt>
                <c:pt idx="85">
                  <c:v>125.834</c:v>
                </c:pt>
                <c:pt idx="86">
                  <c:v>134.38200000000001</c:v>
                </c:pt>
                <c:pt idx="87">
                  <c:v>137.62200000000001</c:v>
                </c:pt>
                <c:pt idx="88">
                  <c:v>133.47499999999999</c:v>
                </c:pt>
                <c:pt idx="89">
                  <c:v>126.47199999999999</c:v>
                </c:pt>
                <c:pt idx="90">
                  <c:v>116.85299999999999</c:v>
                </c:pt>
                <c:pt idx="91">
                  <c:v>113.66800000000001</c:v>
                </c:pt>
                <c:pt idx="92">
                  <c:v>109.563</c:v>
                </c:pt>
                <c:pt idx="93">
                  <c:v>111.38800000000001</c:v>
                </c:pt>
                <c:pt idx="94">
                  <c:v>111.496</c:v>
                </c:pt>
                <c:pt idx="95">
                  <c:v>110.34</c:v>
                </c:pt>
                <c:pt idx="96">
                  <c:v>111.02800000000001</c:v>
                </c:pt>
                <c:pt idx="97">
                  <c:v>113.81</c:v>
                </c:pt>
                <c:pt idx="98">
                  <c:v>116.27800000000001</c:v>
                </c:pt>
                <c:pt idx="99">
                  <c:v>115.642</c:v>
                </c:pt>
                <c:pt idx="100">
                  <c:v>109.443</c:v>
                </c:pt>
                <c:pt idx="101">
                  <c:v>107.05800000000001</c:v>
                </c:pt>
                <c:pt idx="102">
                  <c:v>107.32599999999999</c:v>
                </c:pt>
                <c:pt idx="103">
                  <c:v>102.657</c:v>
                </c:pt>
                <c:pt idx="104">
                  <c:v>102.24299999999999</c:v>
                </c:pt>
                <c:pt idx="105">
                  <c:v>103.34099999999999</c:v>
                </c:pt>
                <c:pt idx="106">
                  <c:v>106.20399999999999</c:v>
                </c:pt>
                <c:pt idx="107">
                  <c:v>104.786</c:v>
                </c:pt>
                <c:pt idx="108">
                  <c:v>105.504</c:v>
                </c:pt>
                <c:pt idx="109">
                  <c:v>103.952</c:v>
                </c:pt>
                <c:pt idx="110">
                  <c:v>104.274</c:v>
                </c:pt>
                <c:pt idx="111">
                  <c:v>105.545</c:v>
                </c:pt>
                <c:pt idx="112">
                  <c:v>105.35299999999999</c:v>
                </c:pt>
                <c:pt idx="113">
                  <c:v>99.53</c:v>
                </c:pt>
                <c:pt idx="114">
                  <c:v>98.307000000000002</c:v>
                </c:pt>
                <c:pt idx="115">
                  <c:v>97.885999999999996</c:v>
                </c:pt>
                <c:pt idx="116">
                  <c:v>99.521000000000001</c:v>
                </c:pt>
                <c:pt idx="117">
                  <c:v>100.91500000000001</c:v>
                </c:pt>
                <c:pt idx="118">
                  <c:v>101.435</c:v>
                </c:pt>
                <c:pt idx="119">
                  <c:v>100.57</c:v>
                </c:pt>
              </c:numCache>
            </c:numRef>
          </c:val>
          <c:smooth val="0"/>
          <c:extLst>
            <c:ext xmlns:c16="http://schemas.microsoft.com/office/drawing/2014/chart" uri="{C3380CC4-5D6E-409C-BE32-E72D297353CC}">
              <c16:uniqueId val="{00000002-70AD-412F-9C08-61E11CCF2A36}"/>
            </c:ext>
          </c:extLst>
        </c:ser>
        <c:ser>
          <c:idx val="4"/>
          <c:order val="3"/>
          <c:tx>
            <c:strRef>
              <c:f>Commodities!$S$6</c:f>
              <c:strCache>
                <c:ptCount val="1"/>
                <c:pt idx="0">
                  <c:v>Енергија</c:v>
                </c:pt>
              </c:strCache>
            </c:strRef>
          </c:tx>
          <c:spPr>
            <a:ln w="22225" cap="rnd">
              <a:solidFill>
                <a:srgbClr val="00A651"/>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Commodities!$S$20:$S$139</c:f>
              <c:numCache>
                <c:formatCode>0.0</c:formatCode>
                <c:ptCount val="120"/>
                <c:pt idx="0">
                  <c:v>125.429</c:v>
                </c:pt>
                <c:pt idx="1">
                  <c:v>136.76900000000001</c:v>
                </c:pt>
                <c:pt idx="2">
                  <c:v>130.52799999999999</c:v>
                </c:pt>
                <c:pt idx="3">
                  <c:v>132.518</c:v>
                </c:pt>
                <c:pt idx="4">
                  <c:v>138.87100000000001</c:v>
                </c:pt>
                <c:pt idx="5">
                  <c:v>135.03800000000001</c:v>
                </c:pt>
                <c:pt idx="6">
                  <c:v>123.738</c:v>
                </c:pt>
                <c:pt idx="7">
                  <c:v>110.093</c:v>
                </c:pt>
                <c:pt idx="8">
                  <c:v>110.06100000000001</c:v>
                </c:pt>
                <c:pt idx="9">
                  <c:v>109.983</c:v>
                </c:pt>
                <c:pt idx="10">
                  <c:v>102.49</c:v>
                </c:pt>
                <c:pt idx="11">
                  <c:v>91.671999999999997</c:v>
                </c:pt>
                <c:pt idx="12">
                  <c:v>78.712999999999994</c:v>
                </c:pt>
                <c:pt idx="13">
                  <c:v>78.804000000000002</c:v>
                </c:pt>
                <c:pt idx="14">
                  <c:v>88.429000000000002</c:v>
                </c:pt>
                <c:pt idx="15">
                  <c:v>92.909000000000006</c:v>
                </c:pt>
                <c:pt idx="16">
                  <c:v>101.474</c:v>
                </c:pt>
                <c:pt idx="17">
                  <c:v>106.333</c:v>
                </c:pt>
                <c:pt idx="18">
                  <c:v>101.59399999999999</c:v>
                </c:pt>
                <c:pt idx="19">
                  <c:v>103.1</c:v>
                </c:pt>
                <c:pt idx="20">
                  <c:v>104.104</c:v>
                </c:pt>
                <c:pt idx="21">
                  <c:v>114.53400000000001</c:v>
                </c:pt>
                <c:pt idx="22">
                  <c:v>107.929</c:v>
                </c:pt>
                <c:pt idx="23">
                  <c:v>122.078</c:v>
                </c:pt>
                <c:pt idx="24">
                  <c:v>126.44</c:v>
                </c:pt>
                <c:pt idx="25">
                  <c:v>123.86499999999999</c:v>
                </c:pt>
                <c:pt idx="26">
                  <c:v>114.065</c:v>
                </c:pt>
                <c:pt idx="27">
                  <c:v>117.12</c:v>
                </c:pt>
                <c:pt idx="28">
                  <c:v>112.345</c:v>
                </c:pt>
                <c:pt idx="29">
                  <c:v>105.81399999999999</c:v>
                </c:pt>
                <c:pt idx="30">
                  <c:v>109.19</c:v>
                </c:pt>
                <c:pt idx="31">
                  <c:v>115.078</c:v>
                </c:pt>
                <c:pt idx="32">
                  <c:v>122.208</c:v>
                </c:pt>
                <c:pt idx="33">
                  <c:v>126.523</c:v>
                </c:pt>
                <c:pt idx="34">
                  <c:v>137.077</c:v>
                </c:pt>
                <c:pt idx="35">
                  <c:v>139.95599999999999</c:v>
                </c:pt>
                <c:pt idx="36">
                  <c:v>148.089</c:v>
                </c:pt>
                <c:pt idx="37">
                  <c:v>142.02699999999999</c:v>
                </c:pt>
                <c:pt idx="38">
                  <c:v>141.76499999999999</c:v>
                </c:pt>
                <c:pt idx="39">
                  <c:v>145.49299999999999</c:v>
                </c:pt>
                <c:pt idx="40">
                  <c:v>155.52799999999999</c:v>
                </c:pt>
                <c:pt idx="41">
                  <c:v>155.54400000000001</c:v>
                </c:pt>
                <c:pt idx="42">
                  <c:v>156.77099999999999</c:v>
                </c:pt>
                <c:pt idx="43">
                  <c:v>155.441</c:v>
                </c:pt>
                <c:pt idx="44">
                  <c:v>164.24100000000001</c:v>
                </c:pt>
                <c:pt idx="45">
                  <c:v>163.649</c:v>
                </c:pt>
                <c:pt idx="46">
                  <c:v>141.09299999999999</c:v>
                </c:pt>
                <c:pt idx="47">
                  <c:v>126.869</c:v>
                </c:pt>
                <c:pt idx="48">
                  <c:v>126.765</c:v>
                </c:pt>
                <c:pt idx="49">
                  <c:v>128.465</c:v>
                </c:pt>
                <c:pt idx="50">
                  <c:v>129.584</c:v>
                </c:pt>
                <c:pt idx="51">
                  <c:v>134.113</c:v>
                </c:pt>
                <c:pt idx="52">
                  <c:v>129.12299999999999</c:v>
                </c:pt>
                <c:pt idx="53">
                  <c:v>114.48</c:v>
                </c:pt>
                <c:pt idx="54">
                  <c:v>117.712</c:v>
                </c:pt>
                <c:pt idx="55">
                  <c:v>109.672</c:v>
                </c:pt>
                <c:pt idx="56">
                  <c:v>114.54300000000001</c:v>
                </c:pt>
                <c:pt idx="57">
                  <c:v>111.818</c:v>
                </c:pt>
                <c:pt idx="58">
                  <c:v>119.194</c:v>
                </c:pt>
                <c:pt idx="59">
                  <c:v>122.54900000000001</c:v>
                </c:pt>
                <c:pt idx="60">
                  <c:v>117.455</c:v>
                </c:pt>
                <c:pt idx="61">
                  <c:v>101.485</c:v>
                </c:pt>
                <c:pt idx="62">
                  <c:v>67.929000000000002</c:v>
                </c:pt>
                <c:pt idx="63">
                  <c:v>52.363</c:v>
                </c:pt>
                <c:pt idx="64">
                  <c:v>63.716999999999999</c:v>
                </c:pt>
                <c:pt idx="65">
                  <c:v>76.775000000000006</c:v>
                </c:pt>
                <c:pt idx="66">
                  <c:v>80.114000000000004</c:v>
                </c:pt>
                <c:pt idx="67">
                  <c:v>86.156999999999996</c:v>
                </c:pt>
                <c:pt idx="68">
                  <c:v>84.256</c:v>
                </c:pt>
                <c:pt idx="69">
                  <c:v>88.007999999999996</c:v>
                </c:pt>
                <c:pt idx="70">
                  <c:v>93.132000000000005</c:v>
                </c:pt>
                <c:pt idx="71">
                  <c:v>109.273</c:v>
                </c:pt>
                <c:pt idx="72">
                  <c:v>127.13200000000001</c:v>
                </c:pt>
                <c:pt idx="73">
                  <c:v>125.726</c:v>
                </c:pt>
                <c:pt idx="74">
                  <c:v>128.89699999999999</c:v>
                </c:pt>
                <c:pt idx="75">
                  <c:v>128.797</c:v>
                </c:pt>
                <c:pt idx="76">
                  <c:v>137.91300000000001</c:v>
                </c:pt>
                <c:pt idx="77">
                  <c:v>151.08799999999999</c:v>
                </c:pt>
                <c:pt idx="78">
                  <c:v>159.56299999999999</c:v>
                </c:pt>
                <c:pt idx="79">
                  <c:v>161.39099999999999</c:v>
                </c:pt>
                <c:pt idx="80">
                  <c:v>186.41200000000001</c:v>
                </c:pt>
                <c:pt idx="81">
                  <c:v>222.72499999999999</c:v>
                </c:pt>
                <c:pt idx="82">
                  <c:v>203.68</c:v>
                </c:pt>
                <c:pt idx="83">
                  <c:v>206.767</c:v>
                </c:pt>
                <c:pt idx="84">
                  <c:v>206.226</c:v>
                </c:pt>
                <c:pt idx="85">
                  <c:v>220.167</c:v>
                </c:pt>
                <c:pt idx="86">
                  <c:v>277.2</c:v>
                </c:pt>
                <c:pt idx="87">
                  <c:v>249.697</c:v>
                </c:pt>
                <c:pt idx="88">
                  <c:v>252.02199999999999</c:v>
                </c:pt>
                <c:pt idx="89">
                  <c:v>265.99400000000003</c:v>
                </c:pt>
                <c:pt idx="90">
                  <c:v>278.74299999999999</c:v>
                </c:pt>
                <c:pt idx="91">
                  <c:v>305.28300000000002</c:v>
                </c:pt>
                <c:pt idx="92">
                  <c:v>267.18799999999999</c:v>
                </c:pt>
                <c:pt idx="93">
                  <c:v>209.453</c:v>
                </c:pt>
                <c:pt idx="94">
                  <c:v>207.245</c:v>
                </c:pt>
                <c:pt idx="95">
                  <c:v>209.21199999999999</c:v>
                </c:pt>
                <c:pt idx="96">
                  <c:v>179.267</c:v>
                </c:pt>
                <c:pt idx="97">
                  <c:v>161.06200000000001</c:v>
                </c:pt>
                <c:pt idx="98">
                  <c:v>148.04</c:v>
                </c:pt>
                <c:pt idx="99">
                  <c:v>152.31899999999999</c:v>
                </c:pt>
                <c:pt idx="100">
                  <c:v>133.65799999999999</c:v>
                </c:pt>
                <c:pt idx="101">
                  <c:v>130.548</c:v>
                </c:pt>
                <c:pt idx="102">
                  <c:v>137.49299999999999</c:v>
                </c:pt>
                <c:pt idx="103">
                  <c:v>147.25700000000001</c:v>
                </c:pt>
                <c:pt idx="104">
                  <c:v>159.637</c:v>
                </c:pt>
                <c:pt idx="105">
                  <c:v>158.40100000000001</c:v>
                </c:pt>
                <c:pt idx="106">
                  <c:v>148.48099999999999</c:v>
                </c:pt>
                <c:pt idx="107">
                  <c:v>137.18199999999999</c:v>
                </c:pt>
                <c:pt idx="108">
                  <c:v>135.255</c:v>
                </c:pt>
                <c:pt idx="109">
                  <c:v>134.089</c:v>
                </c:pt>
                <c:pt idx="110">
                  <c:v>138.291</c:v>
                </c:pt>
                <c:pt idx="111">
                  <c:v>144.43199999999999</c:v>
                </c:pt>
                <c:pt idx="112">
                  <c:v>139.869</c:v>
                </c:pt>
                <c:pt idx="113">
                  <c:v>142.24</c:v>
                </c:pt>
                <c:pt idx="114">
                  <c:v>141.99299999999999</c:v>
                </c:pt>
                <c:pt idx="115">
                  <c:v>138.65</c:v>
                </c:pt>
                <c:pt idx="116">
                  <c:v>129.84899999999999</c:v>
                </c:pt>
                <c:pt idx="117">
                  <c:v>134.70699999999999</c:v>
                </c:pt>
                <c:pt idx="118">
                  <c:v>135.023</c:v>
                </c:pt>
                <c:pt idx="119">
                  <c:v>135.041</c:v>
                </c:pt>
              </c:numCache>
            </c:numRef>
          </c:val>
          <c:smooth val="0"/>
          <c:extLst>
            <c:ext xmlns:c16="http://schemas.microsoft.com/office/drawing/2014/chart" uri="{C3380CC4-5D6E-409C-BE32-E72D297353CC}">
              <c16:uniqueId val="{00000003-70AD-412F-9C08-61E11CCF2A36}"/>
            </c:ext>
          </c:extLst>
        </c:ser>
        <c:ser>
          <c:idx val="6"/>
          <c:order val="4"/>
          <c:tx>
            <c:strRef>
              <c:f>Commodities!$T$6</c:f>
              <c:strCache>
                <c:ptCount val="1"/>
                <c:pt idx="0">
                  <c:v>Сви производи</c:v>
                </c:pt>
              </c:strCache>
            </c:strRef>
          </c:tx>
          <c:spPr>
            <a:ln w="22225" cap="rnd">
              <a:solidFill>
                <a:srgbClr val="003891"/>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Commodities!$T$20:$T$147</c:f>
              <c:numCache>
                <c:formatCode>General</c:formatCode>
                <c:ptCount val="128"/>
                <c:pt idx="119" formatCode="0.0">
                  <c:v>126.77800000000001</c:v>
                </c:pt>
                <c:pt idx="120" formatCode="0.0">
                  <c:v>128.65033333333332</c:v>
                </c:pt>
                <c:pt idx="121" formatCode="0.0">
                  <c:v>121.27500000000001</c:v>
                </c:pt>
                <c:pt idx="122" formatCode="0.0">
                  <c:v>120.57599999999999</c:v>
                </c:pt>
                <c:pt idx="123" formatCode="0.0">
                  <c:v>120.527</c:v>
                </c:pt>
                <c:pt idx="124" formatCode="0.0">
                  <c:v>120.86</c:v>
                </c:pt>
                <c:pt idx="125" formatCode="0.0">
                  <c:v>119.703</c:v>
                </c:pt>
                <c:pt idx="126" formatCode="0.0">
                  <c:v>119.087</c:v>
                </c:pt>
                <c:pt idx="127" formatCode="0.0">
                  <c:v>119.675</c:v>
                </c:pt>
              </c:numCache>
            </c:numRef>
          </c:val>
          <c:smooth val="0"/>
          <c:extLst>
            <c:ext xmlns:c16="http://schemas.microsoft.com/office/drawing/2014/chart" uri="{C3380CC4-5D6E-409C-BE32-E72D297353CC}">
              <c16:uniqueId val="{00000004-70AD-412F-9C08-61E11CCF2A36}"/>
            </c:ext>
          </c:extLst>
        </c:ser>
        <c:ser>
          <c:idx val="7"/>
          <c:order val="5"/>
          <c:tx>
            <c:strRef>
              <c:f>Commodities!$U$6</c:f>
              <c:strCache>
                <c:ptCount val="1"/>
                <c:pt idx="0">
                  <c:v>Основни метали</c:v>
                </c:pt>
              </c:strCache>
            </c:strRef>
          </c:tx>
          <c:spPr>
            <a:ln w="22225" cap="rnd">
              <a:solidFill>
                <a:srgbClr val="EC008C"/>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Commodities!$U$20:$U$147</c:f>
              <c:numCache>
                <c:formatCode>General</c:formatCode>
                <c:ptCount val="128"/>
                <c:pt idx="119" formatCode="0.0">
                  <c:v>138.52199999999999</c:v>
                </c:pt>
                <c:pt idx="120" formatCode="0.0">
                  <c:v>139.36000000000001</c:v>
                </c:pt>
                <c:pt idx="121" formatCode="0.0">
                  <c:v>133.36699999999999</c:v>
                </c:pt>
                <c:pt idx="122" formatCode="0.0">
                  <c:v>130.94900000000001</c:v>
                </c:pt>
                <c:pt idx="123" formatCode="0.0">
                  <c:v>130.68799999999999</c:v>
                </c:pt>
                <c:pt idx="124" formatCode="0.0">
                  <c:v>130.57</c:v>
                </c:pt>
                <c:pt idx="125" formatCode="0.0">
                  <c:v>130.44499999999999</c:v>
                </c:pt>
                <c:pt idx="126" formatCode="0.0">
                  <c:v>130.34700000000001</c:v>
                </c:pt>
                <c:pt idx="127" formatCode="0.0">
                  <c:v>130.24199999999999</c:v>
                </c:pt>
              </c:numCache>
            </c:numRef>
          </c:val>
          <c:smooth val="0"/>
          <c:extLst>
            <c:ext xmlns:c16="http://schemas.microsoft.com/office/drawing/2014/chart" uri="{C3380CC4-5D6E-409C-BE32-E72D297353CC}">
              <c16:uniqueId val="{00000005-70AD-412F-9C08-61E11CCF2A36}"/>
            </c:ext>
          </c:extLst>
        </c:ser>
        <c:ser>
          <c:idx val="8"/>
          <c:order val="6"/>
          <c:tx>
            <c:strRef>
              <c:f>Commodities!$V$6</c:f>
              <c:strCache>
                <c:ptCount val="1"/>
                <c:pt idx="0">
                  <c:v>Храна</c:v>
                </c:pt>
              </c:strCache>
            </c:strRef>
          </c:tx>
          <c:spPr>
            <a:ln w="22225" cap="rnd">
              <a:solidFill>
                <a:srgbClr val="7F3F98"/>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Commodities!$V$20:$V$147</c:f>
              <c:numCache>
                <c:formatCode>General</c:formatCode>
                <c:ptCount val="128"/>
                <c:pt idx="119" formatCode="0.0">
                  <c:v>100.57</c:v>
                </c:pt>
                <c:pt idx="120" formatCode="0.0">
                  <c:v>99.623333333333335</c:v>
                </c:pt>
                <c:pt idx="121" formatCode="0.0">
                  <c:v>95.82</c:v>
                </c:pt>
                <c:pt idx="122" formatCode="0.0">
                  <c:v>95.778999999999996</c:v>
                </c:pt>
                <c:pt idx="123" formatCode="0.0">
                  <c:v>95.102000000000004</c:v>
                </c:pt>
                <c:pt idx="124" formatCode="0.0">
                  <c:v>96.763000000000005</c:v>
                </c:pt>
                <c:pt idx="125" formatCode="0.0">
                  <c:v>98.352999999999994</c:v>
                </c:pt>
                <c:pt idx="126" formatCode="0.0">
                  <c:v>95.543000000000006</c:v>
                </c:pt>
                <c:pt idx="127" formatCode="0.0">
                  <c:v>95.74</c:v>
                </c:pt>
              </c:numCache>
            </c:numRef>
          </c:val>
          <c:smooth val="0"/>
          <c:extLst>
            <c:ext xmlns:c16="http://schemas.microsoft.com/office/drawing/2014/chart" uri="{C3380CC4-5D6E-409C-BE32-E72D297353CC}">
              <c16:uniqueId val="{00000006-70AD-412F-9C08-61E11CCF2A36}"/>
            </c:ext>
          </c:extLst>
        </c:ser>
        <c:ser>
          <c:idx val="9"/>
          <c:order val="7"/>
          <c:tx>
            <c:strRef>
              <c:f>Commodities!$W$6</c:f>
              <c:strCache>
                <c:ptCount val="1"/>
                <c:pt idx="0">
                  <c:v>Енергија</c:v>
                </c:pt>
              </c:strCache>
            </c:strRef>
          </c:tx>
          <c:spPr>
            <a:ln w="22225" cap="rnd">
              <a:solidFill>
                <a:srgbClr val="00A651"/>
              </a:solidFill>
              <a:prstDash val="sysDash"/>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Commodities!$W$20:$W$147</c:f>
              <c:numCache>
                <c:formatCode>General</c:formatCode>
                <c:ptCount val="128"/>
                <c:pt idx="119" formatCode="0.0">
                  <c:v>135.041</c:v>
                </c:pt>
                <c:pt idx="120" formatCode="0.0">
                  <c:v>136.822</c:v>
                </c:pt>
                <c:pt idx="121" formatCode="0.0">
                  <c:v>121.76</c:v>
                </c:pt>
                <c:pt idx="122" formatCode="0.0">
                  <c:v>119.813</c:v>
                </c:pt>
                <c:pt idx="123" formatCode="0.0">
                  <c:v>119.717</c:v>
                </c:pt>
                <c:pt idx="124" formatCode="0.0">
                  <c:v>119.911</c:v>
                </c:pt>
                <c:pt idx="125" formatCode="0.0">
                  <c:v>115.464</c:v>
                </c:pt>
                <c:pt idx="126" formatCode="0.0">
                  <c:v>115.85299999999999</c:v>
                </c:pt>
                <c:pt idx="127" formatCode="0.0">
                  <c:v>116.95399999999999</c:v>
                </c:pt>
              </c:numCache>
            </c:numRef>
          </c:val>
          <c:smooth val="0"/>
          <c:extLst>
            <c:ext xmlns:c16="http://schemas.microsoft.com/office/drawing/2014/chart" uri="{C3380CC4-5D6E-409C-BE32-E72D297353CC}">
              <c16:uniqueId val="{00000007-70AD-412F-9C08-61E11CCF2A36}"/>
            </c:ext>
          </c:extLst>
        </c:ser>
        <c:ser>
          <c:idx val="3"/>
          <c:order val="8"/>
          <c:tx>
            <c:strRef>
              <c:f>Commodities!$R$6</c:f>
              <c:strCache>
                <c:ptCount val="1"/>
                <c:pt idx="0">
                  <c:v>Храна</c:v>
                </c:pt>
              </c:strCache>
            </c:strRef>
          </c:tx>
          <c:spPr>
            <a:ln w="22225" cap="rnd">
              <a:solidFill>
                <a:srgbClr val="7F3F98"/>
              </a:solidFill>
              <a:round/>
            </a:ln>
            <a:effectLst/>
          </c:spPr>
          <c:marker>
            <c:symbol val="none"/>
          </c:marker>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Commodities!$R$20:$R$139</c:f>
              <c:numCache>
                <c:formatCode>0.0</c:formatCode>
                <c:ptCount val="120"/>
                <c:pt idx="0">
                  <c:v>107.374</c:v>
                </c:pt>
                <c:pt idx="1">
                  <c:v>103.83499999999999</c:v>
                </c:pt>
                <c:pt idx="2">
                  <c:v>100.601</c:v>
                </c:pt>
                <c:pt idx="3">
                  <c:v>102.355</c:v>
                </c:pt>
                <c:pt idx="4">
                  <c:v>101.717</c:v>
                </c:pt>
                <c:pt idx="5">
                  <c:v>100.895</c:v>
                </c:pt>
                <c:pt idx="6">
                  <c:v>100.741</c:v>
                </c:pt>
                <c:pt idx="7">
                  <c:v>97.793000000000006</c:v>
                </c:pt>
                <c:pt idx="8">
                  <c:v>97.141999999999996</c:v>
                </c:pt>
                <c:pt idx="9">
                  <c:v>97.724000000000004</c:v>
                </c:pt>
                <c:pt idx="10">
                  <c:v>93.831999999999994</c:v>
                </c:pt>
                <c:pt idx="11">
                  <c:v>93.728999999999999</c:v>
                </c:pt>
                <c:pt idx="12">
                  <c:v>93.54</c:v>
                </c:pt>
                <c:pt idx="13">
                  <c:v>94.789000000000001</c:v>
                </c:pt>
                <c:pt idx="14">
                  <c:v>97.864999999999995</c:v>
                </c:pt>
                <c:pt idx="15">
                  <c:v>100.399</c:v>
                </c:pt>
                <c:pt idx="16">
                  <c:v>101.36499999999999</c:v>
                </c:pt>
                <c:pt idx="17">
                  <c:v>103.16200000000001</c:v>
                </c:pt>
                <c:pt idx="18">
                  <c:v>103.633</c:v>
                </c:pt>
                <c:pt idx="19">
                  <c:v>101.786</c:v>
                </c:pt>
                <c:pt idx="20">
                  <c:v>101.126</c:v>
                </c:pt>
                <c:pt idx="21">
                  <c:v>99.944000000000003</c:v>
                </c:pt>
                <c:pt idx="22">
                  <c:v>100.649</c:v>
                </c:pt>
                <c:pt idx="23">
                  <c:v>101.741</c:v>
                </c:pt>
                <c:pt idx="24">
                  <c:v>105.313</c:v>
                </c:pt>
                <c:pt idx="25">
                  <c:v>105.462</c:v>
                </c:pt>
                <c:pt idx="26">
                  <c:v>101.84399999999999</c:v>
                </c:pt>
                <c:pt idx="27">
                  <c:v>100.92400000000001</c:v>
                </c:pt>
                <c:pt idx="28">
                  <c:v>103.205</c:v>
                </c:pt>
                <c:pt idx="29">
                  <c:v>102.42400000000001</c:v>
                </c:pt>
                <c:pt idx="30">
                  <c:v>104.79600000000001</c:v>
                </c:pt>
                <c:pt idx="31">
                  <c:v>99.807000000000002</c:v>
                </c:pt>
                <c:pt idx="32">
                  <c:v>98.082999999999998</c:v>
                </c:pt>
                <c:pt idx="33">
                  <c:v>98.927000000000007</c:v>
                </c:pt>
                <c:pt idx="34">
                  <c:v>99.546000000000006</c:v>
                </c:pt>
                <c:pt idx="35">
                  <c:v>99.596000000000004</c:v>
                </c:pt>
                <c:pt idx="36">
                  <c:v>102.48</c:v>
                </c:pt>
                <c:pt idx="37">
                  <c:v>102.09099999999999</c:v>
                </c:pt>
                <c:pt idx="38">
                  <c:v>102.834</c:v>
                </c:pt>
                <c:pt idx="39">
                  <c:v>102.248</c:v>
                </c:pt>
                <c:pt idx="40">
                  <c:v>103.393</c:v>
                </c:pt>
                <c:pt idx="41">
                  <c:v>99.149000000000001</c:v>
                </c:pt>
                <c:pt idx="42">
                  <c:v>96.522999999999996</c:v>
                </c:pt>
                <c:pt idx="43">
                  <c:v>92.691000000000003</c:v>
                </c:pt>
                <c:pt idx="44">
                  <c:v>93.786000000000001</c:v>
                </c:pt>
                <c:pt idx="45">
                  <c:v>95.323999999999998</c:v>
                </c:pt>
                <c:pt idx="46">
                  <c:v>91.296000000000006</c:v>
                </c:pt>
                <c:pt idx="47">
                  <c:v>94.296999999999997</c:v>
                </c:pt>
                <c:pt idx="48">
                  <c:v>95.811999999999998</c:v>
                </c:pt>
                <c:pt idx="49">
                  <c:v>93.799000000000007</c:v>
                </c:pt>
                <c:pt idx="50">
                  <c:v>92.603999999999999</c:v>
                </c:pt>
                <c:pt idx="51">
                  <c:v>95.409000000000006</c:v>
                </c:pt>
                <c:pt idx="52">
                  <c:v>91.948999999999998</c:v>
                </c:pt>
                <c:pt idx="53">
                  <c:v>93.915999999999997</c:v>
                </c:pt>
                <c:pt idx="54">
                  <c:v>93.814999999999998</c:v>
                </c:pt>
                <c:pt idx="55">
                  <c:v>91.938000000000002</c:v>
                </c:pt>
                <c:pt idx="56">
                  <c:v>89.796000000000006</c:v>
                </c:pt>
                <c:pt idx="57">
                  <c:v>89.903999999999996</c:v>
                </c:pt>
                <c:pt idx="58">
                  <c:v>93.587999999999994</c:v>
                </c:pt>
                <c:pt idx="59">
                  <c:v>97.168000000000006</c:v>
                </c:pt>
                <c:pt idx="60">
                  <c:v>98.08</c:v>
                </c:pt>
                <c:pt idx="61">
                  <c:v>93.83</c:v>
                </c:pt>
                <c:pt idx="62">
                  <c:v>90.397000000000006</c:v>
                </c:pt>
                <c:pt idx="63">
                  <c:v>87.010999999999996</c:v>
                </c:pt>
                <c:pt idx="64">
                  <c:v>90.364000000000004</c:v>
                </c:pt>
                <c:pt idx="65">
                  <c:v>92.935000000000002</c:v>
                </c:pt>
                <c:pt idx="66">
                  <c:v>90.456999999999994</c:v>
                </c:pt>
                <c:pt idx="67">
                  <c:v>91.084999999999994</c:v>
                </c:pt>
                <c:pt idx="68">
                  <c:v>92.207999999999998</c:v>
                </c:pt>
                <c:pt idx="69">
                  <c:v>97.042000000000002</c:v>
                </c:pt>
                <c:pt idx="70">
                  <c:v>100.33</c:v>
                </c:pt>
                <c:pt idx="71">
                  <c:v>101.292</c:v>
                </c:pt>
                <c:pt idx="72">
                  <c:v>107.30200000000001</c:v>
                </c:pt>
                <c:pt idx="73">
                  <c:v>109.3</c:v>
                </c:pt>
                <c:pt idx="74">
                  <c:v>110.992</c:v>
                </c:pt>
                <c:pt idx="75">
                  <c:v>116.929</c:v>
                </c:pt>
                <c:pt idx="76">
                  <c:v>121.59699999999999</c:v>
                </c:pt>
                <c:pt idx="77">
                  <c:v>113.89400000000001</c:v>
                </c:pt>
                <c:pt idx="78">
                  <c:v>113.82299999999999</c:v>
                </c:pt>
                <c:pt idx="79">
                  <c:v>115.735</c:v>
                </c:pt>
                <c:pt idx="80">
                  <c:v>111.999</c:v>
                </c:pt>
                <c:pt idx="81">
                  <c:v>112.386</c:v>
                </c:pt>
                <c:pt idx="82">
                  <c:v>113.636</c:v>
                </c:pt>
                <c:pt idx="83">
                  <c:v>116.535</c:v>
                </c:pt>
                <c:pt idx="84">
                  <c:v>121.11199999999999</c:v>
                </c:pt>
                <c:pt idx="85">
                  <c:v>125.834</c:v>
                </c:pt>
                <c:pt idx="86">
                  <c:v>134.38200000000001</c:v>
                </c:pt>
                <c:pt idx="87">
                  <c:v>137.62200000000001</c:v>
                </c:pt>
                <c:pt idx="88">
                  <c:v>133.47499999999999</c:v>
                </c:pt>
                <c:pt idx="89">
                  <c:v>126.47199999999999</c:v>
                </c:pt>
                <c:pt idx="90">
                  <c:v>116.85299999999999</c:v>
                </c:pt>
                <c:pt idx="91">
                  <c:v>113.66800000000001</c:v>
                </c:pt>
                <c:pt idx="92">
                  <c:v>109.563</c:v>
                </c:pt>
                <c:pt idx="93">
                  <c:v>111.38800000000001</c:v>
                </c:pt>
                <c:pt idx="94">
                  <c:v>111.496</c:v>
                </c:pt>
                <c:pt idx="95">
                  <c:v>110.34</c:v>
                </c:pt>
                <c:pt idx="96">
                  <c:v>111.02800000000001</c:v>
                </c:pt>
                <c:pt idx="97">
                  <c:v>113.81</c:v>
                </c:pt>
                <c:pt idx="98">
                  <c:v>116.27800000000001</c:v>
                </c:pt>
                <c:pt idx="99">
                  <c:v>115.642</c:v>
                </c:pt>
                <c:pt idx="100">
                  <c:v>109.443</c:v>
                </c:pt>
                <c:pt idx="101">
                  <c:v>107.05800000000001</c:v>
                </c:pt>
                <c:pt idx="102">
                  <c:v>107.32599999999999</c:v>
                </c:pt>
                <c:pt idx="103">
                  <c:v>102.657</c:v>
                </c:pt>
                <c:pt idx="104">
                  <c:v>102.24299999999999</c:v>
                </c:pt>
                <c:pt idx="105">
                  <c:v>103.34099999999999</c:v>
                </c:pt>
                <c:pt idx="106">
                  <c:v>106.20399999999999</c:v>
                </c:pt>
                <c:pt idx="107">
                  <c:v>104.786</c:v>
                </c:pt>
                <c:pt idx="108">
                  <c:v>105.504</c:v>
                </c:pt>
                <c:pt idx="109">
                  <c:v>103.952</c:v>
                </c:pt>
                <c:pt idx="110">
                  <c:v>104.274</c:v>
                </c:pt>
                <c:pt idx="111">
                  <c:v>105.545</c:v>
                </c:pt>
                <c:pt idx="112">
                  <c:v>105.35299999999999</c:v>
                </c:pt>
                <c:pt idx="113">
                  <c:v>99.53</c:v>
                </c:pt>
                <c:pt idx="114">
                  <c:v>98.307000000000002</c:v>
                </c:pt>
                <c:pt idx="115">
                  <c:v>97.885999999999996</c:v>
                </c:pt>
                <c:pt idx="116">
                  <c:v>99.521000000000001</c:v>
                </c:pt>
                <c:pt idx="117">
                  <c:v>100.91500000000001</c:v>
                </c:pt>
                <c:pt idx="118">
                  <c:v>101.435</c:v>
                </c:pt>
                <c:pt idx="119">
                  <c:v>100.57</c:v>
                </c:pt>
              </c:numCache>
            </c:numRef>
          </c:val>
          <c:smooth val="0"/>
          <c:extLst>
            <c:ext xmlns:c16="http://schemas.microsoft.com/office/drawing/2014/chart" uri="{C3380CC4-5D6E-409C-BE32-E72D297353CC}">
              <c16:uniqueId val="{00000008-70AD-412F-9C08-61E11CCF2A36}"/>
            </c:ext>
          </c:extLst>
        </c:ser>
        <c:ser>
          <c:idx val="5"/>
          <c:order val="9"/>
          <c:tx>
            <c:strRef>
              <c:f>Commodities!$Y$6</c:f>
              <c:strCache>
                <c:ptCount val="1"/>
                <c:pt idx="0">
                  <c:v>Series 4</c:v>
                </c:pt>
              </c:strCache>
            </c:strRef>
          </c:tx>
          <c:spPr>
            <a:ln w="28575" cap="rnd">
              <a:noFill/>
              <a:round/>
            </a:ln>
            <a:effectLst/>
          </c:spPr>
          <c:marker>
            <c:symbol val="square"/>
            <c:size val="3"/>
            <c:spPr>
              <a:solidFill>
                <a:schemeClr val="bg1"/>
              </a:solidFill>
              <a:ln w="9525">
                <a:noFill/>
              </a:ln>
              <a:effectLst/>
            </c:spPr>
          </c:marker>
          <c:dLbls>
            <c:dLbl>
              <c:idx val="0"/>
              <c:layout>
                <c:manualLayout>
                  <c:x val="-3.7505861656176379E-2"/>
                  <c:y val="7.3590840840840846E-2"/>
                </c:manualLayout>
              </c:layout>
              <c:dLblPos val="r"/>
              <c:showLegendKey val="0"/>
              <c:showVal val="0"/>
              <c:showCatName val="1"/>
              <c:showSerName val="0"/>
              <c:showPercent val="0"/>
              <c:showBubbleSize val="0"/>
              <c:extLst>
                <c:ext xmlns:c15="http://schemas.microsoft.com/office/drawing/2012/chart" uri="{CE6537A1-D6FC-4f65-9D91-7224C49458BB}">
                  <c15:layout>
                    <c:manualLayout>
                      <c:w val="0.11669545489230061"/>
                      <c:h val="7.7261761761761749E-2"/>
                    </c:manualLayout>
                  </c15:layout>
                </c:ext>
                <c:ext xmlns:c16="http://schemas.microsoft.com/office/drawing/2014/chart" uri="{C3380CC4-5D6E-409C-BE32-E72D297353CC}">
                  <c16:uniqueId val="{00000009-70AD-412F-9C08-61E11CCF2A36}"/>
                </c:ext>
              </c:extLst>
            </c:dLbl>
            <c:dLbl>
              <c:idx val="12"/>
              <c:layout>
                <c:manualLayout>
                  <c:x val="-2.8248054359058798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0AD-412F-9C08-61E11CCF2A36}"/>
                </c:ext>
              </c:extLst>
            </c:dLbl>
            <c:dLbl>
              <c:idx val="24"/>
              <c:layout>
                <c:manualLayout>
                  <c:x val="-2.8233522556818016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0AD-412F-9C08-61E11CCF2A36}"/>
                </c:ext>
              </c:extLst>
            </c:dLbl>
            <c:dLbl>
              <c:idx val="36"/>
              <c:layout>
                <c:manualLayout>
                  <c:x val="-2.359698892911542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0AD-412F-9C08-61E11CCF2A36}"/>
                </c:ext>
              </c:extLst>
            </c:dLbl>
            <c:dLbl>
              <c:idx val="48"/>
              <c:layout>
                <c:manualLayout>
                  <c:x val="-2.35897073686479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0AD-412F-9C08-61E11CCF2A36}"/>
                </c:ext>
              </c:extLst>
            </c:dLbl>
            <c:dLbl>
              <c:idx val="60"/>
              <c:layout>
                <c:manualLayout>
                  <c:x val="-2.3595532617021957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0AD-412F-9C08-61E11CCF2A36}"/>
                </c:ext>
              </c:extLst>
            </c:dLbl>
            <c:dLbl>
              <c:idx val="72"/>
              <c:layout>
                <c:manualLayout>
                  <c:x val="-2.7540418394446257E-2"/>
                  <c:y val="7.359093894961021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0AD-412F-9C08-61E11CCF2A36}"/>
                </c:ext>
              </c:extLst>
            </c:dLbl>
            <c:dLbl>
              <c:idx val="84"/>
              <c:layout>
                <c:manualLayout>
                  <c:x val="-2.8390898110881337E-2"/>
                  <c:y val="7.359093894961021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0AD-412F-9C08-61E11CCF2A36}"/>
                </c:ext>
              </c:extLst>
            </c:dLbl>
            <c:dLbl>
              <c:idx val="96"/>
              <c:layout>
                <c:manualLayout>
                  <c:x val="-2.8118515226561714E-2"/>
                  <c:y val="7.359093894961021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0AD-412F-9C08-61E11CCF2A36}"/>
                </c:ext>
              </c:extLst>
            </c:dLbl>
            <c:dLbl>
              <c:idx val="100"/>
              <c:layout>
                <c:manualLayout>
                  <c:x val="-1.592435091954969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0AD-412F-9C08-61E11CCF2A36}"/>
                </c:ext>
              </c:extLst>
            </c:dLbl>
            <c:dLbl>
              <c:idx val="108"/>
              <c:layout>
                <c:manualLayout>
                  <c:x val="-2.6328314559223732E-2"/>
                  <c:y val="7.359093894961021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0AD-412F-9C08-61E11CCF2A36}"/>
                </c:ext>
              </c:extLst>
            </c:dLbl>
            <c:dLbl>
              <c:idx val="116"/>
              <c:layout>
                <c:manualLayout>
                  <c:x val="-1.3298385816941998E-2"/>
                  <c:y val="6.723473473473473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0AD-412F-9C08-61E11CCF2A36}"/>
                </c:ext>
              </c:extLst>
            </c:dLbl>
            <c:dLbl>
              <c:idx val="117"/>
              <c:layout>
                <c:manualLayout>
                  <c:x val="-3.0439432382398015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0AD-412F-9C08-61E11CCF2A36}"/>
                </c:ext>
              </c:extLst>
            </c:dLbl>
            <c:dLbl>
              <c:idx val="120"/>
              <c:layout>
                <c:manualLayout>
                  <c:x val="-2.3952849089130132E-2"/>
                  <c:y val="7.359093894961021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0AD-412F-9C08-61E11CCF2A36}"/>
                </c:ext>
              </c:extLst>
            </c:dLbl>
            <c:dLbl>
              <c:idx val="121"/>
              <c:layout>
                <c:manualLayout>
                  <c:x val="-3.0461037391519223E-2"/>
                  <c:y val="7.3591091091091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0AD-412F-9C08-61E11CCF2A36}"/>
                </c:ext>
              </c:extLst>
            </c:dLbl>
            <c:dLbl>
              <c:idx val="124"/>
              <c:layout>
                <c:manualLayout>
                  <c:x val="-5.9447564502775798E-3"/>
                  <c:y val="7.359093894961035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0AD-412F-9C08-61E11CCF2A36}"/>
                </c:ext>
              </c:extLst>
            </c:dLbl>
            <c:spPr>
              <a:noFill/>
              <a:ln>
                <a:noFill/>
              </a:ln>
              <a:effectLst/>
            </c:spPr>
            <c:txPr>
              <a:bodyPr rot="0" spcFirstLastPara="1" vertOverflow="ellipsis" vert="horz" wrap="square" lIns="38100" tIns="19050" rIns="38100" bIns="19050" anchor="ctr" anchorCtr="1">
                <a:spAutoFit/>
              </a:bodyPr>
              <a:lstStyle/>
              <a:p>
                <a:pPr>
                  <a:defRPr sz="720" b="0" i="0" u="none" strike="noStrike" kern="1200" baseline="0">
                    <a:solidFill>
                      <a:schemeClr val="tx2"/>
                    </a:solidFill>
                    <a:latin typeface="+mn-lt"/>
                    <a:ea typeface="+mn-ea"/>
                    <a:cs typeface="Arial" panose="020B0604020202020204" pitchFamily="34" charset="0"/>
                  </a:defRPr>
                </a:pPr>
                <a:endParaRPr lang="en-U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Commodities!$I$20:$I$147</c:f>
              <c:numCache>
                <c:formatCode>yyyy</c:formatCode>
                <c:ptCount val="128"/>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pt idx="79">
                  <c:v>44409</c:v>
                </c:pt>
                <c:pt idx="80">
                  <c:v>44440</c:v>
                </c:pt>
                <c:pt idx="81">
                  <c:v>44470</c:v>
                </c:pt>
                <c:pt idx="82">
                  <c:v>44501</c:v>
                </c:pt>
                <c:pt idx="83">
                  <c:v>44531</c:v>
                </c:pt>
                <c:pt idx="84">
                  <c:v>44562</c:v>
                </c:pt>
                <c:pt idx="85">
                  <c:v>44593</c:v>
                </c:pt>
                <c:pt idx="86">
                  <c:v>44621</c:v>
                </c:pt>
                <c:pt idx="87">
                  <c:v>44652</c:v>
                </c:pt>
                <c:pt idx="88">
                  <c:v>44682</c:v>
                </c:pt>
                <c:pt idx="89">
                  <c:v>44713</c:v>
                </c:pt>
                <c:pt idx="90">
                  <c:v>44743</c:v>
                </c:pt>
                <c:pt idx="91">
                  <c:v>44774</c:v>
                </c:pt>
                <c:pt idx="92">
                  <c:v>44805</c:v>
                </c:pt>
                <c:pt idx="93">
                  <c:v>44835</c:v>
                </c:pt>
                <c:pt idx="94">
                  <c:v>44866</c:v>
                </c:pt>
                <c:pt idx="95">
                  <c:v>44896</c:v>
                </c:pt>
                <c:pt idx="96">
                  <c:v>44927</c:v>
                </c:pt>
                <c:pt idx="97">
                  <c:v>44928</c:v>
                </c:pt>
                <c:pt idx="98">
                  <c:v>44929</c:v>
                </c:pt>
                <c:pt idx="99">
                  <c:v>44930</c:v>
                </c:pt>
                <c:pt idx="100">
                  <c:v>44931</c:v>
                </c:pt>
                <c:pt idx="101">
                  <c:v>44932</c:v>
                </c:pt>
                <c:pt idx="102">
                  <c:v>44933</c:v>
                </c:pt>
                <c:pt idx="103">
                  <c:v>44934</c:v>
                </c:pt>
                <c:pt idx="104">
                  <c:v>44935</c:v>
                </c:pt>
                <c:pt idx="105">
                  <c:v>44936</c:v>
                </c:pt>
                <c:pt idx="106">
                  <c:v>44937</c:v>
                </c:pt>
                <c:pt idx="107">
                  <c:v>44938</c:v>
                </c:pt>
                <c:pt idx="108">
                  <c:v>45292</c:v>
                </c:pt>
                <c:pt idx="109">
                  <c:v>45293</c:v>
                </c:pt>
                <c:pt idx="110">
                  <c:v>45294</c:v>
                </c:pt>
                <c:pt idx="111">
                  <c:v>45295</c:v>
                </c:pt>
                <c:pt idx="112">
                  <c:v>45296</c:v>
                </c:pt>
                <c:pt idx="113">
                  <c:v>45297</c:v>
                </c:pt>
                <c:pt idx="114">
                  <c:v>45298</c:v>
                </c:pt>
                <c:pt idx="115">
                  <c:v>45299</c:v>
                </c:pt>
                <c:pt idx="116">
                  <c:v>45300</c:v>
                </c:pt>
                <c:pt idx="117">
                  <c:v>45301</c:v>
                </c:pt>
                <c:pt idx="118">
                  <c:v>45302</c:v>
                </c:pt>
                <c:pt idx="119">
                  <c:v>45303</c:v>
                </c:pt>
                <c:pt idx="120">
                  <c:v>45658</c:v>
                </c:pt>
                <c:pt idx="121">
                  <c:v>45748</c:v>
                </c:pt>
                <c:pt idx="122">
                  <c:v>45839</c:v>
                </c:pt>
                <c:pt idx="123">
                  <c:v>45931</c:v>
                </c:pt>
                <c:pt idx="124">
                  <c:v>46023</c:v>
                </c:pt>
                <c:pt idx="125">
                  <c:v>46113</c:v>
                </c:pt>
                <c:pt idx="126">
                  <c:v>46204</c:v>
                </c:pt>
                <c:pt idx="127">
                  <c:v>46296</c:v>
                </c:pt>
              </c:numCache>
            </c:numRef>
          </c:cat>
          <c:val>
            <c:numRef>
              <c:f>Commodities!$Y$20:$Y$147</c:f>
              <c:numCache>
                <c:formatCode>General</c:formatCode>
                <c:ptCount val="128"/>
                <c:pt idx="0">
                  <c:v>20</c:v>
                </c:pt>
                <c:pt idx="12">
                  <c:v>20</c:v>
                </c:pt>
                <c:pt idx="24">
                  <c:v>20</c:v>
                </c:pt>
                <c:pt idx="36">
                  <c:v>20</c:v>
                </c:pt>
                <c:pt idx="48">
                  <c:v>20</c:v>
                </c:pt>
                <c:pt idx="60">
                  <c:v>20</c:v>
                </c:pt>
                <c:pt idx="72">
                  <c:v>20</c:v>
                </c:pt>
                <c:pt idx="84">
                  <c:v>20</c:v>
                </c:pt>
                <c:pt idx="96">
                  <c:v>20</c:v>
                </c:pt>
                <c:pt idx="108">
                  <c:v>20</c:v>
                </c:pt>
                <c:pt idx="120">
                  <c:v>20</c:v>
                </c:pt>
                <c:pt idx="124">
                  <c:v>20</c:v>
                </c:pt>
              </c:numCache>
            </c:numRef>
          </c:val>
          <c:smooth val="0"/>
          <c:extLst>
            <c:ext xmlns:c16="http://schemas.microsoft.com/office/drawing/2014/chart" uri="{C3380CC4-5D6E-409C-BE32-E72D297353CC}">
              <c16:uniqueId val="{00000019-70AD-412F-9C08-61E11CCF2A36}"/>
            </c:ext>
          </c:extLst>
        </c:ser>
        <c:dLbls>
          <c:showLegendKey val="0"/>
          <c:showVal val="0"/>
          <c:showCatName val="0"/>
          <c:showSerName val="0"/>
          <c:showPercent val="0"/>
          <c:showBubbleSize val="0"/>
        </c:dLbls>
        <c:smooth val="0"/>
        <c:axId val="1768785920"/>
        <c:axId val="1768787008"/>
      </c:lineChart>
      <c:dateAx>
        <c:axId val="176878592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7008"/>
        <c:crosses val="autoZero"/>
        <c:auto val="1"/>
        <c:lblOffset val="100"/>
        <c:baseTimeUnit val="months"/>
        <c:majorUnit val="12"/>
        <c:minorUnit val="1"/>
      </c:dateAx>
      <c:valAx>
        <c:axId val="1768787008"/>
        <c:scaling>
          <c:orientation val="minMax"/>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crossAx val="1768785920"/>
        <c:crosses val="autoZero"/>
        <c:crossBetween val="between"/>
        <c:majorUnit val="40"/>
      </c:valAx>
      <c:spPr>
        <a:noFill/>
        <a:ln>
          <a:noFill/>
        </a:ln>
        <a:effectLst/>
      </c:spPr>
    </c:plotArea>
    <c:legend>
      <c:legendPos val="b"/>
      <c:legendEntry>
        <c:idx val="4"/>
        <c:delete val="1"/>
      </c:legendEntry>
      <c:legendEntry>
        <c:idx val="5"/>
        <c:delete val="1"/>
      </c:legendEntry>
      <c:legendEntry>
        <c:idx val="6"/>
        <c:delete val="1"/>
      </c:legendEntry>
      <c:legendEntry>
        <c:idx val="7"/>
        <c:delete val="1"/>
      </c:legendEntry>
      <c:legendEntry>
        <c:idx val="8"/>
        <c:delete val="1"/>
      </c:legendEntry>
      <c:legendEntry>
        <c:idx val="9"/>
        <c:delete val="1"/>
      </c:legendEntry>
      <c:layout>
        <c:manualLayout>
          <c:xMode val="edge"/>
          <c:yMode val="edge"/>
          <c:x val="0.1174303732866725"/>
          <c:y val="0.8752442442442443"/>
          <c:w val="0.77902814231554385"/>
          <c:h val="0.124755755755755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withinLinear" id="14">
  <a:schemeClr val="accent1"/>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withinLinear" id="16">
  <a:schemeClr val="accent3"/>
</cs:colorStyle>
</file>

<file path=word/charts/colors62.xml><?xml version="1.0" encoding="utf-8"?>
<cs:colorStyle xmlns:cs="http://schemas.microsoft.com/office/drawing/2012/chartStyle" xmlns:a="http://schemas.openxmlformats.org/drawingml/2006/main" meth="withinLinear" id="16">
  <a:schemeClr val="accent3"/>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1.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62.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6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6.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0.06303</cdr:x>
      <cdr:y>0.76155</cdr:y>
    </cdr:from>
    <cdr:to>
      <cdr:x>0.92502</cdr:x>
      <cdr:y>0.97319</cdr:y>
    </cdr:to>
    <cdr:grpSp>
      <cdr:nvGrpSpPr>
        <cdr:cNvPr id="9" name="Group 8">
          <a:extLst xmlns:a="http://schemas.openxmlformats.org/drawingml/2006/main">
            <a:ext uri="{FF2B5EF4-FFF2-40B4-BE49-F238E27FC236}">
              <a16:creationId xmlns:a16="http://schemas.microsoft.com/office/drawing/2014/main" id="{D826C8D3-8C33-4439-AE96-2E607EE03160}"/>
            </a:ext>
          </a:extLst>
        </cdr:cNvPr>
        <cdr:cNvGrpSpPr/>
      </cdr:nvGrpSpPr>
      <cdr:grpSpPr>
        <a:xfrm xmlns:a="http://schemas.openxmlformats.org/drawingml/2006/main">
          <a:off x="172910" y="1580841"/>
          <a:ext cx="2364599" cy="439315"/>
          <a:chOff x="-76171" y="-297973"/>
          <a:chExt cx="2263749" cy="518522"/>
        </a:xfrm>
      </cdr:grpSpPr>
      <cdr:grpSp>
        <cdr:nvGrpSpPr>
          <cdr:cNvPr id="10" name="Group 9">
            <a:extLst xmlns:a="http://schemas.openxmlformats.org/drawingml/2006/main">
              <a:ext uri="{FF2B5EF4-FFF2-40B4-BE49-F238E27FC236}">
                <a16:creationId xmlns:a16="http://schemas.microsoft.com/office/drawing/2014/main" id="{7907F2C1-0652-4BF0-87FC-B9FFA921F61E}"/>
              </a:ext>
            </a:extLst>
          </cdr:cNvPr>
          <cdr:cNvGrpSpPr/>
        </cdr:nvGrpSpPr>
        <cdr:grpSpPr>
          <a:xfrm xmlns:a="http://schemas.openxmlformats.org/drawingml/2006/main">
            <a:off x="683767" y="-297973"/>
            <a:ext cx="1503811" cy="340401"/>
            <a:chOff x="682627" y="-297963"/>
            <a:chExt cx="1501305" cy="340388"/>
          </a:xfrm>
        </cdr:grpSpPr>
        <cdr:sp macro="" textlink="">
          <cdr:nvSpPr>
            <cdr:cNvPr id="13" name="TextBox 5"/>
            <cdr:cNvSpPr txBox="1"/>
          </cdr:nvSpPr>
          <cdr:spPr>
            <a:xfrm xmlns:a="http://schemas.openxmlformats.org/drawingml/2006/main">
              <a:off x="682627" y="-156096"/>
              <a:ext cx="469049" cy="180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A651"/>
                  </a:solidFill>
                </a:rPr>
                <a:t>Храна</a:t>
              </a:r>
              <a:endParaRPr lang="en-GB" sz="700" b="0">
                <a:solidFill>
                  <a:srgbClr val="00A651"/>
                </a:solidFill>
              </a:endParaRPr>
            </a:p>
          </cdr:txBody>
        </cdr:sp>
        <cdr:sp macro="" textlink="">
          <cdr:nvSpPr>
            <cdr:cNvPr id="14" name="TextBox 1"/>
            <cdr:cNvSpPr txBox="1"/>
          </cdr:nvSpPr>
          <cdr:spPr>
            <a:xfrm xmlns:a="http://schemas.openxmlformats.org/drawingml/2006/main">
              <a:off x="1128485" y="-174156"/>
              <a:ext cx="576965" cy="2165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EC008C"/>
                  </a:solidFill>
                </a:rPr>
                <a:t>Метали</a:t>
              </a:r>
              <a:endParaRPr lang="en-GB" sz="700" b="0">
                <a:solidFill>
                  <a:srgbClr val="EC008C"/>
                </a:solidFill>
              </a:endParaRPr>
            </a:p>
          </cdr:txBody>
        </cdr:sp>
        <cdr:sp macro="" textlink="">
          <cdr:nvSpPr>
            <cdr:cNvPr id="15" name="TextBox 1"/>
            <cdr:cNvSpPr txBox="1"/>
          </cdr:nvSpPr>
          <cdr:spPr>
            <a:xfrm xmlns:a="http://schemas.openxmlformats.org/drawingml/2006/main">
              <a:off x="1561883" y="-297963"/>
              <a:ext cx="622049" cy="29527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00" b="0">
                  <a:solidFill>
                    <a:srgbClr val="003891"/>
                  </a:solidFill>
                </a:rPr>
                <a:t>Просечна цена нафте</a:t>
              </a:r>
              <a:endParaRPr lang="en-GB" sz="700" b="0">
                <a:solidFill>
                  <a:srgbClr val="003891"/>
                </a:solidFill>
              </a:endParaRPr>
            </a:p>
          </cdr:txBody>
        </cdr:sp>
      </cdr:grpSp>
      <cdr:sp macro="" textlink="">
        <cdr:nvSpPr>
          <cdr:cNvPr id="11" name="TextBox 1"/>
          <cdr:cNvSpPr txBox="1"/>
        </cdr:nvSpPr>
        <cdr:spPr>
          <a:xfrm xmlns:a="http://schemas.openxmlformats.org/drawingml/2006/main">
            <a:off x="-60947" y="-143769"/>
            <a:ext cx="794653" cy="16609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2024</a:t>
            </a:r>
            <a:endParaRPr lang="en-GB" sz="700" b="0">
              <a:solidFill>
                <a:schemeClr val="tx2"/>
              </a:solidFill>
            </a:endParaRPr>
          </a:p>
        </cdr:txBody>
      </cdr:sp>
      <cdr:sp macro="" textlink="">
        <cdr:nvSpPr>
          <cdr:cNvPr id="12" name="TextBox 1"/>
          <cdr:cNvSpPr txBox="1"/>
        </cdr:nvSpPr>
        <cdr:spPr>
          <a:xfrm xmlns:a="http://schemas.openxmlformats.org/drawingml/2006/main">
            <a:off x="-76171" y="57087"/>
            <a:ext cx="794653" cy="1634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en-GB" sz="700" b="0">
                <a:solidFill>
                  <a:schemeClr val="tx2"/>
                </a:solidFill>
              </a:rPr>
              <a:t>.</a:t>
            </a:r>
            <a:r>
              <a:rPr lang="sr-Cyrl-RS" sz="700" b="0" baseline="0">
                <a:solidFill>
                  <a:schemeClr val="tx2"/>
                </a:solidFill>
              </a:rPr>
              <a:t> 2025.</a:t>
            </a:r>
            <a:endParaRPr lang="en-GB" sz="700" b="0">
              <a:solidFill>
                <a:schemeClr val="tx2"/>
              </a:solidFill>
            </a:endParaRPr>
          </a:p>
        </cdr:txBody>
      </cdr:sp>
    </cdr:grpSp>
  </cdr:relSizeAnchor>
</c:userShapes>
</file>

<file path=word/drawings/drawing10.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773152"/>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0.63166</cdr:y>
    </cdr:from>
    <cdr:to>
      <cdr:x>0.92484</cdr:x>
      <cdr:y>0.86764</cdr:y>
    </cdr:to>
    <cdr:sp macro="" textlink="">
      <cdr:nvSpPr>
        <cdr:cNvPr id="3" name="TextBox 1"/>
        <cdr:cNvSpPr txBox="1"/>
      </cdr:nvSpPr>
      <cdr:spPr>
        <a:xfrm xmlns:a="http://schemas.openxmlformats.org/drawingml/2006/main">
          <a:off x="688976" y="773152"/>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0.06674</cdr:x>
      <cdr:y>0.62451</cdr:y>
    </cdr:from>
    <cdr:to>
      <cdr:x>0.47434</cdr:x>
      <cdr:y>0.86049</cdr:y>
    </cdr:to>
    <cdr:sp macro="" textlink="">
      <cdr:nvSpPr>
        <cdr:cNvPr id="2" name="TextBox 1"/>
        <cdr:cNvSpPr txBox="1"/>
      </cdr:nvSpPr>
      <cdr:spPr>
        <a:xfrm xmlns:a="http://schemas.openxmlformats.org/drawingml/2006/main">
          <a:off x="88899" y="764400"/>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0.62451</cdr:y>
    </cdr:from>
    <cdr:to>
      <cdr:x>0.92484</cdr:x>
      <cdr:y>0.86049</cdr:y>
    </cdr:to>
    <cdr:sp macro="" textlink="">
      <cdr:nvSpPr>
        <cdr:cNvPr id="3" name="TextBox 1"/>
        <cdr:cNvSpPr txBox="1"/>
      </cdr:nvSpPr>
      <cdr:spPr>
        <a:xfrm xmlns:a="http://schemas.openxmlformats.org/drawingml/2006/main">
          <a:off x="688976" y="764400"/>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0.71039</cdr:x>
      <cdr:y>0</cdr:y>
    </cdr:from>
    <cdr:to>
      <cdr:x>0.97226</cdr:x>
      <cdr:y>0.21296</cdr:y>
    </cdr:to>
    <cdr:sp macro="" textlink="">
      <cdr:nvSpPr>
        <cdr:cNvPr id="2" name="TextBox 1"/>
        <cdr:cNvSpPr txBox="1"/>
      </cdr:nvSpPr>
      <cdr:spPr>
        <a:xfrm xmlns:a="http://schemas.openxmlformats.org/drawingml/2006/main">
          <a:off x="1944080" y="0"/>
          <a:ext cx="716641" cy="309922"/>
        </a:xfrm>
        <a:prstGeom xmlns:a="http://schemas.openxmlformats.org/drawingml/2006/main" prst="rect">
          <a:avLst/>
        </a:prstGeom>
      </cdr:spPr>
      <cdr:txBody>
        <a:bodyPr xmlns:a="http://schemas.openxmlformats.org/drawingml/2006/main" vertOverflow="clip" wrap="square" lIns="0" tIns="0" rIns="0" bIns="0" rtlCol="0" anchor="ctr"/>
        <a:lstStyle xmlns:a="http://schemas.openxmlformats.org/drawingml/2006/main"/>
        <a:p xmlns:a="http://schemas.openxmlformats.org/drawingml/2006/main">
          <a:pPr algn="ctr"/>
          <a:r>
            <a:rPr lang="en-GB" sz="650" u="sng">
              <a:solidFill>
                <a:schemeClr val="tx2"/>
              </a:solidFill>
            </a:rPr>
            <a:t>Q1</a:t>
          </a:r>
          <a:r>
            <a:rPr lang="sr-Latn-RS" sz="650" u="sng" baseline="0">
              <a:solidFill>
                <a:schemeClr val="tx2"/>
              </a:solidFill>
            </a:rPr>
            <a:t> </a:t>
          </a:r>
          <a:r>
            <a:rPr lang="sr-Latn-RS" sz="650" u="sng">
              <a:solidFill>
                <a:schemeClr val="tx2"/>
              </a:solidFill>
            </a:rPr>
            <a:t>20</a:t>
          </a:r>
          <a:r>
            <a:rPr lang="en-GB" sz="650" u="sng">
              <a:solidFill>
                <a:schemeClr val="tx2"/>
              </a:solidFill>
            </a:rPr>
            <a:t>2</a:t>
          </a:r>
          <a:r>
            <a:rPr lang="sr-Latn-RS" sz="650" u="sng">
              <a:solidFill>
                <a:schemeClr val="tx2"/>
              </a:solidFill>
            </a:rPr>
            <a:t>5</a:t>
          </a:r>
          <a:endParaRPr lang="sr-Latn-RS" sz="650" u="none">
            <a:solidFill>
              <a:schemeClr val="tx2"/>
            </a:solidFill>
          </a:endParaRPr>
        </a:p>
        <a:p xmlns:a="http://schemas.openxmlformats.org/drawingml/2006/main">
          <a:pPr algn="ctr"/>
          <a:r>
            <a:rPr lang="en-GB" sz="650">
              <a:solidFill>
                <a:schemeClr val="tx2"/>
              </a:solidFill>
            </a:rPr>
            <a:t>Q1 </a:t>
          </a:r>
          <a:r>
            <a:rPr lang="sr-Latn-RS" sz="650">
              <a:solidFill>
                <a:schemeClr val="tx2"/>
              </a:solidFill>
            </a:rPr>
            <a:t>20</a:t>
          </a:r>
          <a:r>
            <a:rPr lang="en-GB" sz="650">
              <a:solidFill>
                <a:schemeClr val="tx2"/>
              </a:solidFill>
            </a:rPr>
            <a:t>2</a:t>
          </a:r>
          <a:r>
            <a:rPr lang="sr-Latn-RS" sz="650">
              <a:solidFill>
                <a:schemeClr val="tx2"/>
              </a:solidFill>
            </a:rPr>
            <a:t>4</a:t>
          </a:r>
          <a:r>
            <a:rPr lang="en-GB" sz="650">
              <a:solidFill>
                <a:schemeClr val="tx2"/>
              </a:solidFill>
            </a:rPr>
            <a:t> </a:t>
          </a:r>
          <a:endParaRPr lang="sr-Latn-RS" sz="650">
            <a:solidFill>
              <a:schemeClr val="tx2"/>
            </a:solidFill>
          </a:endParaRPr>
        </a:p>
        <a:p xmlns:a="http://schemas.openxmlformats.org/drawingml/2006/main">
          <a:pPr algn="ctr"/>
          <a:r>
            <a:rPr lang="sr-Cyrl-RS" sz="650">
              <a:solidFill>
                <a:schemeClr val="tx2"/>
              </a:solidFill>
            </a:rPr>
            <a:t>индекси</a:t>
          </a:r>
        </a:p>
      </cdr:txBody>
    </cdr:sp>
  </cdr:relSizeAnchor>
</c:userShapes>
</file>

<file path=word/drawings/drawing13.xml><?xml version="1.0" encoding="utf-8"?>
<c:userShapes xmlns:c="http://schemas.openxmlformats.org/drawingml/2006/chart">
  <cdr:relSizeAnchor xmlns:cdr="http://schemas.openxmlformats.org/drawingml/2006/chartDrawing">
    <cdr:from>
      <cdr:x>0.58367</cdr:x>
      <cdr:y>0</cdr:y>
    </cdr:from>
    <cdr:to>
      <cdr:x>0.98231</cdr:x>
      <cdr:y>0.69939</cdr:y>
    </cdr:to>
    <cdr:sp macro="" textlink="">
      <cdr:nvSpPr>
        <cdr:cNvPr id="3" name="TextBox 2"/>
        <cdr:cNvSpPr txBox="1"/>
      </cdr:nvSpPr>
      <cdr:spPr>
        <a:xfrm xmlns:a="http://schemas.openxmlformats.org/drawingml/2006/main">
          <a:off x="1601124" y="0"/>
          <a:ext cx="1093549" cy="117867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       ПРОЈЕКЦИЈА</a:t>
          </a:r>
          <a:endParaRPr lang="en-GB" sz="750" b="1">
            <a:solidFill>
              <a:schemeClr val="tx2"/>
            </a:solidFill>
            <a:latin typeface="+mn-lt"/>
            <a:cs typeface="Arial" panose="020B0604020202020204"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0.57823</cdr:x>
      <cdr:y>0</cdr:y>
    </cdr:from>
    <cdr:to>
      <cdr:x>0.97619</cdr:x>
      <cdr:y>0.73863</cdr:y>
    </cdr:to>
    <cdr:sp macro="" textlink="">
      <cdr:nvSpPr>
        <cdr:cNvPr id="3" name="TextBox 2"/>
        <cdr:cNvSpPr txBox="1"/>
      </cdr:nvSpPr>
      <cdr:spPr>
        <a:xfrm xmlns:a="http://schemas.openxmlformats.org/drawingml/2006/main">
          <a:off x="1586204" y="0"/>
          <a:ext cx="1091680" cy="1251372"/>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    ПРОЈЕКЦИЈА</a:t>
          </a:r>
          <a:endParaRPr lang="en-GB" sz="750" b="1">
            <a:solidFill>
              <a:schemeClr val="tx2"/>
            </a:solidFill>
            <a:latin typeface="+mn-lt"/>
            <a:cs typeface="Arial" panose="020B0604020202020204"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0.56957</cdr:x>
      <cdr:y>0.00827</cdr:y>
    </cdr:from>
    <cdr:to>
      <cdr:x>0.96515</cdr:x>
      <cdr:y>0.76895</cdr:y>
    </cdr:to>
    <cdr:sp macro="" textlink="">
      <cdr:nvSpPr>
        <cdr:cNvPr id="3" name="TextBox 2"/>
        <cdr:cNvSpPr txBox="1"/>
      </cdr:nvSpPr>
      <cdr:spPr>
        <a:xfrm xmlns:a="http://schemas.openxmlformats.org/drawingml/2006/main">
          <a:off x="1562431" y="17661"/>
          <a:ext cx="1085168" cy="162443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0.66671</cdr:x>
      <cdr:y>0</cdr:y>
    </cdr:from>
    <cdr:to>
      <cdr:x>1</cdr:x>
      <cdr:y>0.15397</cdr:y>
    </cdr:to>
    <cdr:sp macro="" textlink="">
      <cdr:nvSpPr>
        <cdr:cNvPr id="2" name="TextBox 1">
          <a:extLst xmlns:a="http://schemas.openxmlformats.org/drawingml/2006/main">
            <a:ext uri="{FF2B5EF4-FFF2-40B4-BE49-F238E27FC236}">
              <a16:creationId xmlns:a16="http://schemas.microsoft.com/office/drawing/2014/main" id="{EEBA72B3-E404-4722-5BD3-9A173FE23DD3}"/>
            </a:ext>
          </a:extLst>
        </cdr:cNvPr>
        <cdr:cNvSpPr txBox="1"/>
      </cdr:nvSpPr>
      <cdr:spPr>
        <a:xfrm xmlns:a="http://schemas.openxmlformats.org/drawingml/2006/main">
          <a:off x="1828915" y="0"/>
          <a:ext cx="914285" cy="275888"/>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sr-Cyrl-RS" sz="750">
              <a:solidFill>
                <a:schemeClr val="tx2"/>
              </a:solidFill>
            </a:rPr>
            <a:t>Стопа становништва ван радне снаге</a:t>
          </a:r>
          <a:endParaRPr lang="en-US" sz="750">
            <a:solidFill>
              <a:schemeClr val="tx2"/>
            </a:solidFill>
          </a:endParaRPr>
        </a:p>
      </cdr:txBody>
    </cdr:sp>
  </cdr:relSizeAnchor>
  <cdr:relSizeAnchor xmlns:cdr="http://schemas.openxmlformats.org/drawingml/2006/chartDrawing">
    <cdr:from>
      <cdr:x>0.35123</cdr:x>
      <cdr:y>0</cdr:y>
    </cdr:from>
    <cdr:to>
      <cdr:x>0.65307</cdr:x>
      <cdr:y>0.08</cdr:y>
    </cdr:to>
    <cdr:sp macro="" textlink="">
      <cdr:nvSpPr>
        <cdr:cNvPr id="3" name="TextBox 1">
          <a:extLst xmlns:a="http://schemas.openxmlformats.org/drawingml/2006/main">
            <a:ext uri="{FF2B5EF4-FFF2-40B4-BE49-F238E27FC236}">
              <a16:creationId xmlns:a16="http://schemas.microsoft.com/office/drawing/2014/main" id="{D63F64B9-2A3E-9C8E-FD5C-33974146D41E}"/>
            </a:ext>
          </a:extLst>
        </cdr:cNvPr>
        <cdr:cNvSpPr txBox="1"/>
      </cdr:nvSpPr>
      <cdr:spPr>
        <a:xfrm xmlns:a="http://schemas.openxmlformats.org/drawingml/2006/main">
          <a:off x="963501" y="0"/>
          <a:ext cx="828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a:solidFill>
                <a:schemeClr val="tx2"/>
              </a:solidFill>
            </a:rPr>
            <a:t>Стопа запослености</a:t>
          </a:r>
          <a:endParaRPr lang="en-US" sz="750">
            <a:solidFill>
              <a:schemeClr val="tx2"/>
            </a:solidFill>
          </a:endParaRPr>
        </a:p>
      </cdr:txBody>
    </cdr:sp>
  </cdr:relSizeAnchor>
  <cdr:relSizeAnchor xmlns:cdr="http://schemas.openxmlformats.org/drawingml/2006/chartDrawing">
    <cdr:from>
      <cdr:x>0</cdr:x>
      <cdr:y>0</cdr:y>
    </cdr:from>
    <cdr:to>
      <cdr:x>0.34121</cdr:x>
      <cdr:y>0.08</cdr:y>
    </cdr:to>
    <cdr:sp macro="" textlink="">
      <cdr:nvSpPr>
        <cdr:cNvPr id="4" name="TextBox 1">
          <a:extLst xmlns:a="http://schemas.openxmlformats.org/drawingml/2006/main">
            <a:ext uri="{FF2B5EF4-FFF2-40B4-BE49-F238E27FC236}">
              <a16:creationId xmlns:a16="http://schemas.microsoft.com/office/drawing/2014/main" id="{FD5E4A56-9597-87E6-88AD-15B99CCAA48D}"/>
            </a:ext>
          </a:extLst>
        </cdr:cNvPr>
        <cdr:cNvSpPr txBox="1"/>
      </cdr:nvSpPr>
      <cdr:spPr>
        <a:xfrm xmlns:a="http://schemas.openxmlformats.org/drawingml/2006/main">
          <a:off x="0" y="0"/>
          <a:ext cx="936000" cy="14334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sr-Cyrl-RS" sz="750">
              <a:solidFill>
                <a:schemeClr val="tx2"/>
              </a:solidFill>
            </a:rPr>
            <a:t>Стопа незапослености</a:t>
          </a:r>
          <a:endParaRPr lang="en-US" sz="750">
            <a:solidFill>
              <a:schemeClr val="tx2"/>
            </a:solidFill>
          </a:endParaRPr>
        </a:p>
      </cdr:txBody>
    </cdr:sp>
  </cdr:relSizeAnchor>
</c:userShapes>
</file>

<file path=word/drawings/drawing17.xml><?xml version="1.0" encoding="utf-8"?>
<c:userShapes xmlns:c="http://schemas.openxmlformats.org/drawingml/2006/chart">
  <cdr:relSizeAnchor xmlns:cdr="http://schemas.openxmlformats.org/drawingml/2006/chartDrawing">
    <cdr:from>
      <cdr:x>0.0878</cdr:x>
      <cdr:y>0.72193</cdr:y>
    </cdr:from>
    <cdr:to>
      <cdr:x>0.95377</cdr:x>
      <cdr:y>0.72193</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520" y="1305002"/>
          <a:ext cx="2372307"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0.77001</cdr:x>
      <cdr:y>0.00888</cdr:y>
    </cdr:from>
    <cdr:to>
      <cdr:x>0.94583</cdr:x>
      <cdr:y>0.69978</cdr:y>
    </cdr:to>
    <cdr:sp macro="" textlink="">
      <cdr:nvSpPr>
        <cdr:cNvPr id="2" name="TextBox 1"/>
        <cdr:cNvSpPr txBox="1"/>
      </cdr:nvSpPr>
      <cdr:spPr>
        <a:xfrm xmlns:a="http://schemas.openxmlformats.org/drawingml/2006/main">
          <a:off x="2162175" y="15345"/>
          <a:ext cx="493717" cy="1193875"/>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530" b="1">
              <a:solidFill>
                <a:schemeClr val="tx2"/>
              </a:solidFill>
              <a:latin typeface="+mn-lt"/>
              <a:cs typeface="Arial" panose="020B0604020202020204" pitchFamily="34" charset="0"/>
            </a:rPr>
            <a:t>ПРОЈЕКЦИЈА</a:t>
          </a:r>
        </a:p>
      </cdr:txBody>
    </cdr:sp>
  </cdr:relSizeAnchor>
</c:userShapes>
</file>

<file path=word/drawings/drawing19.xml><?xml version="1.0" encoding="utf-8"?>
<c:userShapes xmlns:c="http://schemas.openxmlformats.org/drawingml/2006/chart">
  <cdr:relSizeAnchor xmlns:cdr="http://schemas.openxmlformats.org/drawingml/2006/chartDrawing">
    <cdr:from>
      <cdr:x>0.60145</cdr:x>
      <cdr:y>0</cdr:y>
    </cdr:from>
    <cdr:to>
      <cdr:x>0.9881</cdr:x>
      <cdr:y>0.76585</cdr:y>
    </cdr:to>
    <cdr:sp macro="" textlink="">
      <cdr:nvSpPr>
        <cdr:cNvPr id="2" name="TextBox 1"/>
        <cdr:cNvSpPr txBox="1"/>
      </cdr:nvSpPr>
      <cdr:spPr>
        <a:xfrm xmlns:a="http://schemas.openxmlformats.org/drawingml/2006/main">
          <a:off x="1649896" y="0"/>
          <a:ext cx="1060660" cy="1560584"/>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20.xml><?xml version="1.0" encoding="utf-8"?>
<c:userShapes xmlns:c="http://schemas.openxmlformats.org/drawingml/2006/chart">
  <cdr:relSizeAnchor xmlns:cdr="http://schemas.openxmlformats.org/drawingml/2006/chartDrawing">
    <cdr:from>
      <cdr:x>0.63371</cdr:x>
      <cdr:y>0.01417</cdr:y>
    </cdr:from>
    <cdr:to>
      <cdr:x>0.98264</cdr:x>
      <cdr:y>0.75123</cdr:y>
    </cdr:to>
    <cdr:sp macro="" textlink="">
      <cdr:nvSpPr>
        <cdr:cNvPr id="2" name="TextBox 1"/>
        <cdr:cNvSpPr txBox="1"/>
      </cdr:nvSpPr>
      <cdr:spPr>
        <a:xfrm xmlns:a="http://schemas.openxmlformats.org/drawingml/2006/main">
          <a:off x="1738396" y="28890"/>
          <a:ext cx="957180" cy="15027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0.54172</cdr:x>
      <cdr:y>0.08091</cdr:y>
    </cdr:from>
    <cdr:to>
      <cdr:x>0.80075</cdr:x>
      <cdr:y>0.12157</cdr:y>
    </cdr:to>
    <cdr:sp macro="" textlink="">
      <cdr:nvSpPr>
        <cdr:cNvPr id="4" name="Text Box 94"/>
        <cdr:cNvSpPr txBox="1"/>
      </cdr:nvSpPr>
      <cdr:spPr>
        <a:xfrm xmlns:a="http://schemas.openxmlformats.org/drawingml/2006/main">
          <a:off x="3625439" y="417046"/>
          <a:ext cx="1733550" cy="20955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lnSpc>
              <a:spcPct val="107000"/>
            </a:lnSpc>
            <a:spcAft>
              <a:spcPts val="800"/>
            </a:spcAft>
          </a:pPr>
          <a:r>
            <a:rPr lang="sr-Cyrl-RS" sz="700" b="1">
              <a:solidFill>
                <a:srgbClr val="44546A"/>
              </a:solidFill>
              <a:effectLst/>
              <a:latin typeface="Calibri" panose="020F0502020204030204" pitchFamily="34" charset="0"/>
              <a:ea typeface="Calibri" panose="020F0502020204030204" pitchFamily="34" charset="0"/>
              <a:cs typeface="Times New Roman" panose="02020603050405020304" pitchFamily="18" charset="0"/>
            </a:rPr>
            <a:t>Праг фискалног подиндекса (0,36)</a:t>
          </a:r>
          <a:endParaRPr lang="en-GB" sz="1000">
            <a:solidFill>
              <a:srgbClr val="44546A"/>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0.511</cdr:x>
      <cdr:y>0.11032</cdr:y>
    </cdr:from>
    <cdr:to>
      <cdr:x>0.53947</cdr:x>
      <cdr:y>0.12696</cdr:y>
    </cdr:to>
    <cdr:cxnSp macro="">
      <cdr:nvCxnSpPr>
        <cdr:cNvPr id="5" name="Straight Arrow Connector 4"/>
        <cdr:cNvCxnSpPr/>
      </cdr:nvCxnSpPr>
      <cdr:spPr>
        <a:xfrm xmlns:a="http://schemas.openxmlformats.org/drawingml/2006/main" flipV="1">
          <a:off x="3419886" y="568624"/>
          <a:ext cx="190500" cy="85725"/>
        </a:xfrm>
        <a:prstGeom xmlns:a="http://schemas.openxmlformats.org/drawingml/2006/main" prst="straightConnector1">
          <a:avLst/>
        </a:prstGeom>
        <a:ln xmlns:a="http://schemas.openxmlformats.org/drawingml/2006/main">
          <a:solidFill>
            <a:schemeClr val="tx1">
              <a:lumMod val="75000"/>
              <a:lumOff val="25000"/>
            </a:schemeClr>
          </a:solidFill>
          <a:prstDash val="sys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0.70246</cdr:x>
      <cdr:y>0.26085</cdr:y>
    </cdr:from>
    <cdr:to>
      <cdr:x>0.96149</cdr:x>
      <cdr:y>0.30151</cdr:y>
    </cdr:to>
    <cdr:sp macro="" textlink="">
      <cdr:nvSpPr>
        <cdr:cNvPr id="6" name="Text Box 96"/>
        <cdr:cNvSpPr txBox="1"/>
      </cdr:nvSpPr>
      <cdr:spPr>
        <a:xfrm xmlns:a="http://schemas.openxmlformats.org/drawingml/2006/main">
          <a:off x="4701205" y="1344481"/>
          <a:ext cx="1733550" cy="20955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lnSpc>
              <a:spcPct val="107000"/>
            </a:lnSpc>
            <a:spcAft>
              <a:spcPts val="800"/>
            </a:spcAft>
          </a:pPr>
          <a:r>
            <a:rPr lang="sr-Cyrl-RS" sz="700" b="1">
              <a:solidFill>
                <a:srgbClr val="44546A"/>
              </a:solidFill>
              <a:effectLst/>
              <a:latin typeface="Calibri" panose="020F0502020204030204" pitchFamily="34" charset="0"/>
              <a:ea typeface="Calibri" panose="020F0502020204030204" pitchFamily="34" charset="0"/>
              <a:cs typeface="Times New Roman" panose="02020603050405020304" pitchFamily="18" charset="0"/>
            </a:rPr>
            <a:t>Праг финансијског подиндекса (0,49)</a:t>
          </a:r>
          <a:endParaRPr lang="en-GB" sz="1000">
            <a:solidFill>
              <a:srgbClr val="44546A"/>
            </a:solidFill>
            <a:effectLst/>
            <a:latin typeface="Calibri" panose="020F0502020204030204" pitchFamily="34" charset="0"/>
            <a:ea typeface="Calibri" panose="020F0502020204030204" pitchFamily="34" charset="0"/>
            <a:cs typeface="Times New Roman" panose="02020603050405020304" pitchFamily="18" charset="0"/>
          </a:endParaRPr>
        </a:p>
      </cdr:txBody>
    </cdr:sp>
  </cdr:relSizeAnchor>
  <cdr:relSizeAnchor xmlns:cdr="http://schemas.openxmlformats.org/drawingml/2006/chartDrawing">
    <cdr:from>
      <cdr:x>0.91728</cdr:x>
      <cdr:y>0.24173</cdr:y>
    </cdr:from>
    <cdr:to>
      <cdr:x>0.94693</cdr:x>
      <cdr:y>0.26079</cdr:y>
    </cdr:to>
    <cdr:cxnSp macro="">
      <cdr:nvCxnSpPr>
        <cdr:cNvPr id="8" name="Straight Arrow Connector 7"/>
        <cdr:cNvCxnSpPr/>
      </cdr:nvCxnSpPr>
      <cdr:spPr>
        <a:xfrm xmlns:a="http://schemas.openxmlformats.org/drawingml/2006/main" flipH="1">
          <a:off x="6138919" y="1245908"/>
          <a:ext cx="198381" cy="98237"/>
        </a:xfrm>
        <a:prstGeom xmlns:a="http://schemas.openxmlformats.org/drawingml/2006/main" prst="straightConnector1">
          <a:avLst/>
        </a:prstGeom>
        <a:ln xmlns:a="http://schemas.openxmlformats.org/drawingml/2006/main">
          <a:solidFill>
            <a:schemeClr val="tx1">
              <a:lumMod val="75000"/>
              <a:lumOff val="25000"/>
            </a:schemeClr>
          </a:solidFill>
          <a:prstDash val="sysDash"/>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0.86946</cdr:x>
      <cdr:y>0.07453</cdr:y>
    </cdr:from>
    <cdr:to>
      <cdr:x>0.87072</cdr:x>
      <cdr:y>0.89913</cdr:y>
    </cdr:to>
    <cdr:cxnSp macro="">
      <cdr:nvCxnSpPr>
        <cdr:cNvPr id="3" name="Straight Connector 2"/>
        <cdr:cNvCxnSpPr/>
      </cdr:nvCxnSpPr>
      <cdr:spPr>
        <a:xfrm xmlns:a="http://schemas.openxmlformats.org/drawingml/2006/main">
          <a:off x="6984235" y="341624"/>
          <a:ext cx="10122" cy="3779960"/>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5.xml><?xml version="1.0" encoding="utf-8"?>
<c:userShapes xmlns:c="http://schemas.openxmlformats.org/drawingml/2006/chart">
  <cdr:relSizeAnchor xmlns:cdr="http://schemas.openxmlformats.org/drawingml/2006/chartDrawing">
    <cdr:from>
      <cdr:x>0.11452</cdr:x>
      <cdr:y>0.17764</cdr:y>
    </cdr:from>
    <cdr:to>
      <cdr:x>0.3287</cdr:x>
      <cdr:y>0.5815</cdr:y>
    </cdr:to>
    <cdr:sp macro="" textlink="">
      <cdr:nvSpPr>
        <cdr:cNvPr id="11" name="Oval 10"/>
        <cdr:cNvSpPr/>
      </cdr:nvSpPr>
      <cdr:spPr>
        <a:xfrm xmlns:a="http://schemas.openxmlformats.org/drawingml/2006/main">
          <a:off x="802917" y="810478"/>
          <a:ext cx="1501659" cy="1842601"/>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0.19689</cdr:x>
      <cdr:y>0.10683</cdr:y>
    </cdr:from>
    <cdr:to>
      <cdr:x>0.43649</cdr:x>
      <cdr:y>0.1863</cdr:y>
    </cdr:to>
    <cdr:sp macro="" textlink="">
      <cdr:nvSpPr>
        <cdr:cNvPr id="6" name="TextBox 5"/>
        <cdr:cNvSpPr txBox="1"/>
      </cdr:nvSpPr>
      <cdr:spPr>
        <a:xfrm xmlns:a="http://schemas.openxmlformats.org/drawingml/2006/main">
          <a:off x="542978" y="288703"/>
          <a:ext cx="660789" cy="2147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0.33449</cdr:x>
      <cdr:y>0.74149</cdr:y>
    </cdr:from>
    <cdr:to>
      <cdr:x>0.5729</cdr:x>
      <cdr:y>0.79019</cdr:y>
    </cdr:to>
    <cdr:sp macro="" textlink="">
      <cdr:nvSpPr>
        <cdr:cNvPr id="7" name="TextBox 6"/>
        <cdr:cNvSpPr txBox="1"/>
      </cdr:nvSpPr>
      <cdr:spPr>
        <a:xfrm xmlns:a="http://schemas.openxmlformats.org/drawingml/2006/main">
          <a:off x="922459" y="2003913"/>
          <a:ext cx="657485" cy="1316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0.3287</cdr:x>
      <cdr:y>0.24444</cdr:y>
    </cdr:from>
    <cdr:to>
      <cdr:x>0.41157</cdr:x>
      <cdr:y>0.61707</cdr:y>
    </cdr:to>
    <cdr:sp macro="" textlink="">
      <cdr:nvSpPr>
        <cdr:cNvPr id="12" name="Oval 11"/>
        <cdr:cNvSpPr/>
      </cdr:nvSpPr>
      <cdr:spPr>
        <a:xfrm xmlns:a="http://schemas.openxmlformats.org/drawingml/2006/main">
          <a:off x="2304576" y="1115251"/>
          <a:ext cx="581025" cy="1700115"/>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0.11752</cdr:x>
      <cdr:y>0.2455</cdr:y>
    </cdr:from>
    <cdr:to>
      <cdr:x>0.43309</cdr:x>
      <cdr:y>0.31693</cdr:y>
    </cdr:to>
    <cdr:sp macro="" textlink="">
      <cdr:nvSpPr>
        <cdr:cNvPr id="18" name="TextBox 17"/>
        <cdr:cNvSpPr txBox="1"/>
      </cdr:nvSpPr>
      <cdr:spPr>
        <a:xfrm xmlns:a="http://schemas.openxmlformats.org/drawingml/2006/main">
          <a:off x="324091" y="663470"/>
          <a:ext cx="870279" cy="1930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0.23084</cdr:x>
      <cdr:y>0.52737</cdr:y>
    </cdr:from>
    <cdr:to>
      <cdr:x>0.50575</cdr:x>
      <cdr:y>0.58247</cdr:y>
    </cdr:to>
    <cdr:sp macro="" textlink="">
      <cdr:nvSpPr>
        <cdr:cNvPr id="19" name="TextBox 18"/>
        <cdr:cNvSpPr txBox="1"/>
      </cdr:nvSpPr>
      <cdr:spPr>
        <a:xfrm xmlns:a="http://schemas.openxmlformats.org/drawingml/2006/main">
          <a:off x="636607" y="1425249"/>
          <a:ext cx="758141" cy="1489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0.41429</cdr:x>
      <cdr:y>0.1902</cdr:y>
    </cdr:from>
    <cdr:to>
      <cdr:x>0.65611</cdr:x>
      <cdr:y>0.7217</cdr:y>
    </cdr:to>
    <cdr:sp macro="" textlink="">
      <cdr:nvSpPr>
        <cdr:cNvPr id="10" name="Oval 9"/>
        <cdr:cNvSpPr/>
      </cdr:nvSpPr>
      <cdr:spPr>
        <a:xfrm xmlns:a="http://schemas.openxmlformats.org/drawingml/2006/main">
          <a:off x="2904651" y="867783"/>
          <a:ext cx="1695451" cy="2424955"/>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0.40921</cdr:x>
      <cdr:y>0.25483</cdr:y>
    </cdr:from>
    <cdr:to>
      <cdr:x>0.64492</cdr:x>
      <cdr:y>0.38014</cdr:y>
    </cdr:to>
    <cdr:sp macro="" textlink="">
      <cdr:nvSpPr>
        <cdr:cNvPr id="13" name="TextBox 12"/>
        <cdr:cNvSpPr txBox="1"/>
      </cdr:nvSpPr>
      <cdr:spPr>
        <a:xfrm xmlns:a="http://schemas.openxmlformats.org/drawingml/2006/main">
          <a:off x="1128531" y="688694"/>
          <a:ext cx="650035" cy="3386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0.48436</cdr:x>
      <cdr:y>0.04154</cdr:y>
    </cdr:from>
    <cdr:to>
      <cdr:x>0.7198</cdr:x>
      <cdr:y>0.09851</cdr:y>
    </cdr:to>
    <cdr:sp macro="" textlink="">
      <cdr:nvSpPr>
        <cdr:cNvPr id="15" name="TextBox 1"/>
        <cdr:cNvSpPr txBox="1"/>
      </cdr:nvSpPr>
      <cdr:spPr>
        <a:xfrm xmlns:a="http://schemas.openxmlformats.org/drawingml/2006/main">
          <a:off x="1335769" y="112253"/>
          <a:ext cx="649289" cy="15396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0.65611</cdr:x>
      <cdr:y>0.09391</cdr:y>
    </cdr:from>
    <cdr:to>
      <cdr:x>0.86125</cdr:x>
      <cdr:y>0.75514</cdr:y>
    </cdr:to>
    <cdr:sp macro="" textlink="">
      <cdr:nvSpPr>
        <cdr:cNvPr id="16" name="Oval 15"/>
        <cdr:cNvSpPr/>
      </cdr:nvSpPr>
      <cdr:spPr>
        <a:xfrm xmlns:a="http://schemas.openxmlformats.org/drawingml/2006/main">
          <a:off x="4600088" y="454402"/>
          <a:ext cx="1438288" cy="3199494"/>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en-US">
            <a:effectLst/>
          </a:endParaRPr>
        </a:p>
      </cdr:txBody>
    </cdr:sp>
  </cdr:relSizeAnchor>
  <cdr:relSizeAnchor xmlns:cdr="http://schemas.openxmlformats.org/drawingml/2006/chartDrawing">
    <cdr:from>
      <cdr:x>0.63166</cdr:x>
      <cdr:y>0.58667</cdr:y>
    </cdr:from>
    <cdr:to>
      <cdr:x>0.92126</cdr:x>
      <cdr:y>0.67883</cdr:y>
    </cdr:to>
    <cdr:sp macro="" textlink="">
      <cdr:nvSpPr>
        <cdr:cNvPr id="20" name="TextBox 1"/>
        <cdr:cNvSpPr txBox="1"/>
      </cdr:nvSpPr>
      <cdr:spPr>
        <a:xfrm xmlns:a="http://schemas.openxmlformats.org/drawingml/2006/main">
          <a:off x="1741991" y="1585511"/>
          <a:ext cx="798652" cy="2490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0.02046</cdr:x>
      <cdr:y>0.88199</cdr:y>
    </cdr:from>
    <cdr:to>
      <cdr:x>0.4218</cdr:x>
      <cdr:y>1</cdr:y>
    </cdr:to>
    <cdr:sp macro="" textlink="">
      <cdr:nvSpPr>
        <cdr:cNvPr id="15" name="TextBox 2"/>
        <cdr:cNvSpPr txBox="1"/>
      </cdr:nvSpPr>
      <cdr:spPr>
        <a:xfrm xmlns:a="http://schemas.openxmlformats.org/drawingml/2006/main">
          <a:off x="56424" y="2465408"/>
          <a:ext cx="1106831" cy="3298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0.72609</cdr:x>
      <cdr:y>0.00227</cdr:y>
    </cdr:from>
    <cdr:to>
      <cdr:x>1</cdr:x>
      <cdr:y>0.12438</cdr:y>
    </cdr:to>
    <cdr:sp macro="" textlink="">
      <cdr:nvSpPr>
        <cdr:cNvPr id="17" name="TextBox 1"/>
        <cdr:cNvSpPr txBox="1"/>
      </cdr:nvSpPr>
      <cdr:spPr>
        <a:xfrm xmlns:a="http://schemas.openxmlformats.org/drawingml/2006/main">
          <a:off x="2002420" y="6345"/>
          <a:ext cx="755385" cy="34133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0.66523</cdr:x>
      <cdr:y>0.88613</cdr:y>
    </cdr:from>
    <cdr:to>
      <cdr:x>1</cdr:x>
      <cdr:y>1</cdr:y>
    </cdr:to>
    <cdr:sp macro="" textlink="">
      <cdr:nvSpPr>
        <cdr:cNvPr id="18" name="TextBox 1"/>
        <cdr:cNvSpPr txBox="1"/>
      </cdr:nvSpPr>
      <cdr:spPr>
        <a:xfrm xmlns:a="http://schemas.openxmlformats.org/drawingml/2006/main">
          <a:off x="1834588" y="2476983"/>
          <a:ext cx="923217" cy="3182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cdr:x>
      <cdr:y>0</cdr:y>
    </cdr:from>
    <cdr:to>
      <cdr:x>0.31898</cdr:x>
      <cdr:y>0.12211</cdr:y>
    </cdr:to>
    <cdr:sp macro="" textlink="">
      <cdr:nvSpPr>
        <cdr:cNvPr id="19" name="TextBox 1"/>
        <cdr:cNvSpPr txBox="1"/>
      </cdr:nvSpPr>
      <cdr:spPr>
        <a:xfrm xmlns:a="http://schemas.openxmlformats.org/drawingml/2006/main">
          <a:off x="0" y="0"/>
          <a:ext cx="879676" cy="3413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0.0846</cdr:x>
      <cdr:y>0.63549</cdr:y>
    </cdr:from>
    <cdr:to>
      <cdr:x>0.9665</cdr:x>
      <cdr:y>0.63845</cdr:y>
    </cdr:to>
    <cdr:sp macro="" textlink="">
      <cdr:nvSpPr>
        <cdr:cNvPr id="3" name="Straight Connector 2"/>
        <cdr:cNvSpPr/>
      </cdr:nvSpPr>
      <cdr:spPr>
        <a:xfrm xmlns:a="http://schemas.openxmlformats.org/drawingml/2006/main">
          <a:off x="529167" y="2804584"/>
          <a:ext cx="5516061" cy="13054"/>
        </a:xfrm>
        <a:prstGeom xmlns:a="http://schemas.openxmlformats.org/drawingml/2006/main" prst="line">
          <a:avLst/>
        </a:prstGeom>
        <a:ln xmlns:a="http://schemas.openxmlformats.org/drawingml/2006/main" w="15875">
          <a:solidFill>
            <a:schemeClr val="dk1">
              <a:shade val="95000"/>
              <a:satMod val="105000"/>
              <a:alpha val="70000"/>
            </a:schemeClr>
          </a:solidFill>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0.07445</cdr:x>
      <cdr:y>0.17658</cdr:y>
    </cdr:from>
    <cdr:to>
      <cdr:x>0.97329</cdr:x>
      <cdr:y>0.18192</cdr:y>
    </cdr:to>
    <cdr:cxnSp macro="">
      <cdr:nvCxnSpPr>
        <cdr:cNvPr id="4" name="Straight Connector 3">
          <a:extLst xmlns:a="http://schemas.openxmlformats.org/drawingml/2006/main">
            <a:ext uri="{FF2B5EF4-FFF2-40B4-BE49-F238E27FC236}">
              <a16:creationId xmlns:a16="http://schemas.microsoft.com/office/drawing/2014/main" id="{12B4E1F9-C0BE-5F5D-96A4-48B91145F0C8}"/>
            </a:ext>
          </a:extLst>
        </cdr:cNvPr>
        <cdr:cNvCxnSpPr/>
      </cdr:nvCxnSpPr>
      <cdr:spPr>
        <a:xfrm xmlns:a="http://schemas.openxmlformats.org/drawingml/2006/main" flipV="1">
          <a:off x="465652" y="779308"/>
          <a:ext cx="5622019" cy="23567"/>
        </a:xfrm>
        <a:prstGeom xmlns:a="http://schemas.openxmlformats.org/drawingml/2006/main" prst="line">
          <a:avLst/>
        </a:prstGeom>
        <a:ln xmlns:a="http://schemas.openxmlformats.org/drawingml/2006/main" w="15875">
          <a:solidFill>
            <a:schemeClr val="accent2">
              <a:shade val="95000"/>
              <a:satMod val="105000"/>
              <a:alpha val="70000"/>
            </a:schemeClr>
          </a:solidFill>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0.07073</cdr:x>
      <cdr:y>0.33466</cdr:y>
    </cdr:from>
    <cdr:to>
      <cdr:x>0.97335</cdr:x>
      <cdr:y>0.33705</cdr:y>
    </cdr:to>
    <cdr:sp macro="" textlink="">
      <cdr:nvSpPr>
        <cdr:cNvPr id="5" name="Straight Connector 4"/>
        <cdr:cNvSpPr/>
      </cdr:nvSpPr>
      <cdr:spPr>
        <a:xfrm xmlns:a="http://schemas.openxmlformats.org/drawingml/2006/main">
          <a:off x="442385" y="1476950"/>
          <a:ext cx="5645662" cy="10548"/>
        </a:xfrm>
        <a:prstGeom xmlns:a="http://schemas.openxmlformats.org/drawingml/2006/main" prst="line">
          <a:avLst/>
        </a:prstGeom>
        <a:ln xmlns:a="http://schemas.openxmlformats.org/drawingml/2006/main" w="15875">
          <a:solidFill>
            <a:schemeClr val="accent3">
              <a:lumMod val="75000"/>
              <a:alpha val="70000"/>
            </a:schemeClr>
          </a:solidFill>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en-US" sz="700"/>
        </a:p>
      </cdr:txBody>
    </cdr:sp>
  </cdr:relSizeAnchor>
</c:userShapes>
</file>

<file path=word/drawings/drawing3.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0.05959</cdr:x>
      <cdr:y>0.18641</cdr:y>
    </cdr:from>
    <cdr:to>
      <cdr:x>0.46719</cdr:x>
      <cdr:y>0.42239</cdr:y>
    </cdr:to>
    <cdr:sp macro="" textlink="">
      <cdr:nvSpPr>
        <cdr:cNvPr id="2" name="TextBox 1"/>
        <cdr:cNvSpPr txBox="1"/>
      </cdr:nvSpPr>
      <cdr:spPr>
        <a:xfrm xmlns:a="http://schemas.openxmlformats.org/drawingml/2006/main">
          <a:off x="79374" y="228171"/>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0.1863</cdr:y>
    </cdr:from>
    <cdr:to>
      <cdr:x>0.91769</cdr:x>
      <cdr:y>0.42228</cdr:y>
    </cdr:to>
    <cdr:sp macro="" textlink="">
      <cdr:nvSpPr>
        <cdr:cNvPr id="3" name="TextBox 1"/>
        <cdr:cNvSpPr txBox="1"/>
      </cdr:nvSpPr>
      <cdr:spPr>
        <a:xfrm xmlns:a="http://schemas.openxmlformats.org/drawingml/2006/main">
          <a:off x="679452" y="22803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0.17863</cdr:y>
    </cdr:from>
    <cdr:to>
      <cdr:x>0.46719</cdr:x>
      <cdr:y>0.41461</cdr:y>
    </cdr:to>
    <cdr:sp macro="" textlink="">
      <cdr:nvSpPr>
        <cdr:cNvPr id="2" name="TextBox 1"/>
        <cdr:cNvSpPr txBox="1"/>
      </cdr:nvSpPr>
      <cdr:spPr>
        <a:xfrm xmlns:a="http://schemas.openxmlformats.org/drawingml/2006/main">
          <a:off x="79374" y="218646"/>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0.178</cdr:y>
    </cdr:from>
    <cdr:to>
      <cdr:x>0.92484</cdr:x>
      <cdr:y>0.41398</cdr:y>
    </cdr:to>
    <cdr:sp macro="" textlink="">
      <cdr:nvSpPr>
        <cdr:cNvPr id="3" name="TextBox 1"/>
        <cdr:cNvSpPr txBox="1"/>
      </cdr:nvSpPr>
      <cdr:spPr>
        <a:xfrm xmlns:a="http://schemas.openxmlformats.org/drawingml/2006/main">
          <a:off x="688977" y="217873"/>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0.06674</cdr:x>
      <cdr:y>0.55806</cdr:y>
    </cdr:from>
    <cdr:to>
      <cdr:x>0.47434</cdr:x>
      <cdr:y>0.79129</cdr:y>
    </cdr:to>
    <cdr:sp macro="" textlink="">
      <cdr:nvSpPr>
        <cdr:cNvPr id="2" name="TextBox 1"/>
        <cdr:cNvSpPr txBox="1"/>
      </cdr:nvSpPr>
      <cdr:spPr>
        <a:xfrm xmlns:a="http://schemas.openxmlformats.org/drawingml/2006/main">
          <a:off x="89083" y="561319"/>
          <a:ext cx="544052" cy="23459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0.05959</cdr:x>
      <cdr:y>0.55752</cdr:y>
    </cdr:from>
    <cdr:to>
      <cdr:x>0.47911</cdr:x>
      <cdr:y>0.84798</cdr:y>
    </cdr:to>
    <cdr:sp macro="" textlink="">
      <cdr:nvSpPr>
        <cdr:cNvPr id="2" name="TextBox 1"/>
        <cdr:cNvSpPr txBox="1"/>
      </cdr:nvSpPr>
      <cdr:spPr>
        <a:xfrm xmlns:a="http://schemas.openxmlformats.org/drawingml/2006/main">
          <a:off x="79374" y="561977"/>
          <a:ext cx="558801" cy="29278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0.55538</cdr:y>
    </cdr:from>
    <cdr:to>
      <cdr:x>0.92484</cdr:x>
      <cdr:y>0.79136</cdr:y>
    </cdr:to>
    <cdr:sp macro="" textlink="">
      <cdr:nvSpPr>
        <cdr:cNvPr id="3" name="TextBox 1"/>
        <cdr:cNvSpPr txBox="1"/>
      </cdr:nvSpPr>
      <cdr:spPr>
        <a:xfrm xmlns:a="http://schemas.openxmlformats.org/drawingml/2006/main">
          <a:off x="688977" y="559824"/>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0.16348</cdr:y>
    </cdr:from>
    <cdr:to>
      <cdr:x>0.46719</cdr:x>
      <cdr:y>0.39947</cdr:y>
    </cdr:to>
    <cdr:sp macro="" textlink="">
      <cdr:nvSpPr>
        <cdr:cNvPr id="2" name="TextBox 1"/>
        <cdr:cNvSpPr txBox="1"/>
      </cdr:nvSpPr>
      <cdr:spPr>
        <a:xfrm xmlns:a="http://schemas.openxmlformats.org/drawingml/2006/main">
          <a:off x="79374" y="200105"/>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0.16474</cdr:y>
    </cdr:from>
    <cdr:to>
      <cdr:x>0.92484</cdr:x>
      <cdr:y>0.40072</cdr:y>
    </cdr:to>
    <cdr:sp macro="" textlink="">
      <cdr:nvSpPr>
        <cdr:cNvPr id="3" name="TextBox 1"/>
        <cdr:cNvSpPr txBox="1"/>
      </cdr:nvSpPr>
      <cdr:spPr>
        <a:xfrm xmlns:a="http://schemas.openxmlformats.org/drawingml/2006/main">
          <a:off x="688978" y="201647"/>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0.04594</cdr:x>
      <cdr:y>0.20553</cdr:y>
    </cdr:from>
    <cdr:to>
      <cdr:x>0.45354</cdr:x>
      <cdr:y>0.4415</cdr:y>
    </cdr:to>
    <cdr:sp macro="" textlink="">
      <cdr:nvSpPr>
        <cdr:cNvPr id="2" name="TextBox 1"/>
        <cdr:cNvSpPr txBox="1"/>
      </cdr:nvSpPr>
      <cdr:spPr>
        <a:xfrm xmlns:a="http://schemas.openxmlformats.org/drawingml/2006/main">
          <a:off x="64108" y="246999"/>
          <a:ext cx="568806" cy="28358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0.15508</cdr:y>
    </cdr:from>
    <cdr:to>
      <cdr:x>0.92484</cdr:x>
      <cdr:y>0.39106</cdr:y>
    </cdr:to>
    <cdr:sp macro="" textlink="">
      <cdr:nvSpPr>
        <cdr:cNvPr id="3" name="TextBox 1"/>
        <cdr:cNvSpPr txBox="1"/>
      </cdr:nvSpPr>
      <cdr:spPr>
        <a:xfrm xmlns:a="http://schemas.openxmlformats.org/drawingml/2006/main">
          <a:off x="688977" y="18981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E9AD0-7D5B-4ED6-87A9-AE5DB45C7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50252</Words>
  <Characters>286437</Characters>
  <Application>Microsoft Office Word</Application>
  <DocSecurity>0</DocSecurity>
  <Lines>2386</Lines>
  <Paragraphs>672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Jevtović</dc:creator>
  <cp:keywords/>
  <dc:description/>
  <cp:lastModifiedBy>Ivana Vojinović</cp:lastModifiedBy>
  <cp:revision>2</cp:revision>
  <cp:lastPrinted>2025-06-18T10:26:00Z</cp:lastPrinted>
  <dcterms:created xsi:type="dcterms:W3CDTF">2025-06-23T08:31:00Z</dcterms:created>
  <dcterms:modified xsi:type="dcterms:W3CDTF">2025-06-23T08:31:00Z</dcterms:modified>
</cp:coreProperties>
</file>