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010" w:rsidRPr="00457CF6" w:rsidRDefault="00457CF6" w:rsidP="00F141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. 83/14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46/15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112/15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20/16 -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</w:t>
      </w:r>
      <w:r w:rsidR="00D17F88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16/11,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68/12 -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7/14 -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 44/14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632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30/18 -</w:t>
      </w:r>
      <w:r w:rsidR="00920FA4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920FA4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1C1010" w:rsidRPr="00457CF6" w:rsidRDefault="001C1010" w:rsidP="004563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456329" w:rsidRPr="00457CF6" w:rsidRDefault="00456329" w:rsidP="004563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1C1010" w:rsidRPr="00457CF6" w:rsidRDefault="00457CF6" w:rsidP="004563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1C1010" w:rsidRPr="00457CF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1C1010" w:rsidRPr="00457CF6" w:rsidRDefault="001C1010" w:rsidP="004563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noProof/>
          <w:color w:val="000000"/>
          <w:lang w:val="sr-Latn-CS"/>
        </w:rPr>
      </w:pPr>
    </w:p>
    <w:p w:rsidR="001C1010" w:rsidRPr="00457CF6" w:rsidRDefault="001C1010" w:rsidP="004563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C1010" w:rsidRPr="00457CF6" w:rsidRDefault="00457CF6" w:rsidP="004563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1C1010" w:rsidRPr="00457CF6" w:rsidRDefault="00457CF6" w:rsidP="004563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KUPCA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1C1010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</w:p>
    <w:p w:rsidR="001C1010" w:rsidRPr="00457CF6" w:rsidRDefault="001C1010" w:rsidP="00456329">
      <w:pPr>
        <w:spacing w:after="0" w:line="240" w:lineRule="auto"/>
        <w:jc w:val="center"/>
        <w:rPr>
          <w:rFonts w:ascii="Arial" w:eastAsia="Times New Roman" w:hAnsi="Arial" w:cs="Arial"/>
          <w:noProof/>
          <w:sz w:val="31"/>
          <w:szCs w:val="31"/>
          <w:lang w:val="sr-Latn-CS" w:eastAsia="sr-Latn-RS"/>
        </w:rPr>
      </w:pPr>
    </w:p>
    <w:p w:rsidR="00456329" w:rsidRPr="00457CF6" w:rsidRDefault="00456329" w:rsidP="00456329">
      <w:pPr>
        <w:spacing w:after="0" w:line="240" w:lineRule="auto"/>
        <w:jc w:val="center"/>
        <w:rPr>
          <w:rFonts w:ascii="Arial" w:eastAsia="Times New Roman" w:hAnsi="Arial" w:cs="Arial"/>
          <w:noProof/>
          <w:sz w:val="31"/>
          <w:szCs w:val="31"/>
          <w:lang w:val="sr-Latn-CS" w:eastAsia="sr-Latn-RS"/>
        </w:rPr>
      </w:pPr>
    </w:p>
    <w:p w:rsidR="001C1010" w:rsidRPr="00457CF6" w:rsidRDefault="001C1010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I.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456329" w:rsidRPr="00457CF6" w:rsidRDefault="00456329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0" w:name="clan_1"/>
      <w:bookmarkEnd w:id="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1. </w:t>
      </w:r>
    </w:p>
    <w:p w:rsidR="00456329" w:rsidRPr="00457CF6" w:rsidRDefault="00457CF6" w:rsidP="00456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bliže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propisuje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).</w:t>
      </w:r>
    </w:p>
    <w:p w:rsidR="001C1010" w:rsidRPr="00457CF6" w:rsidRDefault="001C1010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1C1010" w:rsidRPr="00457CF6" w:rsidRDefault="00457CF6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" w:name="clan_2"/>
      <w:bookmarkEnd w:id="1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2.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="00AA42EA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kontroliše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obuhvata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celokupnog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društva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A7140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1C1010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bookmarkStart w:id="2" w:name="str_2"/>
      <w:bookmarkEnd w:id="2"/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II.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EC32BB" w:rsidRPr="00457CF6" w:rsidRDefault="00EC32BB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3" w:name="clan_3"/>
      <w:bookmarkEnd w:id="3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3.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sprovodi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vreme</w:t>
      </w:r>
      <w:r w:rsidR="00782F4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trajanja</w:t>
      </w:r>
      <w:r w:rsidR="00782F4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782F4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782F4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782F4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uređuje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privatizacija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zakonom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uređuju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procene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="00D17F8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nepokretnosti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rokovima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M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inistarstva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dokumentaciju</w:t>
      </w:r>
      <w:r w:rsidR="00A7140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A7140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Priloga</w:t>
      </w:r>
      <w:r w:rsidR="00A7140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odštampan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čini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njen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sastavni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smatraće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sprovodi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dospeću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isteku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tačnost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potpunost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podataka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M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inistarstvu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radi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sprovođenja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odgovorni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krivičnom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materijalnom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odgovornošću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zastupanje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4563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4" w:name="clan_4"/>
      <w:bookmarkEnd w:id="4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4.</w:t>
      </w:r>
    </w:p>
    <w:p w:rsidR="001C1010" w:rsidRPr="00457CF6" w:rsidRDefault="00457CF6" w:rsidP="00AA42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 M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kontroliše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1C1010" w:rsidP="00F14876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(1)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rokovima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način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obliku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(2)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aktiviran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funkciji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obavljanja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delatnosti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trenutku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funkciji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isteka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najdužeg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(3)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isteka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najdužeg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kontinuiteta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pretežnoj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delatnosti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(1)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parametrima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parametri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kontinuiteta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pretežnoj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delatnosti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kontroliše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parametrima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(2)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pokrenuta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subjekata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obavljali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(3)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pad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prihoda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40%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prihode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zaključenju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danu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nastupanja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pravne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prodaje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hipoteke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zaloge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konkretne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(1)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izračunava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stavljanjem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vrednošću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pozicije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„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ˮ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poslednjem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(2)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izračunava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stavljanjem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vrednošću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poslednjem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radnom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došlo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smanjivanja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redovne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isplate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zarada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zaposlenima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dospevaju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važenja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istekom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kontrolisanog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isplatu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zarada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kontrolisanom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došlo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7)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objavio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bezuslovnu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8)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uputio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1C1010" w:rsidRPr="00457CF6" w:rsidRDefault="001C1010" w:rsidP="00F148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9)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navedene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kontrolišu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5" w:name="clan_5"/>
      <w:bookmarkEnd w:id="5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5.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strateškog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investitora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zaključenih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daljem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="00F14876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,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raskidu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davanju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1C1010" w:rsidRPr="00457CF6" w:rsidRDefault="00457CF6" w:rsidP="004563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6" w:name="clan_6"/>
      <w:bookmarkEnd w:id="6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6.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utvrđuje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ispunjenost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uslova</w:t>
      </w:r>
      <w:r w:rsidR="004C10E1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davanje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dopunu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ustupanje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Prilogom</w:t>
      </w:r>
      <w:r w:rsidR="00D9317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2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odštampan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čini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njen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sastavni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utvrđuje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predlog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Pisani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obrazloženi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572F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7" w:name="clan_7"/>
      <w:bookmarkEnd w:id="7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7.</w:t>
      </w:r>
    </w:p>
    <w:p w:rsidR="001C1010" w:rsidRPr="00457CF6" w:rsidRDefault="00457CF6" w:rsidP="00F148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pruža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administrativno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tehničku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pomoć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materijale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materijale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razmatranje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davanje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priprema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zapisnike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sednica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pruža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informacije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statusu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572F3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8" w:name="clan_8"/>
      <w:bookmarkEnd w:id="8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8.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oceni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dostavio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dokaze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preduzeo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ostaviti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najviše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uzastopna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oceni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dostavio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dokaze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preduzeo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aktivnosti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cilju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drugačije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određeno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9717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9" w:name="clan_9"/>
      <w:bookmarkEnd w:id="9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9.</w:t>
      </w:r>
    </w:p>
    <w:p w:rsidR="001C1010" w:rsidRPr="00457CF6" w:rsidRDefault="00457CF6" w:rsidP="004563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izvršavanje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60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obaveštenja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drugačije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određeno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457CF6" w:rsidP="000A0D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Izuzetno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izvršavanje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bankarske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revizorskog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obaveštenja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drugačije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određeno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D93179" w:rsidRPr="00457CF6" w:rsidRDefault="00D93179" w:rsidP="000A0D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9717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0" w:name="clan_10"/>
      <w:bookmarkEnd w:id="10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10.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doneti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dužem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kraćem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trajanju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slučaju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razloga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dužeg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D93179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1)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trajanje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odgovarajućeg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pribavljanje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dozvola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odobrenja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obrada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</w:t>
      </w:r>
      <w:r w:rsidR="00D9317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kašnjenje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razloga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mogao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utiče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>3</w:t>
      </w:r>
      <w:r w:rsidR="00D93179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)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sezonski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karakter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kraćeg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D93179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1)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sprečavanje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negativnih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posledica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zaposlene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1C1010" w:rsidRPr="00457CF6" w:rsidRDefault="00D93179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2)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preduzimanja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hitnih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9717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1" w:name="clan_11"/>
      <w:bookmarkEnd w:id="11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11.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određen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podrazumeva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jednu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više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produženjem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9717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2" w:name="clan_12"/>
      <w:bookmarkEnd w:id="12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12.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stekli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raskinutim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zbog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neispunjenja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otkloni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povrede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9717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3" w:name="clan_13"/>
      <w:bookmarkEnd w:id="13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13.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preduzimanje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primenjuju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8-11.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CD2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4" w:name="clan_14"/>
      <w:bookmarkEnd w:id="14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14.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donosi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stekli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smatra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raskinutim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zbog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neispunjenja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ostavljenom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otkloni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povrede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54.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CD2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5" w:name="clan_15"/>
      <w:bookmarkEnd w:id="15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15.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sprovedene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sačinjava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izvršavanju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naročito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uvodni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podaci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naziv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matični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registrovana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delatnost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struktura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podaci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naziv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matični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podaci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datum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zaključenja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datum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nastupanja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datume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preduzetim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C0576B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dospeću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naknadnom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</w:p>
    <w:p w:rsidR="001C1010" w:rsidRPr="00457CF6" w:rsidRDefault="000A0D04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opis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mišljenje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Ministarstva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svake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predlogom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specifikaciju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dokumentacije</w:t>
      </w:r>
      <w:r w:rsidR="00E5644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E5644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="00E5644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5644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56448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sačinjen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1C1010" w:rsidRPr="00457CF6" w:rsidRDefault="001C1010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1C1010" w:rsidP="004563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bookmarkStart w:id="16" w:name="str_3"/>
      <w:bookmarkEnd w:id="16"/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III.</w:t>
      </w:r>
      <w:r w:rsidR="000A0D04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PRELAZNA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ZAVRŠNE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</w:p>
    <w:p w:rsidR="00EC32BB" w:rsidRPr="00457CF6" w:rsidRDefault="00EC32BB" w:rsidP="004563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CD2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bookmarkStart w:id="17" w:name="clan_16"/>
      <w:bookmarkEnd w:id="17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16.</w:t>
      </w:r>
    </w:p>
    <w:p w:rsidR="001C1010" w:rsidRPr="00457CF6" w:rsidRDefault="00C0576B" w:rsidP="00C0576B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       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započet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stupanja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snagu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nastaviće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odredbama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C32BB" w:rsidRPr="00457CF6" w:rsidRDefault="00EC32BB" w:rsidP="00456329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1C1010" w:rsidRPr="00457CF6" w:rsidRDefault="00457CF6" w:rsidP="00CD2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lastRenderedPageBreak/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17.</w:t>
      </w:r>
    </w:p>
    <w:p w:rsidR="001C1010" w:rsidRPr="00457CF6" w:rsidRDefault="00457CF6" w:rsidP="00456329">
      <w:pPr>
        <w:spacing w:after="0" w:line="240" w:lineRule="auto"/>
        <w:ind w:firstLine="709"/>
        <w:jc w:val="both"/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Danom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stupanja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snagu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ove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uredbe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prestaje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da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važi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1C1010" w:rsidRPr="00457CF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postupku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kontrole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izvršenja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ugovornih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obaveza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kupca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iz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ugovora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o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prodaji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kapitala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ili</w:t>
      </w:r>
      <w:r w:rsidR="00C0576B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imovine</w:t>
      </w:r>
      <w:r w:rsidR="00C0576B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Službeni</w:t>
      </w:r>
      <w:r w:rsidR="00C0576B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glasnik</w:t>
      </w:r>
      <w:r w:rsidR="00C0576B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RS</w:t>
      </w:r>
      <w:r w:rsidR="00C0576B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”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br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. 69/15, 12/16 </w:t>
      </w:r>
      <w:r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>i</w:t>
      </w:r>
      <w:r w:rsidR="001C1010" w:rsidRPr="00457CF6">
        <w:rPr>
          <w:rFonts w:ascii="Times New Roman" w:hAnsi="Times New Roman"/>
          <w:bCs/>
          <w:noProof/>
          <w:color w:val="000000"/>
          <w:sz w:val="24"/>
          <w:szCs w:val="24"/>
          <w:lang w:val="sr-Latn-CS"/>
        </w:rPr>
        <w:t xml:space="preserve"> 78/17).</w:t>
      </w:r>
    </w:p>
    <w:p w:rsidR="00EC32BB" w:rsidRPr="00457CF6" w:rsidRDefault="00EC32BB" w:rsidP="004563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1C1010" w:rsidRPr="00457CF6" w:rsidRDefault="00457CF6" w:rsidP="00CD23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>Član</w:t>
      </w:r>
      <w:r w:rsidR="001C1010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18.</w:t>
      </w:r>
    </w:p>
    <w:p w:rsidR="001C1010" w:rsidRPr="00457CF6" w:rsidRDefault="00457CF6" w:rsidP="000E5C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uredba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stupa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snagu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narednog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objavljivanja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Službenom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glasniku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Republike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="00C0576B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”</w:t>
      </w:r>
      <w:r w:rsidR="001C1010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BA2726" w:rsidRPr="00457CF6" w:rsidRDefault="00BA2726" w:rsidP="00456329">
      <w:pPr>
        <w:spacing w:after="0" w:line="240" w:lineRule="auto"/>
        <w:rPr>
          <w:noProof/>
          <w:lang w:val="sr-Latn-CS"/>
        </w:rPr>
      </w:pPr>
    </w:p>
    <w:p w:rsidR="00EC32BB" w:rsidRPr="00457CF6" w:rsidRDefault="00EC32BB" w:rsidP="00456329">
      <w:pPr>
        <w:spacing w:after="0" w:line="240" w:lineRule="auto"/>
        <w:jc w:val="right"/>
        <w:rPr>
          <w:noProof/>
          <w:lang w:val="sr-Latn-CS"/>
        </w:rPr>
      </w:pPr>
    </w:p>
    <w:p w:rsidR="00EC32BB" w:rsidRPr="00457CF6" w:rsidRDefault="00EC32BB" w:rsidP="00456329">
      <w:pPr>
        <w:spacing w:after="0" w:line="240" w:lineRule="auto"/>
        <w:jc w:val="right"/>
        <w:rPr>
          <w:noProof/>
          <w:lang w:val="sr-Latn-CS"/>
        </w:rPr>
      </w:pPr>
    </w:p>
    <w:p w:rsidR="00920FA4" w:rsidRPr="00457CF6" w:rsidRDefault="00E05E7E" w:rsidP="00EC32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22569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110-5570/2018</w:t>
      </w:r>
    </w:p>
    <w:p w:rsidR="00920FA4" w:rsidRPr="00457CF6" w:rsidRDefault="00457CF6" w:rsidP="00EC32B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20FA4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920FA4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05E7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1420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juna</w:t>
      </w:r>
      <w:r w:rsidR="0071420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05E7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</w:p>
    <w:p w:rsidR="00C0576B" w:rsidRPr="00457CF6" w:rsidRDefault="00C0576B" w:rsidP="00EC32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576B" w:rsidRPr="00457CF6" w:rsidRDefault="00C0576B" w:rsidP="00EC32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20FA4" w:rsidRPr="00457CF6" w:rsidRDefault="00457CF6" w:rsidP="00EC32BB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EC32BB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EC32BB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AD</w:t>
      </w:r>
      <w:r w:rsidR="00EC32BB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p w:rsidR="00EC32BB" w:rsidRPr="00457CF6" w:rsidRDefault="00EC32BB" w:rsidP="00EC32BB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20FA4" w:rsidRPr="00457CF6" w:rsidRDefault="00457CF6" w:rsidP="00EC32BB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EC32BB" w:rsidRPr="00457CF6" w:rsidRDefault="00EC32BB" w:rsidP="00456329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7895" w:rsidRPr="00457CF6" w:rsidRDefault="00457CF6" w:rsidP="00EC32BB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="00920FA4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Brnabić</w:t>
      </w:r>
      <w:r w:rsidR="0071420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71420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71420E"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07895" w:rsidRPr="00457CF6" w:rsidRDefault="00E07895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E07895" w:rsidRPr="00457CF6" w:rsidRDefault="00457CF6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lastRenderedPageBreak/>
        <w:t>Prilog</w:t>
      </w:r>
      <w:r w:rsidR="00E07895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1. </w:t>
      </w:r>
    </w:p>
    <w:p w:rsidR="00E07895" w:rsidRPr="00457CF6" w:rsidRDefault="00E07895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457CF6" w:rsidP="00E0789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="00E07895"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="00E07895"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="00E07895"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1)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nabavka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–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nenovčani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unosu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nepokretnost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vlasnik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unetog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postoje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potraživanja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trećih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uneto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opterećeno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zalogom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funkciji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obavljanja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saobraćajna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dozvola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ime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podležu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registraciji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strane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postao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vlasnik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registara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saobraćajna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dozvola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polisa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osiguranja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gde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primenljivo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zapisnik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prijemu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stavljanju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funkciju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knjigovodstvena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kartica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unetog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2)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nabavka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–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novčani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uplatio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ugovoreni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novčanih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račun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faktura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dobavljača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platio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dobavljaču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strane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postao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vlasnik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registara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saobraćajna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dozvola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polisa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osiguranja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gde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primenljivo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);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zapisnik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prijemu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stavljanju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funkciju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knjigovodstvena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kartica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kupljenog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3)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izgradnja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rekonstrukcija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objekata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ostvaruje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pravo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izgradnje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rekonstrukcije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potvrda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konkretne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radove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objekat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potreban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objekat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upisan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list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nepokretnosti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vlasnički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list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vlasništvo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tereta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građenju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adaptaciji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rekonstrukciji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okončana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situacija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zapisnik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prijemu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radova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knjigovodstvena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kartica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izgrađenog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rekonstruisanog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uplatu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račun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platio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izvođaču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sopstvenih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plaćanje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izvođaču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dokazuje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vrednost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radova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objekat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priveden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nameni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4)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nematerijalno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dobavljačima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fakture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dobavljača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sopstvenih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plaćanje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fakturi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uplatio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ugovoreni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račun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strane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sudskog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veštaka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licenciranog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procenitelja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zapisnik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prijemu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knjigovodstvena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kartica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evidentirano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nematerijalno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5)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ostalo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fakture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dobavljača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plaćanju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knjigovodstveno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evidentiranje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ulaganja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6)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nakon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prihvatanja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Centralnom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registru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depou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kliringu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hartija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Agenciji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privredne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registre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upis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dokapitalizacije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funkciji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isteka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najdužeg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);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overena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beležnika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isteka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najdužeg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roka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raspolagano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predmetom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neki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sledećih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načina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prodaja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zakup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razmena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zaloga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hipoteka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2.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vezi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redovnom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isplatom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zarada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zaposlenima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specifikacija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izvršenih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isplata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mesecima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brojem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neto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zaradama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porezima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doprinosima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potpisana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strane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uplaćenim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zaradama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pripadajućim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porezima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doprinosima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zarade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izvodi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računa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poreske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prijave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eventualno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drugi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dokazi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uplati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).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3.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otpuštanja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tehnološkog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viška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li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bilo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otpuštanja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zaposlenih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tehnološkog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viška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akta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kojih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eventualno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prestao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radni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odnos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zaposlene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rešenje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odluka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prestanku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radnog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>odnosa</w:t>
      </w:r>
      <w:r w:rsidRPr="00457CF6">
        <w:rPr>
          <w:rFonts w:ascii="Times New Roman" w:hAnsi="Times New Roman" w:cs="Times New Roman"/>
          <w:noProof/>
          <w:sz w:val="24"/>
          <w:szCs w:val="24"/>
          <w:lang w:val="sr-Latn-CS" w:eastAsia="sr-Latn-RS"/>
        </w:rPr>
        <w:t xml:space="preserve">).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4.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podatak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Centralnog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depoa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kliringa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Agencije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vlasničkog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računa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podatak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Centralnog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depoa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kliringa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Agencije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kontinuiteta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kopije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godišnjih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periodičnih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finansijskih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uspeha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bruto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predprivatizacionog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kontrolisanog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perioda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fizičke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pokazatelje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proizvodnji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pruženim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uslugama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7.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opterećenju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zaključni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poslednjeg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knjiženja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analitičke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kartice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sadašnju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analitičke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kartice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grupe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učešće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kapitalu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drugih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nematerijalnih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došlo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Narodne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Agencije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izveštaj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kreditnog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biroa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listovi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nepokretnosti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nepokretnosti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ab/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pozicije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okviru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hipoteke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zaloge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). </w:t>
      </w:r>
    </w:p>
    <w:p w:rsidR="00E07895" w:rsidRPr="00457CF6" w:rsidRDefault="00E07895" w:rsidP="00E0789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8.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zabrane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kartice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Agencije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nepokretnosti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9.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rešenje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Komisije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hartije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podnetom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odobrenje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objavljivanja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preuzimanje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objavljen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dnevnim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novinama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10.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Dokumentacija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odluka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upućivanju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prenos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udela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članovima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društva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>
      <w:pP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br w:type="page"/>
      </w:r>
    </w:p>
    <w:p w:rsidR="00E07895" w:rsidRPr="00457CF6" w:rsidRDefault="00457CF6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lastRenderedPageBreak/>
        <w:t>Prilog</w:t>
      </w:r>
      <w:r w:rsidR="00E07895" w:rsidRPr="00457CF6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  <w:t xml:space="preserve"> 2. </w:t>
      </w:r>
    </w:p>
    <w:p w:rsidR="00E07895" w:rsidRPr="00457CF6" w:rsidRDefault="00E07895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Latn-RS"/>
        </w:rPr>
      </w:pP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Pisani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obrazloženi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davanje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razmatra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ispunjeni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sledeći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Elaborat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ekonomskim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tehnološkim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sačinjen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usvojio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predloženih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programa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izmenama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rok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2.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Elaborat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sačinjen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usvojio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imajući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finansijske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efekte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nameni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upotrebljena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namirenje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povezanim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upotrebljena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planirano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pored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dozvoljenog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prelazi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dodatnih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10%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transakcije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cena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planiranog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otuđenja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knjigovodstvene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3.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procentualno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uspostavljanjem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: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Elaborat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razlozima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sačinjen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revizora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usvojio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sadrži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opravdanosti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imajući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finansijske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efekte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podatke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nameni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ostvarena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upotrebljena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namirenje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povezanim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upotrebljena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planirano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pored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dozvoljenog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prelazi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dodatnih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30%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nastanka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zavisnosti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odredbe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Procenat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alineje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uključuje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učešća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projektima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utvrđeno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aktom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Vlade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projekti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značaja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Republiku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Srbiju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založenom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obezbeđuje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4.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ograničeno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planirani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pored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dozvoljenog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prelazi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dodatnih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10% (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nastanka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zakup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5.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samo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poseban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pored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dozvoljenog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dodatnih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30%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vrednosti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stalne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bilansu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31.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decembar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kojoj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vrši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;</w:t>
      </w: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obavljanje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redovnog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kontinuiteta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uredno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izmiruje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tekuće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postojećim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kreditima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poslovima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kojima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izdate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menice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Ukupan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procenat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osnovnim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sredstvima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imovinom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45%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svim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osnovama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uključujući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raspolaganje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potrebna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prethodna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saglasnost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6.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ustupanje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mišljenje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sprečavanje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novca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13.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nepostojanju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smetnji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strani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ustupanje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sticanje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svojstva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potpisan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overen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ustupanju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propisane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što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dokazuje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izvodom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upisu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Registar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privrednih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subjekata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obrascem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overenih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potpisa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ovlašćenih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zastupanje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overenom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direktora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spada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krug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mogu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overenom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akcionara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direktora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nema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akcionara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starija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šest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meseci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fizičko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akcionar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pravnog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osuđivano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krivična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starija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šest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meseci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protiv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fizičkog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odnosno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kontrolni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akcionar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vodi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krivična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ako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fizičko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ličnom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kartom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uverenjem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državljanstvu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;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overenom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shodno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starija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šest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meseci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osuđivan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krivična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potvrdom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nadležnog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organa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starija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šest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meseci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protiv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vodi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postupak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krivična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dela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člana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Zakona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trenutku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podnošenja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ustupanje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kriterijume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učestvovanje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prikupljanju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ponuda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nadmetanjem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konkretni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ukoliko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kriterijumi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definisani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javnim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pozivom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lastRenderedPageBreak/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dostavljena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izjava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odgovornog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lica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potvrđuje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prijemnik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dospele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neizmirene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prema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subjektu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privatizacije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</w:p>
    <w:p w:rsidR="00E07895" w:rsidRPr="00457CF6" w:rsidRDefault="00E07895" w:rsidP="00E07895">
      <w:pPr>
        <w:spacing w:after="0" w:line="240" w:lineRule="auto"/>
        <w:ind w:firstLine="708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7.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bankarske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: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većem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prvu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ili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izvršio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investicionu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 </w:t>
      </w:r>
    </w:p>
    <w:p w:rsidR="00E07895" w:rsidRPr="00457CF6" w:rsidRDefault="00E07895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-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zahtevana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promena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bankarske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dospeva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skladu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visini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preostalog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,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manja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10%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od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ukupne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investicije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predviđene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ugovorom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 w:rsid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prodaji</w:t>
      </w:r>
      <w:r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. </w:t>
      </w: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bankarske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kojom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se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obezbeđuje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kupca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prvoj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godini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može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biti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predmet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</w:p>
    <w:p w:rsidR="00E07895" w:rsidRPr="00457CF6" w:rsidRDefault="00457CF6" w:rsidP="00E07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Kupac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kome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naplaćena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bankarska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zbog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neizvršenja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ugovorne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obaveze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investiranja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ne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ispunjava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uslove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izmenu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iznosa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garancije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za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dobro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izvršenje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posla</w:t>
      </w:r>
      <w:r w:rsidR="00E07895" w:rsidRPr="00457CF6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Latn-RS"/>
        </w:rPr>
        <w:t>.</w:t>
      </w:r>
      <w:bookmarkStart w:id="18" w:name="_GoBack"/>
      <w:bookmarkEnd w:id="18"/>
    </w:p>
    <w:sectPr w:rsidR="00E07895" w:rsidRPr="00457CF6" w:rsidSect="00D438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F80" w:rsidRDefault="00562F80" w:rsidP="00D438D8">
      <w:pPr>
        <w:spacing w:after="0" w:line="240" w:lineRule="auto"/>
      </w:pPr>
      <w:r>
        <w:separator/>
      </w:r>
    </w:p>
  </w:endnote>
  <w:endnote w:type="continuationSeparator" w:id="0">
    <w:p w:rsidR="00562F80" w:rsidRDefault="00562F80" w:rsidP="00D4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F6" w:rsidRDefault="00457C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F6" w:rsidRDefault="00457C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F6" w:rsidRDefault="00457C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F80" w:rsidRDefault="00562F80" w:rsidP="00D438D8">
      <w:pPr>
        <w:spacing w:after="0" w:line="240" w:lineRule="auto"/>
      </w:pPr>
      <w:r>
        <w:separator/>
      </w:r>
    </w:p>
  </w:footnote>
  <w:footnote w:type="continuationSeparator" w:id="0">
    <w:p w:rsidR="00562F80" w:rsidRDefault="00562F80" w:rsidP="00D4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F6" w:rsidRDefault="00457C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-1691524597"/>
      <w:docPartObj>
        <w:docPartGallery w:val="Page Numbers (Top of Page)"/>
        <w:docPartUnique/>
      </w:docPartObj>
    </w:sdtPr>
    <w:sdtEndPr/>
    <w:sdtContent>
      <w:p w:rsidR="00162A76" w:rsidRPr="00457CF6" w:rsidRDefault="00162A76">
        <w:pPr>
          <w:pStyle w:val="Header"/>
          <w:jc w:val="center"/>
          <w:rPr>
            <w:noProof/>
            <w:lang w:val="sr-Latn-CS"/>
          </w:rPr>
        </w:pPr>
        <w:r w:rsidRPr="00457CF6">
          <w:rPr>
            <w:noProof/>
            <w:lang w:val="sr-Latn-CS"/>
          </w:rPr>
          <w:fldChar w:fldCharType="begin"/>
        </w:r>
        <w:r w:rsidRPr="00457CF6">
          <w:rPr>
            <w:noProof/>
            <w:lang w:val="sr-Latn-CS"/>
          </w:rPr>
          <w:instrText xml:space="preserve"> PAGE   \* MERGEFORMAT </w:instrText>
        </w:r>
        <w:r w:rsidRPr="00457CF6">
          <w:rPr>
            <w:noProof/>
            <w:lang w:val="sr-Latn-CS"/>
          </w:rPr>
          <w:fldChar w:fldCharType="separate"/>
        </w:r>
        <w:r w:rsidR="00457CF6">
          <w:rPr>
            <w:noProof/>
            <w:lang w:val="sr-Latn-CS"/>
          </w:rPr>
          <w:t>11</w:t>
        </w:r>
        <w:r w:rsidRPr="00457CF6">
          <w:rPr>
            <w:noProof/>
            <w:lang w:val="sr-Latn-CS"/>
          </w:rPr>
          <w:fldChar w:fldCharType="end"/>
        </w:r>
      </w:p>
    </w:sdtContent>
  </w:sdt>
  <w:p w:rsidR="00162A76" w:rsidRPr="00457CF6" w:rsidRDefault="00162A76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CF6" w:rsidRDefault="00457C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C4933"/>
    <w:multiLevelType w:val="hybridMultilevel"/>
    <w:tmpl w:val="CC78929C"/>
    <w:lvl w:ilvl="0" w:tplc="97C62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10"/>
    <w:rsid w:val="0002049C"/>
    <w:rsid w:val="00022569"/>
    <w:rsid w:val="00027616"/>
    <w:rsid w:val="0005686C"/>
    <w:rsid w:val="000A0D04"/>
    <w:rsid w:val="000E5C06"/>
    <w:rsid w:val="001178D0"/>
    <w:rsid w:val="001617E3"/>
    <w:rsid w:val="00162A76"/>
    <w:rsid w:val="001C1010"/>
    <w:rsid w:val="003554F5"/>
    <w:rsid w:val="003B1E54"/>
    <w:rsid w:val="0041216C"/>
    <w:rsid w:val="00456329"/>
    <w:rsid w:val="00457CF6"/>
    <w:rsid w:val="004C10E1"/>
    <w:rsid w:val="005260AA"/>
    <w:rsid w:val="00562F80"/>
    <w:rsid w:val="00572F37"/>
    <w:rsid w:val="006E52CA"/>
    <w:rsid w:val="0071420E"/>
    <w:rsid w:val="00782F49"/>
    <w:rsid w:val="007E6C50"/>
    <w:rsid w:val="008557CC"/>
    <w:rsid w:val="008F39D4"/>
    <w:rsid w:val="00920FA4"/>
    <w:rsid w:val="0097176A"/>
    <w:rsid w:val="00A71405"/>
    <w:rsid w:val="00A92326"/>
    <w:rsid w:val="00AA42EA"/>
    <w:rsid w:val="00AB66C2"/>
    <w:rsid w:val="00BA2726"/>
    <w:rsid w:val="00C0576B"/>
    <w:rsid w:val="00C643D4"/>
    <w:rsid w:val="00C661D3"/>
    <w:rsid w:val="00CD23BF"/>
    <w:rsid w:val="00D17F88"/>
    <w:rsid w:val="00D32F8B"/>
    <w:rsid w:val="00D438D8"/>
    <w:rsid w:val="00D51F2C"/>
    <w:rsid w:val="00D93179"/>
    <w:rsid w:val="00DE1499"/>
    <w:rsid w:val="00E05E7E"/>
    <w:rsid w:val="00E07895"/>
    <w:rsid w:val="00E5246D"/>
    <w:rsid w:val="00E56448"/>
    <w:rsid w:val="00E61F8B"/>
    <w:rsid w:val="00EC32BB"/>
    <w:rsid w:val="00F14178"/>
    <w:rsid w:val="00F1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B937D6-74ED-4B35-82CD-4154CD09F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010"/>
  </w:style>
  <w:style w:type="paragraph" w:styleId="Heading4">
    <w:name w:val="heading 4"/>
    <w:basedOn w:val="Normal"/>
    <w:link w:val="Heading4Char"/>
    <w:uiPriority w:val="9"/>
    <w:qFormat/>
    <w:rsid w:val="001C1010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1C1010"/>
    <w:rPr>
      <w:rFonts w:ascii="Times New Roman" w:eastAsia="Times New Roman" w:hAnsi="Times New Roman" w:cs="Times New Roman"/>
      <w:b/>
      <w:bCs/>
      <w:sz w:val="24"/>
      <w:szCs w:val="24"/>
      <w:lang w:eastAsia="sr-Latn-RS"/>
    </w:rPr>
  </w:style>
  <w:style w:type="paragraph" w:customStyle="1" w:styleId="clan">
    <w:name w:val="clan"/>
    <w:basedOn w:val="Normal"/>
    <w:rsid w:val="001C1010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Latn-RS"/>
    </w:rPr>
  </w:style>
  <w:style w:type="paragraph" w:customStyle="1" w:styleId="Normal1">
    <w:name w:val="Normal1"/>
    <w:basedOn w:val="Normal"/>
    <w:rsid w:val="001C1010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RS"/>
    </w:rPr>
  </w:style>
  <w:style w:type="paragraph" w:customStyle="1" w:styleId="samostalni">
    <w:name w:val="samostalni"/>
    <w:basedOn w:val="Normal"/>
    <w:rsid w:val="001C10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sr-Latn-RS"/>
    </w:rPr>
  </w:style>
  <w:style w:type="paragraph" w:customStyle="1" w:styleId="samostalni1">
    <w:name w:val="samostalni1"/>
    <w:basedOn w:val="Normal"/>
    <w:rsid w:val="001C101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lang w:eastAsia="sr-Latn-RS"/>
    </w:rPr>
  </w:style>
  <w:style w:type="paragraph" w:customStyle="1" w:styleId="normaluvuceni">
    <w:name w:val="normal_uvuceni"/>
    <w:basedOn w:val="Normal"/>
    <w:rsid w:val="001C1010"/>
    <w:pPr>
      <w:spacing w:before="100" w:beforeAutospacing="1" w:after="100" w:afterAutospacing="1" w:line="240" w:lineRule="auto"/>
      <w:ind w:left="1134" w:hanging="142"/>
    </w:pPr>
    <w:rPr>
      <w:rFonts w:ascii="Arial" w:eastAsia="Times New Roman" w:hAnsi="Arial" w:cs="Arial"/>
      <w:lang w:eastAsia="sr-Latn-RS"/>
    </w:rPr>
  </w:style>
  <w:style w:type="paragraph" w:customStyle="1" w:styleId="podnaslovpropisa">
    <w:name w:val="podnaslovpropisa"/>
    <w:basedOn w:val="Normal"/>
    <w:rsid w:val="001C1010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  <w:lang w:eastAsia="sr-Latn-RS"/>
    </w:rPr>
  </w:style>
  <w:style w:type="paragraph" w:customStyle="1" w:styleId="normalprored">
    <w:name w:val="normalprored"/>
    <w:basedOn w:val="Normal"/>
    <w:rsid w:val="001C1010"/>
    <w:pPr>
      <w:spacing w:after="0" w:line="240" w:lineRule="auto"/>
    </w:pPr>
    <w:rPr>
      <w:rFonts w:ascii="Arial" w:eastAsia="Times New Roman" w:hAnsi="Arial" w:cs="Arial"/>
      <w:sz w:val="26"/>
      <w:szCs w:val="26"/>
      <w:lang w:eastAsia="sr-Latn-RS"/>
    </w:rPr>
  </w:style>
  <w:style w:type="paragraph" w:customStyle="1" w:styleId="wyq050---odeljak">
    <w:name w:val="wyq050---odeljak"/>
    <w:basedOn w:val="Normal"/>
    <w:rsid w:val="001C1010"/>
    <w:pPr>
      <w:spacing w:after="0" w:line="240" w:lineRule="auto"/>
      <w:jc w:val="center"/>
    </w:pPr>
    <w:rPr>
      <w:rFonts w:ascii="Arial" w:eastAsia="Times New Roman" w:hAnsi="Arial" w:cs="Arial"/>
      <w:b/>
      <w:bCs/>
      <w:sz w:val="31"/>
      <w:szCs w:val="31"/>
      <w:lang w:eastAsia="sr-Latn-RS"/>
    </w:rPr>
  </w:style>
  <w:style w:type="paragraph" w:customStyle="1" w:styleId="wyq060---pododeljak">
    <w:name w:val="wyq060---pododeljak"/>
    <w:basedOn w:val="Normal"/>
    <w:rsid w:val="001C1010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0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C101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C10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C10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0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01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C101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C1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imgsource">
    <w:name w:val="imgsource"/>
    <w:basedOn w:val="DefaultParagraphFont"/>
    <w:rsid w:val="001C1010"/>
  </w:style>
  <w:style w:type="character" w:styleId="Strong">
    <w:name w:val="Strong"/>
    <w:basedOn w:val="DefaultParagraphFont"/>
    <w:uiPriority w:val="22"/>
    <w:qFormat/>
    <w:rsid w:val="001C10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C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010"/>
  </w:style>
  <w:style w:type="paragraph" w:styleId="Footer">
    <w:name w:val="footer"/>
    <w:basedOn w:val="Normal"/>
    <w:link w:val="FooterChar"/>
    <w:uiPriority w:val="99"/>
    <w:unhideWhenUsed/>
    <w:rsid w:val="001C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010"/>
  </w:style>
  <w:style w:type="paragraph" w:styleId="ListParagraph">
    <w:name w:val="List Paragraph"/>
    <w:basedOn w:val="Normal"/>
    <w:uiPriority w:val="34"/>
    <w:qFormat/>
    <w:rsid w:val="00456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4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3921</Words>
  <Characters>22352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Julijana Vuckovic</dc:creator>
  <cp:lastModifiedBy>Jovan Stojanovic</cp:lastModifiedBy>
  <cp:revision>2</cp:revision>
  <cp:lastPrinted>2018-06-14T09:58:00Z</cp:lastPrinted>
  <dcterms:created xsi:type="dcterms:W3CDTF">2018-06-15T06:24:00Z</dcterms:created>
  <dcterms:modified xsi:type="dcterms:W3CDTF">2018-06-15T06:24:00Z</dcterms:modified>
</cp:coreProperties>
</file>